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36B" w:rsidRPr="005A615E" w:rsidRDefault="005D236B" w:rsidP="007E086F">
      <w:pPr>
        <w:spacing w:after="0" w:line="257" w:lineRule="auto"/>
        <w:jc w:val="center"/>
        <w:rPr>
          <w:rFonts w:ascii="Times New Roman" w:hAnsi="Times New Roman"/>
          <w:b/>
          <w:sz w:val="28"/>
        </w:rPr>
      </w:pPr>
      <w:r w:rsidRPr="005A615E">
        <w:rPr>
          <w:rFonts w:ascii="Times New Roman" w:hAnsi="Times New Roman"/>
          <w:b/>
          <w:sz w:val="28"/>
        </w:rPr>
        <w:t>УЗАГАЛЬНЕНІ ЗАУВАЖЕННЯ</w:t>
      </w:r>
    </w:p>
    <w:p w:rsidR="005D236B" w:rsidRPr="005A615E" w:rsidRDefault="005D236B" w:rsidP="007E086F">
      <w:pPr>
        <w:spacing w:after="0" w:line="257" w:lineRule="auto"/>
        <w:jc w:val="center"/>
        <w:rPr>
          <w:rFonts w:ascii="Times New Roman" w:hAnsi="Times New Roman"/>
          <w:b/>
          <w:sz w:val="28"/>
        </w:rPr>
      </w:pPr>
      <w:r w:rsidRPr="005A615E">
        <w:rPr>
          <w:rFonts w:ascii="Times New Roman" w:hAnsi="Times New Roman"/>
          <w:b/>
          <w:sz w:val="28"/>
        </w:rPr>
        <w:t>та пропозиції до проекту рішення НКРЕКП, що має ознаки регуляторного акта, – постанови НКРЕКП</w:t>
      </w:r>
      <w:r w:rsidRPr="005A615E">
        <w:rPr>
          <w:rFonts w:ascii="Times New Roman" w:hAnsi="Times New Roman"/>
          <w:b/>
          <w:sz w:val="28"/>
        </w:rPr>
        <w:br/>
        <w:t xml:space="preserve"> «Про затвердження Змін до деяких постанов НКРЕ та НКРЕКП»</w:t>
      </w:r>
    </w:p>
    <w:p w:rsidR="005D236B" w:rsidRPr="005A615E" w:rsidRDefault="005D236B" w:rsidP="007E086F">
      <w:pPr>
        <w:spacing w:after="0" w:line="257" w:lineRule="auto"/>
        <w:jc w:val="center"/>
        <w:rPr>
          <w:rFonts w:ascii="Times New Roman" w:hAnsi="Times New Roman"/>
          <w:b/>
          <w:sz w:val="28"/>
        </w:rPr>
      </w:pPr>
      <w:r w:rsidRPr="005A615E">
        <w:rPr>
          <w:rFonts w:ascii="Times New Roman" w:hAnsi="Times New Roman"/>
          <w:i/>
        </w:rPr>
        <w:t xml:space="preserve">(зміни до </w:t>
      </w:r>
      <w:bookmarkStart w:id="0" w:name="_Hlk145411677"/>
      <w:r w:rsidRPr="005A615E">
        <w:rPr>
          <w:rFonts w:ascii="Times New Roman" w:hAnsi="Times New Roman"/>
          <w:i/>
        </w:rPr>
        <w:t xml:space="preserve">постанов НКРЕ від 11.07.2013 № 899 «Про затвердження Порядку визначення регуляторної бази активів суб’єктів природних монополій у сфері електроенергетики», від 23.07.2013 № 1009 «Про встановлення параметрів регулювання, що мають довгостроковий строк дії, для цілей стимулюючого регулювання», від 26.07.2013 № 1029 «Про застосування стимулюючого регулювання при провадженні господарської діяльності з розподілу електричної енергії» та НКРЕКП </w:t>
      </w:r>
      <w:r w:rsidR="00FF0926" w:rsidRPr="005A615E">
        <w:rPr>
          <w:rFonts w:ascii="Times New Roman" w:hAnsi="Times New Roman"/>
          <w:i/>
        </w:rPr>
        <w:t xml:space="preserve">від 27.07.2017 № 981 «Про затвердження Положення про порядок подання, визначення та затвердження економічних коефіцієнтів нормативних та прогнозованих технологічних витрат електроенергії», </w:t>
      </w:r>
      <w:r w:rsidRPr="005A615E">
        <w:rPr>
          <w:rFonts w:ascii="Times New Roman" w:hAnsi="Times New Roman"/>
          <w:i/>
        </w:rPr>
        <w:t>від 05.10.2018 № 1175 «Про затвердження Порядку встановлення (формування) тарифів на послуги з розподілу електричної енергії»</w:t>
      </w:r>
      <w:bookmarkEnd w:id="0"/>
      <w:r w:rsidR="00FF0926" w:rsidRPr="005A615E">
        <w:rPr>
          <w:rFonts w:ascii="Times New Roman" w:hAnsi="Times New Roman"/>
          <w:i/>
        </w:rPr>
        <w:t>)</w:t>
      </w:r>
      <w:bookmarkStart w:id="1" w:name="_GoBack"/>
      <w:bookmarkEnd w:id="1"/>
      <w:r w:rsidRPr="005A615E">
        <w:rPr>
          <w:rFonts w:ascii="Times New Roman" w:hAnsi="Times New Roman"/>
          <w:i/>
        </w:rPr>
        <w:br/>
      </w:r>
    </w:p>
    <w:tbl>
      <w:tblPr>
        <w:tblStyle w:val="a3"/>
        <w:tblW w:w="15588" w:type="dxa"/>
        <w:tblLayout w:type="fixed"/>
        <w:tblLook w:val="04A0" w:firstRow="1" w:lastRow="0" w:firstColumn="1" w:lastColumn="0" w:noHBand="0" w:noVBand="1"/>
      </w:tblPr>
      <w:tblGrid>
        <w:gridCol w:w="6232"/>
        <w:gridCol w:w="5387"/>
        <w:gridCol w:w="6"/>
        <w:gridCol w:w="3963"/>
      </w:tblGrid>
      <w:tr w:rsidR="005D236B" w:rsidRPr="005A615E" w:rsidTr="00A56FEE">
        <w:tc>
          <w:tcPr>
            <w:tcW w:w="6232" w:type="dxa"/>
            <w:vAlign w:val="center"/>
          </w:tcPr>
          <w:p w:rsidR="005D236B" w:rsidRPr="005A615E" w:rsidRDefault="005D236B" w:rsidP="005D236B">
            <w:pPr>
              <w:pStyle w:val="rvps12"/>
              <w:spacing w:before="150" w:beforeAutospacing="0" w:after="150" w:afterAutospacing="0"/>
              <w:rPr>
                <w:b/>
              </w:rPr>
            </w:pPr>
            <w:r w:rsidRPr="005A615E">
              <w:rPr>
                <w:b/>
              </w:rPr>
              <w:t>Редакція проекту рішення НКРЕКП</w:t>
            </w:r>
          </w:p>
        </w:tc>
        <w:tc>
          <w:tcPr>
            <w:tcW w:w="5387" w:type="dxa"/>
            <w:vAlign w:val="center"/>
          </w:tcPr>
          <w:p w:rsidR="005D236B" w:rsidRPr="005A615E" w:rsidRDefault="005D236B" w:rsidP="005D236B">
            <w:pPr>
              <w:pStyle w:val="rvps12"/>
              <w:spacing w:before="150" w:beforeAutospacing="0" w:after="150" w:afterAutospacing="0"/>
              <w:rPr>
                <w:b/>
              </w:rPr>
            </w:pPr>
            <w:r w:rsidRPr="005A615E">
              <w:rPr>
                <w:b/>
              </w:rPr>
              <w:t>Зауваження та пропозиції до проекту рішення НКРЕКП</w:t>
            </w:r>
          </w:p>
        </w:tc>
        <w:tc>
          <w:tcPr>
            <w:tcW w:w="3969" w:type="dxa"/>
            <w:gridSpan w:val="2"/>
            <w:vAlign w:val="center"/>
          </w:tcPr>
          <w:p w:rsidR="005D236B" w:rsidRPr="005A615E" w:rsidRDefault="005D236B" w:rsidP="005D236B">
            <w:pPr>
              <w:pStyle w:val="rvps12"/>
              <w:spacing w:before="150" w:beforeAutospacing="0" w:after="150" w:afterAutospacing="0"/>
              <w:rPr>
                <w:b/>
              </w:rPr>
            </w:pPr>
            <w:r w:rsidRPr="005A615E">
              <w:rPr>
                <w:b/>
              </w:rPr>
              <w:t>Попередня позиція НКРЕКП щодо наданих зауважень та пропозицій з обґрунтуваннями щодо прийняття або відхилення</w:t>
            </w:r>
          </w:p>
        </w:tc>
      </w:tr>
      <w:tr w:rsidR="005D236B" w:rsidRPr="005A615E" w:rsidTr="00A56FEE">
        <w:tc>
          <w:tcPr>
            <w:tcW w:w="15588" w:type="dxa"/>
            <w:gridSpan w:val="4"/>
          </w:tcPr>
          <w:p w:rsidR="005D236B" w:rsidRPr="005A615E" w:rsidRDefault="005D236B" w:rsidP="00497E19">
            <w:pPr>
              <w:jc w:val="center"/>
              <w:rPr>
                <w:rFonts w:ascii="Times New Roman" w:hAnsi="Times New Roman"/>
                <w:b/>
                <w:sz w:val="28"/>
              </w:rPr>
            </w:pPr>
            <w:r w:rsidRPr="005A615E">
              <w:rPr>
                <w:rFonts w:ascii="Times New Roman" w:hAnsi="Times New Roman"/>
                <w:b/>
                <w:sz w:val="28"/>
              </w:rPr>
              <w:t>Постанова НКРЕ від 11.07.2013 № 899 «Про затвердження Порядку визначення регуляторної бази активів суб’єктів природних монополій у сфері електроенергетики»</w:t>
            </w:r>
          </w:p>
        </w:tc>
      </w:tr>
      <w:tr w:rsidR="00CF2AC1" w:rsidRPr="005A615E" w:rsidTr="00A56FEE">
        <w:tc>
          <w:tcPr>
            <w:tcW w:w="6232" w:type="dxa"/>
          </w:tcPr>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1.5. У цьому Порядку терміни вживаються у таких значеннях:</w:t>
            </w: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w:t>
            </w: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згідно з проєктними рішеннями,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які отримано на безоплатній </w:t>
            </w:r>
            <w:r w:rsidRPr="005A615E">
              <w:rPr>
                <w:rFonts w:ascii="Times New Roman" w:hAnsi="Times New Roman"/>
                <w:sz w:val="24"/>
                <w:szCs w:val="24"/>
              </w:rPr>
              <w:lastRenderedPageBreak/>
              <w:t xml:space="preserve">(безповоротній)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 </w:t>
            </w: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 xml:space="preserve">До створених активів (елементів активу) також належать активи, створені в період дії в Україні воєнного стану в рамках робіт з відновлення об'єктів електричних мереж, а саме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та створені в рамках робіт з виконання супутніх заходів, відповідно до постанови Кабінету Міністрів України від 07 лютого 2025 року № 142, витрати на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w:t>
            </w:r>
            <w:r w:rsidRPr="005A615E">
              <w:rPr>
                <w:rFonts w:ascii="Times New Roman" w:hAnsi="Times New Roman"/>
                <w:sz w:val="24"/>
                <w:szCs w:val="24"/>
              </w:rPr>
              <w:lastRenderedPageBreak/>
              <w:t>розподілу електричної енергії (статті «Коригування доходу (витрат)).</w:t>
            </w: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Вартість активів, включених до регуляторної бази активів, створених 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постановою НКРЕКП від 04 вересня 2018 року № 955 (далі - Порядок формування інвестиційних програм), інвестиційної програми з урахуванням суми економії (у межах перевитрат до 5 %),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 З метою уніфікації розрахунків для ліцензіатів, перелік яких наведено в додатку 30 до Порядку № 1175, для всіх активів, створених у період з 01 січня 2022 року по 31 грудня 2023 року, датою введення цих активів є 31 грудня 2023 року.</w:t>
            </w: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w:t>
            </w:r>
          </w:p>
          <w:p w:rsidR="00CF2AC1" w:rsidRPr="005A615E" w:rsidRDefault="00CF2AC1"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3A580D" w:rsidP="00CF2AC1">
            <w:pPr>
              <w:rPr>
                <w:rFonts w:ascii="Times New Roman" w:hAnsi="Times New Roman"/>
                <w:b/>
                <w:sz w:val="24"/>
              </w:rPr>
            </w:pPr>
          </w:p>
          <w:p w:rsidR="003A580D" w:rsidRPr="005A615E" w:rsidRDefault="00E50498" w:rsidP="00CF2AC1">
            <w:pPr>
              <w:rPr>
                <w:rFonts w:ascii="Times New Roman" w:hAnsi="Times New Roman"/>
                <w:b/>
                <w:sz w:val="24"/>
              </w:rPr>
            </w:pPr>
            <w:r w:rsidRPr="005A615E">
              <w:rPr>
                <w:rFonts w:ascii="Times New Roman" w:hAnsi="Times New Roman"/>
                <w:b/>
                <w:bCs/>
                <w:sz w:val="24"/>
                <w:lang w:eastAsia="uk-UA"/>
              </w:rPr>
              <w:t>Зміни не пропонувались</w:t>
            </w:r>
          </w:p>
        </w:tc>
        <w:tc>
          <w:tcPr>
            <w:tcW w:w="5387" w:type="dxa"/>
          </w:tcPr>
          <w:p w:rsidR="00CF2AC1" w:rsidRPr="005A615E" w:rsidRDefault="00CF2AC1" w:rsidP="00CF2AC1">
            <w:pPr>
              <w:rPr>
                <w:rFonts w:ascii="Times New Roman" w:hAnsi="Times New Roman"/>
                <w:b/>
                <w:u w:val="single"/>
              </w:rPr>
            </w:pPr>
            <w:r w:rsidRPr="005A615E">
              <w:rPr>
                <w:rFonts w:ascii="Times New Roman" w:hAnsi="Times New Roman"/>
                <w:b/>
                <w:u w:val="single"/>
              </w:rPr>
              <w:lastRenderedPageBreak/>
              <w:t xml:space="preserve">АТ «ЧЕРНІГІВОБЛЕНЕРГО» </w:t>
            </w:r>
            <w:r w:rsidRPr="005A615E">
              <w:rPr>
                <w:rFonts w:ascii="Times New Roman" w:hAnsi="Times New Roman"/>
                <w:b/>
                <w:u w:val="single"/>
              </w:rPr>
              <w:br/>
              <w:t>(лист від 24.07.2026 № 49/9422/01-14)</w:t>
            </w:r>
          </w:p>
          <w:p w:rsidR="00CF2AC1" w:rsidRPr="005A615E" w:rsidRDefault="00CF2AC1" w:rsidP="00CF2AC1">
            <w:pPr>
              <w:jc w:val="both"/>
              <w:rPr>
                <w:rFonts w:ascii="Times New Roman" w:hAnsi="Times New Roman"/>
              </w:rPr>
            </w:pPr>
            <w:r w:rsidRPr="005A615E">
              <w:rPr>
                <w:rFonts w:ascii="Times New Roman" w:hAnsi="Times New Roman"/>
              </w:rPr>
              <w:t>1.5. У цьому Порядку терміни вживаються у таких значеннях:</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jc w:val="both"/>
              <w:rPr>
                <w:rFonts w:ascii="Times New Roman" w:hAnsi="Times New Roman"/>
              </w:rPr>
            </w:pPr>
            <w:r w:rsidRPr="005A615E">
              <w:rPr>
                <w:rFonts w:ascii="Times New Roman" w:hAnsi="Times New Roman"/>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згідно з проєктними рішеннями,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які отримано на безоплатній (безповоротній) </w:t>
            </w:r>
            <w:r w:rsidRPr="005A615E">
              <w:rPr>
                <w:rFonts w:ascii="Times New Roman" w:hAnsi="Times New Roman"/>
              </w:rPr>
              <w:lastRenderedPageBreak/>
              <w:t xml:space="preserve">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 </w:t>
            </w:r>
          </w:p>
          <w:p w:rsidR="00CF2AC1" w:rsidRPr="005A615E" w:rsidRDefault="00CF2AC1" w:rsidP="00CF2AC1">
            <w:pPr>
              <w:jc w:val="both"/>
              <w:rPr>
                <w:rFonts w:ascii="Times New Roman" w:hAnsi="Times New Roman"/>
                <w:b/>
              </w:rPr>
            </w:pPr>
            <w:r w:rsidRPr="005A615E">
              <w:rPr>
                <w:rFonts w:ascii="Times New Roman" w:hAnsi="Times New Roman"/>
                <w:b/>
              </w:rPr>
              <w:t>Активи, будівництво або реконструкція яких, відповідно до проєктних рішень, здійснюється поетапно протягом кількох років, вважаються створеними в частині відповідного етапу. Це застосовується за умови, що такий процес є безперервним відповідно до плану розвитку системи розподілу</w:t>
            </w:r>
            <w:r w:rsidRPr="005A615E" w:rsidDel="00493D46">
              <w:rPr>
                <w:rFonts w:ascii="Times New Roman" w:hAnsi="Times New Roman"/>
                <w:b/>
              </w:rPr>
              <w:t xml:space="preserve"> </w:t>
            </w:r>
            <w:r w:rsidRPr="005A615E">
              <w:rPr>
                <w:rFonts w:ascii="Times New Roman" w:hAnsi="Times New Roman"/>
                <w:b/>
              </w:rPr>
              <w:t>та завершується введенням відповідних об’єктів в експлуатацію на підставі бухгалтерських документів, що підтверджують факт та дату їх прийняття (встановлення) на баланс</w:t>
            </w:r>
            <w:r w:rsidRPr="005A615E">
              <w:rPr>
                <w:rFonts w:ascii="Times New Roman" w:hAnsi="Times New Roman"/>
              </w:rPr>
              <w:t>.</w:t>
            </w:r>
          </w:p>
          <w:p w:rsidR="00CF2AC1" w:rsidRPr="005A615E" w:rsidRDefault="00CF2AC1" w:rsidP="00CF2AC1">
            <w:pPr>
              <w:jc w:val="both"/>
              <w:rPr>
                <w:rFonts w:ascii="Times New Roman" w:hAnsi="Times New Roman"/>
              </w:rPr>
            </w:pPr>
            <w:r w:rsidRPr="005A615E">
              <w:rPr>
                <w:rFonts w:ascii="Times New Roman" w:hAnsi="Times New Roman"/>
              </w:rPr>
              <w:t>До створених активів (елементів активу) також належать активи, створені в період дії в Україні воєнного стану в рамках робіт з відновлення об'єктів електричних мереж, а саме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та створені в рамках робіт з виконання супутніх заходів, відповідно до постанови Кабінету Міністрів України від 07 лютого 2025 року № 142, витрати на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розподілу електричної енергії (статті «Коригування доходу (витрат)).</w:t>
            </w:r>
          </w:p>
          <w:p w:rsidR="00CF2AC1" w:rsidRPr="005A615E" w:rsidRDefault="00CF2AC1" w:rsidP="00CF2AC1">
            <w:pPr>
              <w:jc w:val="both"/>
              <w:rPr>
                <w:rFonts w:ascii="Times New Roman" w:hAnsi="Times New Roman"/>
              </w:rPr>
            </w:pPr>
            <w:r w:rsidRPr="005A615E">
              <w:rPr>
                <w:rFonts w:ascii="Times New Roman" w:hAnsi="Times New Roman"/>
              </w:rPr>
              <w:lastRenderedPageBreak/>
              <w:t xml:space="preserve"> Вартість активів, включених до регуляторної бази активів, створених 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постановою НКРЕКП від 04 вересня 2018 року № 955 (далі - Порядок формування інвестиційних програм), інвестиційної програми з урахуванням суми економії (у межах перевитрат до 5 %),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 </w:t>
            </w:r>
          </w:p>
          <w:p w:rsidR="00CF2AC1" w:rsidRPr="005A615E" w:rsidRDefault="00CF2AC1" w:rsidP="00CF2AC1">
            <w:pPr>
              <w:jc w:val="both"/>
              <w:rPr>
                <w:rFonts w:ascii="Times New Roman" w:hAnsi="Times New Roman"/>
              </w:rPr>
            </w:pPr>
            <w:r w:rsidRPr="005A615E">
              <w:rPr>
                <w:rFonts w:ascii="Times New Roman" w:hAnsi="Times New Roman"/>
              </w:rPr>
              <w:t>З метою уніфікації розрахунків для ліцензіатів, перелік яких наведено в додатку 30 до Порядку № 1175, для всіх активів, створених у період з 01 січня 2022 року по 31 грудня 2023 року, датою введення цих активів є 31 грудня 2023 року.</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Після повного виконання  проєкту </w:t>
            </w:r>
            <w:r w:rsidRPr="005A615E">
              <w:t xml:space="preserve"> </w:t>
            </w:r>
            <w:r w:rsidRPr="005A615E">
              <w:rPr>
                <w:rFonts w:ascii="Times New Roman" w:hAnsi="Times New Roman"/>
              </w:rPr>
              <w:t>створений актив може бути включений до регуляторної бази активів (РБА) та на його вартість починає нараховуватися регуляторна норма прибутку та амортизація.</w:t>
            </w:r>
          </w:p>
          <w:p w:rsidR="00CF2AC1" w:rsidRPr="005A615E" w:rsidRDefault="00CF2AC1" w:rsidP="00CF2AC1">
            <w:pPr>
              <w:jc w:val="both"/>
              <w:rPr>
                <w:rFonts w:ascii="Times New Roman" w:hAnsi="Times New Roman"/>
              </w:rPr>
            </w:pPr>
            <w:r w:rsidRPr="005A615E">
              <w:rPr>
                <w:rFonts w:ascii="Times New Roman" w:hAnsi="Times New Roman"/>
              </w:rPr>
              <w:t>Дані об’єкти в зв’язку зі значним обсягом робіт та великою вартістю не можуть бути виконані за рік.</w:t>
            </w:r>
          </w:p>
          <w:p w:rsidR="00CF2AC1" w:rsidRPr="005A615E" w:rsidRDefault="00CF2AC1" w:rsidP="00CF2AC1">
            <w:pPr>
              <w:jc w:val="both"/>
              <w:rPr>
                <w:rFonts w:ascii="Times New Roman" w:hAnsi="Times New Roman"/>
              </w:rPr>
            </w:pPr>
            <w:r w:rsidRPr="005A615E">
              <w:rPr>
                <w:rFonts w:ascii="Times New Roman" w:hAnsi="Times New Roman"/>
              </w:rPr>
              <w:t xml:space="preserve">Відповідно до національних та міжнародних стандартів, великі об’єкти приймаються на баланс поетапно – окремими чергами або пусковими комплексами (по мірі їхньої фактичної готовності та введення в експлуатацію). </w:t>
            </w:r>
          </w:p>
          <w:p w:rsidR="00CF2AC1" w:rsidRPr="005A615E" w:rsidRDefault="00CF2AC1" w:rsidP="00CF2AC1">
            <w:pPr>
              <w:jc w:val="both"/>
              <w:rPr>
                <w:rFonts w:ascii="Times New Roman" w:hAnsi="Times New Roman"/>
              </w:rPr>
            </w:pPr>
            <w:r w:rsidRPr="005A615E">
              <w:rPr>
                <w:rFonts w:ascii="Times New Roman" w:hAnsi="Times New Roman"/>
              </w:rPr>
              <w:lastRenderedPageBreak/>
              <w:t>Це призводить до необґрунтованого заниження суми регуляторного прибутку та амортизації, яка є обов’язковим джерелом фінансування інвестиційної програми та зменшує фінансові можливості компанії для збільшення джерел фінансування ІП наступних періодів.</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 xml:space="preserve">АТ «ЧЕРНІВЦІОБЛЕНЕРГО» </w:t>
            </w:r>
            <w:r w:rsidRPr="005A615E">
              <w:rPr>
                <w:rFonts w:ascii="Times New Roman" w:hAnsi="Times New Roman"/>
                <w:b/>
                <w:u w:val="single"/>
              </w:rPr>
              <w:br/>
              <w:t>(лист від 24.07.2026  № 19/1-02/3604)</w:t>
            </w:r>
          </w:p>
          <w:p w:rsidR="00CF2AC1" w:rsidRPr="005A615E" w:rsidRDefault="00CF2AC1" w:rsidP="00CF2AC1">
            <w:pPr>
              <w:jc w:val="both"/>
              <w:rPr>
                <w:rFonts w:ascii="Times New Roman" w:hAnsi="Times New Roman"/>
              </w:rPr>
            </w:pPr>
            <w:r w:rsidRPr="005A615E">
              <w:rPr>
                <w:rFonts w:ascii="Times New Roman" w:hAnsi="Times New Roman"/>
              </w:rPr>
              <w:t>1.5. У цьому Порядку терміни вживаються у таких значеннях:</w:t>
            </w: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w:t>
            </w:r>
          </w:p>
          <w:p w:rsidR="00CF2AC1" w:rsidRPr="005A615E" w:rsidRDefault="00CF2AC1" w:rsidP="00CF2AC1">
            <w:pPr>
              <w:jc w:val="both"/>
              <w:rPr>
                <w:rFonts w:ascii="Times New Roman" w:hAnsi="Times New Roman"/>
                <w:bCs/>
                <w:iCs/>
                <w:szCs w:val="20"/>
              </w:rPr>
            </w:pPr>
            <w:r w:rsidRPr="005A615E">
              <w:rPr>
                <w:rFonts w:ascii="Times New Roman" w:hAnsi="Times New Roman"/>
                <w:bCs/>
                <w:iCs/>
                <w:szCs w:val="20"/>
                <w:shd w:val="clear" w:color="auto" w:fill="FFFFFF"/>
              </w:rPr>
              <w:t xml:space="preserve">До створених активів (елементів активу) також належать активи, створені в період дії в Україні воєнного стану в рамках робіт з відновлення об'єктів електричних мереж, а саме </w:t>
            </w:r>
            <w:r w:rsidRPr="005A615E">
              <w:rPr>
                <w:rFonts w:ascii="Times New Roman" w:hAnsi="Times New Roman"/>
                <w:b/>
                <w:bCs/>
                <w:iCs/>
                <w:szCs w:val="20"/>
              </w:rPr>
              <w:t>силове обладнання підстанцій, трансформаторних підстанцій, розподільчих пунктів та інших об'єктів електричних мереж 0,4 кВ, 6 кВ, 10 кВ, 35 кВ та вище,</w:t>
            </w:r>
            <w:r w:rsidRPr="005A615E">
              <w:rPr>
                <w:rFonts w:ascii="Times New Roman" w:hAnsi="Times New Roman"/>
                <w:szCs w:val="20"/>
              </w:rPr>
              <w:t xml:space="preserve"> </w:t>
            </w:r>
            <w:r w:rsidRPr="005A615E">
              <w:rPr>
                <w:rFonts w:ascii="Times New Roman" w:hAnsi="Times New Roman"/>
                <w:bCs/>
                <w:iCs/>
                <w:szCs w:val="20"/>
                <w:shd w:val="clear" w:color="auto" w:fill="FFFFFF"/>
              </w:rPr>
              <w:t xml:space="preserve">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та створені в рамках </w:t>
            </w:r>
            <w:r w:rsidRPr="005A615E">
              <w:rPr>
                <w:rFonts w:ascii="Times New Roman" w:hAnsi="Times New Roman"/>
                <w:bCs/>
                <w:iCs/>
                <w:szCs w:val="20"/>
              </w:rPr>
              <w:t xml:space="preserve">робіт з виконання </w:t>
            </w:r>
            <w:r w:rsidRPr="005A615E">
              <w:rPr>
                <w:rFonts w:ascii="Times New Roman" w:hAnsi="Times New Roman"/>
                <w:bCs/>
                <w:iCs/>
                <w:szCs w:val="20"/>
                <w:shd w:val="clear" w:color="auto" w:fill="FFFFFF"/>
              </w:rPr>
              <w:t xml:space="preserve">супутніх заходів, відповідно до постанови Кабінету Міністрів України від 07 лютого 2025 року № 142, </w:t>
            </w:r>
            <w:r w:rsidRPr="005A615E">
              <w:rPr>
                <w:rFonts w:ascii="Times New Roman" w:hAnsi="Times New Roman"/>
                <w:bCs/>
                <w:iCs/>
                <w:szCs w:val="20"/>
              </w:rPr>
              <w:t>витрати на реалізацію яких передбачено в межах заходів схваленої інвестиційної програми</w:t>
            </w:r>
            <w:r w:rsidRPr="005A615E">
              <w:rPr>
                <w:rFonts w:ascii="Times New Roman" w:hAnsi="Times New Roman"/>
                <w:bCs/>
                <w:iCs/>
                <w:szCs w:val="20"/>
                <w:shd w:val="clear" w:color="auto" w:fill="FFFFFF"/>
              </w:rPr>
              <w:t xml:space="preserve"> </w:t>
            </w:r>
            <w:r w:rsidRPr="005A615E">
              <w:rPr>
                <w:rFonts w:ascii="Times New Roman" w:hAnsi="Times New Roman"/>
                <w:bCs/>
                <w:iCs/>
                <w:szCs w:val="20"/>
              </w:rPr>
              <w:t>за рахунок джерела фінансування, передбаченого структурами тарифів на послуги з розподілу електричної енергії (статті «Коригування доходу (витрат)).</w:t>
            </w:r>
          </w:p>
          <w:p w:rsidR="00CF2AC1" w:rsidRPr="005A615E" w:rsidRDefault="00CF2AC1" w:rsidP="00CF2AC1">
            <w:pPr>
              <w:jc w:val="both"/>
              <w:rPr>
                <w:rFonts w:ascii="Times New Roman" w:hAnsi="Times New Roman"/>
                <w:bCs/>
                <w:iCs/>
                <w:szCs w:val="20"/>
              </w:rPr>
            </w:pPr>
            <w:r w:rsidRPr="005A615E">
              <w:rPr>
                <w:rFonts w:ascii="Times New Roman" w:hAnsi="Times New Roman"/>
                <w:bCs/>
                <w:iCs/>
                <w:szCs w:val="20"/>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lastRenderedPageBreak/>
              <w:t>Обгрунтування</w:t>
            </w:r>
          </w:p>
          <w:p w:rsidR="00CF2AC1" w:rsidRPr="005A615E" w:rsidRDefault="00CF2AC1" w:rsidP="00CF2AC1">
            <w:pPr>
              <w:pStyle w:val="rvps2"/>
              <w:spacing w:beforeAutospacing="0" w:afterAutospacing="0"/>
              <w:jc w:val="both"/>
              <w:rPr>
                <w:sz w:val="22"/>
                <w:szCs w:val="20"/>
                <w:lang w:val="uk-UA"/>
              </w:rPr>
            </w:pPr>
            <w:r w:rsidRPr="005A615E">
              <w:rPr>
                <w:sz w:val="22"/>
                <w:szCs w:val="20"/>
                <w:lang w:val="uk-UA"/>
              </w:rPr>
              <w:t>АТ «Чернівціобленерго» пропонуємо уточнити зазначене положення, оскільки руйнувань та пошкоджень внаслідок бойових дій зазнає не лише силове обладнання підстанцій напругою вище 20 кВ, а й значна кількість об'єктів системи розподілу нижчих класів напруги, зокрема трансформаторні підстанції 6(10)/0,4 кВ, комплектні трансформаторні підстанції, силові трансформатори, комутаційне обладнання, розподільчі пристрої та інше обладнання мереж 0,4 кВ та 6(10) кВ.</w:t>
            </w:r>
          </w:p>
          <w:p w:rsidR="00CF2AC1" w:rsidRPr="005A615E" w:rsidRDefault="00CF2AC1" w:rsidP="00CF2AC1">
            <w:pPr>
              <w:pStyle w:val="rvps2"/>
              <w:spacing w:beforeAutospacing="0" w:afterAutospacing="0"/>
              <w:jc w:val="both"/>
              <w:rPr>
                <w:sz w:val="22"/>
                <w:szCs w:val="20"/>
                <w:lang w:val="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«КІРОВОГРАДОБЛЕНЕРГО» </w:t>
            </w:r>
            <w:r w:rsidRPr="005A615E">
              <w:rPr>
                <w:rFonts w:ascii="Times New Roman" w:hAnsi="Times New Roman"/>
                <w:b/>
                <w:sz w:val="24"/>
                <w:u w:val="single"/>
              </w:rPr>
              <w:br/>
              <w:t>(лист від 27.07.2026  № 3919/05/34)</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1.5. У цьому Порядку терміни вживаються у таких значеннях:</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ind w:firstLine="284"/>
              <w:jc w:val="both"/>
              <w:rPr>
                <w:rFonts w:ascii="Times New Roman" w:hAnsi="Times New Roman"/>
              </w:rPr>
            </w:pPr>
            <w:r w:rsidRPr="005A615E">
              <w:rPr>
                <w:rFonts w:ascii="Times New Roman" w:hAnsi="Times New Roman"/>
                <w:shd w:val="clear" w:color="auto" w:fill="FFFFFF"/>
              </w:rPr>
              <w:t xml:space="preserve">До створених активів (елементів активу) також належать активи, створені в період дії в Україні воєнного стану в рамках робіт з відновлення об'єктів електричних мереж, а саме силове обладнання підстанцій напругою вище </w:t>
            </w:r>
            <w:r w:rsidRPr="005A615E">
              <w:rPr>
                <w:rFonts w:ascii="Times New Roman" w:hAnsi="Times New Roman"/>
                <w:b/>
                <w:shd w:val="clear" w:color="auto" w:fill="FFFFFF"/>
              </w:rPr>
              <w:t>6 кВ, та повітряні та кабельні лінії напругою вище 6 кВ</w:t>
            </w:r>
            <w:r w:rsidRPr="005A615E">
              <w:rPr>
                <w:rFonts w:ascii="Times New Roman" w:hAnsi="Times New Roman"/>
                <w:shd w:val="clear" w:color="auto" w:fill="FFFFFF"/>
              </w:rPr>
              <w:t xml:space="preserve">,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та створені в рамках </w:t>
            </w:r>
            <w:r w:rsidRPr="005A615E">
              <w:rPr>
                <w:rFonts w:ascii="Times New Roman" w:hAnsi="Times New Roman"/>
              </w:rPr>
              <w:t xml:space="preserve">робіт з виконання </w:t>
            </w:r>
            <w:r w:rsidRPr="005A615E">
              <w:rPr>
                <w:rFonts w:ascii="Times New Roman" w:hAnsi="Times New Roman"/>
                <w:shd w:val="clear" w:color="auto" w:fill="FFFFFF"/>
              </w:rPr>
              <w:t xml:space="preserve">супутніх заходів, відповідно до постанови Кабінету Міністрів України від 07 лютого 2025 року № 142, </w:t>
            </w:r>
            <w:r w:rsidRPr="005A615E">
              <w:rPr>
                <w:rFonts w:ascii="Times New Roman" w:hAnsi="Times New Roman"/>
              </w:rPr>
              <w:t>витрати на реалізацію яких передбачено в межах заходів схваленої інвестиційної програми</w:t>
            </w:r>
            <w:r w:rsidRPr="005A615E">
              <w:rPr>
                <w:rFonts w:ascii="Times New Roman" w:hAnsi="Times New Roman"/>
                <w:shd w:val="clear" w:color="auto" w:fill="FFFFFF"/>
              </w:rPr>
              <w:t xml:space="preserve"> </w:t>
            </w:r>
            <w:r w:rsidRPr="005A615E">
              <w:rPr>
                <w:rFonts w:ascii="Times New Roman" w:hAnsi="Times New Roman"/>
              </w:rPr>
              <w:t xml:space="preserve">за рахунок джерела фінансування, передбаченого структурами </w:t>
            </w:r>
            <w:r w:rsidRPr="005A615E">
              <w:rPr>
                <w:rFonts w:ascii="Times New Roman" w:hAnsi="Times New Roman"/>
              </w:rPr>
              <w:lastRenderedPageBreak/>
              <w:t>тарифів на послуги з розподілу електричної енергії (статті «Коригування доходу (витрат)).</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При повному або значному руйнуванні енергооб'єкта внаслідок бойових дій його пряме відновлення ("як було") інколи є економічно невиправданим, або неможливим за рахунок ОСР1 оскільки власником зруйнованого об’єкта є інший власник ОСР2, або у зруйнований енергооб’єкту знаходився у приватній власності, а від нього заживлені споживачі ОСР1. Набагато ефективнішим рішенням для швидкого та надійного відновлення електропостачання є реконфігурація мережі — будівництво нової ділянки повітряної чи кабельної лінії (ПЛ/КЛ) 6-10 кВ для приєднання знеструмлених споживачів до інших існуючих вузлів живлення. Це об'єктивно призводить до створення нового активу (лінії), який поточна редакція НКРЕКП не враховує.</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Зі статистики ПрАТ «Кіровоградобленерго», основний масив пошкоджень у мережах внаслідок бойових дій припадає саме на розподільні мережі 6-10 кВ. Обмеження переліку створених активів лише напругою «вище 20 кВ» та виключно «обладнанням підстанцій» штучно залишає поза регуляторною базою левову частку критично важливих робіт ОСР.</w:t>
            </w:r>
          </w:p>
          <w:p w:rsidR="00CF2AC1" w:rsidRPr="005A615E" w:rsidRDefault="00CF2AC1" w:rsidP="00CF2AC1">
            <w:pPr>
              <w:ind w:firstLine="284"/>
              <w:jc w:val="both"/>
              <w:rPr>
                <w:rFonts w:ascii="Times New Roman" w:hAnsi="Times New Roman"/>
                <w:shd w:val="clear" w:color="auto" w:fill="FFFFFF"/>
              </w:rPr>
            </w:pPr>
            <w:r w:rsidRPr="005A615E">
              <w:rPr>
                <w:rFonts w:ascii="Times New Roman" w:hAnsi="Times New Roman"/>
                <w:shd w:val="clear" w:color="auto" w:fill="FFFFFF"/>
              </w:rPr>
              <w:t>Відновлення живлення населених пунктів неможливе без лінійної інфраструктури. Побудова нових ПЛ та КЛ (від 6 кВ) замість зруйнованих об'єктів є повноцінним капітальним будівництвом (створенням активу), яке має бути визнане в рамках стимулюючого тарифоутворення.</w:t>
            </w:r>
          </w:p>
          <w:p w:rsidR="00CF2AC1" w:rsidRPr="005A615E" w:rsidRDefault="00CF2AC1" w:rsidP="00CF2AC1">
            <w:pPr>
              <w:jc w:val="both"/>
              <w:rPr>
                <w:sz w:val="20"/>
                <w:szCs w:val="20"/>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«ВІННИЦЯОБЛЕНЕРГО» </w:t>
            </w:r>
            <w:r w:rsidRPr="005A615E">
              <w:rPr>
                <w:rFonts w:ascii="Times New Roman" w:hAnsi="Times New Roman"/>
                <w:b/>
                <w:sz w:val="24"/>
                <w:u w:val="single"/>
              </w:rPr>
              <w:br/>
              <w:t>(лист від 27.07.2026  № 03.13-18608)</w:t>
            </w:r>
          </w:p>
          <w:p w:rsidR="00CF2AC1" w:rsidRPr="005A615E" w:rsidRDefault="00CF2AC1" w:rsidP="00CF2AC1">
            <w:pPr>
              <w:jc w:val="both"/>
              <w:rPr>
                <w:rFonts w:ascii="Times New Roman" w:hAnsi="Times New Roman"/>
              </w:rPr>
            </w:pPr>
            <w:r w:rsidRPr="005A615E">
              <w:rPr>
                <w:rFonts w:ascii="Times New Roman" w:hAnsi="Times New Roman"/>
              </w:rPr>
              <w:lastRenderedPageBreak/>
              <w:t>1.5. У цьому Порядку терміни вживаються у таких значеннях:</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jc w:val="both"/>
              <w:rPr>
                <w:rFonts w:ascii="Times New Roman" w:hAnsi="Times New Roman"/>
              </w:rPr>
            </w:pPr>
            <w:r w:rsidRPr="005A615E">
              <w:rPr>
                <w:rFonts w:ascii="Times New Roman" w:hAnsi="Times New Roman"/>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згідно з проєктними рішеннями,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які отримано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 </w:t>
            </w:r>
            <w:r w:rsidRPr="005A615E">
              <w:rPr>
                <w:rFonts w:ascii="Times New Roman" w:hAnsi="Times New Roman"/>
                <w:b/>
              </w:rPr>
              <w:t>Активи, будівництво або реконструкція яких відповідно до проєктних рішень здійснюється поетапно протягом кількох років, вважаються створеними в частині відповідного етапу. Це застосовується за умови, що такий процес є безперервним відповідно до плану розвитку системи розподілу та завершується введенням відповідних об’єктів в експлуатацію на підставі бухгалтерських документів, що підтверджують факт та дату їх прийняття (встановлення) на баланс</w:t>
            </w:r>
            <w:r w:rsidRPr="005A615E">
              <w:rPr>
                <w:rFonts w:ascii="Times New Roman" w:hAnsi="Times New Roman"/>
              </w:rPr>
              <w:t>.</w:t>
            </w:r>
          </w:p>
          <w:p w:rsidR="00CF2AC1" w:rsidRPr="005A615E" w:rsidRDefault="00CF2AC1" w:rsidP="00CF2AC1">
            <w:pPr>
              <w:jc w:val="both"/>
              <w:rPr>
                <w:rFonts w:ascii="Times New Roman" w:hAnsi="Times New Roman"/>
                <w:b/>
              </w:rPr>
            </w:pPr>
            <w:r w:rsidRPr="005A615E">
              <w:rPr>
                <w:rFonts w:ascii="Times New Roman" w:hAnsi="Times New Roman"/>
                <w:b/>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Відповідно до чинної редакції Порядку № 899 об’єкт може бути включений до </w:t>
            </w:r>
            <w:r w:rsidRPr="005A615E">
              <w:rPr>
                <w:rFonts w:ascii="Times New Roman" w:eastAsia="Times New Roman" w:hAnsi="Times New Roman"/>
                <w:lang w:eastAsia="uk-UA"/>
              </w:rPr>
              <w:t>регуляторної бази активів</w:t>
            </w:r>
            <w:r w:rsidRPr="005A615E">
              <w:rPr>
                <w:rFonts w:ascii="Times New Roman" w:hAnsi="Times New Roman"/>
              </w:rPr>
              <w:t xml:space="preserve"> (РБА) лише після повного виконання всіх </w:t>
            </w:r>
            <w:r w:rsidRPr="005A615E">
              <w:rPr>
                <w:rFonts w:ascii="Times New Roman" w:hAnsi="Times New Roman"/>
              </w:rPr>
              <w:lastRenderedPageBreak/>
              <w:t>передбачених проєктом робіт. Тільки після повного завершення проєкту на його вартість починає нараховуватися регуляторна норма прибутку та амортизація.</w:t>
            </w:r>
          </w:p>
          <w:p w:rsidR="00CF2AC1" w:rsidRPr="005A615E" w:rsidRDefault="00CF2AC1" w:rsidP="00CF2AC1">
            <w:pPr>
              <w:jc w:val="both"/>
              <w:rPr>
                <w:rFonts w:ascii="Times New Roman" w:hAnsi="Times New Roman"/>
              </w:rPr>
            </w:pPr>
            <w:r w:rsidRPr="005A615E">
              <w:rPr>
                <w:rFonts w:ascii="Times New Roman" w:hAnsi="Times New Roman"/>
              </w:rPr>
              <w:t>Водночас, в бухгалтерському обліку, відповідно до національних та міжнародних стандартів, великі об’єкти приймаються на баланс поетапно – окремими чергами або пусковими комплексами (по мірі їхньої фактичної готовності та введення в експлуатацію). Штучне обмеження регуляторного обліку порівняно з бухгалтерським створює значний часовий розрив. Це призводить до необґрунтованого заниження суми регуляторного прибутку та амортизації, яка є обов’язковим джерелом фінансування інвестиційної програми, та обмежує фінансові можливості ліцензіата щодо запобігання технологічним порушенням в енергосистемі та збереження стійкості мереж.</w:t>
            </w:r>
            <w:r w:rsidRPr="005A615E">
              <w:t xml:space="preserve"> </w:t>
            </w:r>
            <w:r w:rsidRPr="005A615E">
              <w:rPr>
                <w:rFonts w:ascii="Times New Roman" w:hAnsi="Times New Roman"/>
              </w:rPr>
              <w:t>Запропоновані зміни усувають цю невідповідність та унормовують поетапне включення активів до РБА.</w:t>
            </w:r>
          </w:p>
          <w:p w:rsidR="00CF2AC1" w:rsidRPr="005A615E" w:rsidRDefault="00CF2AC1" w:rsidP="00CF2AC1">
            <w:pPr>
              <w:jc w:val="both"/>
              <w:rPr>
                <w:rFonts w:ascii="Times New Roman" w:hAnsi="Times New Roman"/>
                <w:b/>
                <w:sz w:val="24"/>
                <w:u w:val="single"/>
              </w:rPr>
            </w:pPr>
          </w:p>
          <w:p w:rsidR="003A580D" w:rsidRPr="005A615E" w:rsidRDefault="00CF2AC1" w:rsidP="003A580D">
            <w:pPr>
              <w:jc w:val="both"/>
              <w:rPr>
                <w:rFonts w:ascii="Times New Roman" w:hAnsi="Times New Roman"/>
                <w:b/>
              </w:rPr>
            </w:pPr>
            <w:r w:rsidRPr="005A615E">
              <w:rPr>
                <w:rFonts w:ascii="Times New Roman" w:hAnsi="Times New Roman"/>
                <w:b/>
              </w:rPr>
              <w:t>Пропозиція НКРЕКП</w:t>
            </w:r>
          </w:p>
          <w:p w:rsidR="003A580D" w:rsidRPr="005A615E" w:rsidRDefault="003A580D" w:rsidP="003A580D">
            <w:pPr>
              <w:jc w:val="both"/>
              <w:rPr>
                <w:rFonts w:ascii="Times New Roman" w:hAnsi="Times New Roman"/>
                <w:sz w:val="24"/>
              </w:rPr>
            </w:pPr>
            <w:r w:rsidRPr="005A615E">
              <w:rPr>
                <w:rFonts w:ascii="Times New Roman" w:hAnsi="Times New Roman"/>
                <w:sz w:val="24"/>
              </w:rPr>
              <w:t>4.6. Частина вартості створеного активу на суму витрат, що перевищує вартість у межах виконання схваленої відповідно до Порядку формування інвестиційних програм інвестиційної програми, з урахуванням суми економії (у межах перевитрат до 5 %), визначеної відповідно до Порядку № 428, відноситься до відповідної категорії активів, відповідно до джерел їх створення.</w:t>
            </w:r>
          </w:p>
          <w:p w:rsidR="003A580D" w:rsidRPr="005A615E" w:rsidRDefault="003A580D" w:rsidP="003A580D">
            <w:pPr>
              <w:jc w:val="both"/>
              <w:rPr>
                <w:rFonts w:ascii="Times New Roman" w:hAnsi="Times New Roman"/>
                <w:sz w:val="24"/>
              </w:rPr>
            </w:pPr>
          </w:p>
          <w:p w:rsidR="003A580D" w:rsidRPr="005A615E" w:rsidRDefault="003A580D" w:rsidP="003A580D">
            <w:pPr>
              <w:jc w:val="both"/>
              <w:rPr>
                <w:rFonts w:ascii="Times New Roman" w:hAnsi="Times New Roman"/>
                <w:sz w:val="24"/>
              </w:rPr>
            </w:pPr>
            <w:r w:rsidRPr="005A615E">
              <w:rPr>
                <w:rFonts w:ascii="Times New Roman" w:hAnsi="Times New Roman"/>
                <w:sz w:val="24"/>
              </w:rPr>
              <w:t xml:space="preserve">Інша (залишкова) частина вартості створеного активу на суму витрат, що перевищує вартість у межах виконання схваленої відповідно до Порядку формування інвестиційних програм інвестиційної </w:t>
            </w:r>
            <w:r w:rsidRPr="005A615E">
              <w:rPr>
                <w:rFonts w:ascii="Times New Roman" w:hAnsi="Times New Roman"/>
                <w:sz w:val="24"/>
              </w:rPr>
              <w:lastRenderedPageBreak/>
              <w:t>програми, у тому числі з урахуванням відсоткового значення не покритого економією в рамках розділів інвестиційної програми (визначеного відповідно до Порядку № 428), у загальній сумі перевищення не включається до складу регуляторної бази активів, створених після переходу до стимулюючого регулювання.</w:t>
            </w:r>
          </w:p>
          <w:p w:rsidR="003A580D" w:rsidRPr="005A615E" w:rsidRDefault="003A580D" w:rsidP="003A580D">
            <w:pPr>
              <w:jc w:val="both"/>
              <w:rPr>
                <w:rFonts w:ascii="Times New Roman" w:hAnsi="Times New Roman"/>
                <w:sz w:val="24"/>
              </w:rPr>
            </w:pPr>
          </w:p>
          <w:p w:rsidR="003A580D" w:rsidRPr="005A615E" w:rsidRDefault="003A580D" w:rsidP="003A580D">
            <w:pPr>
              <w:jc w:val="both"/>
              <w:rPr>
                <w:rFonts w:ascii="Times New Roman" w:hAnsi="Times New Roman"/>
                <w:sz w:val="24"/>
              </w:rPr>
            </w:pPr>
            <w:r w:rsidRPr="005A615E">
              <w:rPr>
                <w:rFonts w:ascii="Times New Roman" w:hAnsi="Times New Roman"/>
                <w:sz w:val="24"/>
              </w:rPr>
              <w:t>Сумарна первісна регуляторна вартість активів, створених у межах одного заходу після переходу до стимулюючого регулювання, не має перевищувати сумарну вартість у межах виконання схвалених інвестиційних програм, з урахуванням суми економії (у межах перевитрат до 5 %), визначеної відповідно до Порядку № 428.</w:t>
            </w:r>
          </w:p>
          <w:p w:rsidR="003A580D" w:rsidRPr="005A615E" w:rsidRDefault="003A580D" w:rsidP="003A580D">
            <w:pPr>
              <w:jc w:val="both"/>
              <w:rPr>
                <w:rFonts w:ascii="Times New Roman" w:hAnsi="Times New Roman"/>
                <w:sz w:val="24"/>
              </w:rPr>
            </w:pPr>
          </w:p>
          <w:p w:rsidR="003A580D" w:rsidRPr="005A615E" w:rsidRDefault="003A580D" w:rsidP="003A580D">
            <w:pPr>
              <w:jc w:val="both"/>
              <w:rPr>
                <w:rFonts w:ascii="Times New Roman" w:hAnsi="Times New Roman"/>
                <w:sz w:val="24"/>
              </w:rPr>
            </w:pPr>
            <w:r w:rsidRPr="005A615E">
              <w:rPr>
                <w:rFonts w:ascii="Times New Roman" w:hAnsi="Times New Roman"/>
                <w:sz w:val="24"/>
              </w:rPr>
              <w:t>У разі якщо сумарна вартість активів, створених після переходу до стимулюючого регулювання, у межах виконання певного заходу, перевищує сумарну вартість активів відповідно до схвалених інвестиційних програм, з урахуванням суми економії (у межах перевитрат до 5 %), визначеної відповідно до Порядку № 428, здійснюється коригування пропорційно до розподілу вартості по кожному окремому активу такого заходу до досягнення сумарної вартості в межах виконання схвалених інвестиційних програм, з урахуванням суми економії (у межах перевитрат до 5 %), визначеної відповідно до Порядку № 428.</w:t>
            </w:r>
          </w:p>
          <w:p w:rsidR="003A580D" w:rsidRPr="005A615E" w:rsidRDefault="003A580D" w:rsidP="003A580D">
            <w:pPr>
              <w:jc w:val="both"/>
              <w:rPr>
                <w:rFonts w:ascii="Times New Roman" w:hAnsi="Times New Roman"/>
                <w:sz w:val="24"/>
              </w:rPr>
            </w:pPr>
          </w:p>
          <w:p w:rsidR="00CF2AC1" w:rsidRPr="005A615E" w:rsidRDefault="003A580D" w:rsidP="003A580D">
            <w:pPr>
              <w:spacing w:line="240" w:lineRule="auto"/>
              <w:jc w:val="both"/>
              <w:outlineLvl w:val="2"/>
              <w:rPr>
                <w:b/>
                <w:sz w:val="20"/>
                <w:szCs w:val="20"/>
              </w:rPr>
            </w:pPr>
            <w:r w:rsidRPr="005A615E">
              <w:rPr>
                <w:rFonts w:ascii="Times New Roman" w:hAnsi="Times New Roman"/>
                <w:b/>
                <w:sz w:val="24"/>
              </w:rPr>
              <w:t xml:space="preserve">Витрати на виконання робіт з реалізації супутніх заходів, відповідно до постанови Кабінету Міністрів України від 07 лютого 2025 </w:t>
            </w:r>
            <w:r w:rsidRPr="005A615E">
              <w:rPr>
                <w:rFonts w:ascii="Times New Roman" w:hAnsi="Times New Roman"/>
                <w:b/>
                <w:sz w:val="24"/>
              </w:rPr>
              <w:lastRenderedPageBreak/>
              <w:t>року № 142,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розподілу електричної енергії (статті «Коригування доходу (витрат)), що пов’язані з улаштуванням інженерного захисту існуючих основних засобів, які включено до регуляторної бази активів, відносяться до збільшення вартість цих активів (крім випадків, коли у відповідності до проєктного рішення виконання супутніх заходів призводить до необхідності створення нового активу (елементу активу)).</w:t>
            </w:r>
          </w:p>
        </w:tc>
        <w:tc>
          <w:tcPr>
            <w:tcW w:w="3969" w:type="dxa"/>
            <w:gridSpan w:val="2"/>
          </w:tcPr>
          <w:p w:rsidR="00CF2AC1" w:rsidRPr="005A615E" w:rsidRDefault="00CF2AC1" w:rsidP="00CF2AC1">
            <w:pPr>
              <w:rPr>
                <w:rFonts w:ascii="Times New Roman" w:hAnsi="Times New Roman"/>
                <w:b/>
                <w:sz w:val="24"/>
                <w:lang w:val="ru-RU"/>
              </w:rPr>
            </w:pPr>
            <w:r w:rsidRPr="005A615E">
              <w:rPr>
                <w:rFonts w:ascii="Times New Roman" w:hAnsi="Times New Roman"/>
                <w:b/>
                <w:sz w:val="24"/>
                <w:lang w:val="ru-RU"/>
              </w:rPr>
              <w:lastRenderedPageBreak/>
              <w:t>До обговорення</w:t>
            </w:r>
          </w:p>
          <w:p w:rsidR="00CF2AC1" w:rsidRPr="005A615E" w:rsidRDefault="00CF2AC1" w:rsidP="00CF2AC1">
            <w:pPr>
              <w:rPr>
                <w:rFonts w:ascii="Times New Roman" w:hAnsi="Times New Roman"/>
                <w:b/>
                <w:sz w:val="24"/>
              </w:rPr>
            </w:pPr>
            <w:r w:rsidRPr="005A615E">
              <w:rPr>
                <w:rFonts w:ascii="Times New Roman" w:hAnsi="Times New Roman"/>
                <w:b/>
                <w:sz w:val="24"/>
              </w:rPr>
              <w:t>Запропонована редакція</w:t>
            </w:r>
          </w:p>
          <w:p w:rsidR="00CF2AC1" w:rsidRPr="005A615E" w:rsidRDefault="00CF2AC1" w:rsidP="00CF2AC1">
            <w:pPr>
              <w:jc w:val="both"/>
              <w:rPr>
                <w:rFonts w:ascii="Times New Roman" w:hAnsi="Times New Roman"/>
              </w:rPr>
            </w:pPr>
            <w:r w:rsidRPr="005A615E">
              <w:rPr>
                <w:rFonts w:ascii="Times New Roman" w:hAnsi="Times New Roman"/>
              </w:rPr>
              <w:t>«1.5. У цьому Порядку терміни вживаються у таких значеннях:</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jc w:val="both"/>
              <w:rPr>
                <w:rFonts w:ascii="Times New Roman" w:hAnsi="Times New Roman"/>
              </w:rPr>
            </w:pPr>
            <w:r w:rsidRPr="005A615E">
              <w:rPr>
                <w:rFonts w:ascii="Times New Roman" w:hAnsi="Times New Roman"/>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згідно з проєктними рішеннями, введенні в експлуатацію на підставі </w:t>
            </w:r>
            <w:r w:rsidRPr="005A615E">
              <w:rPr>
                <w:rFonts w:ascii="Times New Roman" w:hAnsi="Times New Roman"/>
              </w:rPr>
              <w:lastRenderedPageBreak/>
              <w:t xml:space="preserve">документів, що підтверджують факт та дату прийняття (встановлення) на баланс. Вартість створених активів (елементів активу), які отримано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 </w:t>
            </w:r>
          </w:p>
          <w:p w:rsidR="00CF2AC1" w:rsidRPr="005A615E" w:rsidRDefault="00CF2AC1" w:rsidP="00CF2AC1">
            <w:pPr>
              <w:jc w:val="both"/>
              <w:rPr>
                <w:rFonts w:ascii="Times New Roman" w:hAnsi="Times New Roman"/>
                <w:b/>
              </w:rPr>
            </w:pPr>
            <w:r w:rsidRPr="005A615E">
              <w:rPr>
                <w:rFonts w:ascii="Times New Roman" w:hAnsi="Times New Roman"/>
              </w:rPr>
              <w:t xml:space="preserve">До створених активів (елементів активу) також належать активи, створені в період дії в Україні воєнного стану в рамках робіт з відновлення об'єктів електричних мереж, а саме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w:t>
            </w:r>
            <w:r w:rsidRPr="005A615E">
              <w:rPr>
                <w:rFonts w:ascii="Times New Roman" w:hAnsi="Times New Roman"/>
                <w:b/>
              </w:rPr>
              <w:t>та активи, отримані на безоплатній основі відповідно до постанови Кабінету Міністрів України від 07 лютого 2025 року № 142.</w:t>
            </w:r>
          </w:p>
          <w:p w:rsidR="00CF2AC1" w:rsidRPr="005A615E" w:rsidRDefault="00CF2AC1" w:rsidP="00CF2AC1">
            <w:pPr>
              <w:jc w:val="both"/>
              <w:rPr>
                <w:rFonts w:ascii="Times New Roman" w:hAnsi="Times New Roman"/>
              </w:rPr>
            </w:pPr>
            <w:r w:rsidRPr="005A615E">
              <w:rPr>
                <w:rFonts w:ascii="Times New Roman" w:hAnsi="Times New Roman"/>
              </w:rPr>
              <w:t xml:space="preserve">Вартість активів, включених до регуляторної бази активів, створених </w:t>
            </w:r>
            <w:r w:rsidRPr="005A615E">
              <w:rPr>
                <w:rFonts w:ascii="Times New Roman" w:hAnsi="Times New Roman"/>
              </w:rPr>
              <w:lastRenderedPageBreak/>
              <w:t xml:space="preserve">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постановою НКРЕКП від 04 вересня 2018 року № 955 (далі - Порядок формування інвестиційних програм), інвестиційної програми з урахуванням суми економії (у межах перевитрат до 5 %),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 </w:t>
            </w:r>
          </w:p>
          <w:p w:rsidR="00CF2AC1" w:rsidRPr="005A615E" w:rsidRDefault="00CF2AC1" w:rsidP="00CF2AC1">
            <w:pPr>
              <w:jc w:val="both"/>
              <w:rPr>
                <w:rFonts w:ascii="Times New Roman" w:hAnsi="Times New Roman"/>
              </w:rPr>
            </w:pPr>
            <w:r w:rsidRPr="005A615E">
              <w:rPr>
                <w:rFonts w:ascii="Times New Roman" w:hAnsi="Times New Roman"/>
              </w:rPr>
              <w:t>З метою уніфікації розрахунків для ліцензіатів, перелік яких наведено в додатку 30 до Порядку № 1175, для всіх активів, створених у період з 01 січня 2022 року по 31 грудня 2023 року, датою введення цих активів є 31 грудня 2023 року.»</w:t>
            </w:r>
          </w:p>
          <w:p w:rsidR="00CF2AC1" w:rsidRPr="005A615E" w:rsidRDefault="00CF2AC1" w:rsidP="00CF2AC1">
            <w:pPr>
              <w:jc w:val="both"/>
              <w:rPr>
                <w:rFonts w:ascii="Times New Roman" w:hAnsi="Times New Roman"/>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E50498" w:rsidP="00CF2AC1">
            <w:pPr>
              <w:rPr>
                <w:rFonts w:ascii="Times New Roman" w:hAnsi="Times New Roman"/>
                <w:b/>
                <w:sz w:val="24"/>
              </w:rPr>
            </w:pPr>
            <w:r w:rsidRPr="005A615E">
              <w:rPr>
                <w:rFonts w:ascii="Times New Roman" w:hAnsi="Times New Roman"/>
                <w:b/>
                <w:sz w:val="24"/>
              </w:rPr>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962C3" w:rsidRPr="005A615E" w:rsidRDefault="00C962C3" w:rsidP="00C962C3">
            <w:pPr>
              <w:widowControl w:val="0"/>
              <w:suppressAutoHyphens/>
              <w:spacing w:line="240" w:lineRule="auto"/>
              <w:contextualSpacing/>
              <w:jc w:val="both"/>
              <w:rPr>
                <w:rFonts w:ascii="Times New Roman" w:eastAsia="Times New Roman" w:hAnsi="Times New Roman" w:cs="Times New Roman"/>
                <w:lang w:eastAsia="ru-RU"/>
              </w:rPr>
            </w:pPr>
            <w:r w:rsidRPr="005A615E">
              <w:rPr>
                <w:rFonts w:ascii="Times New Roman" w:eastAsia="Times New Roman" w:hAnsi="Times New Roman" w:cs="Times New Roman"/>
                <w:bCs/>
                <w:lang w:eastAsia="ru-RU"/>
              </w:rPr>
              <w:t xml:space="preserve">Схваленим проєктом передбачено вичерпний перелік обладнання підстанцій, створеного </w:t>
            </w:r>
            <w:r w:rsidRPr="005A615E">
              <w:rPr>
                <w:rFonts w:ascii="Times New Roman" w:eastAsia="Times New Roman" w:hAnsi="Times New Roman" w:cs="Times New Roman"/>
                <w:lang w:eastAsia="ru-RU"/>
              </w:rPr>
              <w:t xml:space="preserve">у період дії в Україні воєнного стану, </w:t>
            </w:r>
            <w:r w:rsidRPr="005A615E">
              <w:rPr>
                <w:rFonts w:ascii="Times New Roman" w:eastAsia="Times New Roman" w:hAnsi="Times New Roman" w:cs="Times New Roman"/>
                <w:bCs/>
                <w:lang w:eastAsia="ru-RU"/>
              </w:rPr>
              <w:t xml:space="preserve">в </w:t>
            </w:r>
            <w:r w:rsidRPr="005A615E">
              <w:rPr>
                <w:rFonts w:ascii="Times New Roman" w:eastAsia="Times New Roman" w:hAnsi="Times New Roman" w:cs="Times New Roman"/>
                <w:lang w:eastAsia="ru-RU"/>
              </w:rPr>
              <w:t xml:space="preserve">рамках робіт з відновлення об’єктів електричних мереж,  та </w:t>
            </w:r>
            <w:r w:rsidRPr="005A615E">
              <w:rPr>
                <w:rFonts w:ascii="Times New Roman" w:eastAsia="Times New Roman" w:hAnsi="Times New Roman" w:cs="Times New Roman"/>
                <w:bCs/>
                <w:lang w:eastAsia="ru-RU"/>
              </w:rPr>
              <w:t>віднесеного до 3 категорії.</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E50498" w:rsidRPr="005A615E" w:rsidRDefault="00E50498" w:rsidP="00E50498">
            <w:pPr>
              <w:rPr>
                <w:rFonts w:ascii="Times New Roman" w:hAnsi="Times New Roman"/>
                <w:b/>
                <w:sz w:val="24"/>
              </w:rPr>
            </w:pPr>
            <w:r w:rsidRPr="005A615E">
              <w:rPr>
                <w:rFonts w:ascii="Times New Roman" w:hAnsi="Times New Roman"/>
                <w:b/>
                <w:sz w:val="24"/>
              </w:rPr>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962C3" w:rsidRPr="005A615E" w:rsidRDefault="00C962C3" w:rsidP="00C962C3">
            <w:pPr>
              <w:widowControl w:val="0"/>
              <w:suppressAutoHyphens/>
              <w:spacing w:line="240" w:lineRule="auto"/>
              <w:contextualSpacing/>
              <w:jc w:val="both"/>
              <w:rPr>
                <w:rFonts w:ascii="Times New Roman" w:eastAsia="Times New Roman" w:hAnsi="Times New Roman" w:cs="Times New Roman"/>
                <w:lang w:eastAsia="ru-RU"/>
              </w:rPr>
            </w:pPr>
            <w:r w:rsidRPr="005A615E">
              <w:rPr>
                <w:rFonts w:ascii="Times New Roman" w:eastAsia="Times New Roman" w:hAnsi="Times New Roman" w:cs="Times New Roman"/>
                <w:lang w:eastAsia="ru-RU"/>
              </w:rPr>
              <w:t>Схваленим проєктом передбачено вичерпний перелік обладнання підстанцій, створеного у період дії в Україні воєнного стану, в рамках робіт з відновлення об’єктів електричних мереж,  та віднесеного до 3 категорії.</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3A580D" w:rsidRPr="005A615E" w:rsidRDefault="003A580D" w:rsidP="00CF2AC1">
            <w:pPr>
              <w:rPr>
                <w:rFonts w:ascii="Times New Roman" w:hAnsi="Times New Roman"/>
                <w:b/>
                <w:sz w:val="24"/>
              </w:rPr>
            </w:pPr>
          </w:p>
          <w:p w:rsidR="00E50498" w:rsidRPr="005A615E" w:rsidRDefault="00E50498" w:rsidP="00E50498">
            <w:pPr>
              <w:rPr>
                <w:rFonts w:ascii="Times New Roman" w:hAnsi="Times New Roman"/>
                <w:b/>
                <w:sz w:val="24"/>
              </w:rPr>
            </w:pPr>
            <w:r w:rsidRPr="005A615E">
              <w:rPr>
                <w:rFonts w:ascii="Times New Roman" w:hAnsi="Times New Roman"/>
                <w:b/>
                <w:sz w:val="24"/>
              </w:rPr>
              <w:t>Не враховано</w:t>
            </w:r>
          </w:p>
          <w:p w:rsidR="00C962C3" w:rsidRPr="005A615E" w:rsidRDefault="00C962C3" w:rsidP="00C962C3">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962C3" w:rsidP="00C962C3">
            <w:pPr>
              <w:jc w:val="both"/>
              <w:rPr>
                <w:rFonts w:ascii="Times New Roman" w:hAnsi="Times New Roman"/>
                <w:b/>
                <w:sz w:val="24"/>
              </w:rPr>
            </w:pPr>
            <w:r w:rsidRPr="005A615E">
              <w:rPr>
                <w:rFonts w:ascii="Times New Roman" w:eastAsia="Times New Roman" w:hAnsi="Times New Roman" w:cs="Times New Roman"/>
                <w:lang w:eastAsia="ru-RU"/>
              </w:rPr>
              <w:lastRenderedPageBreak/>
              <w:t xml:space="preserve">Пунктом 3.1 постанови №899 визначено до складу регуляторної бази активів, створеної після переходу до стимулюючого регулювання, включаються активи, створені після переходу до стимулюючого регулювання, </w:t>
            </w:r>
            <w:r w:rsidRPr="005A615E">
              <w:rPr>
                <w:rFonts w:ascii="Times New Roman" w:eastAsia="Times New Roman" w:hAnsi="Times New Roman" w:cs="Times New Roman"/>
                <w:i/>
                <w:lang w:eastAsia="ru-RU"/>
              </w:rPr>
              <w:t>які безпосередньо використовуються для здійснення ліцензованої діяльності з розподілу електричної енергії</w:t>
            </w:r>
            <w:r w:rsidRPr="005A615E">
              <w:rPr>
                <w:rFonts w:ascii="Times New Roman" w:eastAsia="Times New Roman" w:hAnsi="Times New Roman" w:cs="Times New Roman"/>
                <w:lang w:eastAsia="ru-RU"/>
              </w:rPr>
              <w:t>.</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406485" w:rsidRPr="005A615E" w:rsidRDefault="00406485" w:rsidP="00CF2AC1">
            <w:pPr>
              <w:jc w:val="both"/>
              <w:rPr>
                <w:rFonts w:ascii="Times New Roman" w:hAnsi="Times New Roman"/>
                <w:b/>
                <w:sz w:val="24"/>
              </w:rPr>
            </w:pPr>
            <w:r w:rsidRPr="005A615E">
              <w:rPr>
                <w:rFonts w:ascii="Times New Roman" w:hAnsi="Times New Roman"/>
                <w:b/>
                <w:sz w:val="24"/>
              </w:rPr>
              <w:t xml:space="preserve">До обговорення </w:t>
            </w:r>
          </w:p>
          <w:p w:rsidR="00406485" w:rsidRPr="005A615E" w:rsidRDefault="00406485" w:rsidP="00CF2AC1">
            <w:pPr>
              <w:jc w:val="both"/>
              <w:rPr>
                <w:rFonts w:ascii="Times New Roman" w:hAnsi="Times New Roman"/>
                <w:b/>
                <w:sz w:val="24"/>
              </w:rPr>
            </w:pPr>
            <w:r w:rsidRPr="005A615E">
              <w:rPr>
                <w:rFonts w:ascii="Times New Roman" w:hAnsi="Times New Roman"/>
                <w:b/>
                <w:sz w:val="24"/>
              </w:rPr>
              <w:t>Запропонована редакція нового абзацу:</w:t>
            </w:r>
          </w:p>
          <w:p w:rsidR="00CF2AC1" w:rsidRPr="005A615E" w:rsidRDefault="00406485" w:rsidP="00CF2AC1">
            <w:pPr>
              <w:jc w:val="both"/>
              <w:rPr>
                <w:rFonts w:ascii="Times New Roman" w:hAnsi="Times New Roman"/>
                <w:b/>
                <w:sz w:val="24"/>
              </w:rPr>
            </w:pPr>
            <w:r w:rsidRPr="005A615E">
              <w:rPr>
                <w:rFonts w:ascii="Times New Roman" w:hAnsi="Times New Roman"/>
                <w:b/>
                <w:sz w:val="24"/>
              </w:rPr>
              <w:t xml:space="preserve">«Витрати на виконання робіт з реалізації супутніх заходів, відповідно до постанови Кабінету Міністрів України від 07 лютого 2025 року № 142,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розподілу електричної енергії (статті </w:t>
            </w:r>
            <w:r w:rsidRPr="005A615E">
              <w:rPr>
                <w:rFonts w:ascii="Times New Roman" w:hAnsi="Times New Roman"/>
                <w:b/>
                <w:sz w:val="24"/>
              </w:rPr>
              <w:lastRenderedPageBreak/>
              <w:t>«Коригування доходу (витрат)), що пов’язані з улаштуванням інженерного захисту існуючих основних засобів, які включено до регуляторної бази активів, відносяться до збільшення вартість цих активів (крім випадків, коли у відповідності до проєктного рішення виконання супутніх заходів призводить до необхідності створення нового активу (елементу активу)).»</w:t>
            </w:r>
          </w:p>
        </w:tc>
      </w:tr>
      <w:tr w:rsidR="00CF2AC1" w:rsidRPr="005A615E" w:rsidTr="00A56FEE">
        <w:tc>
          <w:tcPr>
            <w:tcW w:w="6232" w:type="dxa"/>
          </w:tcPr>
          <w:p w:rsidR="00CF2AC1" w:rsidRPr="005A615E" w:rsidRDefault="00CF2AC1" w:rsidP="00CF2AC1">
            <w:pPr>
              <w:jc w:val="both"/>
              <w:rPr>
                <w:rFonts w:ascii="Times New Roman" w:hAnsi="Times New Roman"/>
                <w:sz w:val="24"/>
              </w:rPr>
            </w:pPr>
          </w:p>
          <w:p w:rsidR="00CF2AC1" w:rsidRPr="005A615E" w:rsidRDefault="00CF2AC1" w:rsidP="00CF2AC1">
            <w:pPr>
              <w:jc w:val="both"/>
              <w:rPr>
                <w:rFonts w:ascii="Times New Roman" w:hAnsi="Times New Roman"/>
                <w:sz w:val="24"/>
              </w:rPr>
            </w:pPr>
          </w:p>
          <w:p w:rsidR="00CF2AC1" w:rsidRPr="005A615E" w:rsidRDefault="00CF2AC1" w:rsidP="00CF2AC1">
            <w:pPr>
              <w:jc w:val="both"/>
              <w:rPr>
                <w:rFonts w:ascii="Times New Roman" w:hAnsi="Times New Roman"/>
                <w:sz w:val="24"/>
              </w:rPr>
            </w:pPr>
            <w:r w:rsidRPr="005A615E">
              <w:rPr>
                <w:rFonts w:ascii="Times New Roman" w:hAnsi="Times New Roman"/>
                <w:sz w:val="24"/>
              </w:rPr>
              <w:t>3.7. Після переходу до стимулюючого регулювання заміна (заміщення) активу (елементів активу), зокрема технологічного обладнання (трансформатора) регуляторної бази активів, яка створена після переходу до стимулюючого регулювання, у рамках виконання ремонтних робіт не призводить до зміни регуляторної бази активів, яка створена після переходу до стимулюючого регулювання (крім випадків, передбачених Порядком № 1175, у частині створення активів у рамках робіт з відновлення об'єктів електричних мереж та робіт з виконання супутніх заходів, та у разі наявності капіталізованих витрат, виконаних за рахунок джерел інвестиційної програми).</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«КІРОВОГРАДОБЛЕНЕРГО» </w:t>
            </w:r>
            <w:r w:rsidRPr="005A615E">
              <w:rPr>
                <w:rFonts w:ascii="Times New Roman" w:hAnsi="Times New Roman"/>
                <w:b/>
                <w:sz w:val="24"/>
                <w:u w:val="single"/>
              </w:rPr>
              <w:br/>
              <w:t>(лист від 27.07.2026  № 3919/05/34)</w:t>
            </w:r>
          </w:p>
          <w:p w:rsidR="00CF2AC1" w:rsidRPr="005A615E" w:rsidRDefault="000D13C5" w:rsidP="00CF2AC1">
            <w:pPr>
              <w:jc w:val="both"/>
              <w:rPr>
                <w:rFonts w:ascii="Times New Roman" w:hAnsi="Times New Roman"/>
                <w:b/>
                <w:shd w:val="clear" w:color="auto" w:fill="FFFFFF"/>
              </w:rPr>
            </w:pPr>
            <w:hyperlink r:id="rId8" w:tgtFrame="_blank" w:history="1">
              <w:r w:rsidR="00CF2AC1" w:rsidRPr="005A615E">
                <w:rPr>
                  <w:rFonts w:ascii="Times New Roman" w:hAnsi="Times New Roman"/>
                  <w:shd w:val="clear" w:color="auto" w:fill="FFFFFF"/>
                </w:rPr>
                <w:t>3.7. Після переходу до стимулюючого регулювання заміна (заміщення) активу (елементів активу), зокрема технологічного обладнання (трансформатора) регуляторної бази активів, яка створена після переходу до стимулюючого регулювання, у рамках виконання ремонтних робіт не призводить до зміни регуляторної бази активів, яка створена після переходу до стимулюючого регулювання</w:t>
              </w:r>
            </w:hyperlink>
            <w:r w:rsidR="00CF2AC1" w:rsidRPr="005A615E">
              <w:rPr>
                <w:rFonts w:ascii="Times New Roman" w:hAnsi="Times New Roman"/>
                <w:shd w:val="clear" w:color="auto" w:fill="FFFFFF"/>
              </w:rPr>
              <w:t> </w:t>
            </w:r>
            <w:hyperlink r:id="rId9" w:tgtFrame="_blank" w:history="1">
              <w:r w:rsidR="00CF2AC1" w:rsidRPr="005A615E">
                <w:rPr>
                  <w:rFonts w:ascii="Times New Roman" w:hAnsi="Times New Roman"/>
                  <w:shd w:val="clear" w:color="auto" w:fill="FFFFFF"/>
                </w:rPr>
                <w:t>(крім випадків, передбачених</w:t>
              </w:r>
            </w:hyperlink>
            <w:r w:rsidR="00CF2AC1" w:rsidRPr="005A615E">
              <w:rPr>
                <w:rFonts w:ascii="Times New Roman" w:hAnsi="Times New Roman"/>
                <w:shd w:val="clear" w:color="auto" w:fill="FFFFFF"/>
              </w:rPr>
              <w:t xml:space="preserve"> </w:t>
            </w:r>
            <w:hyperlink r:id="rId10" w:tgtFrame="_blank" w:history="1">
              <w:r w:rsidR="00CF2AC1" w:rsidRPr="005A615E">
                <w:rPr>
                  <w:rFonts w:ascii="Times New Roman" w:hAnsi="Times New Roman"/>
                  <w:shd w:val="clear" w:color="auto" w:fill="FFFFFF"/>
                </w:rPr>
                <w:t>Порядком № 1175</w:t>
              </w:r>
            </w:hyperlink>
            <w:r w:rsidR="00CF2AC1" w:rsidRPr="005A615E">
              <w:rPr>
                <w:rFonts w:ascii="Times New Roman" w:hAnsi="Times New Roman"/>
                <w:shd w:val="clear" w:color="auto" w:fill="FFFFFF"/>
              </w:rPr>
              <w:t>, у частині створення активів у рамках робіт з відновлення об'єктів електричних мереж</w:t>
            </w:r>
            <w:r w:rsidR="00CF2AC1" w:rsidRPr="005A615E">
              <w:rPr>
                <w:rFonts w:ascii="Times New Roman" w:hAnsi="Times New Roman"/>
                <w:b/>
                <w:shd w:val="clear" w:color="auto" w:fill="FFFFFF"/>
              </w:rPr>
              <w:t xml:space="preserve"> </w:t>
            </w:r>
            <w:r w:rsidR="00CF2AC1" w:rsidRPr="005A615E">
              <w:rPr>
                <w:rFonts w:ascii="Times New Roman" w:hAnsi="Times New Roman"/>
                <w:shd w:val="clear" w:color="auto" w:fill="FFFFFF"/>
              </w:rPr>
              <w:t>та робіт з виконання супутніх заходів, та у разі наявності капіталізованих витрат, виконаних за рахунок джерел інвестиційної програми</w:t>
            </w:r>
            <w:r w:rsidR="00CF2AC1" w:rsidRPr="005A615E">
              <w:rPr>
                <w:rFonts w:ascii="Times New Roman" w:hAnsi="Times New Roman"/>
                <w:b/>
                <w:bCs/>
                <w:sz w:val="20"/>
                <w:szCs w:val="20"/>
              </w:rPr>
              <w:t xml:space="preserve"> </w:t>
            </w:r>
            <w:r w:rsidR="00CF2AC1" w:rsidRPr="005A615E">
              <w:rPr>
                <w:rFonts w:ascii="Times New Roman" w:hAnsi="Times New Roman"/>
                <w:b/>
                <w:bCs/>
                <w:shd w:val="clear" w:color="auto" w:fill="FFFFFF"/>
              </w:rPr>
              <w:t xml:space="preserve">та </w:t>
            </w:r>
            <w:r w:rsidR="00CF2AC1" w:rsidRPr="005A615E">
              <w:rPr>
                <w:rFonts w:ascii="Times New Roman" w:hAnsi="Times New Roman"/>
                <w:b/>
                <w:shd w:val="clear" w:color="auto" w:fill="FFFFFF"/>
              </w:rPr>
              <w:t>капіталізованих витрат</w:t>
            </w:r>
            <w:r w:rsidR="00CF2AC1" w:rsidRPr="005A615E">
              <w:rPr>
                <w:rFonts w:ascii="Times New Roman" w:hAnsi="Times New Roman"/>
                <w:b/>
                <w:bCs/>
                <w:shd w:val="clear" w:color="auto" w:fill="FFFFFF"/>
              </w:rPr>
              <w:t xml:space="preserve"> ремонтної програми</w:t>
            </w:r>
            <w:hyperlink r:id="rId11" w:tgtFrame="_blank" w:history="1">
              <w:r w:rsidR="00CF2AC1" w:rsidRPr="005A615E">
                <w:rPr>
                  <w:rFonts w:ascii="Times New Roman" w:hAnsi="Times New Roman"/>
                  <w:b/>
                  <w:shd w:val="clear" w:color="auto" w:fill="FFFFFF"/>
                </w:rPr>
                <w:t>.</w:t>
              </w:r>
            </w:hyperlink>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ind w:firstLine="312"/>
              <w:jc w:val="both"/>
              <w:rPr>
                <w:rFonts w:ascii="Times New Roman" w:hAnsi="Times New Roman"/>
              </w:rPr>
            </w:pPr>
            <w:r w:rsidRPr="005A615E">
              <w:rPr>
                <w:rFonts w:ascii="Times New Roman" w:hAnsi="Times New Roman"/>
              </w:rPr>
              <w:t xml:space="preserve">Відповідно до тимчасового Порядку № 386 джерелами фінансування робіт з </w:t>
            </w:r>
            <w:r w:rsidRPr="005A615E">
              <w:rPr>
                <w:rFonts w:ascii="Times New Roman" w:hAnsi="Times New Roman"/>
                <w:shd w:val="clear" w:color="auto" w:fill="FFFFFF"/>
              </w:rPr>
              <w:t xml:space="preserve">відновлення пошкоджених об'єктів електричних мереж  та робіт з </w:t>
            </w:r>
            <w:r w:rsidRPr="005A615E">
              <w:rPr>
                <w:rFonts w:ascii="Times New Roman" w:hAnsi="Times New Roman"/>
                <w:shd w:val="clear" w:color="auto" w:fill="FFFFFF"/>
              </w:rPr>
              <w:lastRenderedPageBreak/>
              <w:t>виконання супутніх заходів можуть бути кошти інвестиційних та ремонтних програм.</w:t>
            </w:r>
          </w:p>
          <w:p w:rsidR="00CF2AC1" w:rsidRPr="005A615E" w:rsidRDefault="00CF2AC1" w:rsidP="00CF2AC1">
            <w:pPr>
              <w:jc w:val="both"/>
              <w:rPr>
                <w:rFonts w:ascii="Times New Roman" w:hAnsi="Times New Roman"/>
              </w:rPr>
            </w:pPr>
            <w:r w:rsidRPr="005A615E">
              <w:rPr>
                <w:rFonts w:ascii="Times New Roman" w:hAnsi="Times New Roman"/>
              </w:rPr>
              <w:t>Тому доцільно врахувати у запропонованих змінах і капіталізовані витрати ремонтних програм.</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rPr>
            </w:pPr>
            <w:r w:rsidRPr="005A615E">
              <w:rPr>
                <w:rFonts w:ascii="Times New Roman" w:hAnsi="Times New Roman"/>
              </w:rPr>
              <w:t>Також, доповнення пункту 3.7 положенням щодо врахування капіталізованих витрат ремонтної програми є об’єктивною необхідністю, зумовленою потребою повної синхронізації правил регуляторного обліку з обов'язковими вимогами чинного законодавства України та міжнародних стандартів у сфері бухгалтерського обліку. На практиці в межах виконання затверджених ремонтних програм відбувається заміна дороговартісних вузлів, зокрема комутаційних апаратів або іншого технологічного обладнання. Відповідно до базових принципів Національного положення (стандарту) бухгалтерського обліку 7 «Основні засоби» та Міжнародного стандарту фінансової звітності (МСБО) 16, витрати на заміну важливих компонентів об’єкта або його комплексне поліпшення (модернізацію, реконструкцію), що призводять до збільшення первісно очікуваних майбутніх економічних вигод та подовження строку корисного використання, підлягають обов’язковій капіталізації. Тобто, з погляду фінансового обліку такі роботи юридично класифікуються не як поточні витрати на підтримання робочого стану, а як інвестиції, що збільшують балансову вартість активу.</w:t>
            </w:r>
          </w:p>
          <w:p w:rsidR="00CF2AC1" w:rsidRPr="005A615E" w:rsidRDefault="00CF2AC1" w:rsidP="00CF2AC1">
            <w:pPr>
              <w:jc w:val="both"/>
              <w:rPr>
                <w:rFonts w:ascii="Times New Roman" w:hAnsi="Times New Roman"/>
              </w:rPr>
            </w:pPr>
            <w:r w:rsidRPr="005A615E">
              <w:rPr>
                <w:rFonts w:ascii="Times New Roman" w:hAnsi="Times New Roman"/>
              </w:rPr>
              <w:t xml:space="preserve">За відсутності запропонованого доповнення неминуче виникає регуляторна та нормативна колізія. Підприємство, сумлінно виконуючи прямі вимоги стандартів бухгалтерського обліку, зобов’язане капіталізувати витрати на масштабні ремонти, проте в межах стимулюючого тарифоутворення ці реальні </w:t>
            </w:r>
            <w:r w:rsidRPr="005A615E">
              <w:rPr>
                <w:rFonts w:ascii="Times New Roman" w:hAnsi="Times New Roman"/>
              </w:rPr>
              <w:lastRenderedPageBreak/>
              <w:t>інвестиції не визнаватимуться як збільшення регуляторної бази активів виключно через їхню формальну приналежність до статті «ремонтна програма». Це створює економічно несправедливу ситуацію подвійного виключення: оскільки такі витрати капіталізуються підприємством, вони виключаються з поточних операційних витрат (OPEX) і не покриваються тарифом поточного року, але водночас, без їх включення до регуляторної бази активів (РБА), ліцензіат повністю позбавляється гарантованої державою можливості повернути вкладені кошти через механізм амортизації та отримання норми доходу на вкладений капітал.</w:t>
            </w:r>
          </w:p>
          <w:p w:rsidR="00CF2AC1" w:rsidRPr="005A615E" w:rsidRDefault="00CF2AC1" w:rsidP="00CF2AC1">
            <w:pPr>
              <w:jc w:val="both"/>
              <w:rPr>
                <w:rFonts w:ascii="Times New Roman" w:hAnsi="Times New Roman"/>
                <w:b/>
                <w:sz w:val="24"/>
                <w:u w:val="single"/>
              </w:rPr>
            </w:pPr>
            <w:r w:rsidRPr="005A615E">
              <w:rPr>
                <w:rFonts w:ascii="Times New Roman" w:hAnsi="Times New Roman"/>
              </w:rPr>
              <w:t>Впровадження уточненої норми усуне цей штучний розрив між фінансовою звітністю та регуляторним обліком, гарантуючи справедливий розрахунок тарифів.</w:t>
            </w:r>
          </w:p>
        </w:tc>
        <w:tc>
          <w:tcPr>
            <w:tcW w:w="3969" w:type="dxa"/>
            <w:gridSpan w:val="2"/>
          </w:tcPr>
          <w:p w:rsidR="00E50498" w:rsidRPr="005A615E" w:rsidRDefault="00E50498" w:rsidP="00CF2AC1">
            <w:pPr>
              <w:rPr>
                <w:rFonts w:ascii="Times New Roman" w:hAnsi="Times New Roman"/>
                <w:b/>
                <w:sz w:val="24"/>
              </w:rPr>
            </w:pPr>
            <w:r w:rsidRPr="005A615E">
              <w:rPr>
                <w:rFonts w:ascii="Times New Roman" w:hAnsi="Times New Roman"/>
                <w:b/>
                <w:sz w:val="24"/>
              </w:rPr>
              <w:lastRenderedPageBreak/>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406485" w:rsidP="00CF2AC1">
            <w:pPr>
              <w:rPr>
                <w:rFonts w:ascii="Times New Roman" w:hAnsi="Times New Roman"/>
                <w:b/>
                <w:sz w:val="24"/>
              </w:rPr>
            </w:pPr>
            <w:r w:rsidRPr="005A615E">
              <w:rPr>
                <w:rFonts w:ascii="Times New Roman" w:hAnsi="Times New Roman"/>
                <w:b/>
                <w:sz w:val="24"/>
              </w:rPr>
              <w:t>ПУСТОВОЙТОВА</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c>
          <w:tcPr>
            <w:tcW w:w="15588" w:type="dxa"/>
            <w:gridSpan w:val="4"/>
          </w:tcPr>
          <w:p w:rsidR="00CF2AC1" w:rsidRPr="005A615E" w:rsidRDefault="00CF2AC1" w:rsidP="00CF2AC1">
            <w:pPr>
              <w:jc w:val="center"/>
              <w:rPr>
                <w:rFonts w:ascii="Times New Roman" w:hAnsi="Times New Roman"/>
                <w:b/>
                <w:sz w:val="28"/>
              </w:rPr>
            </w:pPr>
            <w:r w:rsidRPr="005A615E">
              <w:rPr>
                <w:rFonts w:ascii="Times New Roman" w:hAnsi="Times New Roman"/>
                <w:b/>
                <w:sz w:val="28"/>
              </w:rPr>
              <w:lastRenderedPageBreak/>
              <w:t>Постанова НКРЕ від 23.07.2013 № 1009 «Про встановлення параметрів регулювання, що мають довгостроковий строк дії, для цілей стимулюючого регулювання»</w:t>
            </w: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1) регуляторна норма доходу на регуляторну базу активів, яка створена на дату переходу до стимулюючого регулювання, – 0,03 відносних одиниць,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на дату переходу до стимулюючого регулювання, у 2027 році становить 0,015 відносних одиниць;</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tc>
        <w:tc>
          <w:tcPr>
            <w:tcW w:w="5387" w:type="dxa"/>
          </w:tcPr>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lastRenderedPageBreak/>
              <w:t xml:space="preserve">ПрАТ «РІВНЕОБЛЕНЕРГО» </w:t>
            </w:r>
            <w:r w:rsidRPr="005A615E">
              <w:rPr>
                <w:rFonts w:ascii="Times New Roman" w:hAnsi="Times New Roman"/>
                <w:b/>
                <w:sz w:val="24"/>
                <w:u w:val="single"/>
              </w:rPr>
              <w:br/>
              <w:t xml:space="preserve">(лист від 24.07.2026 № 46-08/7070), </w:t>
            </w:r>
            <w:r w:rsidRPr="005A615E">
              <w:rPr>
                <w:rFonts w:ascii="Times New Roman" w:hAnsi="Times New Roman"/>
                <w:b/>
                <w:sz w:val="24"/>
                <w:u w:val="single"/>
              </w:rPr>
              <w:br/>
              <w:t xml:space="preserve">АТ «ЧЕРНІВЦІОБЛЕНЕРГО» </w:t>
            </w:r>
            <w:r w:rsidRPr="005A615E">
              <w:rPr>
                <w:rFonts w:ascii="Times New Roman" w:hAnsi="Times New Roman"/>
                <w:b/>
                <w:sz w:val="24"/>
                <w:u w:val="single"/>
              </w:rPr>
              <w:br/>
              <w:t xml:space="preserve">(лист від 24.07.2026  № 19/1-02/3604), </w:t>
            </w:r>
            <w:r w:rsidRPr="005A615E">
              <w:rPr>
                <w:rFonts w:ascii="Times New Roman" w:hAnsi="Times New Roman"/>
                <w:b/>
                <w:sz w:val="24"/>
                <w:u w:val="single"/>
              </w:rPr>
              <w:br/>
              <w:t xml:space="preserve">Громадська спілка «Розумні електромережі України» (лист від 24.07.2026 № 24-07/1), ПрАТ «КІРОВОГРАДОБЛЕНЕРГО» </w:t>
            </w:r>
            <w:r w:rsidRPr="005A615E">
              <w:rPr>
                <w:rFonts w:ascii="Times New Roman" w:hAnsi="Times New Roman"/>
                <w:b/>
                <w:sz w:val="24"/>
                <w:u w:val="single"/>
              </w:rPr>
              <w:br/>
              <w:t xml:space="preserve">(лист від 27.07.2026  № 3919/05/34), </w:t>
            </w:r>
            <w:r w:rsidRPr="005A615E">
              <w:rPr>
                <w:rFonts w:ascii="Times New Roman" w:hAnsi="Times New Roman"/>
                <w:b/>
                <w:sz w:val="24"/>
                <w:u w:val="single"/>
              </w:rPr>
              <w:br/>
              <w:t xml:space="preserve">АТ «ЖИТОМИРОБЛЕНЕРГО» </w:t>
            </w:r>
            <w:r w:rsidRPr="005A615E">
              <w:rPr>
                <w:rFonts w:ascii="Times New Roman" w:hAnsi="Times New Roman"/>
                <w:b/>
                <w:sz w:val="24"/>
                <w:u w:val="single"/>
              </w:rPr>
              <w:br/>
              <w:t>(лист від 27.07.2026 № 05/24560)</w:t>
            </w:r>
          </w:p>
          <w:p w:rsidR="00CF2AC1" w:rsidRPr="005A615E" w:rsidRDefault="00CF2AC1" w:rsidP="00CF2AC1">
            <w:pPr>
              <w:jc w:val="both"/>
              <w:rPr>
                <w:rFonts w:ascii="Times New Roman" w:hAnsi="Times New Roman"/>
                <w:sz w:val="24"/>
                <w:u w:val="single"/>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2. Установити на другий регуляторний період (5 років) параметри регулювання, що мають довгостроковий </w:t>
            </w:r>
            <w:r w:rsidRPr="005A615E">
              <w:rPr>
                <w:rFonts w:ascii="Times New Roman" w:hAnsi="Times New Roman"/>
              </w:rPr>
              <w:lastRenderedPageBreak/>
              <w:t>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rPr>
              <w:t>1) регуляторна норма доходу на регуляторну базу активів, яка створена на дату переходу до стимулюючого регулювання, – 0,03 відносних одиниць</w:t>
            </w:r>
            <w:r w:rsidRPr="005A615E">
              <w:rPr>
                <w:rFonts w:ascii="Times New Roman" w:hAnsi="Times New Roman"/>
                <w:strike/>
              </w:rPr>
              <w:t>,</w:t>
            </w:r>
            <w:r w:rsidRPr="005A615E">
              <w:rPr>
                <w:rFonts w:ascii="Times New Roman" w:hAnsi="Times New Roman"/>
              </w:rPr>
              <w:t xml:space="preserve"> </w:t>
            </w:r>
            <w:r w:rsidRPr="005A615E">
              <w:rPr>
                <w:rFonts w:ascii="Times New Roman" w:hAnsi="Times New Roman"/>
                <w:b/>
                <w:strike/>
              </w:rPr>
              <w:t>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на дату переходу до стимулюючого регулювання, у 2027 році становить 0,015 відносних одиниць</w:t>
            </w:r>
            <w:r w:rsidRPr="005A615E">
              <w:rPr>
                <w:rFonts w:ascii="Times New Roman" w:hAnsi="Times New Roman"/>
                <w:b/>
              </w:rPr>
              <w:t>;</w:t>
            </w:r>
          </w:p>
          <w:p w:rsidR="00CF2AC1" w:rsidRPr="005A615E" w:rsidRDefault="00CF2AC1" w:rsidP="00CF2AC1">
            <w:pPr>
              <w:shd w:val="clear" w:color="auto" w:fill="FFFFFF"/>
              <w:jc w:val="both"/>
              <w:rPr>
                <w:rFonts w:ascii="Times New Roman" w:hAnsi="Times New Roman"/>
                <w:b/>
                <w:strike/>
              </w:rPr>
            </w:pPr>
          </w:p>
          <w:p w:rsidR="00CF2AC1" w:rsidRPr="005A615E" w:rsidRDefault="00CF2AC1" w:rsidP="00CF2AC1">
            <w:pPr>
              <w:pStyle w:val="rvps2"/>
              <w:spacing w:beforeAutospacing="0" w:afterAutospacing="0"/>
              <w:jc w:val="both"/>
              <w:rPr>
                <w:b/>
                <w:i/>
                <w:sz w:val="22"/>
                <w:szCs w:val="22"/>
                <w:u w:val="single"/>
                <w:lang w:val="uk-UA"/>
              </w:rPr>
            </w:pPr>
            <w:r w:rsidRPr="005A615E">
              <w:rPr>
                <w:b/>
                <w:i/>
                <w:sz w:val="22"/>
                <w:szCs w:val="22"/>
                <w:u w:val="single"/>
                <w:lang w:val="uk-UA"/>
              </w:rPr>
              <w:t xml:space="preserve">Обгрунтування </w:t>
            </w:r>
            <w:r w:rsidRPr="005A615E">
              <w:rPr>
                <w:b/>
                <w:i/>
                <w:sz w:val="22"/>
                <w:szCs w:val="22"/>
                <w:u w:val="single"/>
                <w:lang w:val="uk-UA"/>
              </w:rPr>
              <w:br/>
            </w:r>
            <w:r w:rsidRPr="005A615E">
              <w:rPr>
                <w:b/>
                <w:u w:val="single"/>
                <w:lang w:val="uk-UA"/>
              </w:rPr>
              <w:t>ПрАТ «РІВНЕОБЛЕНЕРГО»</w:t>
            </w:r>
          </w:p>
          <w:p w:rsidR="00CF2AC1" w:rsidRPr="005A615E" w:rsidRDefault="00CF2AC1" w:rsidP="00CF2AC1">
            <w:pPr>
              <w:suppressAutoHyphens/>
              <w:spacing w:line="257" w:lineRule="auto"/>
              <w:jc w:val="both"/>
              <w:rPr>
                <w:rFonts w:ascii="Times New Roman" w:hAnsi="Times New Roman"/>
                <w:lang w:eastAsia="ar-SA"/>
              </w:rPr>
            </w:pPr>
            <w:r w:rsidRPr="005A615E">
              <w:rPr>
                <w:rFonts w:ascii="Times New Roman" w:hAnsi="Times New Roman"/>
                <w:lang w:eastAsia="ar-SA"/>
              </w:rPr>
              <w:t>Звертаємо увагу, що ОСР, визначені у Додатку 35 вже три роки поспіль здійснюють діяльність в особливо обтяжених умовах першого регуляторного періоду - повна відсутність норми доходу на РБА у 2023-2026 роках призвела до суттєвого відставання в інвестиціях та модернізації мереж, не виконання заходів, передбачених програмою модернізації вузлів обліку електричної енергії, Планом перспективного розвитку ОСР, та як наслідок - неможливість забезпечення належного контролю та фіксації за показником якості електропостачання SAIDI в автоматичному режимі на базі побудованої системи SCADA (OMS, DMS модулі).</w:t>
            </w:r>
          </w:p>
          <w:p w:rsidR="00CF2AC1" w:rsidRPr="005A615E" w:rsidRDefault="00CF2AC1" w:rsidP="00CF2AC1">
            <w:pPr>
              <w:suppressAutoHyphens/>
              <w:spacing w:line="257" w:lineRule="auto"/>
              <w:jc w:val="both"/>
              <w:rPr>
                <w:rFonts w:ascii="Times New Roman" w:hAnsi="Times New Roman"/>
                <w:lang w:eastAsia="ar-SA"/>
              </w:rPr>
            </w:pPr>
            <w:r w:rsidRPr="005A615E">
              <w:rPr>
                <w:rFonts w:ascii="Times New Roman" w:hAnsi="Times New Roman"/>
                <w:lang w:eastAsia="ar-SA"/>
              </w:rPr>
              <w:t>Подальше з 2027 року визначення Регулятором різного рівня регуляторної норми доходу на регуляторну базу активів між ОСР України призведе до поглиблення «відставання» окремих ОСР до яких застосовані особливі економічні і регуляторні  обмеження, ще більшого викривлення загального рівня розвитку таких ОСР, а також їх фінансового та технічного стану.</w:t>
            </w:r>
          </w:p>
          <w:p w:rsidR="00CF2AC1" w:rsidRPr="005A615E" w:rsidRDefault="00CF2AC1" w:rsidP="00CF2AC1">
            <w:pPr>
              <w:suppressAutoHyphens/>
              <w:spacing w:line="257" w:lineRule="auto"/>
              <w:jc w:val="both"/>
              <w:rPr>
                <w:rFonts w:ascii="Times New Roman" w:hAnsi="Times New Roman"/>
                <w:lang w:eastAsia="ar-SA"/>
              </w:rPr>
            </w:pPr>
            <w:r w:rsidRPr="005A615E">
              <w:rPr>
                <w:rFonts w:ascii="Times New Roman" w:hAnsi="Times New Roman"/>
                <w:lang w:eastAsia="ar-SA"/>
              </w:rPr>
              <w:t xml:space="preserve">До того ж, зменшений рівень прибутку на «стару» РБА не дозволить досягти необхідних вимог другого </w:t>
            </w:r>
            <w:r w:rsidRPr="005A615E">
              <w:rPr>
                <w:rFonts w:ascii="Times New Roman" w:hAnsi="Times New Roman"/>
                <w:lang w:eastAsia="ar-SA"/>
              </w:rPr>
              <w:lastRenderedPageBreak/>
              <w:t xml:space="preserve">регуляторного періоду, визначеного у запропонованих змінах до постанови НКРЕКП від 26.07.2013 року №1029 в частині довиконання протягом другого регуляторного періоду невиконаних обсягів інвестиційних програм першого регуляторного періоду. </w:t>
            </w:r>
          </w:p>
          <w:p w:rsidR="00CF2AC1" w:rsidRPr="005A615E" w:rsidRDefault="00CF2AC1" w:rsidP="00CF2AC1">
            <w:pPr>
              <w:suppressAutoHyphens/>
              <w:spacing w:line="257" w:lineRule="auto"/>
              <w:jc w:val="both"/>
              <w:rPr>
                <w:rFonts w:ascii="Times New Roman" w:hAnsi="Times New Roman"/>
                <w:lang w:eastAsia="ar-SA"/>
              </w:rPr>
            </w:pPr>
            <w:r w:rsidRPr="005A615E">
              <w:rPr>
                <w:rFonts w:ascii="Times New Roman" w:hAnsi="Times New Roman"/>
                <w:lang w:eastAsia="ar-SA"/>
              </w:rPr>
              <w:t xml:space="preserve">Тому, </w:t>
            </w:r>
            <w:r w:rsidRPr="005A615E">
              <w:rPr>
                <w:rFonts w:ascii="Times New Roman" w:hAnsi="Times New Roman"/>
                <w:b/>
                <w:lang w:eastAsia="ar-SA"/>
              </w:rPr>
              <w:t xml:space="preserve">висловлюємо прохання встановити для ОСР в Додатку 35 однаковий рівень норми доходу на РБА як для решти ліцензіатів України </w:t>
            </w:r>
            <w:r w:rsidRPr="005A615E">
              <w:rPr>
                <w:rFonts w:ascii="Times New Roman" w:hAnsi="Times New Roman"/>
                <w:lang w:eastAsia="ar-SA"/>
              </w:rPr>
              <w:t>та повернути недоотриману норму прибутку за І регуляторний період разом із джерелами ІП (50% прибутку на стару РБА) для можливості довиконання ІП для досягнення цільових показників.</w:t>
            </w:r>
          </w:p>
          <w:p w:rsidR="00CF2AC1" w:rsidRPr="005A615E" w:rsidRDefault="00CF2AC1" w:rsidP="00CF2AC1">
            <w:pPr>
              <w:suppressAutoHyphens/>
              <w:spacing w:line="257" w:lineRule="auto"/>
              <w:jc w:val="both"/>
              <w:rPr>
                <w:rFonts w:ascii="Times New Roman" w:hAnsi="Times New Roman"/>
                <w:b/>
                <w:shd w:val="clear" w:color="auto" w:fill="FFFFFF"/>
                <w:lang w:eastAsia="ar-SA"/>
              </w:rPr>
            </w:pPr>
            <w:r w:rsidRPr="005A615E">
              <w:rPr>
                <w:rFonts w:ascii="Times New Roman" w:hAnsi="Times New Roman"/>
                <w:lang w:eastAsia="ar-SA"/>
              </w:rPr>
              <w:t xml:space="preserve">У </w:t>
            </w:r>
            <w:r w:rsidRPr="005A615E">
              <w:rPr>
                <w:rFonts w:ascii="Times New Roman" w:hAnsi="Times New Roman"/>
                <w:shd w:val="clear" w:color="auto" w:fill="FFFFFF"/>
                <w:lang w:eastAsia="ar-SA"/>
              </w:rPr>
              <w:t xml:space="preserve">зв’язку із недоотриманням Товариством прибутку за 2024-2026 роки, спричиненого окремим регуляторним підходом НКРЕКП, виникає необхідність застосування </w:t>
            </w:r>
            <w:r w:rsidRPr="005A615E">
              <w:rPr>
                <w:rFonts w:ascii="Times New Roman" w:hAnsi="Times New Roman"/>
                <w:u w:val="single"/>
                <w:shd w:val="clear" w:color="auto" w:fill="FFFFFF"/>
                <w:lang w:eastAsia="ar-SA"/>
              </w:rPr>
              <w:t>особливих умов</w:t>
            </w:r>
            <w:r w:rsidRPr="005A615E">
              <w:rPr>
                <w:rFonts w:ascii="Times New Roman" w:hAnsi="Times New Roman"/>
                <w:shd w:val="clear" w:color="auto" w:fill="FFFFFF"/>
                <w:lang w:eastAsia="ar-SA"/>
              </w:rPr>
              <w:t xml:space="preserve"> до ОСР, наведених у додатку 35. </w:t>
            </w:r>
            <w:r w:rsidRPr="005A615E">
              <w:rPr>
                <w:rFonts w:ascii="Times New Roman" w:hAnsi="Times New Roman"/>
                <w:b/>
                <w:shd w:val="clear" w:color="auto" w:fill="FFFFFF"/>
                <w:lang w:eastAsia="ar-SA"/>
              </w:rPr>
              <w:t>З огляду на вказане, просимо загальний показник ефективності для ОСР додатку 35 визначати на нульовому рівні.</w:t>
            </w:r>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jc w:val="both"/>
              <w:rPr>
                <w:b/>
                <w:sz w:val="22"/>
                <w:szCs w:val="22"/>
                <w:u w:val="single"/>
              </w:rPr>
            </w:pPr>
            <w:r w:rsidRPr="005A615E">
              <w:rPr>
                <w:b/>
                <w:i/>
                <w:sz w:val="22"/>
                <w:szCs w:val="22"/>
                <w:u w:val="single"/>
                <w:lang w:val="uk-UA"/>
              </w:rPr>
              <w:t xml:space="preserve">Обгрунтування </w:t>
            </w:r>
            <w:r w:rsidRPr="005A615E">
              <w:rPr>
                <w:b/>
                <w:i/>
                <w:sz w:val="22"/>
                <w:szCs w:val="22"/>
                <w:u w:val="single"/>
                <w:lang w:val="uk-UA"/>
              </w:rPr>
              <w:br/>
            </w:r>
            <w:r w:rsidRPr="005A615E">
              <w:rPr>
                <w:b/>
                <w:sz w:val="22"/>
                <w:szCs w:val="22"/>
                <w:u w:val="single"/>
              </w:rPr>
              <w:t>АТ «ЧЕРНІВЦІОБЛЕНЕРГО»</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bCs/>
              </w:rPr>
              <w:t xml:space="preserve">АТ «Чернівціобленерго» заперечує проти зазначеного підходу. Товариство наполягає на тому, що запуск другого регуляторного періоду має відбуватися за однаковими, недискримінаційними, підходами для всіх ОСР. </w:t>
            </w:r>
            <w:r w:rsidRPr="005A615E">
              <w:rPr>
                <w:rFonts w:ascii="Times New Roman" w:hAnsi="Times New Roman"/>
              </w:rPr>
              <w:t xml:space="preserve">Неоднаковий підхід Регулятора порушує принципи, визначені статтею 4 Закону України «Про Національну комісію, що здійснює державне регулювання у сферах енергетики та комунальних послуг», а саме, принципи </w:t>
            </w:r>
            <w:r w:rsidRPr="005A615E">
              <w:rPr>
                <w:rFonts w:ascii="Times New Roman" w:hAnsi="Times New Roman"/>
                <w:u w:val="single"/>
              </w:rPr>
              <w:t>справедливості</w:t>
            </w:r>
            <w:r w:rsidRPr="005A615E">
              <w:rPr>
                <w:rFonts w:ascii="Times New Roman" w:hAnsi="Times New Roman"/>
              </w:rPr>
              <w:t xml:space="preserve">, прогнозованості, </w:t>
            </w:r>
            <w:r w:rsidRPr="005A615E">
              <w:rPr>
                <w:rFonts w:ascii="Times New Roman" w:hAnsi="Times New Roman"/>
                <w:u w:val="single"/>
              </w:rPr>
              <w:t>неупередженості</w:t>
            </w:r>
            <w:r w:rsidRPr="005A615E">
              <w:rPr>
                <w:rFonts w:ascii="Times New Roman" w:hAnsi="Times New Roman"/>
              </w:rPr>
              <w:t xml:space="preserve"> та </w:t>
            </w:r>
            <w:r w:rsidRPr="005A615E">
              <w:rPr>
                <w:rFonts w:ascii="Times New Roman" w:hAnsi="Times New Roman"/>
                <w:u w:val="single"/>
              </w:rPr>
              <w:t>об’єктивності</w:t>
            </w:r>
            <w:r w:rsidRPr="005A615E">
              <w:rPr>
                <w:rFonts w:ascii="Times New Roman" w:hAnsi="Times New Roman"/>
              </w:rPr>
              <w:t xml:space="preserve"> під час прийняття рішення, а </w:t>
            </w:r>
            <w:r w:rsidRPr="005A615E">
              <w:rPr>
                <w:rFonts w:ascii="Times New Roman" w:hAnsi="Times New Roman"/>
                <w:u w:val="single"/>
              </w:rPr>
              <w:t>також принцип недопущення дискримінації</w:t>
            </w:r>
            <w:r w:rsidRPr="005A615E">
              <w:rPr>
                <w:rFonts w:ascii="Times New Roman" w:hAnsi="Times New Roman"/>
              </w:rPr>
              <w:t>.</w:t>
            </w:r>
          </w:p>
          <w:p w:rsidR="00CF2AC1" w:rsidRPr="005A615E" w:rsidRDefault="00CF2AC1" w:rsidP="00CF2AC1">
            <w:pPr>
              <w:jc w:val="both"/>
              <w:rPr>
                <w:rFonts w:ascii="Times New Roman" w:hAnsi="Times New Roman"/>
                <w:b/>
                <w:sz w:val="24"/>
                <w:u w:val="single"/>
              </w:rPr>
            </w:pPr>
          </w:p>
          <w:p w:rsidR="00CF2AC1" w:rsidRPr="005A615E" w:rsidRDefault="00CF2AC1" w:rsidP="00CF2AC1">
            <w:pPr>
              <w:pStyle w:val="rvps2"/>
              <w:spacing w:beforeAutospacing="0" w:afterAutospacing="0"/>
              <w:jc w:val="both"/>
              <w:rPr>
                <w:b/>
                <w:u w:val="single"/>
              </w:rPr>
            </w:pPr>
            <w:r w:rsidRPr="005A615E">
              <w:rPr>
                <w:b/>
                <w:i/>
                <w:sz w:val="22"/>
                <w:szCs w:val="22"/>
                <w:u w:val="single"/>
                <w:lang w:val="uk-UA"/>
              </w:rPr>
              <w:t xml:space="preserve">Обгрунтування </w:t>
            </w:r>
            <w:r w:rsidRPr="005A615E">
              <w:rPr>
                <w:b/>
                <w:i/>
                <w:sz w:val="22"/>
                <w:szCs w:val="22"/>
                <w:u w:val="single"/>
                <w:lang w:val="uk-UA"/>
              </w:rPr>
              <w:br/>
            </w:r>
            <w:r w:rsidRPr="005A615E">
              <w:rPr>
                <w:b/>
                <w:u w:val="single"/>
              </w:rPr>
              <w:t>Громадська спілка «Розумні електромережі України»</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Необхідно використовувати єдиний підхід до ліцензіатів з другого регуляторного періоду для недопущення недофінансування компаній і сприяння їхній сталій роботі в умовах війни.  Безпосередньо до компаній, перелічених в додатку 35, ніякі санкції не застосовуються (витяги з Державного реєстру санкцій в додатках до пропозицій). Терміни виконання зобов’язань для них мають бути відкориговані з урахуванням недофінансування в першому регуляторному періоді внаслідок відповідних рішень НКРЕКП (згідно з пропозиціями компаній).</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jc w:val="both"/>
              <w:rPr>
                <w:rFonts w:ascii="Times New Roman" w:hAnsi="Times New Roman" w:cs="Times New Roman"/>
                <w:b/>
                <w:u w:val="single"/>
              </w:rPr>
            </w:pPr>
            <w:r w:rsidRPr="005A615E">
              <w:rPr>
                <w:rFonts w:ascii="Times New Roman" w:hAnsi="Times New Roman" w:cs="Times New Roman"/>
                <w:b/>
                <w:i/>
                <w:u w:val="single"/>
              </w:rPr>
              <w:t>Обгрунтування</w:t>
            </w:r>
            <w:r w:rsidRPr="005A615E">
              <w:rPr>
                <w:rFonts w:ascii="Times New Roman" w:hAnsi="Times New Roman" w:cs="Times New Roman"/>
                <w:b/>
                <w:i/>
                <w:u w:val="single"/>
              </w:rPr>
              <w:br/>
            </w:r>
            <w:r w:rsidRPr="005A615E">
              <w:rPr>
                <w:rFonts w:ascii="Times New Roman" w:hAnsi="Times New Roman" w:cs="Times New Roman"/>
                <w:b/>
                <w:u w:val="single"/>
              </w:rPr>
              <w:t xml:space="preserve">ПрАТ «КІРОВОГРАДОБЛЕНЕРГО» </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Пропонуємо встановлювати параметри регулювання на загальних підставах. Відповідно до Витягу з Державного реєстру санкцій, сформованого 22 липня 2026 року санкційних дій по відношенню до ПрАТ «Кіровоградобленерго» не знайдено.</w:t>
            </w:r>
          </w:p>
          <w:p w:rsidR="00CF2AC1" w:rsidRPr="005A615E" w:rsidRDefault="00CF2AC1" w:rsidP="00CF2AC1">
            <w:pPr>
              <w:jc w:val="both"/>
              <w:rPr>
                <w:rFonts w:ascii="Times New Roman" w:hAnsi="Times New Roman"/>
                <w:sz w:val="24"/>
                <w:szCs w:val="24"/>
              </w:rPr>
            </w:pPr>
          </w:p>
          <w:p w:rsidR="00CF2AC1" w:rsidRPr="005A615E" w:rsidRDefault="00CF2AC1" w:rsidP="00CF2AC1">
            <w:pPr>
              <w:pStyle w:val="rvps2"/>
              <w:spacing w:beforeAutospacing="0" w:afterAutospacing="0"/>
              <w:jc w:val="both"/>
              <w:rPr>
                <w:b/>
                <w:sz w:val="22"/>
                <w:u w:val="single"/>
                <w:lang w:val="uk-UA"/>
              </w:rPr>
            </w:pPr>
            <w:r w:rsidRPr="005A615E">
              <w:rPr>
                <w:b/>
                <w:i/>
                <w:sz w:val="22"/>
                <w:szCs w:val="22"/>
                <w:u w:val="single"/>
                <w:lang w:val="uk-UA"/>
              </w:rPr>
              <w:t>Обгрунтування</w:t>
            </w:r>
            <w:r w:rsidRPr="005A615E">
              <w:rPr>
                <w:b/>
                <w:u w:val="single"/>
                <w:lang w:val="uk-UA"/>
              </w:rPr>
              <w:t xml:space="preserve"> </w:t>
            </w:r>
            <w:r w:rsidRPr="005A615E">
              <w:rPr>
                <w:b/>
                <w:u w:val="single"/>
                <w:lang w:val="uk-UA"/>
              </w:rPr>
              <w:br/>
            </w:r>
            <w:r w:rsidRPr="005A615E">
              <w:rPr>
                <w:b/>
                <w:sz w:val="22"/>
                <w:u w:val="single"/>
                <w:lang w:val="uk-UA"/>
              </w:rPr>
              <w:t>АТ«ЖИТОМИРОБЛЕНЕРГО»</w:t>
            </w:r>
          </w:p>
          <w:p w:rsidR="00CF2AC1" w:rsidRPr="005A615E" w:rsidRDefault="00CF2AC1" w:rsidP="00CF2AC1">
            <w:pPr>
              <w:jc w:val="both"/>
              <w:rPr>
                <w:rFonts w:ascii="Times New Roman" w:hAnsi="Times New Roman"/>
              </w:rPr>
            </w:pPr>
            <w:r w:rsidRPr="005A615E">
              <w:rPr>
                <w:rFonts w:ascii="Times New Roman" w:hAnsi="Times New Roman"/>
              </w:rPr>
              <w:t>Визначення різного рівня регуляторної норми доходу на регуляторну базу активів між ОСР України призведе до поглиблення «відставання» окремих ОСР, ще більшого викривлення загального рівня розвитку ОСР, а також їх фінансового та технічного стану.</w:t>
            </w:r>
          </w:p>
          <w:p w:rsidR="00CF2AC1" w:rsidRPr="005A615E" w:rsidRDefault="00CF2AC1" w:rsidP="00CF2AC1">
            <w:pPr>
              <w:jc w:val="both"/>
              <w:rPr>
                <w:rFonts w:ascii="Times New Roman" w:hAnsi="Times New Roman"/>
              </w:rPr>
            </w:pPr>
            <w:r w:rsidRPr="005A615E">
              <w:rPr>
                <w:rFonts w:ascii="Times New Roman" w:hAnsi="Times New Roman"/>
              </w:rPr>
              <w:t xml:space="preserve">До того ж, зменшений рівень прибутку на РБА0 не дозволить досягти необхідних вимог другого регуляторного періоду, визначеного у запропонованих змінах до постанови НКРЕКП від 26.07.2013 року </w:t>
            </w:r>
            <w:r w:rsidRPr="005A615E">
              <w:rPr>
                <w:rFonts w:ascii="Times New Roman" w:hAnsi="Times New Roman"/>
              </w:rPr>
              <w:lastRenderedPageBreak/>
              <w:t>№1029 в частині довиконання протягом другого регуляторного періоду невиконаних обсягів інвестиційних програм першого регуляторного періоду</w:t>
            </w:r>
          </w:p>
          <w:p w:rsidR="00CF2AC1" w:rsidRPr="005A615E" w:rsidRDefault="00CF2AC1" w:rsidP="00CF2AC1">
            <w:pPr>
              <w:jc w:val="both"/>
              <w:rPr>
                <w:rFonts w:ascii="Times New Roman" w:hAnsi="Times New Roman"/>
              </w:rPr>
            </w:pPr>
            <w:r w:rsidRPr="005A615E">
              <w:rPr>
                <w:rFonts w:ascii="Times New Roman" w:hAnsi="Times New Roman"/>
              </w:rPr>
              <w:t xml:space="preserve">Так, для АТ «ЖИТОМИРОБЛЕНЕРГО» прогнозований рівень прибутку на РБА0 протягом 2027-2031 років при регуляторній нормі доходу на рівні 0,015 відносних одиниць становитиме близько 600 млн.грн., при цьому, що </w:t>
            </w:r>
            <w:r w:rsidRPr="005A615E">
              <w:rPr>
                <w:rFonts w:ascii="Times New Roman" w:hAnsi="Times New Roman"/>
                <w:b/>
              </w:rPr>
              <w:t xml:space="preserve">сума недовиконання інвестиційних програм 2023-2025 років становить 850,33 млн.грн. </w:t>
            </w:r>
            <w:r w:rsidRPr="005A615E">
              <w:rPr>
                <w:rFonts w:ascii="Times New Roman" w:hAnsi="Times New Roman"/>
                <w:b/>
                <w:shd w:val="clear" w:color="auto" w:fill="FFFFFF"/>
              </w:rPr>
              <w:t>(враховуючи фактичні показники інфляції, зазначена сума, враховуючи період її виникнення, станом на початок 2026 року вже становить 1 062 млн.грн.)</w:t>
            </w:r>
            <w:r w:rsidRPr="005A615E">
              <w:rPr>
                <w:rFonts w:ascii="Times New Roman" w:hAnsi="Times New Roman"/>
                <w:b/>
              </w:rPr>
              <w:t>, що свідчитиме про вже попередньо закладену неможливість забезпечення у другому регуляторному періоді виконання вимог підпункту 3 пункту 3 Постанови НКРЕКП №1029</w:t>
            </w:r>
            <w:r w:rsidRPr="005A615E">
              <w:rPr>
                <w:rFonts w:ascii="Times New Roman" w:hAnsi="Times New Roman"/>
              </w:rPr>
              <w:t xml:space="preserve"> щодо необхідності довиконання інвестиційних програм першого регуляторного періоду. Більше того, зазначене не дозволить визначити прибуток джерелом фінансування поточних інвестиційних програм, </w:t>
            </w:r>
            <w:r w:rsidRPr="005A615E">
              <w:rPr>
                <w:rFonts w:ascii="Times New Roman" w:hAnsi="Times New Roman"/>
                <w:b/>
              </w:rPr>
              <w:t>що впливатиме на показники ефективності у другому регуляторному періоді, створює циклічне недофінансування інвестиційних програм та призводитиме до ще більшої різниці у стані розвитку між ОСР України та лише посилюватиме «відставання»</w:t>
            </w:r>
            <w:r w:rsidRPr="005A615E">
              <w:rPr>
                <w:rFonts w:ascii="Times New Roman" w:hAnsi="Times New Roman"/>
              </w:rPr>
              <w:t xml:space="preserve"> ОСР, які вже і так наразі діють в особливих умовах.</w:t>
            </w:r>
          </w:p>
          <w:p w:rsidR="00CF2AC1" w:rsidRPr="005A615E" w:rsidRDefault="00CF2AC1" w:rsidP="00CF2AC1">
            <w:pPr>
              <w:jc w:val="both"/>
              <w:rPr>
                <w:rFonts w:ascii="Times New Roman" w:hAnsi="Times New Roman"/>
                <w:b/>
                <w:sz w:val="24"/>
                <w:u w:val="single"/>
              </w:rPr>
            </w:pPr>
            <w:r w:rsidRPr="005A615E">
              <w:rPr>
                <w:rFonts w:ascii="Times New Roman" w:hAnsi="Times New Roman"/>
              </w:rPr>
              <w:t>З огляду на вказане, вважаємо необхідним застосовувати однакові регуляторні умови для ОСР у другому регуляторному періоді та внести запропоновані зміни до підпункту 3 пункту 3 Постанови НКРЕКП №1029 з метою наближення урівноваження умов діяльності ОСР України між собою.</w:t>
            </w:r>
          </w:p>
        </w:tc>
        <w:tc>
          <w:tcPr>
            <w:tcW w:w="3969" w:type="dxa"/>
            <w:gridSpan w:val="2"/>
          </w:tcPr>
          <w:p w:rsidR="00CF2AC1" w:rsidRPr="005A615E" w:rsidRDefault="00CF2AC1" w:rsidP="00CF2AC1">
            <w:pPr>
              <w:rPr>
                <w:rFonts w:ascii="Times New Roman" w:hAnsi="Times New Roman"/>
                <w:b/>
                <w:sz w:val="24"/>
              </w:rPr>
            </w:pPr>
            <w:r w:rsidRPr="005A615E">
              <w:rPr>
                <w:rFonts w:ascii="Times New Roman" w:hAnsi="Times New Roman"/>
                <w:b/>
                <w:sz w:val="24"/>
              </w:rPr>
              <w:lastRenderedPageBreak/>
              <w:t xml:space="preserve">Загальна позиція </w:t>
            </w:r>
          </w:p>
          <w:p w:rsidR="00CF2AC1" w:rsidRPr="005A615E" w:rsidRDefault="00CF2AC1" w:rsidP="00CF2AC1">
            <w:pPr>
              <w:rPr>
                <w:rFonts w:ascii="Times New Roman" w:hAnsi="Times New Roman"/>
                <w:b/>
                <w:sz w:val="24"/>
              </w:rPr>
            </w:pPr>
            <w:r w:rsidRPr="005A615E">
              <w:rPr>
                <w:rFonts w:ascii="Times New Roman" w:hAnsi="Times New Roman"/>
                <w:b/>
                <w:sz w:val="24"/>
              </w:rPr>
              <w:t>Враховано</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регуляторна норма доходу на регуляторну базу активів, яка створена після переходу на стимулююче регулювання – 0,1674 відносних одиниць (для 2027 року – 0,03 відносних одиниць),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після переходу на стимулююче регулювання, у 2027 році становить 0 відносних одиниць;</w:t>
            </w:r>
          </w:p>
          <w:p w:rsidR="00CF2AC1" w:rsidRPr="005A615E" w:rsidRDefault="00CF2AC1" w:rsidP="00CF2AC1">
            <w:pPr>
              <w:shd w:val="clear" w:color="auto" w:fill="FFFFFF"/>
              <w:jc w:val="both"/>
              <w:rPr>
                <w:rFonts w:ascii="Times New Roman" w:hAnsi="Times New Roman"/>
              </w:rPr>
            </w:pPr>
          </w:p>
        </w:tc>
        <w:tc>
          <w:tcPr>
            <w:tcW w:w="5387" w:type="dxa"/>
          </w:tcPr>
          <w:p w:rsidR="00CF2AC1" w:rsidRPr="005A615E" w:rsidRDefault="00CF2AC1" w:rsidP="00CF2AC1">
            <w:pPr>
              <w:rPr>
                <w:rFonts w:ascii="Times New Roman" w:hAnsi="Times New Roman" w:cs="Times New Roman"/>
                <w:b/>
                <w:u w:val="single"/>
              </w:rPr>
            </w:pPr>
            <w:r w:rsidRPr="005A615E">
              <w:rPr>
                <w:rFonts w:ascii="Times New Roman" w:hAnsi="Times New Roman" w:cs="Times New Roman"/>
                <w:b/>
                <w:u w:val="single"/>
              </w:rPr>
              <w:t xml:space="preserve">ГО«Перша енергетична рада» </w:t>
            </w:r>
            <w:r w:rsidRPr="005A615E">
              <w:rPr>
                <w:rFonts w:ascii="Times New Roman" w:hAnsi="Times New Roman" w:cs="Times New Roman"/>
                <w:b/>
                <w:u w:val="single"/>
              </w:rPr>
              <w:br/>
              <w:t xml:space="preserve">(лист від 20.07.2026 № 28/01), </w:t>
            </w:r>
            <w:r w:rsidRPr="005A615E">
              <w:rPr>
                <w:rFonts w:ascii="Times New Roman" w:hAnsi="Times New Roman" w:cs="Times New Roman"/>
                <w:b/>
                <w:u w:val="single"/>
              </w:rPr>
              <w:br/>
              <w:t xml:space="preserve">АТ «ПРИКАРПАТТЯОБЛЕНЕРГО» </w:t>
            </w:r>
            <w:r w:rsidRPr="005A615E">
              <w:rPr>
                <w:rFonts w:ascii="Times New Roman" w:hAnsi="Times New Roman" w:cs="Times New Roman"/>
                <w:b/>
                <w:u w:val="single"/>
              </w:rPr>
              <w:br/>
              <w:t xml:space="preserve">(лист від 27.07.2026 № 50012257/12), </w:t>
            </w:r>
            <w:r w:rsidRPr="005A615E">
              <w:rPr>
                <w:rFonts w:ascii="Times New Roman" w:hAnsi="Times New Roman" w:cs="Times New Roman"/>
                <w:b/>
                <w:u w:val="single"/>
              </w:rPr>
              <w:br/>
              <w:t xml:space="preserve">ПрАТ «ЛЬВІВОБЛЕНЕРГО» </w:t>
            </w:r>
            <w:r w:rsidRPr="005A615E">
              <w:rPr>
                <w:rFonts w:ascii="Times New Roman" w:hAnsi="Times New Roman" w:cs="Times New Roman"/>
                <w:b/>
                <w:u w:val="single"/>
              </w:rPr>
              <w:br/>
              <w:t xml:space="preserve">(лист від 27.07.2026 № 122-07-5357), </w:t>
            </w:r>
            <w:r w:rsidRPr="005A615E">
              <w:rPr>
                <w:rFonts w:ascii="Times New Roman" w:hAnsi="Times New Roman" w:cs="Times New Roman"/>
                <w:b/>
                <w:u w:val="single"/>
              </w:rPr>
              <w:br/>
              <w:t xml:space="preserve">АТ «ВІННИЦЯОБЛЕНЕРГО» </w:t>
            </w:r>
            <w:r w:rsidRPr="005A615E">
              <w:rPr>
                <w:rFonts w:ascii="Times New Roman" w:hAnsi="Times New Roman" w:cs="Times New Roman"/>
                <w:b/>
                <w:u w:val="single"/>
              </w:rPr>
              <w:br/>
              <w:t>(лист від 27.07.2026  № 03.13-18608)</w:t>
            </w:r>
          </w:p>
          <w:p w:rsidR="00CF2AC1" w:rsidRPr="005A615E" w:rsidRDefault="00CF2AC1" w:rsidP="00CF2AC1">
            <w:pPr>
              <w:jc w:val="both"/>
              <w:rPr>
                <w:rFonts w:ascii="Times New Roman" w:hAnsi="Times New Roman" w:cs="Times New Roman"/>
                <w:b/>
                <w:u w:val="single"/>
              </w:rPr>
            </w:pP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w:t>
            </w:r>
          </w:p>
          <w:p w:rsidR="00CF2AC1" w:rsidRPr="005A615E" w:rsidRDefault="00CF2AC1" w:rsidP="00CF2AC1">
            <w:pPr>
              <w:shd w:val="clear" w:color="auto" w:fill="FFFFFF"/>
              <w:jc w:val="both"/>
              <w:rPr>
                <w:rFonts w:ascii="Times New Roman" w:hAnsi="Times New Roman" w:cs="Times New Roman"/>
                <w:bCs/>
              </w:rPr>
            </w:pPr>
            <w:r w:rsidRPr="005A615E">
              <w:rPr>
                <w:rFonts w:ascii="Times New Roman" w:hAnsi="Times New Roman" w:cs="Times New Roman"/>
                <w:bCs/>
              </w:rPr>
              <w:t xml:space="preserve">2) регуляторна норма доходу на регуляторну базу активів, яка створена після переходу на стимулююче регулювання – 0,1674 відносних одиниць </w:t>
            </w:r>
            <w:r w:rsidRPr="005A615E">
              <w:rPr>
                <w:rFonts w:ascii="Times New Roman" w:hAnsi="Times New Roman" w:cs="Times New Roman"/>
                <w:b/>
                <w:strike/>
              </w:rPr>
              <w:t>(для 2027 року – 0,03 відносних одиниць)</w:t>
            </w:r>
            <w:r w:rsidRPr="005A615E">
              <w:rPr>
                <w:rFonts w:ascii="Times New Roman" w:hAnsi="Times New Roman" w:cs="Times New Roman"/>
                <w:bCs/>
              </w:rPr>
              <w:t>,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після переходу на стимулююче регулювання, у 2027 році становить 0 відносних одиниць;</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Запропонований Проєктом рівень норми доходу на «нові» активи унеможливлює залучення інвестицій та досягнення цільових показників ефективності та якості послуг.</w:t>
            </w:r>
          </w:p>
          <w:p w:rsidR="00CF2AC1" w:rsidRPr="005A615E" w:rsidRDefault="00CF2AC1" w:rsidP="00CF2AC1">
            <w:pPr>
              <w:pStyle w:val="rvps2"/>
              <w:spacing w:beforeAutospacing="0" w:afterAutospacing="0"/>
              <w:ind w:firstLine="343"/>
              <w:jc w:val="both"/>
              <w:rPr>
                <w:b/>
                <w:sz w:val="22"/>
                <w:szCs w:val="22"/>
                <w:u w:val="single"/>
                <w:lang w:val="uk-UA"/>
              </w:rPr>
            </w:pPr>
            <w:r w:rsidRPr="005A615E">
              <w:rPr>
                <w:b/>
                <w:i/>
                <w:sz w:val="22"/>
                <w:szCs w:val="22"/>
                <w:u w:val="single"/>
                <w:lang w:val="uk-UA"/>
              </w:rPr>
              <w:t>Обгрунтування</w:t>
            </w:r>
            <w:r w:rsidRPr="005A615E">
              <w:rPr>
                <w:b/>
                <w:i/>
                <w:sz w:val="22"/>
                <w:szCs w:val="22"/>
                <w:u w:val="single"/>
                <w:lang w:val="uk-UA"/>
              </w:rPr>
              <w:br/>
            </w:r>
            <w:r w:rsidRPr="005A615E">
              <w:rPr>
                <w:b/>
                <w:sz w:val="22"/>
                <w:szCs w:val="22"/>
                <w:u w:val="single"/>
                <w:lang w:val="uk-UA"/>
              </w:rPr>
              <w:t>АТ «ПРИКАРПАТТЯОБЛЕНЕРГО»</w:t>
            </w:r>
          </w:p>
          <w:p w:rsidR="00CF2AC1" w:rsidRPr="005A615E" w:rsidRDefault="00CF2AC1" w:rsidP="00CF2AC1">
            <w:pPr>
              <w:jc w:val="both"/>
              <w:rPr>
                <w:rFonts w:ascii="Times New Roman" w:hAnsi="Times New Roman" w:cs="Times New Roman"/>
                <w:b/>
                <w:i/>
                <w:u w:val="single"/>
              </w:rPr>
            </w:pPr>
            <w:r w:rsidRPr="005A615E">
              <w:rPr>
                <w:rFonts w:ascii="Times New Roman" w:hAnsi="Times New Roman" w:cs="Times New Roman"/>
                <w:bCs/>
              </w:rPr>
              <w:t xml:space="preserve">Регуляторна норма доходу на нову базу активів є ключовим елементом стимулюючого тарифоутворення, яка гарантує компанії прибуток. Пропонуємо </w:t>
            </w:r>
            <w:r w:rsidRPr="005A615E">
              <w:rPr>
                <w:rFonts w:ascii="Times New Roman" w:hAnsi="Times New Roman" w:cs="Times New Roman"/>
                <w:b/>
                <w:bCs/>
              </w:rPr>
              <w:t>не застосувувати</w:t>
            </w:r>
            <w:r w:rsidRPr="005A615E">
              <w:rPr>
                <w:rFonts w:ascii="Times New Roman" w:hAnsi="Times New Roman" w:cs="Times New Roman"/>
                <w:bCs/>
              </w:rPr>
              <w:t xml:space="preserve"> на 2027 рік </w:t>
            </w:r>
            <w:r w:rsidRPr="005A615E">
              <w:rPr>
                <w:rFonts w:ascii="Times New Roman" w:hAnsi="Times New Roman" w:cs="Times New Roman"/>
                <w:bCs/>
              </w:rPr>
              <w:lastRenderedPageBreak/>
              <w:t xml:space="preserve">коригування регуляторної норми доходу </w:t>
            </w:r>
            <w:r w:rsidRPr="005A615E">
              <w:rPr>
                <w:rFonts w:ascii="Times New Roman" w:hAnsi="Times New Roman" w:cs="Times New Roman"/>
              </w:rPr>
              <w:t>на регуляторну базу активів, яка створена після переходу на стимулююче регулювання в сторону зменшення та не знижувати вільну частину прибутку оператора системи розподілу.</w:t>
            </w:r>
          </w:p>
          <w:p w:rsidR="00CF2AC1" w:rsidRPr="005A615E" w:rsidRDefault="00CF2AC1" w:rsidP="00CF2AC1">
            <w:pPr>
              <w:jc w:val="both"/>
              <w:rPr>
                <w:rFonts w:ascii="Times New Roman" w:hAnsi="Times New Roman" w:cs="Times New Roman"/>
              </w:rPr>
            </w:pPr>
          </w:p>
          <w:p w:rsidR="00CF2AC1" w:rsidRPr="005A615E" w:rsidRDefault="00CF2AC1" w:rsidP="00CF2AC1">
            <w:pPr>
              <w:spacing w:after="75" w:line="259" w:lineRule="auto"/>
              <w:rPr>
                <w:rFonts w:ascii="Times New Roman" w:eastAsia="Times New Roman" w:hAnsi="Times New Roman" w:cs="Times New Roman"/>
                <w:u w:val="single"/>
                <w:lang w:eastAsia="ru-RU"/>
              </w:rPr>
            </w:pPr>
            <w:r w:rsidRPr="005A615E">
              <w:rPr>
                <w:rFonts w:ascii="Times New Roman" w:hAnsi="Times New Roman" w:cs="Times New Roman"/>
                <w:b/>
                <w:u w:val="single"/>
              </w:rPr>
              <w:t xml:space="preserve">АТ «ДТЕК ДОНЕЦЬКІ ЕЛЕКТРОМЕРЕЖІ» (лист від 22.07.2026 № 06/8954-вих), </w:t>
            </w:r>
            <w:r w:rsidRPr="005A615E">
              <w:rPr>
                <w:rFonts w:ascii="Times New Roman" w:hAnsi="Times New Roman" w:cs="Times New Roman"/>
                <w:b/>
                <w:u w:val="single"/>
              </w:rPr>
              <w:br/>
              <w:t xml:space="preserve">АТ «ДТЕК ОДЕСЬКІ ЕЛЕКТРОМЕРЕЖІ» (лист від 22.07.2026 № 101/04/03-9309), </w:t>
            </w:r>
            <w:r w:rsidRPr="005A615E">
              <w:rPr>
                <w:rFonts w:ascii="Times New Roman" w:hAnsi="Times New Roman" w:cs="Times New Roman"/>
                <w:b/>
                <w:u w:val="single"/>
              </w:rPr>
              <w:br/>
              <w:t xml:space="preserve">АТ «ДТЕК ДНІПРОВСЬКІ ЛЕКТРОМЕРЕЖІ» (лист від 22.07.2026 № 38539/1001), </w:t>
            </w:r>
            <w:r w:rsidRPr="005A615E">
              <w:rPr>
                <w:rFonts w:ascii="Times New Roman" w:hAnsi="Times New Roman" w:cs="Times New Roman"/>
                <w:b/>
                <w:u w:val="single"/>
              </w:rPr>
              <w:br/>
              <w:t xml:space="preserve">АТ «ТЕРНОПІЛЬОБЛЕНЕРГО» </w:t>
            </w:r>
            <w:r w:rsidRPr="005A615E">
              <w:rPr>
                <w:rFonts w:ascii="Times New Roman" w:hAnsi="Times New Roman" w:cs="Times New Roman"/>
                <w:b/>
                <w:u w:val="single"/>
              </w:rPr>
              <w:br/>
              <w:t>(лист від 24.07.2026 № 4428/7),</w:t>
            </w:r>
            <w:r w:rsidRPr="005A615E">
              <w:rPr>
                <w:rFonts w:ascii="Times New Roman" w:hAnsi="Times New Roman" w:cs="Times New Roman"/>
                <w:u w:val="single"/>
              </w:rPr>
              <w:t xml:space="preserve"> </w:t>
            </w:r>
            <w:r w:rsidRPr="005A615E">
              <w:rPr>
                <w:rFonts w:ascii="Times New Roman" w:hAnsi="Times New Roman" w:cs="Times New Roman"/>
                <w:u w:val="single"/>
              </w:rPr>
              <w:br/>
            </w:r>
            <w:r w:rsidRPr="005A615E">
              <w:rPr>
                <w:rFonts w:ascii="Times New Roman" w:hAnsi="Times New Roman" w:cs="Times New Roman"/>
                <w:b/>
                <w:u w:val="single"/>
              </w:rPr>
              <w:t xml:space="preserve">АТ «ХАРКІВОБЛЕНЕРГО» </w:t>
            </w:r>
            <w:r w:rsidRPr="005A615E">
              <w:rPr>
                <w:rFonts w:ascii="Times New Roman" w:hAnsi="Times New Roman" w:cs="Times New Roman"/>
                <w:b/>
                <w:u w:val="single"/>
              </w:rPr>
              <w:br/>
              <w:t>(лист від 27.07.2026 № 02-34/7102),</w:t>
            </w:r>
            <w:r w:rsidRPr="005A615E">
              <w:rPr>
                <w:rFonts w:ascii="Times New Roman" w:hAnsi="Times New Roman" w:cs="Times New Roman"/>
                <w:u w:val="single"/>
              </w:rPr>
              <w:t xml:space="preserve"> </w:t>
            </w:r>
            <w:r w:rsidRPr="005A615E">
              <w:rPr>
                <w:rFonts w:ascii="Times New Roman" w:hAnsi="Times New Roman" w:cs="Times New Roman"/>
                <w:u w:val="single"/>
              </w:rPr>
              <w:br/>
            </w:r>
            <w:r w:rsidRPr="005A615E">
              <w:rPr>
                <w:rFonts w:ascii="Times New Roman" w:hAnsi="Times New Roman" w:cs="Times New Roman"/>
                <w:b/>
                <w:u w:val="single"/>
              </w:rPr>
              <w:t xml:space="preserve">АТ «УКРАЇНСЬКІ РОЗПОДІЛЬНІ МЕРЕЖІ» (лист від 27.07.2026 № 27/07/26-2), </w:t>
            </w:r>
            <w:r w:rsidRPr="005A615E">
              <w:rPr>
                <w:rFonts w:ascii="Times New Roman" w:hAnsi="Times New Roman" w:cs="Times New Roman"/>
                <w:b/>
                <w:u w:val="single"/>
              </w:rPr>
              <w:br/>
              <w:t>АТ «ХМЕЛЬНИЦЬКОБЛЕНЕРГО»</w:t>
            </w:r>
            <w:r w:rsidRPr="005A615E">
              <w:rPr>
                <w:rFonts w:ascii="Times New Roman" w:hAnsi="Times New Roman" w:cs="Times New Roman"/>
                <w:b/>
                <w:u w:val="single"/>
              </w:rPr>
              <w:br/>
              <w:t>(лист від 27.07.2026 № 4-6209-0201/26),</w:t>
            </w:r>
            <w:r w:rsidRPr="005A615E">
              <w:rPr>
                <w:rFonts w:ascii="Times New Roman" w:hAnsi="Times New Roman" w:cs="Times New Roman"/>
                <w:u w:val="single"/>
              </w:rPr>
              <w:t xml:space="preserve"> </w:t>
            </w:r>
            <w:r w:rsidRPr="005A615E">
              <w:rPr>
                <w:rFonts w:ascii="Times New Roman" w:hAnsi="Times New Roman" w:cs="Times New Roman"/>
                <w:u w:val="single"/>
              </w:rPr>
              <w:br/>
            </w:r>
            <w:r w:rsidRPr="005A615E">
              <w:rPr>
                <w:rFonts w:ascii="Times New Roman" w:hAnsi="Times New Roman" w:cs="Times New Roman"/>
                <w:b/>
                <w:u w:val="single"/>
              </w:rPr>
              <w:t>АТ «ЧЕРКАСИОБЛЕНЕРГО»</w:t>
            </w:r>
            <w:r w:rsidRPr="005A615E">
              <w:rPr>
                <w:rFonts w:ascii="Times New Roman" w:eastAsia="Times New Roman" w:hAnsi="Times New Roman" w:cs="Times New Roman"/>
                <w:u w:val="single"/>
                <w:lang w:eastAsia="ru-RU"/>
              </w:rPr>
              <w:t xml:space="preserve"> </w:t>
            </w:r>
            <w:r w:rsidRPr="005A615E">
              <w:rPr>
                <w:rFonts w:ascii="Times New Roman" w:eastAsia="Times New Roman" w:hAnsi="Times New Roman" w:cs="Times New Roman"/>
                <w:u w:val="single"/>
                <w:lang w:eastAsia="ru-RU"/>
              </w:rPr>
              <w:br/>
            </w:r>
            <w:r w:rsidRPr="005A615E">
              <w:rPr>
                <w:rFonts w:ascii="Times New Roman" w:hAnsi="Times New Roman" w:cs="Times New Roman"/>
                <w:b/>
                <w:u w:val="single"/>
              </w:rPr>
              <w:t>(лист від 30.07.2026 № 6957/04/2026 (ПОДАНО НЕ В СТРОК)</w:t>
            </w:r>
          </w:p>
          <w:p w:rsidR="00CF2AC1" w:rsidRPr="005A615E" w:rsidRDefault="00CF2AC1" w:rsidP="00CF2AC1">
            <w:pPr>
              <w:jc w:val="both"/>
              <w:rPr>
                <w:rFonts w:ascii="Times New Roman" w:hAnsi="Times New Roman" w:cs="Times New Roman"/>
                <w:b/>
                <w:u w:val="single"/>
              </w:rPr>
            </w:pP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 xml:space="preserve">2) регуляторна норма доходу на регуляторну базу активів, яка створена після переходу на стимулююче регулювання – </w:t>
            </w:r>
            <w:r w:rsidRPr="005A615E">
              <w:rPr>
                <w:rFonts w:ascii="Times New Roman" w:hAnsi="Times New Roman" w:cs="Times New Roman"/>
                <w:b/>
              </w:rPr>
              <w:t>0,22 (актуальний показник WACC) відносних одиниць (для 2027 року – 0,1911</w:t>
            </w:r>
            <w:r w:rsidRPr="005A615E">
              <w:rPr>
                <w:rFonts w:ascii="Times New Roman" w:hAnsi="Times New Roman" w:cs="Times New Roman"/>
              </w:rPr>
              <w:t xml:space="preserve"> відносних одиниць), крім ліцензіатів, перелік яких наведено в додатку 35 до Порядку встановлення (формування) </w:t>
            </w:r>
            <w:r w:rsidRPr="005A615E">
              <w:rPr>
                <w:rFonts w:ascii="Times New Roman" w:hAnsi="Times New Roman" w:cs="Times New Roman"/>
              </w:rPr>
              <w:lastRenderedPageBreak/>
              <w:t>тарифів, для яких регуляторна норма доходу на регуляторну базу активів, яка створена після переходу на стимулююче регулювання, у 2027 році становить 0 відносних одиниць;</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 xml:space="preserve">Регуляторна норма доходу на  регуляторну базу активів, яка створена після переходу на стимулююче регулювання з 16,74% була визначена НКРЕКП з урахуванням дії граничного рівня регуляторної норми доходу у сфері розподілу електроенергії (затверджено наказом Мінекономіки 21.04.2016  № 729), який визначено на рівні 19,11%, з урахуванням актуальних розрахунків </w:t>
            </w:r>
            <w:r w:rsidRPr="005A615E">
              <w:rPr>
                <w:rFonts w:ascii="Times New Roman" w:hAnsi="Times New Roman" w:cs="Times New Roman"/>
                <w:lang w:val="en-US"/>
              </w:rPr>
              <w:t>WACC</w:t>
            </w:r>
            <w:r w:rsidRPr="005A615E">
              <w:rPr>
                <w:rFonts w:ascii="Times New Roman" w:hAnsi="Times New Roman" w:cs="Times New Roman"/>
              </w:rPr>
              <w:t xml:space="preserve">. </w:t>
            </w:r>
          </w:p>
          <w:p w:rsidR="00CF2AC1" w:rsidRPr="005A615E" w:rsidRDefault="00CF2AC1" w:rsidP="00CF2AC1">
            <w:pPr>
              <w:ind w:firstLine="308"/>
              <w:jc w:val="both"/>
              <w:rPr>
                <w:rFonts w:ascii="Times New Roman" w:hAnsi="Times New Roman" w:cs="Times New Roman"/>
              </w:rPr>
            </w:pPr>
            <w:r w:rsidRPr="005A615E">
              <w:rPr>
                <w:rFonts w:ascii="Times New Roman" w:hAnsi="Times New Roman" w:cs="Times New Roman"/>
              </w:rPr>
              <w:t xml:space="preserve">Наразі, за експертними оцінками, актуальний рівень </w:t>
            </w:r>
            <w:r w:rsidRPr="005A615E">
              <w:rPr>
                <w:rFonts w:ascii="Times New Roman" w:hAnsi="Times New Roman" w:cs="Times New Roman"/>
                <w:lang w:val="en-US"/>
              </w:rPr>
              <w:t>WACC</w:t>
            </w:r>
            <w:r w:rsidRPr="005A615E">
              <w:rPr>
                <w:rFonts w:ascii="Times New Roman" w:hAnsi="Times New Roman" w:cs="Times New Roman"/>
              </w:rPr>
              <w:t xml:space="preserve"> </w:t>
            </w:r>
            <w:r w:rsidRPr="005A615E">
              <w:rPr>
                <w:rFonts w:ascii="Times New Roman" w:hAnsi="Times New Roman" w:cs="Times New Roman"/>
                <w:u w:val="single"/>
              </w:rPr>
              <w:t>становить орієнтовно 22%</w:t>
            </w:r>
            <w:r w:rsidRPr="005A615E">
              <w:rPr>
                <w:rFonts w:ascii="Times New Roman" w:hAnsi="Times New Roman" w:cs="Times New Roman"/>
              </w:rPr>
              <w:t xml:space="preserve">, що перевищує показник граничного рівня норми доходу (WACC), визначений наказом Мінекономіки від 21.04.2016 № 729 (19,11 %) та постановою НКРЕКП 23.07.2013 №1009 (16,74%). </w:t>
            </w:r>
          </w:p>
          <w:p w:rsidR="00CF2AC1" w:rsidRPr="005A615E" w:rsidRDefault="00CF2AC1" w:rsidP="00CF2AC1">
            <w:pPr>
              <w:ind w:firstLine="308"/>
              <w:jc w:val="both"/>
              <w:rPr>
                <w:rFonts w:ascii="Times New Roman" w:hAnsi="Times New Roman" w:cs="Times New Roman"/>
              </w:rPr>
            </w:pPr>
            <w:r w:rsidRPr="005A615E">
              <w:rPr>
                <w:rFonts w:ascii="Times New Roman" w:hAnsi="Times New Roman" w:cs="Times New Roman"/>
              </w:rPr>
              <w:t>З урахуванням суттєвої зміни з 2016 по 2026 рік основних показників, які вплинули на розрахунок WACC (зокрема премії за ризик країни, рівнів інфляції та інфляційних очікувань, вартості позикового капіталу тощо), з метою запровадження ефективних механізмів залучення інвестицій в галузь розподілу електроенергії, забезпечення ефективної приватизації, пропонується визначити показник регуляторної норми доходу на регуляторну базу активів, яка створена після переходу на стимулююче регулювання на рівні 0,22 (актуальна величина показника WACC) відносних одиниць (для 2027 року – 0,1911 відносних одиниць).</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 xml:space="preserve">Варто відзначити, що запропонована НКРЕКП РНД на нову базу активів - 3% не стимулює до вкладення інвестицій, тому що навіть облікова ставка НБУ 15%, а WACC складає близько 22%. Це не створює стимулів </w:t>
            </w:r>
            <w:r w:rsidRPr="005A615E">
              <w:rPr>
                <w:rFonts w:ascii="Times New Roman" w:hAnsi="Times New Roman" w:cs="Times New Roman"/>
              </w:rPr>
              <w:lastRenderedPageBreak/>
              <w:t>для інвестору вигідніше вкладатися в ОВДП (облігації внутрішньої державної позики), ніж в модернізацію розподільчих мереж.</w:t>
            </w:r>
          </w:p>
          <w:p w:rsidR="00CF2AC1" w:rsidRPr="005A615E" w:rsidRDefault="00CF2AC1" w:rsidP="00CF2AC1">
            <w:pPr>
              <w:shd w:val="clear" w:color="auto" w:fill="FFFFFF"/>
              <w:jc w:val="both"/>
              <w:rPr>
                <w:rFonts w:ascii="Times New Roman" w:hAnsi="Times New Roman" w:cs="Times New Roman"/>
              </w:rPr>
            </w:pPr>
          </w:p>
          <w:p w:rsidR="00CF2AC1" w:rsidRPr="005A615E" w:rsidRDefault="00CF2AC1" w:rsidP="00CF2AC1">
            <w:pPr>
              <w:rPr>
                <w:rFonts w:ascii="Times New Roman" w:hAnsi="Times New Roman" w:cs="Times New Roman"/>
                <w:b/>
                <w:u w:val="single"/>
              </w:rPr>
            </w:pPr>
            <w:r w:rsidRPr="005A615E">
              <w:rPr>
                <w:rFonts w:ascii="Times New Roman" w:hAnsi="Times New Roman" w:cs="Times New Roman"/>
                <w:b/>
                <w:u w:val="single"/>
              </w:rPr>
              <w:t xml:space="preserve">ПрАТ «РІВНЕОБЛЕНЕРГО» </w:t>
            </w:r>
            <w:r w:rsidRPr="005A615E">
              <w:rPr>
                <w:rFonts w:ascii="Times New Roman" w:hAnsi="Times New Roman" w:cs="Times New Roman"/>
                <w:b/>
                <w:u w:val="single"/>
              </w:rPr>
              <w:br/>
              <w:t xml:space="preserve">(лист від 24.07.2026 № 46-08/7070), </w:t>
            </w:r>
            <w:r w:rsidRPr="005A615E">
              <w:rPr>
                <w:rFonts w:ascii="Times New Roman" w:hAnsi="Times New Roman" w:cs="Times New Roman"/>
                <w:b/>
                <w:u w:val="single"/>
              </w:rPr>
              <w:br/>
              <w:t xml:space="preserve">АТ «ЧЕРНІВЦІОБЛЕНЕРГО» </w:t>
            </w:r>
            <w:r w:rsidRPr="005A615E">
              <w:rPr>
                <w:rFonts w:ascii="Times New Roman" w:hAnsi="Times New Roman" w:cs="Times New Roman"/>
                <w:b/>
                <w:u w:val="single"/>
              </w:rPr>
              <w:br/>
              <w:t xml:space="preserve">(лист від 24.07.2026  № 19/1-02/3604), </w:t>
            </w:r>
            <w:r w:rsidRPr="005A615E">
              <w:rPr>
                <w:rFonts w:ascii="Times New Roman" w:hAnsi="Times New Roman" w:cs="Times New Roman"/>
                <w:b/>
                <w:u w:val="single"/>
              </w:rPr>
              <w:br/>
              <w:t xml:space="preserve">ПрАТ «КІРОВОГРАДОБЛЕНЕРГО» </w:t>
            </w:r>
            <w:r w:rsidRPr="005A615E">
              <w:rPr>
                <w:rFonts w:ascii="Times New Roman" w:hAnsi="Times New Roman" w:cs="Times New Roman"/>
                <w:b/>
                <w:u w:val="single"/>
              </w:rPr>
              <w:br/>
              <w:t xml:space="preserve">(лист від 27.07.2026  № 3919/05/34), </w:t>
            </w:r>
            <w:r w:rsidRPr="005A615E">
              <w:rPr>
                <w:rFonts w:ascii="Times New Roman" w:hAnsi="Times New Roman" w:cs="Times New Roman"/>
                <w:b/>
                <w:u w:val="single"/>
              </w:rPr>
              <w:br/>
              <w:t xml:space="preserve">АТ «ЖИТОМИРОБЛЕНЕРГО» </w:t>
            </w:r>
            <w:r w:rsidRPr="005A615E">
              <w:rPr>
                <w:rFonts w:ascii="Times New Roman" w:hAnsi="Times New Roman" w:cs="Times New Roman"/>
                <w:b/>
                <w:u w:val="single"/>
              </w:rPr>
              <w:br/>
              <w:t>(лист від 27.07.2026  № 05/24560)</w:t>
            </w:r>
          </w:p>
          <w:p w:rsidR="00CF2AC1" w:rsidRPr="005A615E" w:rsidRDefault="00CF2AC1" w:rsidP="00CF2AC1">
            <w:pPr>
              <w:rPr>
                <w:rFonts w:ascii="Times New Roman" w:hAnsi="Times New Roman" w:cs="Times New Roman"/>
                <w:b/>
                <w:u w:val="single"/>
              </w:rPr>
            </w:pP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2) регуляторна норма доходу на регуляторну базу активів, яка створена після переходу на стимулююче регулювання – 0,1674 відносних одиниць (для 2027 року – 0,03 відносних одиниць)</w:t>
            </w:r>
            <w:r w:rsidRPr="005A615E">
              <w:rPr>
                <w:rFonts w:ascii="Times New Roman" w:hAnsi="Times New Roman" w:cs="Times New Roman"/>
                <w:b/>
                <w:strike/>
              </w:rPr>
              <w:t>,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після переходу на стимулююче регулювання, у 2027 році становить 0 відносних одиниць</w:t>
            </w:r>
            <w:r w:rsidRPr="005A615E">
              <w:rPr>
                <w:rFonts w:ascii="Times New Roman" w:hAnsi="Times New Roman" w:cs="Times New Roman"/>
              </w:rPr>
              <w:t>;</w:t>
            </w:r>
          </w:p>
          <w:p w:rsidR="00CF2AC1" w:rsidRPr="005A615E" w:rsidRDefault="00CF2AC1" w:rsidP="00CF2AC1">
            <w:pPr>
              <w:pStyle w:val="rvps2"/>
              <w:spacing w:beforeAutospacing="0" w:afterAutospacing="0"/>
              <w:jc w:val="both"/>
              <w:rPr>
                <w:b/>
                <w:i/>
                <w:sz w:val="22"/>
                <w:szCs w:val="22"/>
                <w:u w:val="single"/>
                <w:lang w:val="uk-UA"/>
              </w:rPr>
            </w:pPr>
          </w:p>
          <w:p w:rsidR="00CF2AC1" w:rsidRPr="005A615E" w:rsidRDefault="00CF2AC1" w:rsidP="00CF2AC1">
            <w:pPr>
              <w:pStyle w:val="rvps2"/>
              <w:spacing w:beforeAutospacing="0" w:afterAutospacing="0"/>
              <w:jc w:val="both"/>
              <w:rPr>
                <w:b/>
                <w:i/>
                <w:sz w:val="22"/>
                <w:szCs w:val="22"/>
                <w:u w:val="single"/>
                <w:lang w:val="uk-UA"/>
              </w:rPr>
            </w:pPr>
            <w:r w:rsidRPr="005A615E">
              <w:rPr>
                <w:b/>
                <w:i/>
                <w:sz w:val="22"/>
                <w:szCs w:val="22"/>
                <w:u w:val="single"/>
                <w:lang w:val="uk-UA"/>
              </w:rPr>
              <w:t>Обгрунтування</w:t>
            </w:r>
            <w:r w:rsidRPr="005A615E">
              <w:rPr>
                <w:b/>
                <w:i/>
                <w:sz w:val="22"/>
                <w:szCs w:val="22"/>
                <w:u w:val="single"/>
                <w:lang w:val="uk-UA"/>
              </w:rPr>
              <w:br/>
            </w:r>
            <w:r w:rsidRPr="005A615E">
              <w:rPr>
                <w:b/>
                <w:sz w:val="22"/>
                <w:szCs w:val="22"/>
                <w:u w:val="single"/>
                <w:lang w:val="uk-UA"/>
              </w:rPr>
              <w:t>ПрАТ «РІВНЕОБЛЕНЕРГО»</w:t>
            </w:r>
          </w:p>
          <w:p w:rsidR="00CF2AC1" w:rsidRPr="005A615E" w:rsidRDefault="00CF2AC1" w:rsidP="00CF2AC1">
            <w:pPr>
              <w:suppressAutoHyphens/>
              <w:spacing w:line="257" w:lineRule="auto"/>
              <w:jc w:val="both"/>
              <w:rPr>
                <w:rFonts w:ascii="Times New Roman" w:hAnsi="Times New Roman" w:cs="Times New Roman"/>
                <w:lang w:eastAsia="ar-SA"/>
              </w:rPr>
            </w:pPr>
            <w:r w:rsidRPr="005A615E">
              <w:rPr>
                <w:rFonts w:ascii="Times New Roman" w:hAnsi="Times New Roman" w:cs="Times New Roman"/>
                <w:lang w:eastAsia="ar-SA"/>
              </w:rPr>
              <w:t xml:space="preserve">Звертаємо увагу, що ОСР, визначені у Додатку 35 вже три роки поспіль здійснюють діяльність в особливо обтяжених умовах першого регуляторного періоду - повна відсутність норми доходу на РБА у 2023-2026 </w:t>
            </w:r>
            <w:r w:rsidRPr="005A615E">
              <w:rPr>
                <w:rFonts w:ascii="Times New Roman" w:hAnsi="Times New Roman" w:cs="Times New Roman"/>
                <w:lang w:eastAsia="ar-SA"/>
              </w:rPr>
              <w:lastRenderedPageBreak/>
              <w:t>роках призвела до суттєвого відставання в інвестиціях та модернізації мереж, не виконання заходів, передбачених програмою модернізації вузлів обліку електричної енергії, Планом перспективного розвитку ОСР, та як наслідок - неможливість забезпечення належного контролю та фіксації за показником якості електропостачання SAIDI в автоматичному режимі на базі побудованої системи SCADA (OMS, DMS модулі).</w:t>
            </w:r>
          </w:p>
          <w:p w:rsidR="00CF2AC1" w:rsidRPr="005A615E" w:rsidRDefault="00CF2AC1" w:rsidP="00CF2AC1">
            <w:pPr>
              <w:suppressAutoHyphens/>
              <w:spacing w:line="257" w:lineRule="auto"/>
              <w:jc w:val="both"/>
              <w:rPr>
                <w:rFonts w:ascii="Times New Roman" w:hAnsi="Times New Roman" w:cs="Times New Roman"/>
                <w:lang w:eastAsia="ar-SA"/>
              </w:rPr>
            </w:pPr>
            <w:r w:rsidRPr="005A615E">
              <w:rPr>
                <w:rFonts w:ascii="Times New Roman" w:hAnsi="Times New Roman" w:cs="Times New Roman"/>
                <w:lang w:eastAsia="ar-SA"/>
              </w:rPr>
              <w:t>Подальше з 2027 року визначення Регулятором різного рівня регуляторної норми доходу на регуляторну базу активів між ОСР України призведе до поглиблення «відставання» окремих ОСР до яких застосовані особливі економічні і регуляторні  обмеження, ще більшого викривлення загального рівня розвитку таких ОСР, а також їх фінансового та технічного стану.</w:t>
            </w:r>
          </w:p>
          <w:p w:rsidR="00CF2AC1" w:rsidRPr="005A615E" w:rsidRDefault="00CF2AC1" w:rsidP="00CF2AC1">
            <w:pPr>
              <w:suppressAutoHyphens/>
              <w:spacing w:line="257" w:lineRule="auto"/>
              <w:jc w:val="both"/>
              <w:rPr>
                <w:rFonts w:ascii="Times New Roman" w:hAnsi="Times New Roman" w:cs="Times New Roman"/>
                <w:lang w:eastAsia="ar-SA"/>
              </w:rPr>
            </w:pPr>
            <w:r w:rsidRPr="005A615E">
              <w:rPr>
                <w:rFonts w:ascii="Times New Roman" w:hAnsi="Times New Roman" w:cs="Times New Roman"/>
                <w:lang w:eastAsia="ar-SA"/>
              </w:rPr>
              <w:t xml:space="preserve">До того ж, зменшений рівень прибутку на «стару» РБА не дозволить досягти необхідних вимог другого регуляторного періоду, визначеного у запропонованих змінах до постанови НКРЕКП від 26.07.2013 року №1029 в частині довиконання протягом другого регуляторного періоду невиконаних обсягів інвестиційних програм першого регуляторного періоду. </w:t>
            </w:r>
          </w:p>
          <w:p w:rsidR="00CF2AC1" w:rsidRPr="005A615E" w:rsidRDefault="00CF2AC1" w:rsidP="00CF2AC1">
            <w:pPr>
              <w:suppressAutoHyphens/>
              <w:spacing w:line="257" w:lineRule="auto"/>
              <w:jc w:val="both"/>
              <w:rPr>
                <w:rFonts w:ascii="Times New Roman" w:hAnsi="Times New Roman" w:cs="Times New Roman"/>
                <w:lang w:eastAsia="ar-SA"/>
              </w:rPr>
            </w:pPr>
            <w:r w:rsidRPr="005A615E">
              <w:rPr>
                <w:rFonts w:ascii="Times New Roman" w:hAnsi="Times New Roman" w:cs="Times New Roman"/>
                <w:lang w:eastAsia="ar-SA"/>
              </w:rPr>
              <w:t xml:space="preserve">Тому, </w:t>
            </w:r>
            <w:r w:rsidRPr="005A615E">
              <w:rPr>
                <w:rFonts w:ascii="Times New Roman" w:hAnsi="Times New Roman" w:cs="Times New Roman"/>
                <w:b/>
                <w:lang w:eastAsia="ar-SA"/>
              </w:rPr>
              <w:t xml:space="preserve">висловлюємо прохання встановити для ОСР в Додатку 35 однаковий рівень норми доходу на РБА як для решти ліцензіатів України </w:t>
            </w:r>
            <w:r w:rsidRPr="005A615E">
              <w:rPr>
                <w:rFonts w:ascii="Times New Roman" w:hAnsi="Times New Roman" w:cs="Times New Roman"/>
                <w:lang w:eastAsia="ar-SA"/>
              </w:rPr>
              <w:t>та повернути недоотриману  норму прибутку за І регуляторний період разом із джерелами ІП (50% прибутку на стару РБА) для можливості довиконання ІП для досягнення цільових показників.</w:t>
            </w:r>
          </w:p>
          <w:p w:rsidR="00CF2AC1" w:rsidRPr="005A615E" w:rsidRDefault="00CF2AC1" w:rsidP="00CF2AC1">
            <w:pPr>
              <w:suppressAutoHyphens/>
              <w:spacing w:line="257" w:lineRule="auto"/>
              <w:jc w:val="both"/>
              <w:rPr>
                <w:rFonts w:ascii="Times New Roman" w:hAnsi="Times New Roman" w:cs="Times New Roman"/>
                <w:b/>
                <w:shd w:val="clear" w:color="auto" w:fill="FFFFFF"/>
                <w:lang w:eastAsia="ar-SA"/>
              </w:rPr>
            </w:pPr>
            <w:r w:rsidRPr="005A615E">
              <w:rPr>
                <w:rFonts w:ascii="Times New Roman" w:hAnsi="Times New Roman" w:cs="Times New Roman"/>
                <w:lang w:eastAsia="ar-SA"/>
              </w:rPr>
              <w:t xml:space="preserve">У </w:t>
            </w:r>
            <w:r w:rsidRPr="005A615E">
              <w:rPr>
                <w:rFonts w:ascii="Times New Roman" w:hAnsi="Times New Roman" w:cs="Times New Roman"/>
                <w:shd w:val="clear" w:color="auto" w:fill="FFFFFF"/>
                <w:lang w:eastAsia="ar-SA"/>
              </w:rPr>
              <w:t xml:space="preserve">зв’язку із недоотриманням Товариством прибутку за 2024-2026 роки, спричиненого окремим регуляторним підходом НКРЕКП, виникає необхідність застосування </w:t>
            </w:r>
            <w:r w:rsidRPr="005A615E">
              <w:rPr>
                <w:rFonts w:ascii="Times New Roman" w:hAnsi="Times New Roman" w:cs="Times New Roman"/>
                <w:u w:val="single"/>
                <w:shd w:val="clear" w:color="auto" w:fill="FFFFFF"/>
                <w:lang w:eastAsia="ar-SA"/>
              </w:rPr>
              <w:t>особливих умов</w:t>
            </w:r>
            <w:r w:rsidRPr="005A615E">
              <w:rPr>
                <w:rFonts w:ascii="Times New Roman" w:hAnsi="Times New Roman" w:cs="Times New Roman"/>
                <w:shd w:val="clear" w:color="auto" w:fill="FFFFFF"/>
                <w:lang w:eastAsia="ar-SA"/>
              </w:rPr>
              <w:t xml:space="preserve"> до ОСР, наведених у додатку 35. </w:t>
            </w:r>
            <w:r w:rsidRPr="005A615E">
              <w:rPr>
                <w:rFonts w:ascii="Times New Roman" w:hAnsi="Times New Roman" w:cs="Times New Roman"/>
                <w:b/>
                <w:shd w:val="clear" w:color="auto" w:fill="FFFFFF"/>
                <w:lang w:eastAsia="ar-SA"/>
              </w:rPr>
              <w:t xml:space="preserve">З огляду на вказане, просимо загальний показник </w:t>
            </w:r>
            <w:r w:rsidRPr="005A615E">
              <w:rPr>
                <w:rFonts w:ascii="Times New Roman" w:hAnsi="Times New Roman" w:cs="Times New Roman"/>
                <w:b/>
                <w:shd w:val="clear" w:color="auto" w:fill="FFFFFF"/>
                <w:lang w:eastAsia="ar-SA"/>
              </w:rPr>
              <w:lastRenderedPageBreak/>
              <w:t>ефективності для ОСР додатку 35 визначати на нульовому рівні.</w:t>
            </w:r>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jc w:val="both"/>
              <w:rPr>
                <w:b/>
                <w:sz w:val="22"/>
                <w:szCs w:val="22"/>
                <w:u w:val="single"/>
                <w:lang w:val="uk-UA"/>
              </w:rPr>
            </w:pPr>
            <w:r w:rsidRPr="005A615E">
              <w:rPr>
                <w:b/>
                <w:i/>
                <w:sz w:val="22"/>
                <w:szCs w:val="22"/>
                <w:u w:val="single"/>
                <w:lang w:val="uk-UA"/>
              </w:rPr>
              <w:t xml:space="preserve">Обгрунтування </w:t>
            </w:r>
            <w:r w:rsidRPr="005A615E">
              <w:rPr>
                <w:b/>
                <w:i/>
                <w:sz w:val="22"/>
                <w:szCs w:val="22"/>
                <w:u w:val="single"/>
                <w:lang w:val="uk-UA"/>
              </w:rPr>
              <w:br/>
            </w:r>
            <w:r w:rsidRPr="005A615E">
              <w:rPr>
                <w:b/>
                <w:sz w:val="22"/>
                <w:szCs w:val="22"/>
                <w:u w:val="single"/>
                <w:lang w:val="uk-UA"/>
              </w:rPr>
              <w:t>АТ«ЧЕРНІВЦІОБЛЕНЕРГО»</w:t>
            </w:r>
          </w:p>
          <w:p w:rsidR="00CF2AC1" w:rsidRPr="005A615E" w:rsidRDefault="00CF2AC1" w:rsidP="00CF2AC1">
            <w:pPr>
              <w:suppressAutoHyphens/>
              <w:ind w:firstLine="35"/>
              <w:jc w:val="both"/>
              <w:rPr>
                <w:rFonts w:ascii="Times New Roman" w:hAnsi="Times New Roman" w:cs="Times New Roman"/>
                <w:shd w:val="clear" w:color="auto" w:fill="FFFFFF"/>
                <w:lang w:eastAsia="ar-SA"/>
              </w:rPr>
            </w:pPr>
            <w:r w:rsidRPr="005A615E">
              <w:rPr>
                <w:rFonts w:ascii="Times New Roman" w:hAnsi="Times New Roman" w:cs="Times New Roman"/>
                <w:shd w:val="clear" w:color="auto" w:fill="FFFFFF"/>
                <w:lang w:eastAsia="ar-SA"/>
              </w:rPr>
              <w:t>АТ «ЧЕРНІВЦІОБЛЕНЕРГО», листом від 14.05.2026 №19/1-02/2644 повідомляло НКРЕКП про те, що відповідно до Витягу з Державного реєстру санкцій до Товариства не застосовано будь-яких персональних спеціальних економічних та інших обмежувальні заходів (санкції).</w:t>
            </w:r>
          </w:p>
          <w:p w:rsidR="00CF2AC1" w:rsidRPr="005A615E" w:rsidRDefault="00CF2AC1" w:rsidP="00CF2AC1">
            <w:pPr>
              <w:suppressAutoHyphens/>
              <w:ind w:firstLine="226"/>
              <w:jc w:val="both"/>
              <w:rPr>
                <w:rFonts w:ascii="Times New Roman" w:hAnsi="Times New Roman" w:cs="Times New Roman"/>
                <w:shd w:val="clear" w:color="auto" w:fill="FFFFFF"/>
                <w:lang w:eastAsia="ar-SA"/>
              </w:rPr>
            </w:pPr>
          </w:p>
          <w:p w:rsidR="00CF2AC1" w:rsidRPr="005A615E" w:rsidRDefault="00CF2AC1" w:rsidP="00CF2AC1">
            <w:pPr>
              <w:pStyle w:val="rvps2"/>
              <w:spacing w:beforeAutospacing="0" w:afterAutospacing="0"/>
              <w:jc w:val="both"/>
              <w:rPr>
                <w:b/>
                <w:sz w:val="22"/>
                <w:szCs w:val="22"/>
                <w:u w:val="single"/>
                <w:lang w:val="uk-UA"/>
              </w:rPr>
            </w:pPr>
            <w:r w:rsidRPr="005A615E">
              <w:rPr>
                <w:b/>
                <w:i/>
                <w:sz w:val="22"/>
                <w:szCs w:val="22"/>
                <w:u w:val="single"/>
                <w:lang w:val="uk-UA"/>
              </w:rPr>
              <w:t xml:space="preserve">Обгрунтування </w:t>
            </w:r>
            <w:r w:rsidRPr="005A615E">
              <w:rPr>
                <w:b/>
                <w:i/>
                <w:sz w:val="22"/>
                <w:szCs w:val="22"/>
                <w:u w:val="single"/>
                <w:lang w:val="uk-UA"/>
              </w:rPr>
              <w:br/>
            </w:r>
            <w:r w:rsidRPr="005A615E">
              <w:rPr>
                <w:b/>
                <w:sz w:val="22"/>
                <w:szCs w:val="22"/>
                <w:u w:val="single"/>
              </w:rPr>
              <w:t>ПрАТ «КІРОВОГРАДОБЛЕНЕРГО»</w:t>
            </w:r>
          </w:p>
          <w:p w:rsidR="00CF2AC1" w:rsidRPr="005A615E" w:rsidRDefault="00CF2AC1" w:rsidP="00CF2AC1">
            <w:pPr>
              <w:suppressAutoHyphens/>
              <w:spacing w:line="257" w:lineRule="auto"/>
              <w:jc w:val="both"/>
              <w:rPr>
                <w:rFonts w:ascii="Times New Roman" w:hAnsi="Times New Roman" w:cs="Times New Roman"/>
              </w:rPr>
            </w:pPr>
            <w:r w:rsidRPr="005A615E">
              <w:rPr>
                <w:rFonts w:ascii="Times New Roman" w:hAnsi="Times New Roman" w:cs="Times New Roman"/>
              </w:rPr>
              <w:t>Пропонуємо встановлювати параметри регулювання на загальних підставах. Відповідно до Витягу з Державного реєстру санкцій, сформованого 22 липня 2026 року санкційних дій по відношенню до ПрАТ «Кіровоградобленерго» не знайдено.</w:t>
            </w:r>
          </w:p>
          <w:p w:rsidR="00CF2AC1" w:rsidRPr="005A615E" w:rsidRDefault="00CF2AC1" w:rsidP="00CF2AC1">
            <w:pPr>
              <w:suppressAutoHyphens/>
              <w:ind w:firstLine="226"/>
              <w:jc w:val="both"/>
              <w:rPr>
                <w:rFonts w:ascii="Times New Roman" w:hAnsi="Times New Roman" w:cs="Times New Roman"/>
                <w:shd w:val="clear" w:color="auto" w:fill="FFFFFF"/>
                <w:lang w:eastAsia="ar-SA"/>
              </w:rPr>
            </w:pPr>
          </w:p>
          <w:p w:rsidR="00CF2AC1" w:rsidRPr="005A615E" w:rsidRDefault="00CF2AC1" w:rsidP="00CF2AC1">
            <w:pPr>
              <w:pStyle w:val="rvps2"/>
              <w:spacing w:beforeAutospacing="0" w:afterAutospacing="0"/>
              <w:jc w:val="both"/>
              <w:rPr>
                <w:b/>
                <w:sz w:val="22"/>
                <w:szCs w:val="22"/>
                <w:u w:val="single"/>
                <w:lang w:val="uk-UA"/>
              </w:rPr>
            </w:pPr>
            <w:r w:rsidRPr="005A615E">
              <w:rPr>
                <w:b/>
                <w:i/>
                <w:sz w:val="22"/>
                <w:szCs w:val="22"/>
                <w:u w:val="single"/>
                <w:lang w:val="uk-UA"/>
              </w:rPr>
              <w:t xml:space="preserve">Обгрунтування </w:t>
            </w:r>
            <w:r w:rsidRPr="005A615E">
              <w:rPr>
                <w:b/>
                <w:i/>
                <w:sz w:val="22"/>
                <w:szCs w:val="22"/>
                <w:u w:val="single"/>
                <w:lang w:val="uk-UA"/>
              </w:rPr>
              <w:br/>
            </w:r>
            <w:r w:rsidRPr="005A615E">
              <w:rPr>
                <w:b/>
                <w:sz w:val="22"/>
                <w:szCs w:val="22"/>
                <w:u w:val="single"/>
                <w:lang w:val="uk-UA"/>
              </w:rPr>
              <w:t>АТ «ЖИТОМИРОБЛЕНЕРГО»</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Визначення різного рівня регуляторної норми доходу на регуляторну базу активів між ОСР України призведе до поглиблення «відставання» окремих ОСР, ще більшого викривлення загального рівня розвитку ОСР, а також їх фінансового та технічного стану.</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До того ж, зменшений рівень прибутку на РБА0 не дозволить досягти необхідних вимог другого регуляторного періоду, визначеного у запропонованих змінах до постанови НКРЕКП від 26.07.2013 року №1029 в частині довиконання протягом другого регуляторного періоду невиконаних обсягів інвестиційних програм першого регуляторного періоду</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 xml:space="preserve">Так, для АТ «ЖИТОМИРОБЛЕНЕРГО» прогнозований рівень прибутку на РБА0 протягом </w:t>
            </w:r>
            <w:r w:rsidRPr="005A615E">
              <w:rPr>
                <w:rFonts w:ascii="Times New Roman" w:hAnsi="Times New Roman" w:cs="Times New Roman"/>
              </w:rPr>
              <w:lastRenderedPageBreak/>
              <w:t xml:space="preserve">2027-2031 років при регуляторній нормі доходу на рівні 0,015 відносних одиниць становитиме близько 600 млн.грн., при цьому, що </w:t>
            </w:r>
            <w:r w:rsidRPr="005A615E">
              <w:rPr>
                <w:rFonts w:ascii="Times New Roman" w:hAnsi="Times New Roman" w:cs="Times New Roman"/>
                <w:b/>
              </w:rPr>
              <w:t xml:space="preserve">сума недовиконання інвестиційних програм 2023-2025 років становить 850,33 млн.грн. </w:t>
            </w:r>
            <w:r w:rsidRPr="005A615E">
              <w:rPr>
                <w:rFonts w:ascii="Times New Roman" w:hAnsi="Times New Roman" w:cs="Times New Roman"/>
                <w:b/>
                <w:shd w:val="clear" w:color="auto" w:fill="FFFFFF"/>
              </w:rPr>
              <w:t>(враховуючи фактичні показники інфляції, зазначена сума, враховуючи період її виникнення, станом на початок 2026 року вже становить 1 062 млн.грн.)</w:t>
            </w:r>
            <w:r w:rsidRPr="005A615E">
              <w:rPr>
                <w:rFonts w:ascii="Times New Roman" w:hAnsi="Times New Roman" w:cs="Times New Roman"/>
                <w:b/>
              </w:rPr>
              <w:t>, що свідчитиме про вже попередньо закладену неможливість забезпечення у другому регуляторному періоді виконання вимог підпункту 3 пункту 3 Постанови НКРЕКП №1029</w:t>
            </w:r>
            <w:r w:rsidRPr="005A615E">
              <w:rPr>
                <w:rFonts w:ascii="Times New Roman" w:hAnsi="Times New Roman" w:cs="Times New Roman"/>
              </w:rPr>
              <w:t xml:space="preserve"> щодо необхідності довиконання інвестиційних програм першого регуляторного періоду. Більше того, зазначене не дозволить визначити прибуток джерелом фінансування поточних інвестиційних програм, </w:t>
            </w:r>
            <w:r w:rsidRPr="005A615E">
              <w:rPr>
                <w:rFonts w:ascii="Times New Roman" w:hAnsi="Times New Roman" w:cs="Times New Roman"/>
                <w:b/>
              </w:rPr>
              <w:t>що впливатиме на показники ефективності у другому регуляторному періоді, створює циклічне недофінансування інвестиційних програм та призводитиме до ще більшої різниці у стані розвитку між ОСР України та лише посилюватиме «відставання»</w:t>
            </w:r>
            <w:r w:rsidRPr="005A615E">
              <w:rPr>
                <w:rFonts w:ascii="Times New Roman" w:hAnsi="Times New Roman" w:cs="Times New Roman"/>
              </w:rPr>
              <w:t xml:space="preserve"> ОСР, які вже і так наразі діють в особливих умовах.</w:t>
            </w:r>
          </w:p>
          <w:p w:rsidR="00CF2AC1" w:rsidRPr="005A615E" w:rsidRDefault="00CF2AC1" w:rsidP="00CF2AC1">
            <w:pPr>
              <w:jc w:val="both"/>
              <w:rPr>
                <w:rFonts w:ascii="Times New Roman" w:hAnsi="Times New Roman" w:cs="Times New Roman"/>
                <w:shd w:val="clear" w:color="auto" w:fill="FFFFFF"/>
                <w:lang w:eastAsia="ar-SA"/>
              </w:rPr>
            </w:pPr>
            <w:r w:rsidRPr="005A615E">
              <w:rPr>
                <w:rFonts w:ascii="Times New Roman" w:hAnsi="Times New Roman" w:cs="Times New Roman"/>
              </w:rPr>
              <w:t>З огляду на вказане, вважаємо необхідним застосовувати однакові регуляторні умови для ОСР у другому регуляторному періоді та внести запропоновані зміни до підпункту 3 пункту 3 Постанови НКРЕКП №1029 з метою наближення урівноваження умов діяльності ОСР України між собою.</w:t>
            </w:r>
          </w:p>
          <w:p w:rsidR="00CF2AC1" w:rsidRPr="005A615E" w:rsidRDefault="00CF2AC1" w:rsidP="00CF2AC1">
            <w:pPr>
              <w:suppressAutoHyphens/>
              <w:ind w:firstLine="226"/>
              <w:jc w:val="both"/>
              <w:rPr>
                <w:rFonts w:ascii="Times New Roman" w:hAnsi="Times New Roman" w:cs="Times New Roman"/>
                <w:b/>
                <w:shd w:val="clear" w:color="auto" w:fill="FFFFFF"/>
                <w:lang w:eastAsia="ar-SA"/>
              </w:rPr>
            </w:pPr>
          </w:p>
          <w:p w:rsidR="00CF2AC1" w:rsidRPr="005A615E" w:rsidRDefault="00CF2AC1" w:rsidP="00CF2AC1">
            <w:pPr>
              <w:jc w:val="both"/>
              <w:rPr>
                <w:rFonts w:ascii="Times New Roman" w:hAnsi="Times New Roman" w:cs="Times New Roman"/>
                <w:b/>
                <w:u w:val="single"/>
              </w:rPr>
            </w:pPr>
            <w:r w:rsidRPr="005A615E">
              <w:rPr>
                <w:rFonts w:ascii="Times New Roman" w:hAnsi="Times New Roman" w:cs="Times New Roman"/>
                <w:b/>
                <w:u w:val="single"/>
              </w:rPr>
              <w:t xml:space="preserve">АТ «ЧЕРНІГІВОБЛЕНЕРГО» </w:t>
            </w:r>
            <w:r w:rsidRPr="005A615E">
              <w:rPr>
                <w:rFonts w:ascii="Times New Roman" w:hAnsi="Times New Roman" w:cs="Times New Roman"/>
                <w:b/>
                <w:u w:val="single"/>
              </w:rPr>
              <w:br/>
              <w:t>(лист від 24.07.2026 № 49/9422/01-14)</w:t>
            </w:r>
          </w:p>
          <w:p w:rsidR="00CF2AC1" w:rsidRPr="005A615E" w:rsidRDefault="00CF2AC1" w:rsidP="00CF2AC1">
            <w:pPr>
              <w:autoSpaceDE w:val="0"/>
              <w:autoSpaceDN w:val="0"/>
              <w:adjustRightInd w:val="0"/>
              <w:jc w:val="both"/>
              <w:rPr>
                <w:rFonts w:ascii="Times New Roman" w:hAnsi="Times New Roman" w:cs="Times New Roman"/>
              </w:rPr>
            </w:pPr>
            <w:r w:rsidRPr="005A615E">
              <w:rPr>
                <w:rFonts w:ascii="Times New Roman" w:hAnsi="Times New Roman" w:cs="Times New Roman"/>
              </w:rPr>
              <w:t xml:space="preserve">На сьогодні діюча норма доходу не дає можливості до залучення позикового капіталу та додатково інвестувати в модернізацію мереж. Пропонуємо </w:t>
            </w:r>
            <w:r w:rsidRPr="005A615E">
              <w:rPr>
                <w:rFonts w:ascii="Times New Roman" w:hAnsi="Times New Roman" w:cs="Times New Roman"/>
              </w:rPr>
              <w:lastRenderedPageBreak/>
              <w:t xml:space="preserve">розрахунок рівня  регуляторної норми доходу на регуляторну базу активів, яка створена після переходу на стимулююче регулювання прибутку прив’язати до актуального значення  </w:t>
            </w:r>
            <w:r w:rsidRPr="005A615E">
              <w:rPr>
                <w:rFonts w:ascii="Times New Roman" w:hAnsi="Times New Roman" w:cs="Times New Roman"/>
                <w:lang w:val="en-US"/>
              </w:rPr>
              <w:t>WACC</w:t>
            </w:r>
            <w:r w:rsidRPr="005A615E">
              <w:rPr>
                <w:rFonts w:ascii="Times New Roman" w:hAnsi="Times New Roman" w:cs="Times New Roman"/>
              </w:rPr>
              <w:t>.</w:t>
            </w:r>
          </w:p>
          <w:p w:rsidR="00CF2AC1" w:rsidRPr="005A615E" w:rsidRDefault="00CF2AC1" w:rsidP="00CF2AC1">
            <w:pPr>
              <w:autoSpaceDE w:val="0"/>
              <w:autoSpaceDN w:val="0"/>
              <w:adjustRightInd w:val="0"/>
              <w:jc w:val="both"/>
              <w:rPr>
                <w:rFonts w:ascii="Times New Roman" w:hAnsi="Times New Roman" w:cs="Times New Roman"/>
              </w:rPr>
            </w:pPr>
            <w:r w:rsidRPr="005A615E">
              <w:rPr>
                <w:rFonts w:ascii="Times New Roman" w:hAnsi="Times New Roman" w:cs="Times New Roman"/>
              </w:rPr>
              <w:t>Це дасть додаткову можливість для   відбудови пошкоджених мереж та обладнання в умовах воєнного часу.</w:t>
            </w:r>
          </w:p>
          <w:p w:rsidR="00CF2AC1" w:rsidRPr="005A615E" w:rsidRDefault="00CF2AC1" w:rsidP="00CF2AC1">
            <w:pPr>
              <w:autoSpaceDE w:val="0"/>
              <w:autoSpaceDN w:val="0"/>
              <w:adjustRightInd w:val="0"/>
              <w:jc w:val="both"/>
              <w:rPr>
                <w:rFonts w:ascii="Times New Roman" w:hAnsi="Times New Roman" w:cs="Times New Roman"/>
              </w:rPr>
            </w:pPr>
          </w:p>
          <w:p w:rsidR="00CF2AC1" w:rsidRPr="005A615E" w:rsidRDefault="00CF2AC1" w:rsidP="00CF2AC1">
            <w:pPr>
              <w:jc w:val="both"/>
              <w:rPr>
                <w:rFonts w:ascii="Times New Roman" w:hAnsi="Times New Roman" w:cs="Times New Roman"/>
                <w:b/>
                <w:u w:val="single"/>
              </w:rPr>
            </w:pPr>
            <w:r w:rsidRPr="005A615E">
              <w:rPr>
                <w:rFonts w:ascii="Times New Roman" w:hAnsi="Times New Roman" w:cs="Times New Roman"/>
                <w:b/>
                <w:u w:val="single"/>
              </w:rPr>
              <w:t>Громадська спілка «Розумні електромережі України» (лист від 24.07.2026  № 24-07/1)</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w:t>
            </w:r>
          </w:p>
          <w:p w:rsidR="00CF2AC1" w:rsidRPr="005A615E" w:rsidRDefault="00CF2AC1" w:rsidP="00CF2AC1">
            <w:pPr>
              <w:autoSpaceDE w:val="0"/>
              <w:autoSpaceDN w:val="0"/>
              <w:adjustRightInd w:val="0"/>
              <w:jc w:val="both"/>
              <w:rPr>
                <w:rFonts w:ascii="Times New Roman" w:hAnsi="Times New Roman" w:cs="Times New Roman"/>
                <w:b/>
                <w:strike/>
              </w:rPr>
            </w:pPr>
            <w:r w:rsidRPr="005A615E">
              <w:rPr>
                <w:rFonts w:ascii="Times New Roman" w:hAnsi="Times New Roman" w:cs="Times New Roman"/>
                <w:b/>
              </w:rPr>
              <w:t xml:space="preserve">2) </w:t>
            </w:r>
            <w:r w:rsidRPr="005A615E">
              <w:rPr>
                <w:rFonts w:ascii="Times New Roman" w:hAnsi="Times New Roman" w:cs="Times New Roman"/>
                <w:bCs/>
              </w:rPr>
              <w:t>регуляторна норма доходу на регуляторну базу активів, яка створена після переходу на стимулююче регулювання –</w:t>
            </w:r>
            <w:r w:rsidRPr="005A615E">
              <w:rPr>
                <w:rFonts w:ascii="Times New Roman" w:hAnsi="Times New Roman" w:cs="Times New Roman"/>
                <w:b/>
              </w:rPr>
              <w:t xml:space="preserve"> 0,22(актуальний показник </w:t>
            </w:r>
            <w:r w:rsidRPr="005A615E">
              <w:rPr>
                <w:rFonts w:ascii="Times New Roman" w:hAnsi="Times New Roman" w:cs="Times New Roman"/>
                <w:b/>
                <w:lang w:val="en-US"/>
              </w:rPr>
              <w:t>WACC</w:t>
            </w:r>
            <w:r w:rsidRPr="005A615E">
              <w:rPr>
                <w:rFonts w:ascii="Times New Roman" w:hAnsi="Times New Roman" w:cs="Times New Roman"/>
                <w:b/>
              </w:rPr>
              <w:t xml:space="preserve">) відносних одиниць (для 2027 року – 0,1911 відносних одиниць), </w:t>
            </w:r>
            <w:r w:rsidRPr="005A615E">
              <w:rPr>
                <w:rFonts w:ascii="Times New Roman" w:hAnsi="Times New Roman" w:cs="Times New Roman"/>
                <w:b/>
                <w:strike/>
              </w:rPr>
              <w:t>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після переходу на стимулююче регулювання, у 2027 році становить 0 відносних одиниць;</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pacing w:line="257" w:lineRule="auto"/>
              <w:jc w:val="both"/>
              <w:rPr>
                <w:rFonts w:ascii="Times New Roman" w:hAnsi="Times New Roman" w:cs="Times New Roman"/>
              </w:rPr>
            </w:pPr>
            <w:r w:rsidRPr="005A615E">
              <w:rPr>
                <w:rFonts w:ascii="Times New Roman" w:hAnsi="Times New Roman" w:cs="Times New Roman"/>
              </w:rPr>
              <w:t xml:space="preserve">Регуляторна норма доходу на  регуляторну базу активів, яка створена після переходу на стимулююче регулювання з 16,74% була визначена НКРЕКП з урахуванням дії граничного рівня регуляторної норми доходу у сфері розподілу електроенергії (затверджено наказом Мінекономіки 21.04.2016  № 729), який визначено на рівні 19,11%, з урахуванням актуальних розрахунків </w:t>
            </w:r>
            <w:r w:rsidRPr="005A615E">
              <w:rPr>
                <w:rFonts w:ascii="Times New Roman" w:hAnsi="Times New Roman" w:cs="Times New Roman"/>
                <w:lang w:val="en-US"/>
              </w:rPr>
              <w:t>WACC</w:t>
            </w:r>
            <w:r w:rsidRPr="005A615E">
              <w:rPr>
                <w:rFonts w:ascii="Times New Roman" w:hAnsi="Times New Roman" w:cs="Times New Roman"/>
              </w:rPr>
              <w:t xml:space="preserve">. </w:t>
            </w:r>
          </w:p>
          <w:p w:rsidR="00CF2AC1" w:rsidRPr="005A615E" w:rsidRDefault="00CF2AC1" w:rsidP="00CF2AC1">
            <w:pPr>
              <w:spacing w:line="257" w:lineRule="auto"/>
              <w:jc w:val="both"/>
              <w:rPr>
                <w:rFonts w:ascii="Times New Roman" w:hAnsi="Times New Roman" w:cs="Times New Roman"/>
              </w:rPr>
            </w:pPr>
            <w:r w:rsidRPr="005A615E">
              <w:rPr>
                <w:rFonts w:ascii="Times New Roman" w:hAnsi="Times New Roman" w:cs="Times New Roman"/>
              </w:rPr>
              <w:lastRenderedPageBreak/>
              <w:t xml:space="preserve">Наразі, за експертними оцінками, актуальний рівень </w:t>
            </w:r>
            <w:r w:rsidRPr="005A615E">
              <w:rPr>
                <w:rFonts w:ascii="Times New Roman" w:hAnsi="Times New Roman" w:cs="Times New Roman"/>
                <w:lang w:val="en-US"/>
              </w:rPr>
              <w:t>WACC</w:t>
            </w:r>
            <w:r w:rsidRPr="005A615E">
              <w:rPr>
                <w:rFonts w:ascii="Times New Roman" w:hAnsi="Times New Roman" w:cs="Times New Roman"/>
              </w:rPr>
              <w:t xml:space="preserve"> </w:t>
            </w:r>
            <w:r w:rsidRPr="005A615E">
              <w:rPr>
                <w:rFonts w:ascii="Times New Roman" w:hAnsi="Times New Roman" w:cs="Times New Roman"/>
                <w:u w:val="single"/>
              </w:rPr>
              <w:t>становить орієнтовно 22%</w:t>
            </w:r>
            <w:r w:rsidRPr="005A615E">
              <w:rPr>
                <w:rFonts w:ascii="Times New Roman" w:hAnsi="Times New Roman" w:cs="Times New Roman"/>
              </w:rPr>
              <w:t xml:space="preserve">, що перевищує показник граничного рівня норми доходу (WACC), визначений наказом Мінекономіки від 21.04.2016 № 729 (19,11 %) та постановою НКРЕКП 23.07.2013 №1009 (16,74%). </w:t>
            </w:r>
          </w:p>
          <w:p w:rsidR="00CF2AC1" w:rsidRPr="005A615E" w:rsidRDefault="00CF2AC1" w:rsidP="00CF2AC1">
            <w:pPr>
              <w:spacing w:line="257" w:lineRule="auto"/>
              <w:jc w:val="both"/>
              <w:rPr>
                <w:rFonts w:ascii="Times New Roman" w:hAnsi="Times New Roman" w:cs="Times New Roman"/>
              </w:rPr>
            </w:pPr>
            <w:r w:rsidRPr="005A615E">
              <w:rPr>
                <w:rFonts w:ascii="Times New Roman" w:hAnsi="Times New Roman" w:cs="Times New Roman"/>
              </w:rPr>
              <w:t>З урахуванням суттєвої зміни з 2016 по 2026 рік основних показників, які вплинули на розрахунок WACC (зокрема премії за ризик країни, рівнів інфляції та інфляційних очікувань, вартості позикового капіталу тощо), з метою запровадження ефективних механізмів залучення інвестицій в галузь розподілу електроенергії, забезпечення ефективної приватизації, пропонується визначити показник регуляторної норми доходу на регуляторну базу активів, яка створена після переходу на стимулююче регулювання на рівні 0,22 (актуальна величина показника WACC) відносних одиниць (для 2027 року – 0,1911 відносних одиниць).</w:t>
            </w:r>
          </w:p>
          <w:p w:rsidR="00CF2AC1" w:rsidRPr="005A615E" w:rsidRDefault="00CF2AC1" w:rsidP="00CF2AC1">
            <w:pPr>
              <w:spacing w:line="257" w:lineRule="auto"/>
              <w:jc w:val="both"/>
              <w:rPr>
                <w:rFonts w:ascii="Times New Roman" w:hAnsi="Times New Roman" w:cs="Times New Roman"/>
              </w:rPr>
            </w:pPr>
            <w:r w:rsidRPr="005A615E">
              <w:rPr>
                <w:rFonts w:ascii="Times New Roman" w:hAnsi="Times New Roman" w:cs="Times New Roman"/>
              </w:rPr>
              <w:t>Варто відзначити, що запропонована НКРЕКП РНД на нову базу активів - 3% не стимулює до вкладення інвестицій, тому що навіть облікова ставка НБУ 15%, а WACC складає близько 22%. Це не створює стимулів для інвестору вигідніше вкладатися в ОВДП (облігації внутрішньої державної позики), ніж в модернізацію розподільчих мереж.</w:t>
            </w:r>
          </w:p>
          <w:p w:rsidR="00CF2AC1" w:rsidRPr="005A615E" w:rsidRDefault="00CF2AC1" w:rsidP="00CF2AC1">
            <w:pPr>
              <w:spacing w:line="257" w:lineRule="auto"/>
              <w:jc w:val="both"/>
              <w:rPr>
                <w:rFonts w:ascii="Times New Roman" w:hAnsi="Times New Roman" w:cs="Times New Roman"/>
              </w:rPr>
            </w:pPr>
          </w:p>
          <w:p w:rsidR="00CF2AC1" w:rsidRPr="005A615E" w:rsidRDefault="00CF2AC1" w:rsidP="00CF2AC1">
            <w:pPr>
              <w:ind w:firstLine="35"/>
              <w:rPr>
                <w:rFonts w:ascii="Times New Roman" w:hAnsi="Times New Roman" w:cs="Times New Roman"/>
                <w:b/>
              </w:rPr>
            </w:pPr>
            <w:r w:rsidRPr="005A615E">
              <w:rPr>
                <w:rFonts w:ascii="Times New Roman" w:hAnsi="Times New Roman" w:cs="Times New Roman"/>
                <w:b/>
                <w:bCs/>
                <w:u w:val="single"/>
              </w:rPr>
              <w:t xml:space="preserve">АТ «СУМИОБЛЕНЕРГО» </w:t>
            </w:r>
            <w:r w:rsidRPr="005A615E">
              <w:rPr>
                <w:rFonts w:ascii="Times New Roman" w:hAnsi="Times New Roman" w:cs="Times New Roman"/>
                <w:b/>
                <w:bCs/>
                <w:u w:val="single"/>
              </w:rPr>
              <w:br/>
            </w:r>
            <w:r w:rsidRPr="005A615E">
              <w:rPr>
                <w:rFonts w:ascii="Times New Roman" w:hAnsi="Times New Roman" w:cs="Times New Roman"/>
                <w:b/>
                <w:u w:val="single"/>
              </w:rPr>
              <w:t>(лист від 27.07.2026  № 28/10407)</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 xml:space="preserve">2) регуляторна норма доходу на регуляторну базу активів, яка створена після переходу на стимулююче </w:t>
            </w:r>
            <w:r w:rsidRPr="005A615E">
              <w:rPr>
                <w:rFonts w:ascii="Times New Roman" w:hAnsi="Times New Roman" w:cs="Times New Roman"/>
              </w:rPr>
              <w:lastRenderedPageBreak/>
              <w:t xml:space="preserve">регулювання – 0,1674 відносний одиниць </w:t>
            </w:r>
            <w:r w:rsidRPr="005A615E">
              <w:rPr>
                <w:rFonts w:ascii="Times New Roman" w:hAnsi="Times New Roman" w:cs="Times New Roman"/>
                <w:b/>
              </w:rPr>
              <w:t>(для 2027 року – 0,1674 відносних одиниць)</w:t>
            </w:r>
            <w:r w:rsidRPr="005A615E">
              <w:rPr>
                <w:rFonts w:ascii="Times New Roman" w:hAnsi="Times New Roman" w:cs="Times New Roman"/>
              </w:rPr>
              <w:t>,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після переходу на стимулююче регулювання, у 2027 році становить 0 відносних одиниць;</w:t>
            </w:r>
          </w:p>
          <w:p w:rsidR="00CF2AC1" w:rsidRPr="005A615E" w:rsidRDefault="00CF2AC1" w:rsidP="00CF2AC1">
            <w:pPr>
              <w:jc w:val="both"/>
              <w:rPr>
                <w:rFonts w:ascii="Times New Roman" w:hAnsi="Times New Roman" w:cs="Times New Roman"/>
              </w:rPr>
            </w:pPr>
          </w:p>
          <w:p w:rsidR="00CF2AC1" w:rsidRPr="005A615E" w:rsidRDefault="00CF2AC1" w:rsidP="00CF2AC1">
            <w:pPr>
              <w:jc w:val="both"/>
              <w:rPr>
                <w:rFonts w:ascii="Times New Roman" w:hAnsi="Times New Roman" w:cs="Times New Roman"/>
              </w:rPr>
            </w:pPr>
            <w:r w:rsidRPr="005A615E">
              <w:rPr>
                <w:rFonts w:ascii="Times New Roman" w:hAnsi="Times New Roman" w:cs="Times New Roman"/>
                <w:b/>
                <w:i/>
                <w:u w:val="single"/>
              </w:rPr>
              <w:t>Обгрунтування</w:t>
            </w:r>
          </w:p>
          <w:p w:rsidR="00CF2AC1" w:rsidRPr="005A615E" w:rsidRDefault="00CF2AC1" w:rsidP="00E50498">
            <w:pPr>
              <w:shd w:val="clear" w:color="auto" w:fill="FFFFFF"/>
              <w:spacing w:line="257" w:lineRule="auto"/>
              <w:jc w:val="both"/>
              <w:rPr>
                <w:rFonts w:ascii="Times New Roman" w:hAnsi="Times New Roman" w:cs="Times New Roman"/>
                <w:b/>
                <w:lang w:eastAsia="uk-UA"/>
              </w:rPr>
            </w:pPr>
            <w:r w:rsidRPr="005A615E">
              <w:rPr>
                <w:rFonts w:ascii="Times New Roman" w:hAnsi="Times New Roman" w:cs="Times New Roman"/>
              </w:rPr>
              <w:t xml:space="preserve">Встановити регуляторну норму доходу на регуляторну базу активів, яка створена після переходу на стимулююче регулювання на рівні 0,1674 відносний одиниць на 2027 рік </w:t>
            </w:r>
            <w:r w:rsidRPr="005A615E">
              <w:rPr>
                <w:rFonts w:ascii="Times New Roman" w:hAnsi="Times New Roman" w:cs="Times New Roman"/>
                <w:b/>
                <w:lang w:eastAsia="uk-UA"/>
              </w:rPr>
              <w:t>(з урахуванням середньозваженої вартості капіталу (WACC)).</w:t>
            </w:r>
          </w:p>
          <w:p w:rsidR="00E50498" w:rsidRPr="005A615E" w:rsidRDefault="00E50498" w:rsidP="00E50498">
            <w:pPr>
              <w:shd w:val="clear" w:color="auto" w:fill="FFFFFF"/>
              <w:spacing w:line="257" w:lineRule="auto"/>
              <w:jc w:val="both"/>
              <w:rPr>
                <w:rFonts w:ascii="Times New Roman" w:hAnsi="Times New Roman" w:cs="Times New Roman"/>
                <w:b/>
                <w:lang w:eastAsia="uk-UA"/>
              </w:rPr>
            </w:pPr>
          </w:p>
          <w:p w:rsidR="00CF2AC1" w:rsidRPr="005A615E" w:rsidRDefault="00CF2AC1" w:rsidP="00E50498">
            <w:pPr>
              <w:spacing w:line="257" w:lineRule="auto"/>
              <w:jc w:val="both"/>
              <w:rPr>
                <w:rFonts w:ascii="Times New Roman" w:hAnsi="Times New Roman" w:cs="Times New Roman"/>
                <w:b/>
                <w:u w:val="single"/>
              </w:rPr>
            </w:pPr>
            <w:r w:rsidRPr="005A615E">
              <w:rPr>
                <w:rFonts w:ascii="Times New Roman" w:hAnsi="Times New Roman" w:cs="Times New Roman"/>
                <w:b/>
                <w:u w:val="single"/>
              </w:rPr>
              <w:t>ТОВ «ДТЕК Мережі» (лист від 23.07.2026 41/6-38/2026)</w:t>
            </w:r>
          </w:p>
          <w:p w:rsidR="00CF2AC1" w:rsidRPr="005A615E" w:rsidRDefault="00CF2AC1" w:rsidP="00E50498">
            <w:pPr>
              <w:spacing w:line="257" w:lineRule="auto"/>
              <w:jc w:val="both"/>
              <w:rPr>
                <w:rFonts w:ascii="Times New Roman" w:hAnsi="Times New Roman" w:cs="Times New Roman"/>
              </w:rPr>
            </w:pPr>
            <w:r w:rsidRPr="005A615E">
              <w:rPr>
                <w:rFonts w:ascii="Times New Roman" w:hAnsi="Times New Roman" w:cs="Times New Roman"/>
              </w:rPr>
              <w:t>Запропонована НКРЕКП регуляторна норма доходу на нову регуляторну базу активів 3 % не стимулює до вкладення інвестицій.</w:t>
            </w:r>
          </w:p>
          <w:p w:rsidR="00CF2AC1" w:rsidRPr="005A615E" w:rsidRDefault="00CF2AC1" w:rsidP="00CF2AC1">
            <w:pPr>
              <w:jc w:val="both"/>
              <w:rPr>
                <w:rFonts w:ascii="Times New Roman" w:hAnsi="Times New Roman" w:cs="Times New Roman"/>
              </w:rPr>
            </w:pPr>
          </w:p>
          <w:p w:rsidR="00CF2AC1" w:rsidRPr="005A615E" w:rsidRDefault="00CF2AC1" w:rsidP="00CF2AC1">
            <w:pPr>
              <w:jc w:val="both"/>
              <w:rPr>
                <w:rFonts w:ascii="Times New Roman" w:hAnsi="Times New Roman" w:cs="Times New Roman"/>
              </w:rPr>
            </w:pPr>
          </w:p>
          <w:p w:rsidR="00E50498" w:rsidRPr="005A615E" w:rsidRDefault="00E50498" w:rsidP="00CF2AC1">
            <w:pPr>
              <w:shd w:val="clear" w:color="auto" w:fill="FFFFFF"/>
              <w:jc w:val="both"/>
              <w:rPr>
                <w:rFonts w:ascii="Times New Roman" w:hAnsi="Times New Roman" w:cs="Times New Roman"/>
                <w:b/>
                <w:u w:val="single"/>
              </w:rPr>
            </w:pPr>
          </w:p>
          <w:p w:rsidR="00E50498" w:rsidRPr="005A615E" w:rsidRDefault="00E50498" w:rsidP="00CF2AC1">
            <w:pPr>
              <w:shd w:val="clear" w:color="auto" w:fill="FFFFFF"/>
              <w:jc w:val="both"/>
              <w:rPr>
                <w:rFonts w:ascii="Times New Roman" w:hAnsi="Times New Roman" w:cs="Times New Roman"/>
                <w:b/>
                <w:u w:val="single"/>
              </w:rPr>
            </w:pPr>
          </w:p>
          <w:p w:rsidR="00E50498" w:rsidRPr="005A615E" w:rsidRDefault="00E50498" w:rsidP="00CF2AC1">
            <w:pPr>
              <w:shd w:val="clear" w:color="auto" w:fill="FFFFFF"/>
              <w:jc w:val="both"/>
              <w:rPr>
                <w:rFonts w:ascii="Times New Roman" w:hAnsi="Times New Roman" w:cs="Times New Roman"/>
                <w:b/>
                <w:u w:val="single"/>
              </w:rPr>
            </w:pP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b/>
                <w:u w:val="single"/>
              </w:rPr>
              <w:t xml:space="preserve">ПрАТ «ЗАКАРПАТТЯОБЛЕНЕРГО» </w:t>
            </w:r>
            <w:r w:rsidRPr="005A615E">
              <w:rPr>
                <w:rFonts w:ascii="Times New Roman" w:hAnsi="Times New Roman" w:cs="Times New Roman"/>
                <w:b/>
                <w:u w:val="single"/>
              </w:rPr>
              <w:br/>
              <w:t>(лист від 27.07.2026 № 154-25/7715)</w:t>
            </w:r>
          </w:p>
          <w:p w:rsidR="00CF2AC1" w:rsidRPr="005A615E" w:rsidRDefault="00CF2AC1" w:rsidP="00CF2AC1">
            <w:pPr>
              <w:shd w:val="clear" w:color="auto" w:fill="FFFFFF"/>
              <w:jc w:val="both"/>
              <w:rPr>
                <w:rFonts w:ascii="Times New Roman" w:hAnsi="Times New Roman" w:cs="Times New Roman"/>
                <w:bCs/>
              </w:rPr>
            </w:pPr>
            <w:r w:rsidRPr="005A615E">
              <w:rPr>
                <w:rFonts w:ascii="Times New Roman" w:hAnsi="Times New Roman" w:cs="Times New Roman"/>
                <w:bCs/>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cs="Times New Roman"/>
                <w:bCs/>
              </w:rPr>
            </w:pPr>
            <w:r w:rsidRPr="005A615E">
              <w:rPr>
                <w:rFonts w:ascii="Times New Roman" w:hAnsi="Times New Roman" w:cs="Times New Roman"/>
                <w:bCs/>
              </w:rPr>
              <w:t>…</w:t>
            </w:r>
          </w:p>
          <w:p w:rsidR="00CF2AC1" w:rsidRPr="005A615E" w:rsidRDefault="00CF2AC1" w:rsidP="00CF2AC1">
            <w:pPr>
              <w:shd w:val="clear" w:color="auto" w:fill="FFFFFF"/>
              <w:jc w:val="both"/>
              <w:rPr>
                <w:rFonts w:ascii="Times New Roman" w:hAnsi="Times New Roman" w:cs="Times New Roman"/>
                <w:bCs/>
              </w:rPr>
            </w:pPr>
            <w:r w:rsidRPr="005A615E">
              <w:rPr>
                <w:rFonts w:ascii="Times New Roman" w:hAnsi="Times New Roman" w:cs="Times New Roman"/>
                <w:bCs/>
              </w:rPr>
              <w:t xml:space="preserve">2) регуляторна норма доходу на регуляторну базу активів, яка створена після переходу на стимулююче </w:t>
            </w:r>
            <w:r w:rsidRPr="005A615E">
              <w:rPr>
                <w:rFonts w:ascii="Times New Roman" w:hAnsi="Times New Roman" w:cs="Times New Roman"/>
                <w:bCs/>
              </w:rPr>
              <w:lastRenderedPageBreak/>
              <w:t xml:space="preserve">регулювання – </w:t>
            </w:r>
            <w:r w:rsidRPr="005A615E">
              <w:rPr>
                <w:rFonts w:ascii="Times New Roman" w:hAnsi="Times New Roman" w:cs="Times New Roman"/>
                <w:b/>
              </w:rPr>
              <w:t>0,1911</w:t>
            </w:r>
            <w:r w:rsidRPr="005A615E">
              <w:rPr>
                <w:rFonts w:ascii="Times New Roman" w:hAnsi="Times New Roman" w:cs="Times New Roman"/>
                <w:bCs/>
              </w:rPr>
              <w:t xml:space="preserve"> відносних одиниць </w:t>
            </w:r>
            <w:r w:rsidRPr="005A615E">
              <w:rPr>
                <w:rFonts w:ascii="Times New Roman" w:hAnsi="Times New Roman" w:cs="Times New Roman"/>
                <w:b/>
              </w:rPr>
              <w:t>( в межах граничного рівня регуляторної норми доходу визначеної Наказом Мінекономіки від 21.04.2016 р. № 729)</w:t>
            </w:r>
            <w:r w:rsidRPr="005A615E">
              <w:rPr>
                <w:rFonts w:ascii="Times New Roman" w:hAnsi="Times New Roman" w:cs="Times New Roman"/>
                <w:bCs/>
              </w:rPr>
              <w:t xml:space="preserve"> </w:t>
            </w:r>
            <w:r w:rsidRPr="005A615E">
              <w:rPr>
                <w:rFonts w:ascii="Times New Roman" w:hAnsi="Times New Roman" w:cs="Times New Roman"/>
                <w:bCs/>
                <w:strike/>
              </w:rPr>
              <w:t>(для 2027 року – 0,03 відносних одиниць)</w:t>
            </w:r>
            <w:r w:rsidRPr="005A615E">
              <w:rPr>
                <w:rFonts w:ascii="Times New Roman" w:hAnsi="Times New Roman" w:cs="Times New Roman"/>
                <w:bCs/>
              </w:rPr>
              <w:t>,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після переходу на стимулююче регулювання, у 2027 році становить 0 відносних одиниць;</w:t>
            </w:r>
          </w:p>
          <w:p w:rsidR="00CF2AC1" w:rsidRPr="005A615E" w:rsidRDefault="00CF2AC1" w:rsidP="00CF2AC1">
            <w:pPr>
              <w:shd w:val="clear" w:color="auto" w:fill="FFFFFF"/>
              <w:jc w:val="both"/>
              <w:rPr>
                <w:rFonts w:ascii="Times New Roman" w:hAnsi="Times New Roman" w:cs="Times New Roman"/>
                <w:bCs/>
              </w:rPr>
            </w:pPr>
          </w:p>
          <w:p w:rsidR="00CF2AC1" w:rsidRPr="005A615E" w:rsidRDefault="00CF2AC1" w:rsidP="00CF2AC1">
            <w:pPr>
              <w:jc w:val="both"/>
              <w:rPr>
                <w:rFonts w:ascii="Times New Roman" w:hAnsi="Times New Roman" w:cs="Times New Roman"/>
                <w:b/>
                <w:i/>
                <w:u w:val="single"/>
              </w:rPr>
            </w:pPr>
            <w:r w:rsidRPr="005A615E">
              <w:rPr>
                <w:rFonts w:ascii="Times New Roman" w:hAnsi="Times New Roman" w:cs="Times New Roman"/>
                <w:b/>
                <w:i/>
                <w:u w:val="single"/>
              </w:rPr>
              <w:t>Обгрунтування</w:t>
            </w:r>
          </w:p>
          <w:p w:rsidR="00CF2AC1" w:rsidRPr="005A615E" w:rsidRDefault="00CF2AC1" w:rsidP="00CF2AC1">
            <w:pPr>
              <w:spacing w:after="75" w:line="259" w:lineRule="auto"/>
              <w:jc w:val="both"/>
              <w:rPr>
                <w:rFonts w:ascii="Times New Roman" w:hAnsi="Times New Roman" w:cs="Times New Roman"/>
              </w:rPr>
            </w:pPr>
            <w:r w:rsidRPr="005A615E">
              <w:rPr>
                <w:rFonts w:ascii="Times New Roman" w:hAnsi="Times New Roman" w:cs="Times New Roman"/>
                <w:lang w:eastAsia="uk-UA"/>
              </w:rPr>
              <w:t>Принцип стимулюючого тарифоутворення  є не тільки в оптимізації операційних  витрат підприємства, а в стимуляції інвестиційної привабливості підприємств енергетичної галузі.  Регуляторна норма доходу на нову базу активів повинна бути максимально наближеною до  показника WACC.  Наказом Мінекономіки від  21.04.2016 № 729,  на сьогодні встановлене обмеження граничного рівня регуляторної норми доход 19,11%., Пропонуємо становити регуляторну норму доходу на регуляторну базу активів, яка створена після дати переходу до стимулюючого регулювання   на рівні 19,11 % до внесення змін в цей Наказ.</w:t>
            </w:r>
          </w:p>
        </w:tc>
        <w:tc>
          <w:tcPr>
            <w:tcW w:w="3969" w:type="dxa"/>
            <w:gridSpan w:val="2"/>
          </w:tcPr>
          <w:p w:rsidR="00160E52" w:rsidRPr="005A615E" w:rsidRDefault="00160E52" w:rsidP="00160E52">
            <w:pPr>
              <w:rPr>
                <w:rFonts w:ascii="Times New Roman" w:hAnsi="Times New Roman"/>
                <w:b/>
                <w:sz w:val="24"/>
              </w:rPr>
            </w:pPr>
            <w:r w:rsidRPr="005A615E">
              <w:rPr>
                <w:rFonts w:ascii="Times New Roman" w:hAnsi="Times New Roman"/>
                <w:b/>
                <w:sz w:val="24"/>
              </w:rPr>
              <w:lastRenderedPageBreak/>
              <w:t xml:space="preserve">Загальна позиція </w:t>
            </w:r>
          </w:p>
          <w:p w:rsidR="00160E52" w:rsidRPr="005A615E" w:rsidRDefault="00160E52" w:rsidP="00160E52">
            <w:pPr>
              <w:rPr>
                <w:rFonts w:ascii="Times New Roman" w:hAnsi="Times New Roman"/>
                <w:b/>
                <w:sz w:val="24"/>
              </w:rPr>
            </w:pPr>
            <w:r w:rsidRPr="005A615E">
              <w:rPr>
                <w:rFonts w:ascii="Times New Roman" w:hAnsi="Times New Roman"/>
                <w:b/>
                <w:sz w:val="24"/>
              </w:rPr>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160E52" w:rsidRPr="005A615E" w:rsidRDefault="00160E52" w:rsidP="00160E52">
            <w:pPr>
              <w:jc w:val="both"/>
              <w:rPr>
                <w:rFonts w:ascii="Times New Roman" w:hAnsi="Times New Roman"/>
                <w:sz w:val="24"/>
              </w:rPr>
            </w:pPr>
            <w:r w:rsidRPr="005A615E">
              <w:rPr>
                <w:rFonts w:ascii="Times New Roman" w:hAnsi="Times New Roman"/>
                <w:sz w:val="24"/>
              </w:rPr>
              <w:t>Запропоновані пропозиції мають розглядатися з урахуванням балансу інтересів учасників ринку та споживачів, особливо в умовах воєнного часу.</w:t>
            </w:r>
          </w:p>
          <w:p w:rsidR="00160E52" w:rsidRPr="005A615E" w:rsidRDefault="00160E52" w:rsidP="00160E52">
            <w:pPr>
              <w:rPr>
                <w:rFonts w:ascii="Times New Roman" w:hAnsi="Times New Roman"/>
                <w:b/>
                <w:sz w:val="24"/>
              </w:rPr>
            </w:pPr>
          </w:p>
          <w:p w:rsidR="00160E52" w:rsidRPr="005A615E" w:rsidRDefault="00160E52" w:rsidP="00CF2AC1">
            <w:pPr>
              <w:rPr>
                <w:rFonts w:ascii="Times New Roman" w:hAnsi="Times New Roman"/>
                <w:b/>
                <w:sz w:val="24"/>
              </w:rPr>
            </w:pPr>
          </w:p>
          <w:p w:rsidR="00CF2AC1" w:rsidRPr="005A615E" w:rsidRDefault="00406485" w:rsidP="00CF2AC1">
            <w:pPr>
              <w:rPr>
                <w:rFonts w:ascii="Times New Roman" w:hAnsi="Times New Roman"/>
                <w:b/>
                <w:sz w:val="24"/>
              </w:rPr>
            </w:pPr>
            <w:r w:rsidRPr="005A615E">
              <w:rPr>
                <w:rFonts w:ascii="Times New Roman" w:hAnsi="Times New Roman"/>
                <w:b/>
                <w:sz w:val="24"/>
              </w:rPr>
              <w:t>Запропонована редакція пункту:</w:t>
            </w:r>
          </w:p>
          <w:p w:rsidR="00406485" w:rsidRPr="005A615E" w:rsidRDefault="00406485" w:rsidP="00406485">
            <w:pPr>
              <w:shd w:val="clear" w:color="auto" w:fill="FFFFFF"/>
              <w:jc w:val="both"/>
              <w:rPr>
                <w:rFonts w:ascii="Times New Roman" w:hAnsi="Times New Roman"/>
              </w:rPr>
            </w:pPr>
            <w:r w:rsidRPr="005A615E">
              <w:rPr>
                <w:rFonts w:ascii="Times New Roman" w:hAnsi="Times New Roman"/>
              </w:rPr>
              <w:t>«2) регуляторна норма доходу на регуляторну базу активів, яка створена після переходу на стимулююче регулювання – 0,1674 відносних одиниць (для 2027 року – 0,03 відносних одиниць);»</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160E52" w:rsidRPr="005A615E" w:rsidRDefault="00160E52" w:rsidP="00CF2AC1">
            <w:pPr>
              <w:rPr>
                <w:rFonts w:ascii="Times New Roman" w:hAnsi="Times New Roman"/>
                <w:b/>
                <w:sz w:val="24"/>
              </w:rPr>
            </w:pPr>
          </w:p>
          <w:p w:rsidR="00160E52" w:rsidRPr="005A615E" w:rsidRDefault="00160E52" w:rsidP="00CF2AC1">
            <w:pPr>
              <w:rPr>
                <w:rFonts w:ascii="Times New Roman" w:hAnsi="Times New Roman"/>
                <w:b/>
                <w:sz w:val="24"/>
              </w:rPr>
            </w:pPr>
          </w:p>
          <w:p w:rsidR="00160E52" w:rsidRPr="005A615E" w:rsidRDefault="00160E52" w:rsidP="00CF2AC1">
            <w:pPr>
              <w:rPr>
                <w:rFonts w:ascii="Times New Roman" w:hAnsi="Times New Roman"/>
                <w:b/>
                <w:sz w:val="24"/>
              </w:rPr>
            </w:pPr>
          </w:p>
          <w:p w:rsidR="00160E52" w:rsidRPr="005A615E" w:rsidRDefault="00160E52" w:rsidP="00CF2AC1">
            <w:pPr>
              <w:rPr>
                <w:rFonts w:ascii="Times New Roman" w:hAnsi="Times New Roman"/>
                <w:b/>
                <w:sz w:val="24"/>
              </w:rPr>
            </w:pPr>
          </w:p>
          <w:p w:rsidR="00CF2AC1" w:rsidRPr="005A615E" w:rsidRDefault="00CF2AC1" w:rsidP="00CF2AC1">
            <w:pPr>
              <w:rPr>
                <w:rFonts w:ascii="Times New Roman" w:hAnsi="Times New Roman"/>
                <w:b/>
                <w:sz w:val="24"/>
              </w:rPr>
            </w:pPr>
            <w:r w:rsidRPr="005A615E">
              <w:rPr>
                <w:rFonts w:ascii="Times New Roman" w:hAnsi="Times New Roman"/>
                <w:b/>
                <w:sz w:val="24"/>
              </w:rPr>
              <w:t>Враховано</w:t>
            </w:r>
          </w:p>
          <w:p w:rsidR="00160E52" w:rsidRPr="005A615E" w:rsidRDefault="00160E52" w:rsidP="00160E52">
            <w:pPr>
              <w:rPr>
                <w:rFonts w:ascii="Times New Roman" w:hAnsi="Times New Roman"/>
                <w:b/>
                <w:sz w:val="24"/>
              </w:rPr>
            </w:pPr>
            <w:r w:rsidRPr="005A615E">
              <w:rPr>
                <w:rFonts w:ascii="Times New Roman" w:hAnsi="Times New Roman"/>
                <w:b/>
                <w:sz w:val="24"/>
              </w:rPr>
              <w:t>Запропонована редакція пункту:</w:t>
            </w:r>
          </w:p>
          <w:p w:rsidR="00160E52" w:rsidRPr="005A615E" w:rsidRDefault="00160E52" w:rsidP="00160E52">
            <w:pPr>
              <w:shd w:val="clear" w:color="auto" w:fill="FFFFFF"/>
              <w:jc w:val="both"/>
              <w:rPr>
                <w:rFonts w:ascii="Times New Roman" w:hAnsi="Times New Roman"/>
              </w:rPr>
            </w:pPr>
            <w:r w:rsidRPr="005A615E">
              <w:rPr>
                <w:rFonts w:ascii="Times New Roman" w:hAnsi="Times New Roman"/>
              </w:rPr>
              <w:t>«2) регуляторна норма доходу на регуляторну базу активів, яка створена після переходу на стимулююче регулювання – 0,1674 відносних одиниць (для 2027 року – 0,03 відносних одиниць);»</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160E52" w:rsidP="00CF2AC1">
            <w:pPr>
              <w:rPr>
                <w:rFonts w:ascii="Times New Roman" w:hAnsi="Times New Roman"/>
                <w:b/>
                <w:sz w:val="24"/>
              </w:rPr>
            </w:pPr>
            <w:r w:rsidRPr="005A615E">
              <w:rPr>
                <w:rFonts w:ascii="Times New Roman" w:hAnsi="Times New Roman"/>
                <w:b/>
                <w:sz w:val="24"/>
              </w:rPr>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jc w:val="both"/>
              <w:rPr>
                <w:rFonts w:ascii="Times New Roman" w:hAnsi="Times New Roman"/>
                <w:sz w:val="24"/>
              </w:rPr>
            </w:pPr>
            <w:r w:rsidRPr="005A615E">
              <w:rPr>
                <w:rFonts w:ascii="Times New Roman" w:hAnsi="Times New Roman"/>
                <w:sz w:val="24"/>
              </w:rPr>
              <w:lastRenderedPageBreak/>
              <w:t>Запропоновані пропозиції мають розглядатися з урахуванням балансу інтересів учасників ринку та споживачів, особливо в умовах воєнного часу.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160E52" w:rsidRPr="005A615E" w:rsidRDefault="00160E52" w:rsidP="00160E52">
            <w:pPr>
              <w:rPr>
                <w:rFonts w:ascii="Times New Roman" w:hAnsi="Times New Roman"/>
                <w:b/>
                <w:sz w:val="24"/>
              </w:rPr>
            </w:pPr>
            <w:r w:rsidRPr="005A615E">
              <w:rPr>
                <w:rFonts w:ascii="Times New Roman" w:hAnsi="Times New Roman"/>
                <w:b/>
                <w:sz w:val="24"/>
              </w:rPr>
              <w:t>Враховано частково</w:t>
            </w:r>
          </w:p>
          <w:p w:rsidR="00160E52" w:rsidRPr="005A615E" w:rsidRDefault="00160E52" w:rsidP="00160E52">
            <w:pPr>
              <w:rPr>
                <w:rFonts w:ascii="Times New Roman" w:hAnsi="Times New Roman"/>
                <w:b/>
                <w:sz w:val="24"/>
              </w:rPr>
            </w:pPr>
            <w:r w:rsidRPr="005A615E">
              <w:rPr>
                <w:rFonts w:ascii="Times New Roman" w:hAnsi="Times New Roman"/>
                <w:b/>
                <w:sz w:val="24"/>
              </w:rPr>
              <w:t>Запропонована редакція пункту:</w:t>
            </w:r>
          </w:p>
          <w:p w:rsidR="00160E52" w:rsidRPr="005A615E" w:rsidRDefault="00160E52" w:rsidP="00160E52">
            <w:pPr>
              <w:shd w:val="clear" w:color="auto" w:fill="FFFFFF"/>
              <w:jc w:val="both"/>
              <w:rPr>
                <w:rFonts w:ascii="Times New Roman" w:hAnsi="Times New Roman"/>
              </w:rPr>
            </w:pPr>
            <w:r w:rsidRPr="005A615E">
              <w:rPr>
                <w:rFonts w:ascii="Times New Roman" w:hAnsi="Times New Roman"/>
              </w:rPr>
              <w:t>«2) регуляторна норма доходу на регуляторну базу активів, яка створена після переходу на стимулююче регулювання – 0,1674 відносних одиниць (для 2027 року – 0,03 відносних одиниць);»</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160E52" w:rsidRPr="005A615E" w:rsidRDefault="00160E52" w:rsidP="00CF2AC1">
            <w:pPr>
              <w:rPr>
                <w:rFonts w:ascii="Times New Roman" w:hAnsi="Times New Roman"/>
                <w:b/>
                <w:sz w:val="24"/>
              </w:rPr>
            </w:pPr>
          </w:p>
          <w:p w:rsidR="00160E52" w:rsidRPr="005A615E" w:rsidRDefault="00160E52" w:rsidP="00CF2AC1">
            <w:pPr>
              <w:rPr>
                <w:rFonts w:ascii="Times New Roman" w:hAnsi="Times New Roman"/>
                <w:b/>
                <w:sz w:val="24"/>
              </w:rPr>
            </w:pPr>
          </w:p>
          <w:p w:rsidR="00160E52" w:rsidRPr="005A615E" w:rsidRDefault="00160E52" w:rsidP="00CF2AC1">
            <w:pPr>
              <w:rPr>
                <w:rFonts w:ascii="Times New Roman" w:hAnsi="Times New Roman"/>
                <w:b/>
                <w:sz w:val="24"/>
              </w:rPr>
            </w:pPr>
          </w:p>
          <w:p w:rsidR="00E50498" w:rsidRPr="005A615E" w:rsidRDefault="00E50498" w:rsidP="00E50498">
            <w:pPr>
              <w:rPr>
                <w:rFonts w:ascii="Times New Roman" w:hAnsi="Times New Roman"/>
                <w:b/>
                <w:sz w:val="24"/>
              </w:rPr>
            </w:pPr>
            <w:r w:rsidRPr="005A615E">
              <w:rPr>
                <w:rFonts w:ascii="Times New Roman" w:hAnsi="Times New Roman"/>
                <w:b/>
                <w:sz w:val="24"/>
              </w:rPr>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jc w:val="both"/>
              <w:rPr>
                <w:rFonts w:ascii="Times New Roman" w:hAnsi="Times New Roman"/>
                <w:sz w:val="24"/>
              </w:rPr>
            </w:pPr>
            <w:r w:rsidRPr="005A615E">
              <w:rPr>
                <w:rFonts w:ascii="Times New Roman" w:hAnsi="Times New Roman"/>
                <w:sz w:val="24"/>
              </w:rPr>
              <w:t>Запропоновані пропозиції мають розглядатися з урахуванням балансу інтересів учасників ринку та споживачів, особливо в умовах воєнного часу.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E50498" w:rsidRPr="005A615E" w:rsidRDefault="00E50498" w:rsidP="00E50498">
            <w:pPr>
              <w:rPr>
                <w:rFonts w:ascii="Times New Roman" w:hAnsi="Times New Roman"/>
                <w:b/>
                <w:sz w:val="24"/>
              </w:rPr>
            </w:pPr>
          </w:p>
          <w:p w:rsidR="00E50498" w:rsidRPr="005A615E" w:rsidRDefault="00E50498" w:rsidP="00E50498">
            <w:pPr>
              <w:rPr>
                <w:rFonts w:ascii="Times New Roman" w:hAnsi="Times New Roman"/>
                <w:b/>
                <w:sz w:val="24"/>
              </w:rPr>
            </w:pPr>
            <w:r w:rsidRPr="005A615E">
              <w:rPr>
                <w:rFonts w:ascii="Times New Roman" w:hAnsi="Times New Roman"/>
                <w:b/>
                <w:sz w:val="24"/>
              </w:rPr>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jc w:val="both"/>
              <w:rPr>
                <w:rFonts w:ascii="Times New Roman" w:hAnsi="Times New Roman"/>
                <w:sz w:val="24"/>
              </w:rPr>
            </w:pPr>
            <w:r w:rsidRPr="005A615E">
              <w:rPr>
                <w:rFonts w:ascii="Times New Roman" w:hAnsi="Times New Roman"/>
                <w:sz w:val="24"/>
              </w:rPr>
              <w:t>Запропоновані пропозиції мають розглядатися з урахуванням балансу інтересів учасників ринку та споживачів, особливо в умовах воєнного часу.</w:t>
            </w:r>
          </w:p>
          <w:p w:rsidR="00CF2AC1" w:rsidRPr="005A615E" w:rsidRDefault="00CF2AC1" w:rsidP="00CF2AC1">
            <w:pPr>
              <w:rPr>
                <w:rFonts w:ascii="Times New Roman" w:hAnsi="Times New Roman"/>
                <w:b/>
                <w:sz w:val="24"/>
              </w:rPr>
            </w:pPr>
          </w:p>
          <w:p w:rsidR="00E50498" w:rsidRPr="005A615E" w:rsidRDefault="00E50498" w:rsidP="00E50498">
            <w:pPr>
              <w:rPr>
                <w:rFonts w:ascii="Times New Roman" w:hAnsi="Times New Roman"/>
                <w:b/>
                <w:sz w:val="24"/>
              </w:rPr>
            </w:pPr>
            <w:r w:rsidRPr="005A615E">
              <w:rPr>
                <w:rFonts w:ascii="Times New Roman" w:hAnsi="Times New Roman"/>
                <w:b/>
                <w:sz w:val="24"/>
              </w:rPr>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jc w:val="both"/>
              <w:rPr>
                <w:rFonts w:ascii="Times New Roman" w:hAnsi="Times New Roman"/>
                <w:sz w:val="24"/>
              </w:rPr>
            </w:pPr>
            <w:r w:rsidRPr="005A615E">
              <w:rPr>
                <w:rFonts w:ascii="Times New Roman" w:hAnsi="Times New Roman"/>
                <w:sz w:val="24"/>
              </w:rPr>
              <w:t>Запропоновані пропозиції мають розглядатися з урахуванням балансу інтересів учасників ринку та споживачів, особливо в умовах воєнного часу.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3) загальний показник ефективності – 1 % (для 2027 року для ліцензіатів, перелік яких наведено в додатку 34 до Порядку встановлення (формування) тарифів, – 0 %));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p>
        </w:tc>
        <w:tc>
          <w:tcPr>
            <w:tcW w:w="5387" w:type="dxa"/>
          </w:tcPr>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t xml:space="preserve">ПрАТ «РІВНЕОБЛЕНЕРГО» </w:t>
            </w:r>
            <w:r w:rsidRPr="005A615E">
              <w:rPr>
                <w:rFonts w:ascii="Times New Roman" w:hAnsi="Times New Roman"/>
                <w:b/>
                <w:sz w:val="24"/>
                <w:u w:val="single"/>
              </w:rPr>
              <w:br/>
              <w:t xml:space="preserve">(лист від 24.07.2026 № 46-08/7070), </w:t>
            </w:r>
            <w:r w:rsidRPr="005A615E">
              <w:rPr>
                <w:rFonts w:ascii="Times New Roman" w:hAnsi="Times New Roman"/>
                <w:b/>
                <w:sz w:val="24"/>
                <w:u w:val="single"/>
              </w:rPr>
              <w:br/>
              <w:t xml:space="preserve">ПрАТ «КІРОВОГРАДОБЛЕНЕРГО» </w:t>
            </w:r>
            <w:r w:rsidRPr="005A615E">
              <w:rPr>
                <w:rFonts w:ascii="Times New Roman" w:hAnsi="Times New Roman"/>
                <w:b/>
                <w:sz w:val="24"/>
                <w:u w:val="single"/>
              </w:rPr>
              <w:br/>
              <w:t>(лист від 27.07.2026  № 3919/05/34)</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3) загальний показник ефективності – 1 % (для 2027 року для ліцензіатів, перелік яких наведено в додатку 34 </w:t>
            </w:r>
            <w:r w:rsidRPr="005A615E">
              <w:rPr>
                <w:rFonts w:ascii="Times New Roman" w:hAnsi="Times New Roman"/>
                <w:b/>
              </w:rPr>
              <w:t>та додатку 35</w:t>
            </w:r>
            <w:r w:rsidRPr="005A615E">
              <w:rPr>
                <w:rFonts w:ascii="Times New Roman" w:hAnsi="Times New Roman"/>
              </w:rPr>
              <w:t xml:space="preserve"> до Порядку встановлення (формування) тарифів, – 0 %));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uppressAutoHyphens/>
              <w:spacing w:line="257" w:lineRule="auto"/>
              <w:jc w:val="both"/>
              <w:rPr>
                <w:rFonts w:ascii="Times New Roman" w:hAnsi="Times New Roman"/>
                <w:b/>
                <w:shd w:val="clear" w:color="auto" w:fill="FFFFFF"/>
                <w:lang w:eastAsia="ar-SA"/>
              </w:rPr>
            </w:pPr>
            <w:r w:rsidRPr="005A615E">
              <w:rPr>
                <w:rFonts w:ascii="Times New Roman" w:hAnsi="Times New Roman"/>
                <w:lang w:eastAsia="ar-SA"/>
              </w:rPr>
              <w:t xml:space="preserve">У </w:t>
            </w:r>
            <w:r w:rsidRPr="005A615E">
              <w:rPr>
                <w:rFonts w:ascii="Times New Roman" w:hAnsi="Times New Roman"/>
                <w:shd w:val="clear" w:color="auto" w:fill="FFFFFF"/>
                <w:lang w:eastAsia="ar-SA"/>
              </w:rPr>
              <w:t xml:space="preserve">зв’язку із недоотриманням Товариством прибутку за 2024-2026 роки, спричиненого окремим регуляторним підходом НКРЕКП, виникає необхідність застосування </w:t>
            </w:r>
            <w:r w:rsidRPr="005A615E">
              <w:rPr>
                <w:rFonts w:ascii="Times New Roman" w:hAnsi="Times New Roman"/>
                <w:u w:val="single"/>
                <w:shd w:val="clear" w:color="auto" w:fill="FFFFFF"/>
                <w:lang w:eastAsia="ar-SA"/>
              </w:rPr>
              <w:t>особливих умов</w:t>
            </w:r>
            <w:r w:rsidRPr="005A615E">
              <w:rPr>
                <w:rFonts w:ascii="Times New Roman" w:hAnsi="Times New Roman"/>
                <w:shd w:val="clear" w:color="auto" w:fill="FFFFFF"/>
                <w:lang w:eastAsia="ar-SA"/>
              </w:rPr>
              <w:t xml:space="preserve"> до ОСР, наведених у додатку 35. </w:t>
            </w:r>
            <w:r w:rsidRPr="005A615E">
              <w:rPr>
                <w:rFonts w:ascii="Times New Roman" w:hAnsi="Times New Roman"/>
                <w:b/>
                <w:shd w:val="clear" w:color="auto" w:fill="FFFFFF"/>
                <w:lang w:eastAsia="ar-SA"/>
              </w:rPr>
              <w:t>З огляду на вказане, просимо загальний показник ефективності для ОСР додатку 35 визначати на нульовому рівні.</w:t>
            </w:r>
          </w:p>
          <w:p w:rsidR="00CF2AC1" w:rsidRPr="005A615E" w:rsidRDefault="00CF2AC1" w:rsidP="00CF2AC1">
            <w:pPr>
              <w:suppressAutoHyphens/>
              <w:ind w:firstLine="226"/>
              <w:jc w:val="both"/>
              <w:rPr>
                <w:rFonts w:ascii="Times New Roman" w:hAnsi="Times New Roman"/>
                <w:shd w:val="clear" w:color="auto" w:fill="FFFFFF"/>
                <w:lang w:eastAsia="ar-SA"/>
              </w:rPr>
            </w:pPr>
          </w:p>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t xml:space="preserve">АТ «ЧЕРНІВЦІОБЛЕНЕРГО» </w:t>
            </w:r>
            <w:r w:rsidRPr="005A615E">
              <w:rPr>
                <w:rFonts w:ascii="Times New Roman" w:hAnsi="Times New Roman"/>
                <w:b/>
                <w:sz w:val="24"/>
                <w:u w:val="single"/>
              </w:rPr>
              <w:br/>
              <w:t xml:space="preserve">(лист від 24.07.2026 № 19/1-02/3604), </w:t>
            </w:r>
            <w:r w:rsidRPr="005A615E">
              <w:rPr>
                <w:rFonts w:ascii="Times New Roman" w:hAnsi="Times New Roman"/>
                <w:b/>
                <w:sz w:val="24"/>
                <w:u w:val="single"/>
              </w:rPr>
              <w:br/>
              <w:t xml:space="preserve">АТ «ЖИТОМИРОБЛЕНЕРГО» </w:t>
            </w:r>
            <w:r w:rsidRPr="005A615E">
              <w:rPr>
                <w:rFonts w:ascii="Times New Roman" w:hAnsi="Times New Roman"/>
                <w:b/>
                <w:sz w:val="24"/>
                <w:u w:val="single"/>
              </w:rPr>
              <w:br/>
              <w:t>(лист від 27.07.2026 № 05/24560)</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3) загальний показник ефективності – 1 % (для 2027 року для ліцензіатів, перелік яких наведено в додатку 34 до Порядку встановлення (формування) тарифів, – 0 %)) </w:t>
            </w:r>
            <w:r w:rsidRPr="005A615E">
              <w:rPr>
                <w:rFonts w:ascii="Times New Roman" w:hAnsi="Times New Roman"/>
                <w:b/>
              </w:rPr>
              <w:t xml:space="preserve">(для 2027-2029 років для ліцензіатів, перелік яких наведено в </w:t>
            </w:r>
            <w:r w:rsidRPr="005A615E">
              <w:rPr>
                <w:rFonts w:ascii="Times New Roman" w:hAnsi="Times New Roman"/>
                <w:b/>
                <w:u w:val="single"/>
              </w:rPr>
              <w:t>додатку 35</w:t>
            </w:r>
            <w:r w:rsidRPr="005A615E">
              <w:rPr>
                <w:rFonts w:ascii="Times New Roman" w:hAnsi="Times New Roman"/>
                <w:b/>
              </w:rPr>
              <w:t xml:space="preserve"> до Порядку встановлення (формування) тарифів, – 0 %)</w:t>
            </w: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 xml:space="preserve">Враховуючи те, що АТ «ЧЕРНІВЦІОБЛЕНЕРГО» протягом 2023-2026 років знаходилось в особливих умовах встановлення тарифів на розподіл електричної </w:t>
            </w:r>
            <w:r w:rsidRPr="005A615E">
              <w:rPr>
                <w:rFonts w:ascii="Times New Roman" w:hAnsi="Times New Roman"/>
                <w:bCs/>
              </w:rPr>
              <w:lastRenderedPageBreak/>
              <w:t>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F2AC1" w:rsidRPr="005A615E" w:rsidRDefault="00CF2AC1" w:rsidP="00CF2AC1">
            <w:pPr>
              <w:jc w:val="both"/>
              <w:rPr>
                <w:rFonts w:ascii="Times New Roman" w:hAnsi="Times New Roman"/>
                <w:bCs/>
              </w:rPr>
            </w:pPr>
          </w:p>
          <w:p w:rsidR="00CF2AC1" w:rsidRPr="005A615E" w:rsidRDefault="00CF2AC1" w:rsidP="00CF2AC1">
            <w:pPr>
              <w:jc w:val="both"/>
              <w:rPr>
                <w:rFonts w:ascii="Times New Roman" w:hAnsi="Times New Roman"/>
                <w:b/>
                <w:sz w:val="24"/>
                <w:u w:val="single"/>
              </w:rPr>
            </w:pPr>
            <w:r w:rsidRPr="005A615E">
              <w:rPr>
                <w:b/>
                <w:i/>
                <w:u w:val="single"/>
              </w:rPr>
              <w:t xml:space="preserve">Обгрунтування </w:t>
            </w:r>
            <w:r w:rsidRPr="005A615E">
              <w:rPr>
                <w:rFonts w:ascii="Times New Roman" w:hAnsi="Times New Roman"/>
                <w:b/>
                <w:sz w:val="24"/>
                <w:u w:val="single"/>
              </w:rPr>
              <w:t xml:space="preserve">АТ «ЖИТОМИРОБЛЕНЕРГО» </w:t>
            </w:r>
          </w:p>
          <w:p w:rsidR="00CF2AC1" w:rsidRPr="005A615E" w:rsidRDefault="00CF2AC1" w:rsidP="00CF2AC1">
            <w:pPr>
              <w:jc w:val="both"/>
              <w:rPr>
                <w:rFonts w:ascii="Times New Roman" w:hAnsi="Times New Roman"/>
                <w:bCs/>
              </w:rPr>
            </w:pPr>
            <w:r w:rsidRPr="005A615E">
              <w:rPr>
                <w:rFonts w:ascii="Times New Roman" w:hAnsi="Times New Roman"/>
              </w:rPr>
              <w:t xml:space="preserve">У зв’язку із </w:t>
            </w:r>
            <w:r w:rsidRPr="005A615E">
              <w:rPr>
                <w:rFonts w:ascii="Times New Roman" w:hAnsi="Times New Roman"/>
                <w:shd w:val="clear" w:color="auto" w:fill="FFFFFF"/>
              </w:rPr>
              <w:t xml:space="preserve">дефіцитом коштів внаслідок дії збиткових тарифів протягом 2023-2025 років, його повернення протягом 2-3 років в умовах значних інфляційних процесів, а також у зв’язку із недоотриманням Товариством прибутку за 2024-2025 роки, повернення якого навіть не передбачено, виникає необхідність застосування </w:t>
            </w:r>
            <w:r w:rsidRPr="005A615E">
              <w:rPr>
                <w:rFonts w:ascii="Times New Roman" w:hAnsi="Times New Roman"/>
                <w:b/>
                <w:u w:val="single"/>
                <w:shd w:val="clear" w:color="auto" w:fill="FFFFFF"/>
              </w:rPr>
              <w:t>особливих умов</w:t>
            </w:r>
            <w:r w:rsidRPr="005A615E">
              <w:rPr>
                <w:rFonts w:ascii="Times New Roman" w:hAnsi="Times New Roman"/>
                <w:shd w:val="clear" w:color="auto" w:fill="FFFFFF"/>
              </w:rPr>
              <w:t xml:space="preserve"> до ОСР, наведених у додатку 35, до моменту «вирівнювання» умов ведення ліцензованої діяльності усіх ОСР України. </w:t>
            </w:r>
            <w:r w:rsidRPr="005A615E">
              <w:rPr>
                <w:rFonts w:ascii="Times New Roman" w:hAnsi="Times New Roman"/>
                <w:b/>
                <w:shd w:val="clear" w:color="auto" w:fill="FFFFFF"/>
              </w:rPr>
              <w:t>З огляду на трирічний період визначення прибутку для таких ОСР на нульовому рівні (2024-2026 роки), просимо загальний показник ефективності для ОСР додатку 35 визначати на нульовому рівні протягом 2027-2029 років.</w:t>
            </w:r>
          </w:p>
          <w:p w:rsidR="00CF2AC1" w:rsidRPr="005A615E" w:rsidRDefault="00CF2AC1" w:rsidP="00CF2AC1">
            <w:pPr>
              <w:jc w:val="both"/>
              <w:rPr>
                <w:rFonts w:ascii="Times New Roman" w:hAnsi="Times New Roman"/>
                <w:bCs/>
              </w:rPr>
            </w:pPr>
          </w:p>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t xml:space="preserve">ПрАТ «ЛЬВІВОБЛЕНЕРГО» </w:t>
            </w:r>
            <w:r w:rsidRPr="005A615E">
              <w:rPr>
                <w:rFonts w:ascii="Times New Roman" w:hAnsi="Times New Roman"/>
                <w:b/>
                <w:sz w:val="24"/>
                <w:u w:val="single"/>
              </w:rPr>
              <w:br/>
              <w:t>(лист від 27.07.2026 № 122-07-5357)</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rPr>
                <w:rFonts w:ascii="Times New Roman" w:hAnsi="Times New Roman"/>
              </w:rPr>
            </w:pPr>
            <w:r w:rsidRPr="005A615E">
              <w:rPr>
                <w:rFonts w:ascii="Times New Roman" w:hAnsi="Times New Roman"/>
              </w:rPr>
              <w:t xml:space="preserve">3) загальний показник ефективності – </w:t>
            </w:r>
            <w:r w:rsidRPr="005A615E">
              <w:rPr>
                <w:rFonts w:ascii="Times New Roman" w:hAnsi="Times New Roman"/>
                <w:b/>
              </w:rPr>
              <w:t>0 %</w:t>
            </w: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Загальний показник ефективності на другий регуляторний період встановити на рівні 0% .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Показник у розмірі 1% пропонуємо застосовувати після приведення витрат інших ОКВ і витрат на оплату праці до економічного рівня, який враховує фактичні індекси цін виробників промислової продукції (в тому числі за перший регуляторний період) та рівня витрат на оплату праці.</w:t>
            </w:r>
          </w:p>
          <w:p w:rsidR="00CF2AC1" w:rsidRPr="005A615E" w:rsidRDefault="00CF2AC1" w:rsidP="00CF2AC1">
            <w:pPr>
              <w:shd w:val="clear" w:color="auto" w:fill="FFFFFF"/>
              <w:jc w:val="both"/>
              <w:rPr>
                <w:rFonts w:ascii="Times New Roman" w:hAnsi="Times New Roman"/>
                <w:bCs/>
              </w:rPr>
            </w:pPr>
          </w:p>
          <w:p w:rsidR="00CF2AC1" w:rsidRPr="005A615E" w:rsidRDefault="00CF2AC1" w:rsidP="00CF2AC1">
            <w:pPr>
              <w:spacing w:after="75" w:line="259" w:lineRule="auto"/>
              <w:jc w:val="both"/>
              <w:rPr>
                <w:rFonts w:ascii="Times New Roman" w:eastAsia="Times New Roman" w:hAnsi="Times New Roman"/>
                <w:sz w:val="24"/>
                <w:szCs w:val="24"/>
                <w:lang w:eastAsia="ru-RU"/>
              </w:rPr>
            </w:pPr>
            <w:r w:rsidRPr="005A615E">
              <w:rPr>
                <w:rFonts w:ascii="Times New Roman" w:hAnsi="Times New Roman"/>
                <w:b/>
                <w:sz w:val="24"/>
                <w:u w:val="single"/>
              </w:rPr>
              <w:t xml:space="preserve">АТ «ХМЕЛЬНИЦЬКОБЛЕНЕРГО» </w:t>
            </w:r>
            <w:r w:rsidRPr="005A615E">
              <w:rPr>
                <w:rFonts w:ascii="Times New Roman" w:hAnsi="Times New Roman"/>
                <w:b/>
                <w:sz w:val="24"/>
                <w:u w:val="single"/>
              </w:rPr>
              <w:br/>
              <w:t>(лист від 27.07.2026 № 4-6209-0201/26)</w:t>
            </w: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eastAsia="Times New Roman" w:hAnsi="Times New Roman"/>
                <w:sz w:val="24"/>
                <w:szCs w:val="24"/>
                <w:lang w:eastAsia="ru-RU"/>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cs="Times New Roman"/>
              </w:rPr>
              <w:t>3) загальний показник ефективності на другий регуляторний період – 0 %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pStyle w:val="rvps2"/>
              <w:spacing w:beforeAutospacing="0" w:afterAutospacing="0"/>
              <w:jc w:val="both"/>
              <w:rPr>
                <w:sz w:val="22"/>
                <w:szCs w:val="22"/>
                <w:lang w:val="uk-UA"/>
              </w:rPr>
            </w:pPr>
            <w:r w:rsidRPr="005A615E">
              <w:rPr>
                <w:sz w:val="22"/>
                <w:szCs w:val="22"/>
                <w:lang w:val="uk-UA"/>
              </w:rPr>
              <w:t>НКРЕКП закладає для більшості ОСР вимогу щорічно знижувати контрольовані операційні витрати на 1 %. Сам по собі 1 % не є критично великим, але в країні яка веде визвольну війну за незалежність, він створює кілька довгострокових ризиків.</w:t>
            </w:r>
          </w:p>
          <w:p w:rsidR="00CF2AC1" w:rsidRPr="005A615E" w:rsidRDefault="00CF2AC1" w:rsidP="00CF2AC1">
            <w:pPr>
              <w:pStyle w:val="rvps2"/>
              <w:spacing w:beforeAutospacing="0" w:afterAutospacing="0"/>
              <w:jc w:val="both"/>
              <w:rPr>
                <w:sz w:val="22"/>
                <w:szCs w:val="22"/>
                <w:lang w:val="uk-UA"/>
              </w:rPr>
            </w:pPr>
            <w:r w:rsidRPr="005A615E">
              <w:rPr>
                <w:sz w:val="22"/>
                <w:szCs w:val="22"/>
                <w:lang w:val="uk-UA"/>
              </w:rPr>
              <w:t>1. Накопичення дефіциту операційних коштів.</w:t>
            </w:r>
          </w:p>
          <w:p w:rsidR="00CF2AC1" w:rsidRPr="005A615E" w:rsidRDefault="00CF2AC1" w:rsidP="00CF2AC1">
            <w:pPr>
              <w:pStyle w:val="rvps2"/>
              <w:spacing w:beforeAutospacing="0" w:afterAutospacing="0"/>
              <w:jc w:val="both"/>
              <w:rPr>
                <w:sz w:val="22"/>
                <w:szCs w:val="22"/>
                <w:lang w:val="uk-UA"/>
              </w:rPr>
            </w:pPr>
            <w:r w:rsidRPr="005A615E">
              <w:rPr>
                <w:sz w:val="22"/>
                <w:szCs w:val="22"/>
                <w:lang w:val="uk-UA"/>
              </w:rPr>
              <w:t>Якщо тариф щороку передбачає скорочення контрольованих витрат на 1 %, а реальні витрати (заробітна плата, матеріали, транспорт) зростають швидше, виникає розрив між необхідними та дозволеними витратами.</w:t>
            </w:r>
          </w:p>
          <w:p w:rsidR="00CF2AC1" w:rsidRPr="005A615E" w:rsidRDefault="00CF2AC1" w:rsidP="00CF2AC1">
            <w:pPr>
              <w:pStyle w:val="rvps2"/>
              <w:spacing w:beforeAutospacing="0" w:afterAutospacing="0"/>
              <w:jc w:val="both"/>
              <w:rPr>
                <w:sz w:val="22"/>
                <w:szCs w:val="22"/>
                <w:lang w:val="uk-UA"/>
              </w:rPr>
            </w:pPr>
            <w:r w:rsidRPr="005A615E">
              <w:rPr>
                <w:sz w:val="22"/>
                <w:szCs w:val="22"/>
                <w:lang w:val="uk-UA"/>
              </w:rPr>
              <w:t>Це може призвести до зменшення планових ремонтів, скорочення персоналу або обмеження підвищення зарплат.</w:t>
            </w:r>
          </w:p>
          <w:p w:rsidR="00CF2AC1" w:rsidRPr="005A615E" w:rsidRDefault="00CF2AC1" w:rsidP="00CF2AC1">
            <w:pPr>
              <w:pStyle w:val="rvps2"/>
              <w:spacing w:beforeAutospacing="0" w:afterAutospacing="0"/>
              <w:jc w:val="both"/>
              <w:rPr>
                <w:sz w:val="22"/>
                <w:szCs w:val="22"/>
                <w:lang w:val="uk-UA"/>
              </w:rPr>
            </w:pPr>
            <w:r w:rsidRPr="005A615E">
              <w:rPr>
                <w:sz w:val="22"/>
                <w:szCs w:val="22"/>
                <w:lang w:val="uk-UA"/>
              </w:rPr>
              <w:t>2. Посилення кадрової проблеми.</w:t>
            </w:r>
          </w:p>
          <w:p w:rsidR="00CF2AC1" w:rsidRPr="005A615E" w:rsidRDefault="00CF2AC1" w:rsidP="00CF2AC1">
            <w:pPr>
              <w:pStyle w:val="rvps2"/>
              <w:spacing w:beforeAutospacing="0" w:afterAutospacing="0"/>
              <w:jc w:val="both"/>
              <w:rPr>
                <w:sz w:val="22"/>
                <w:szCs w:val="22"/>
                <w:lang w:val="uk-UA"/>
              </w:rPr>
            </w:pPr>
            <w:r w:rsidRPr="005A615E">
              <w:rPr>
                <w:sz w:val="22"/>
                <w:szCs w:val="22"/>
                <w:lang w:val="uk-UA"/>
              </w:rPr>
              <w:t>Для багатьох ОСР найбільша стаття контрольованих витрат — персонал. Якщо тарифна модель постійно стимулює скорочення витрат, підприємству важче: утримувати кваліфікованих електромонтерів; конкурувати із зарплатами приватного сектору.</w:t>
            </w:r>
          </w:p>
          <w:p w:rsidR="00CF2AC1" w:rsidRPr="005A615E" w:rsidRDefault="00CF2AC1" w:rsidP="00CF2AC1">
            <w:pPr>
              <w:pStyle w:val="rvps2"/>
              <w:spacing w:beforeAutospacing="0" w:afterAutospacing="0"/>
              <w:jc w:val="both"/>
              <w:rPr>
                <w:sz w:val="22"/>
                <w:szCs w:val="22"/>
                <w:lang w:val="uk-UA"/>
              </w:rPr>
            </w:pPr>
            <w:r w:rsidRPr="005A615E">
              <w:rPr>
                <w:sz w:val="22"/>
                <w:szCs w:val="22"/>
                <w:lang w:val="uk-UA"/>
              </w:rPr>
              <w:t>3. Ризик невідповідності між показниками.</w:t>
            </w:r>
          </w:p>
          <w:p w:rsidR="00CF2AC1" w:rsidRPr="005A615E" w:rsidRDefault="00CF2AC1" w:rsidP="00CF2AC1">
            <w:pPr>
              <w:pStyle w:val="rvps2"/>
              <w:spacing w:beforeAutospacing="0" w:afterAutospacing="0"/>
              <w:jc w:val="both"/>
              <w:rPr>
                <w:sz w:val="22"/>
                <w:szCs w:val="22"/>
                <w:lang w:val="uk-UA"/>
              </w:rPr>
            </w:pPr>
            <w:r w:rsidRPr="005A615E">
              <w:rPr>
                <w:sz w:val="22"/>
                <w:szCs w:val="22"/>
                <w:lang w:val="uk-UA"/>
              </w:rPr>
              <w:lastRenderedPageBreak/>
              <w:t xml:space="preserve">НКРЕКП вимагає: скорочувати операційні витрати але в той же час покращувати показники якості та  зменшувати технологічні втрати. </w:t>
            </w:r>
          </w:p>
          <w:p w:rsidR="00CF2AC1" w:rsidRPr="005A615E" w:rsidRDefault="00CF2AC1" w:rsidP="00CF2AC1">
            <w:pPr>
              <w:pStyle w:val="rvps2"/>
              <w:spacing w:beforeAutospacing="0" w:afterAutospacing="0"/>
              <w:jc w:val="both"/>
              <w:rPr>
                <w:bCs/>
              </w:rPr>
            </w:pPr>
            <w:r w:rsidRPr="005A615E">
              <w:rPr>
                <w:sz w:val="22"/>
                <w:szCs w:val="22"/>
                <w:lang w:val="uk-UA"/>
              </w:rPr>
              <w:t>В час коли  ресурси (фінансові, матеріальні, людські) обмежені, виконання всіх цих вимог одночасно може стати неможливим.</w:t>
            </w:r>
          </w:p>
        </w:tc>
        <w:tc>
          <w:tcPr>
            <w:tcW w:w="3969" w:type="dxa"/>
            <w:gridSpan w:val="2"/>
          </w:tcPr>
          <w:p w:rsidR="00CF2AC1" w:rsidRPr="005A615E" w:rsidRDefault="00CF2AC1" w:rsidP="00CF2AC1">
            <w:pPr>
              <w:widowControl w:val="0"/>
              <w:spacing w:line="257" w:lineRule="auto"/>
              <w:rPr>
                <w:rFonts w:ascii="Times New Roman" w:hAnsi="Times New Roman"/>
                <w:b/>
                <w:sz w:val="24"/>
              </w:rPr>
            </w:pPr>
            <w:r w:rsidRPr="005A615E">
              <w:rPr>
                <w:rFonts w:ascii="Times New Roman" w:hAnsi="Times New Roman"/>
                <w:b/>
                <w:sz w:val="24"/>
              </w:rPr>
              <w:lastRenderedPageBreak/>
              <w:t>Недостатньо обгрунтова позиція</w:t>
            </w:r>
          </w:p>
          <w:p w:rsidR="00CF2AC1" w:rsidRPr="005A615E" w:rsidRDefault="00CF2AC1" w:rsidP="00CF2AC1">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CF2AC1" w:rsidRPr="005A615E" w:rsidRDefault="00CF2AC1" w:rsidP="00CF2AC1">
            <w:pPr>
              <w:widowControl w:val="0"/>
              <w:spacing w:line="257" w:lineRule="auto"/>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4) індивідуальний показник ефективності (встановлюється починаючи з другого року другого регуляторного періоду за результатами бенчмаркінгу) – 0 %;</w:t>
            </w:r>
          </w:p>
          <w:p w:rsidR="00CF2AC1" w:rsidRPr="005A615E" w:rsidRDefault="00CF2AC1" w:rsidP="00CF2AC1">
            <w:pPr>
              <w:shd w:val="clear" w:color="auto" w:fill="FFFFFF"/>
              <w:jc w:val="both"/>
              <w:rPr>
                <w:rFonts w:ascii="Times New Roman" w:hAnsi="Times New Roman"/>
              </w:rPr>
            </w:pPr>
          </w:p>
        </w:tc>
        <w:tc>
          <w:tcPr>
            <w:tcW w:w="5387" w:type="dxa"/>
          </w:tcPr>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t xml:space="preserve">ГО «Перша енергетична рада» </w:t>
            </w:r>
            <w:r w:rsidRPr="005A615E">
              <w:rPr>
                <w:rFonts w:ascii="Times New Roman" w:hAnsi="Times New Roman"/>
                <w:b/>
                <w:sz w:val="24"/>
                <w:u w:val="single"/>
              </w:rPr>
              <w:br/>
              <w:t xml:space="preserve">(лист від 20.07.2026 № 28/01), </w:t>
            </w:r>
            <w:r w:rsidRPr="005A615E">
              <w:rPr>
                <w:rFonts w:ascii="Times New Roman" w:hAnsi="Times New Roman"/>
                <w:b/>
                <w:sz w:val="24"/>
                <w:u w:val="single"/>
              </w:rPr>
              <w:br/>
              <w:t xml:space="preserve">ПрАТ «ЛЬВІВОБЛЕНЕРГО» </w:t>
            </w:r>
            <w:r w:rsidRPr="005A615E">
              <w:rPr>
                <w:rFonts w:ascii="Times New Roman" w:hAnsi="Times New Roman"/>
                <w:b/>
                <w:sz w:val="24"/>
                <w:u w:val="single"/>
              </w:rPr>
              <w:br/>
              <w:t>(лист від 27.07.2026 № 122-07-5357)</w:t>
            </w:r>
          </w:p>
          <w:p w:rsidR="00CF2AC1" w:rsidRPr="005A615E" w:rsidRDefault="00CF2AC1" w:rsidP="00CF2AC1">
            <w:pPr>
              <w:jc w:val="both"/>
              <w:rPr>
                <w:rFonts w:ascii="Times New Roman" w:hAnsi="Times New Roman"/>
                <w:b/>
                <w:sz w:val="24"/>
                <w:u w:val="single"/>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4) індивідуальний показник ефективності </w:t>
            </w:r>
            <w:r w:rsidRPr="005A615E">
              <w:rPr>
                <w:rFonts w:ascii="Times New Roman" w:hAnsi="Times New Roman"/>
                <w:b/>
                <w:strike/>
              </w:rPr>
              <w:t>(встановлюється починаючи з другого року другого регуляторного періоду за результатами бенчмаркінгу)</w:t>
            </w:r>
            <w:r w:rsidRPr="005A615E">
              <w:rPr>
                <w:rFonts w:ascii="Times New Roman" w:hAnsi="Times New Roman"/>
              </w:rPr>
              <w:t xml:space="preserve"> – 0 %;</w:t>
            </w:r>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Методологія стимулюючого регулювання передбачає встановлення довгострокових параметрів регулювання, зокрема індивідуальних показників ефективності, </w:t>
            </w:r>
            <w:r w:rsidRPr="005A615E">
              <w:rPr>
                <w:rFonts w:ascii="Times New Roman" w:hAnsi="Times New Roman"/>
                <w:u w:val="single"/>
              </w:rPr>
              <w:t>до початку регуляторного періоду</w:t>
            </w:r>
            <w:r w:rsidRPr="005A615E">
              <w:rPr>
                <w:rFonts w:ascii="Times New Roman" w:hAnsi="Times New Roman"/>
              </w:rPr>
              <w:t xml:space="preserve">. Розрахунок цих показників передбачає проведення достатньо складного аналізу (за методами </w:t>
            </w:r>
            <w:r w:rsidRPr="005A615E">
              <w:rPr>
                <w:rFonts w:ascii="Times New Roman" w:hAnsi="Times New Roman"/>
                <w:lang w:val="en-US"/>
              </w:rPr>
              <w:t>DEA</w:t>
            </w:r>
            <w:r w:rsidRPr="005A615E">
              <w:rPr>
                <w:rFonts w:ascii="Times New Roman" w:hAnsi="Times New Roman"/>
              </w:rPr>
              <w:t xml:space="preserve">, </w:t>
            </w:r>
            <w:r w:rsidRPr="005A615E">
              <w:rPr>
                <w:rFonts w:ascii="Times New Roman" w:hAnsi="Times New Roman"/>
                <w:lang w:val="en-US"/>
              </w:rPr>
              <w:t>COLS</w:t>
            </w:r>
            <w:r w:rsidRPr="005A615E">
              <w:rPr>
                <w:rFonts w:ascii="Times New Roman" w:hAnsi="Times New Roman"/>
              </w:rPr>
              <w:t xml:space="preserve"> тощо), що вже не може бути виконано до початку 2-го регуляторного періоду.</w:t>
            </w:r>
          </w:p>
          <w:p w:rsidR="00CF2AC1" w:rsidRPr="005A615E" w:rsidRDefault="00CF2AC1" w:rsidP="00CF2AC1">
            <w:pPr>
              <w:jc w:val="both"/>
              <w:rPr>
                <w:rFonts w:ascii="Times New Roman" w:hAnsi="Times New Roman"/>
              </w:rPr>
            </w:pPr>
          </w:p>
          <w:p w:rsidR="00CF2AC1" w:rsidRPr="005A615E" w:rsidRDefault="00CF2AC1" w:rsidP="00CF2AC1">
            <w:pPr>
              <w:pStyle w:val="rvps2"/>
              <w:spacing w:beforeAutospacing="0" w:afterAutospacing="0"/>
              <w:ind w:firstLine="343"/>
              <w:jc w:val="both"/>
              <w:rPr>
                <w:b/>
                <w:u w:val="single"/>
              </w:rPr>
            </w:pPr>
            <w:r w:rsidRPr="005A615E">
              <w:rPr>
                <w:b/>
                <w:i/>
                <w:sz w:val="22"/>
                <w:szCs w:val="22"/>
                <w:u w:val="single"/>
                <w:lang w:val="uk-UA"/>
              </w:rPr>
              <w:t>Обгрунтування</w:t>
            </w:r>
            <w:r w:rsidRPr="005A615E">
              <w:rPr>
                <w:b/>
                <w:u w:val="single"/>
              </w:rPr>
              <w:t xml:space="preserve"> ПрАТ «ЛЬВІВОБЛЕНЕРГО»</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Індивідуальний показник ефективності на другий регуляторний період встановити на рівні 0% . </w:t>
            </w:r>
          </w:p>
          <w:p w:rsidR="00CF2AC1" w:rsidRPr="005A615E" w:rsidRDefault="00CF2AC1" w:rsidP="00CF2AC1">
            <w:pPr>
              <w:shd w:val="clear" w:color="auto" w:fill="FFFFFF"/>
              <w:ind w:firstLine="175"/>
              <w:jc w:val="both"/>
              <w:rPr>
                <w:rFonts w:ascii="Times New Roman" w:hAnsi="Times New Roman"/>
              </w:rPr>
            </w:pPr>
            <w:r w:rsidRPr="005A615E">
              <w:rPr>
                <w:rFonts w:ascii="Times New Roman" w:hAnsi="Times New Roman"/>
              </w:rPr>
              <w:lastRenderedPageBreak/>
              <w:t>Індивідуальний показник ефективності, який прямо впливає на ОКВ та ФОП оператора системи розподілу , пропонуємо застосовувати після приведення витрат інших ОКВ і витрат на оплату праці до економічного рівня, який враховує фактичні індекси цін виробників промислової продукції (в тому числі за перший регуляторний період), та рівня витрат на оплату праці.</w:t>
            </w:r>
          </w:p>
          <w:p w:rsidR="00CF2AC1" w:rsidRPr="005A615E" w:rsidRDefault="00CF2AC1" w:rsidP="00CF2AC1">
            <w:pPr>
              <w:jc w:val="both"/>
              <w:rPr>
                <w:rFonts w:ascii="Times New Roman" w:hAnsi="Times New Roman"/>
              </w:rPr>
            </w:pPr>
          </w:p>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t xml:space="preserve">АТ «ДТЕК ДОНЕЦЬКІ ЕЛЕКТРОМЕРЕЖІ» (лист від 22.07.2026 № 06/8954-вих), </w:t>
            </w:r>
            <w:r w:rsidRPr="005A615E">
              <w:rPr>
                <w:rFonts w:ascii="Times New Roman" w:hAnsi="Times New Roman"/>
                <w:b/>
                <w:sz w:val="24"/>
                <w:u w:val="single"/>
              </w:rPr>
              <w:br/>
              <w:t xml:space="preserve">АТ «ДТЕК ОДЕСЬКІ ЕЛЕКТРОМЕРЕЖІ» (лист від 22.07.2026 № 101/04/03-9309), </w:t>
            </w:r>
            <w:r w:rsidRPr="005A615E">
              <w:rPr>
                <w:rFonts w:ascii="Times New Roman" w:hAnsi="Times New Roman"/>
                <w:b/>
                <w:sz w:val="24"/>
                <w:u w:val="single"/>
              </w:rPr>
              <w:br/>
              <w:t xml:space="preserve">АТ «ДТЕ ДНІПРОВСЬКІ ЕЛЕКТРОМЕРЕЖІ» (лист від 22.07.2026 № 38539/1001), </w:t>
            </w:r>
            <w:r w:rsidRPr="005A615E">
              <w:rPr>
                <w:rFonts w:ascii="Times New Roman" w:hAnsi="Times New Roman"/>
                <w:b/>
                <w:sz w:val="24"/>
                <w:u w:val="single"/>
              </w:rPr>
              <w:br/>
              <w:t xml:space="preserve">АТ «ТЕРНОПІЛЬОБЛЕНЕРГО» </w:t>
            </w:r>
            <w:r w:rsidRPr="005A615E">
              <w:rPr>
                <w:rFonts w:ascii="Times New Roman" w:hAnsi="Times New Roman"/>
                <w:b/>
                <w:sz w:val="24"/>
                <w:u w:val="single"/>
              </w:rPr>
              <w:br/>
              <w:t xml:space="preserve">(лист від 24.07.2026 № 4428/7), </w:t>
            </w:r>
            <w:r w:rsidRPr="005A615E">
              <w:rPr>
                <w:rFonts w:ascii="Times New Roman" w:hAnsi="Times New Roman"/>
                <w:b/>
                <w:sz w:val="24"/>
                <w:u w:val="single"/>
              </w:rPr>
              <w:br/>
              <w:t xml:space="preserve">Громадська спілка «Розумні електромережі України» (лист від 24.07.2026  № 24-07/1), </w:t>
            </w:r>
            <w:r w:rsidRPr="005A615E">
              <w:rPr>
                <w:rFonts w:ascii="Times New Roman" w:hAnsi="Times New Roman"/>
                <w:b/>
                <w:sz w:val="24"/>
                <w:u w:val="single"/>
              </w:rPr>
              <w:br/>
              <w:t xml:space="preserve">АТ «ХАРКІВОБЛЕНЕРГО» </w:t>
            </w:r>
            <w:r w:rsidRPr="005A615E">
              <w:rPr>
                <w:rFonts w:ascii="Times New Roman" w:hAnsi="Times New Roman"/>
                <w:b/>
                <w:sz w:val="24"/>
                <w:u w:val="single"/>
              </w:rPr>
              <w:br/>
              <w:t xml:space="preserve">(лист від 27.07.2026 № 02-34/7102), </w:t>
            </w:r>
            <w:r w:rsidRPr="005A615E">
              <w:rPr>
                <w:rFonts w:ascii="Times New Roman" w:hAnsi="Times New Roman"/>
                <w:b/>
                <w:sz w:val="24"/>
                <w:u w:val="single"/>
              </w:rPr>
              <w:br/>
              <w:t xml:space="preserve">АТ «УКРАЇНСЬКІ РОЗПОДІЛЬНІ МЕРЕЖІ» (лист від 27.07.2026 № 27/07/26-2), </w:t>
            </w:r>
            <w:r w:rsidRPr="005A615E">
              <w:rPr>
                <w:rFonts w:ascii="Times New Roman" w:hAnsi="Times New Roman"/>
                <w:b/>
                <w:sz w:val="24"/>
                <w:u w:val="single"/>
              </w:rPr>
              <w:br/>
              <w:t xml:space="preserve">АТ «ПРИКАРПАТТЯОБЛЕНЕРГО» </w:t>
            </w:r>
            <w:r w:rsidRPr="005A615E">
              <w:rPr>
                <w:rFonts w:ascii="Times New Roman" w:hAnsi="Times New Roman"/>
                <w:b/>
                <w:sz w:val="24"/>
                <w:u w:val="single"/>
              </w:rPr>
              <w:br/>
              <w:t xml:space="preserve">(лист від 27.07.2026 № 50012257/12), </w:t>
            </w:r>
            <w:r w:rsidRPr="005A615E">
              <w:rPr>
                <w:rFonts w:ascii="Times New Roman" w:hAnsi="Times New Roman"/>
                <w:b/>
                <w:sz w:val="24"/>
                <w:u w:val="single"/>
              </w:rPr>
              <w:br/>
              <w:t>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eastAsia="Times New Roman" w:hAnsi="Times New Roman"/>
                <w:sz w:val="24"/>
                <w:szCs w:val="24"/>
                <w:u w:val="single"/>
                <w:lang w:eastAsia="ru-RU"/>
              </w:rPr>
              <w:br/>
            </w:r>
            <w:r w:rsidRPr="005A615E">
              <w:rPr>
                <w:rFonts w:ascii="Times New Roman" w:hAnsi="Times New Roman"/>
                <w:b/>
                <w:sz w:val="24"/>
                <w:u w:val="single"/>
              </w:rPr>
              <w:t>(лист від 30.07.2026 № 6957/04/2026 (ПОДАНО НЕ В СТРОК)</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jc w:val="both"/>
              <w:rPr>
                <w:b/>
                <w:i/>
                <w:u w:val="single"/>
              </w:rPr>
            </w:pPr>
            <w:r w:rsidRPr="005A615E">
              <w:rPr>
                <w:rFonts w:ascii="Times New Roman" w:hAnsi="Times New Roman"/>
                <w:sz w:val="24"/>
              </w:rPr>
              <w:lastRenderedPageBreak/>
              <w:t xml:space="preserve">4) індивідуальний показник ефективності (встановлюється починаючи з </w:t>
            </w:r>
            <w:r w:rsidRPr="005A615E">
              <w:rPr>
                <w:rFonts w:ascii="Times New Roman" w:hAnsi="Times New Roman"/>
                <w:b/>
                <w:sz w:val="24"/>
              </w:rPr>
              <w:t>третього</w:t>
            </w:r>
            <w:r w:rsidRPr="005A615E">
              <w:rPr>
                <w:rFonts w:ascii="Times New Roman" w:hAnsi="Times New Roman"/>
                <w:sz w:val="24"/>
              </w:rPr>
              <w:t xml:space="preserve"> року другого регуляторного періоду за результатами бенчмаркінгу) – 0 %;</w:t>
            </w:r>
            <w:r w:rsidRPr="005A615E">
              <w:rPr>
                <w:b/>
                <w:i/>
                <w:u w:val="single"/>
              </w:rPr>
              <w:t xml:space="preserve"> </w:t>
            </w:r>
          </w:p>
          <w:p w:rsidR="00CF2AC1" w:rsidRPr="005A615E" w:rsidRDefault="00CF2AC1" w:rsidP="00CF2AC1">
            <w:pPr>
              <w:jc w:val="both"/>
              <w:rPr>
                <w:b/>
                <w:i/>
                <w:u w:val="single"/>
              </w:rPr>
            </w:pPr>
          </w:p>
          <w:p w:rsidR="00CF2AC1" w:rsidRPr="005A615E" w:rsidRDefault="00CF2AC1" w:rsidP="00CF2AC1">
            <w:pPr>
              <w:jc w:val="both"/>
              <w:rPr>
                <w:b/>
                <w:i/>
                <w:u w:val="single"/>
              </w:rPr>
            </w:pPr>
            <w:r w:rsidRPr="005A615E">
              <w:rPr>
                <w:b/>
                <w:i/>
                <w:u w:val="single"/>
              </w:rPr>
              <w:t xml:space="preserve">Обгрунтування </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 xml:space="preserve">Необхідний час, щоб розробити модель для порівняння ОСР між собою по показнику ОКВ, після визначення моделі необхідні прорахування, тому пропонуємо це впровадити </w:t>
            </w:r>
            <w:r w:rsidRPr="005A615E">
              <w:rPr>
                <w:rFonts w:ascii="Times New Roman" w:hAnsi="Times New Roman"/>
                <w:b/>
                <w:bCs/>
                <w:shd w:val="clear" w:color="auto" w:fill="FFFFFF"/>
              </w:rPr>
              <w:t>з 2029 року</w:t>
            </w:r>
            <w:r w:rsidRPr="005A615E">
              <w:rPr>
                <w:rFonts w:ascii="Times New Roman" w:hAnsi="Times New Roman"/>
                <w:shd w:val="clear" w:color="auto" w:fill="FFFFFF"/>
              </w:rPr>
              <w:t>.</w:t>
            </w:r>
          </w:p>
          <w:p w:rsidR="00CF2AC1" w:rsidRPr="005A615E" w:rsidRDefault="00CF2AC1" w:rsidP="00CF2AC1">
            <w:pPr>
              <w:jc w:val="both"/>
              <w:rPr>
                <w:rFonts w:ascii="Times New Roman" w:hAnsi="Times New Roman"/>
                <w:shd w:val="clear" w:color="auto" w:fill="FFFFFF"/>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АТ«ЧЕРНІВЦІОБЛЕНЕРГО» </w:t>
            </w:r>
            <w:r w:rsidRPr="005A615E">
              <w:rPr>
                <w:rFonts w:ascii="Times New Roman" w:hAnsi="Times New Roman"/>
                <w:b/>
                <w:sz w:val="24"/>
                <w:u w:val="single"/>
              </w:rPr>
              <w:br/>
              <w:t>(лист від 24.07.2026  № 19/1-02/3604)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Cs/>
              </w:rPr>
              <w:t>4) індивідуальний показник ефективності (встановлюється починаючи з другого року другого регуляторного періоду за результатами бенчмаркінгу) – 0 %;</w:t>
            </w:r>
            <w:r w:rsidRPr="005A615E">
              <w:rPr>
                <w:rFonts w:ascii="Times New Roman" w:hAnsi="Times New Roman"/>
                <w:b/>
              </w:rPr>
              <w:t xml:space="preserve"> (для ліцензіатів, перелік яких наведено в </w:t>
            </w:r>
            <w:r w:rsidRPr="005A615E">
              <w:rPr>
                <w:rFonts w:ascii="Times New Roman" w:hAnsi="Times New Roman"/>
                <w:b/>
                <w:u w:val="single"/>
              </w:rPr>
              <w:t>додатку 35</w:t>
            </w:r>
            <w:r w:rsidRPr="005A615E">
              <w:rPr>
                <w:rFonts w:ascii="Times New Roman" w:hAnsi="Times New Roman"/>
                <w:b/>
              </w:rPr>
              <w:t xml:space="preserve"> до Порядку встановлення (формування) тарифів,  індивідуальний показник ефективності встановлюється  починаючи з 2030 року за результатами бенчмаркінгу) – 0 %;</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bCs/>
              </w:rPr>
              <w:t xml:space="preserve">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w:t>
            </w:r>
            <w:r w:rsidRPr="005A615E">
              <w:rPr>
                <w:rFonts w:ascii="Times New Roman" w:hAnsi="Times New Roman"/>
                <w:bCs/>
              </w:rPr>
              <w:lastRenderedPageBreak/>
              <w:t xml:space="preserve">на загальних умовах, а </w:t>
            </w:r>
            <w:r w:rsidRPr="005A615E">
              <w:rPr>
                <w:rFonts w:ascii="Times New Roman" w:hAnsi="Times New Roman"/>
              </w:rPr>
              <w:t>індивідуальний показник ефективності застосовувати  починаючи з 2030 року за результатами бенчмаркінгу.</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«КІРОВОГРАДОБЛЕНЕРГО» </w:t>
            </w:r>
            <w:r w:rsidRPr="005A615E">
              <w:rPr>
                <w:rFonts w:ascii="Times New Roman" w:hAnsi="Times New Roman"/>
                <w:b/>
                <w:sz w:val="24"/>
                <w:u w:val="single"/>
              </w:rPr>
              <w:br/>
              <w:t>(лист від 27.07.2026  № 3919/05/34)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sz w:val="24"/>
              </w:rPr>
              <w:t>4</w:t>
            </w:r>
            <w:r w:rsidRPr="005A615E">
              <w:rPr>
                <w:rFonts w:ascii="Times New Roman" w:hAnsi="Times New Roman"/>
              </w:rPr>
              <w:t>) індивідуальний показник ефективності (встановлюється починаючи з другого року</w:t>
            </w:r>
            <w:r w:rsidRPr="005A615E">
              <w:rPr>
                <w:rFonts w:ascii="Times New Roman" w:hAnsi="Times New Roman"/>
                <w:bCs/>
              </w:rPr>
              <w:t xml:space="preserve">, </w:t>
            </w:r>
            <w:r w:rsidRPr="005A615E">
              <w:rPr>
                <w:rFonts w:ascii="Times New Roman" w:hAnsi="Times New Roman"/>
              </w:rPr>
              <w:t>а для ліцензіатів, перелік яких наведено в додатку 35 з п’ятого року  другого регуляторного періоду за результатами бенчмаркінгу) – 0 %;</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Через встановлення для ПрАТ «Кіровоградобленерго» протягом 2023-2025 років тарифів, які не відповідають економічно обґрунтованим витратам, визначеним у затвердженій НКРЕКП структурі тарифів на послуги з розподілу електричної енергії, Товариство перебуває у стані штучно створеного дефіциту коштів. Тож, до моменту повернення всіх недокомпенсованих коштів за результатами перевірки, до підприємства не мають застосовуватися обмежувальні заходи та вимоги щодо виконання цільових показників.</w:t>
            </w:r>
          </w:p>
          <w:p w:rsidR="00CF2AC1" w:rsidRPr="005A615E" w:rsidRDefault="00CF2AC1" w:rsidP="00CF2AC1">
            <w:pPr>
              <w:shd w:val="clear" w:color="auto" w:fill="FFFFFF"/>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4) індивідуальний показник ефективності (встановлюється  починаючи з другого року другого регуляторного періоду за результатами бенчмаркінгу) - 0%.</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
              </w:rPr>
              <w:t>Для ліцензіатів, перелік яких наведено у додатку 35 до Порядку встановлення (формування) тарифів, для 2028-2030 років – 0 %);</w:t>
            </w:r>
          </w:p>
          <w:p w:rsidR="00CF2AC1" w:rsidRPr="005A615E" w:rsidRDefault="00CF2AC1" w:rsidP="00CF2AC1">
            <w:pPr>
              <w:shd w:val="clear" w:color="auto" w:fill="FFFFFF"/>
              <w:jc w:val="both"/>
              <w:rPr>
                <w:rFonts w:ascii="Times New Roman" w:hAnsi="Times New Roman"/>
                <w:b/>
                <w:sz w:val="24"/>
                <w:u w:val="single"/>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rPr>
              <w:t xml:space="preserve">Модель порівняння та аналізу ОСР (проведення бенчмаркінгу) повинна враховувати особливості </w:t>
            </w:r>
            <w:r w:rsidRPr="005A615E">
              <w:rPr>
                <w:rFonts w:ascii="Times New Roman" w:hAnsi="Times New Roman"/>
                <w:shd w:val="clear" w:color="auto" w:fill="FFFFFF"/>
              </w:rPr>
              <w:t xml:space="preserve">першого регуляторного періоду за застосовувати </w:t>
            </w:r>
            <w:r w:rsidRPr="005A615E">
              <w:rPr>
                <w:rFonts w:ascii="Times New Roman" w:hAnsi="Times New Roman"/>
                <w:b/>
                <w:u w:val="single"/>
                <w:shd w:val="clear" w:color="auto" w:fill="FFFFFF"/>
              </w:rPr>
              <w:t>особливі умови</w:t>
            </w:r>
            <w:r w:rsidRPr="005A615E">
              <w:rPr>
                <w:rFonts w:ascii="Times New Roman" w:hAnsi="Times New Roman"/>
                <w:shd w:val="clear" w:color="auto" w:fill="FFFFFF"/>
              </w:rPr>
              <w:t xml:space="preserve"> для ОСР, вказаних у додатку 35.</w:t>
            </w:r>
          </w:p>
          <w:p w:rsidR="00CF2AC1" w:rsidRPr="005A615E" w:rsidRDefault="00CF2AC1" w:rsidP="00CF2AC1">
            <w:pPr>
              <w:jc w:val="both"/>
              <w:rPr>
                <w:rFonts w:ascii="Times New Roman" w:hAnsi="Times New Roman"/>
                <w:b/>
                <w:shd w:val="clear" w:color="auto" w:fill="FFFFFF"/>
              </w:rPr>
            </w:pPr>
            <w:r w:rsidRPr="005A615E">
              <w:rPr>
                <w:rFonts w:ascii="Times New Roman" w:hAnsi="Times New Roman"/>
                <w:b/>
                <w:shd w:val="clear" w:color="auto" w:fill="FFFFFF"/>
              </w:rPr>
              <w:t xml:space="preserve">З огляду на вказане, враховуючи особливі регуляторні умови протягом 2024-2026 роки, просимо </w:t>
            </w:r>
            <w:r w:rsidRPr="005A615E">
              <w:rPr>
                <w:rFonts w:ascii="Times New Roman" w:hAnsi="Times New Roman"/>
                <w:b/>
              </w:rPr>
              <w:t xml:space="preserve">індивідуальний показник ефективності </w:t>
            </w:r>
            <w:r w:rsidRPr="005A615E">
              <w:rPr>
                <w:rFonts w:ascii="Times New Roman" w:hAnsi="Times New Roman"/>
                <w:b/>
                <w:shd w:val="clear" w:color="auto" w:fill="FFFFFF"/>
              </w:rPr>
              <w:t>для ОСР додатку 35 визначати на нульовому рівні протягом 2028-2030 років.</w:t>
            </w:r>
          </w:p>
          <w:p w:rsidR="00CF2AC1" w:rsidRPr="005A615E" w:rsidRDefault="00CF2AC1" w:rsidP="00CF2AC1">
            <w:pPr>
              <w:jc w:val="both"/>
              <w:rPr>
                <w:rFonts w:ascii="Times New Roman" w:hAnsi="Times New Roman"/>
                <w:b/>
                <w:sz w:val="24"/>
                <w:u w:val="single"/>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 xml:space="preserve">АТ «ХМЕЛЬНИЦЬКОБЛЕНЕРГО» </w:t>
            </w:r>
            <w:r w:rsidRPr="005A615E">
              <w:rPr>
                <w:rFonts w:ascii="Times New Roman" w:hAnsi="Times New Roman"/>
                <w:b/>
                <w:sz w:val="24"/>
                <w:u w:val="single"/>
              </w:rPr>
              <w:br/>
              <w:t>(лист від 27.07.2026 № 4-6209-0201/26)</w:t>
            </w:r>
            <w:r w:rsidRPr="005A615E">
              <w:rPr>
                <w:rFonts w:ascii="Times New Roman" w:eastAsia="Times New Roman" w:hAnsi="Times New Roman"/>
                <w:sz w:val="24"/>
                <w:szCs w:val="24"/>
                <w:lang w:eastAsia="ru-RU"/>
              </w:rPr>
              <w:t xml:space="preserve">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pacing w:after="75" w:line="259" w:lineRule="auto"/>
              <w:ind w:firstLine="240"/>
              <w:jc w:val="both"/>
              <w:rPr>
                <w:rFonts w:ascii="Times New Roman" w:hAnsi="Times New Roman"/>
              </w:rPr>
            </w:pPr>
            <w:r w:rsidRPr="005A615E">
              <w:rPr>
                <w:rFonts w:ascii="Times New Roman" w:hAnsi="Times New Roman" w:cs="Times New Roman"/>
              </w:rPr>
              <w:t>4) індивідуальний показник ефективності (встановлюється починаючи з першого року третього регуляторного періоду за результатами бенчмаркінгу)</w:t>
            </w: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eastAsia="Times New Roman" w:hAnsi="Times New Roman"/>
                <w:sz w:val="24"/>
                <w:szCs w:val="24"/>
                <w:lang w:eastAsia="ru-RU"/>
              </w:rPr>
              <w:t>…</w:t>
            </w:r>
          </w:p>
          <w:p w:rsidR="00CF2AC1" w:rsidRPr="005A615E" w:rsidRDefault="00CF2AC1" w:rsidP="00CF2AC1">
            <w:pPr>
              <w:jc w:val="both"/>
            </w:pPr>
            <w:r w:rsidRPr="005A615E">
              <w:rPr>
                <w:b/>
                <w:i/>
                <w:u w:val="single"/>
              </w:rPr>
              <w:t>Обгрунтування</w:t>
            </w:r>
          </w:p>
          <w:p w:rsidR="00CF2AC1" w:rsidRPr="005A615E" w:rsidRDefault="00CF2AC1" w:rsidP="00CF2AC1">
            <w:pPr>
              <w:spacing w:after="75" w:line="259" w:lineRule="auto"/>
              <w:jc w:val="both"/>
              <w:rPr>
                <w:rFonts w:ascii="Times New Roman" w:hAnsi="Times New Roman" w:cs="Times New Roman"/>
                <w:bCs/>
              </w:rPr>
            </w:pPr>
            <w:r w:rsidRPr="005A615E">
              <w:rPr>
                <w:rFonts w:ascii="Times New Roman" w:hAnsi="Times New Roman" w:cs="Times New Roman"/>
              </w:rPr>
              <w:t xml:space="preserve">На даному етапі </w:t>
            </w:r>
            <w:r w:rsidRPr="005A615E">
              <w:rPr>
                <w:rFonts w:ascii="Times New Roman" w:hAnsi="Times New Roman" w:cs="Times New Roman"/>
                <w:bCs/>
              </w:rPr>
              <w:t>запровадження нових показників дотримання цільових показників якості є передчасним</w:t>
            </w:r>
          </w:p>
        </w:tc>
        <w:tc>
          <w:tcPr>
            <w:tcW w:w="3969" w:type="dxa"/>
            <w:gridSpan w:val="2"/>
          </w:tcPr>
          <w:p w:rsidR="00E50498" w:rsidRPr="005A615E" w:rsidRDefault="00E50498" w:rsidP="00E50498">
            <w:pPr>
              <w:rPr>
                <w:rFonts w:ascii="Times New Roman" w:hAnsi="Times New Roman"/>
                <w:b/>
                <w:sz w:val="24"/>
              </w:rPr>
            </w:pPr>
            <w:r w:rsidRPr="005A615E">
              <w:rPr>
                <w:rFonts w:ascii="Times New Roman" w:hAnsi="Times New Roman"/>
                <w:b/>
                <w:sz w:val="24"/>
              </w:rPr>
              <w:lastRenderedPageBreak/>
              <w:t>Не враховано</w:t>
            </w:r>
          </w:p>
          <w:p w:rsidR="00E50498" w:rsidRPr="005A615E" w:rsidRDefault="00E50498" w:rsidP="00E50498">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44F70" w:rsidRPr="005A615E" w:rsidRDefault="00CF2AC1" w:rsidP="00E50498">
            <w:pPr>
              <w:widowControl w:val="0"/>
              <w:spacing w:line="257" w:lineRule="auto"/>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5) показник ефективності технологічних витрат електроенергії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на 1 класі напруги – 0,01 відносних одиниць (для 2027 року для ліцензіатів, перелік яких наведено в  додатку 34 до Порядку встановлення (формування) тарифів – 0 відносних одиниць);</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w:t>
            </w:r>
          </w:p>
          <w:p w:rsidR="00CF2AC1" w:rsidRPr="005A615E" w:rsidRDefault="00CF2AC1" w:rsidP="00CF2AC1">
            <w:pPr>
              <w:jc w:val="both"/>
              <w:rPr>
                <w:rFonts w:ascii="Times New Roman" w:hAnsi="Times New Roman"/>
                <w:b/>
                <w:sz w:val="24"/>
                <w:u w:val="single"/>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sz w:val="24"/>
                <w:u w:val="single"/>
              </w:rPr>
            </w:pPr>
            <w:r w:rsidRPr="005A615E">
              <w:rPr>
                <w:rFonts w:ascii="Times New Roman" w:hAnsi="Times New Roman"/>
              </w:rPr>
              <w:t xml:space="preserve">5) показник ефективності технологічних витрат електроенергії на 1 класі напруги – 0,01 відносних одиниць </w:t>
            </w:r>
            <w:r w:rsidRPr="005A615E">
              <w:rPr>
                <w:rFonts w:ascii="Times New Roman" w:hAnsi="Times New Roman"/>
                <w:b/>
              </w:rPr>
              <w:t>(</w:t>
            </w:r>
            <w:r w:rsidRPr="005A615E">
              <w:rPr>
                <w:rFonts w:ascii="Times New Roman" w:hAnsi="Times New Roman"/>
                <w:b/>
                <w:u w:val="single"/>
              </w:rPr>
              <w:t>для періоду воєнного стану</w:t>
            </w:r>
            <w:r w:rsidRPr="005A615E">
              <w:rPr>
                <w:rFonts w:ascii="Times New Roman" w:hAnsi="Times New Roman"/>
                <w:b/>
              </w:rPr>
              <w:t xml:space="preserve"> </w:t>
            </w:r>
            <w:r w:rsidRPr="005A615E">
              <w:rPr>
                <w:rFonts w:ascii="Times New Roman" w:hAnsi="Times New Roman"/>
                <w:b/>
                <w:u w:val="single"/>
              </w:rPr>
              <w:t>та двох років після його закінчення</w:t>
            </w:r>
            <w:r w:rsidRPr="005A615E">
              <w:rPr>
                <w:rFonts w:ascii="Times New Roman" w:hAnsi="Times New Roman"/>
              </w:rPr>
              <w:t xml:space="preserve"> для ліцензіатів, перелік яких наведено в  додатку 34 до Порядку встановлення (формування) тарифів – 0 відносних одиниць);</w:t>
            </w:r>
          </w:p>
          <w:p w:rsidR="00CF2AC1" w:rsidRPr="005A615E" w:rsidRDefault="00CF2AC1" w:rsidP="00CF2AC1">
            <w:r w:rsidRPr="005A615E">
              <w:rPr>
                <w:b/>
                <w:i/>
                <w:u w:val="single"/>
              </w:rPr>
              <w:t>Обгрунтування</w:t>
            </w:r>
          </w:p>
          <w:p w:rsidR="00CF2AC1" w:rsidRPr="005A615E" w:rsidRDefault="00CF2AC1" w:rsidP="00CF2AC1">
            <w:pPr>
              <w:jc w:val="both"/>
              <w:rPr>
                <w:rFonts w:ascii="Times New Roman" w:eastAsia="Times New Roman" w:hAnsi="Times New Roman"/>
                <w:bCs/>
                <w:lang w:eastAsia="ru-RU"/>
              </w:rPr>
            </w:pPr>
            <w:r w:rsidRPr="005A615E">
              <w:rPr>
                <w:rFonts w:ascii="Times New Roman" w:eastAsia="Times New Roman" w:hAnsi="Times New Roman"/>
                <w:bCs/>
                <w:lang w:eastAsia="ru-RU"/>
              </w:rPr>
              <w:t>Стала схема нормального режиму після закінчення воєнного стану потребує часу для відновлення магістральних мереж та генеруючих потужностей, що напряму впливає на рівень втрат електроенергії. Тому пропонується два роки для відновлення схеми нормального режиму.</w:t>
            </w:r>
          </w:p>
          <w:p w:rsidR="00CF2AC1" w:rsidRPr="005A615E" w:rsidRDefault="00CF2AC1" w:rsidP="00CF2AC1">
            <w:pPr>
              <w:jc w:val="both"/>
              <w:rPr>
                <w:rFonts w:ascii="Times New Roman" w:hAnsi="Times New Roman"/>
                <w:b/>
                <w:sz w:val="24"/>
                <w:u w:val="single"/>
              </w:rPr>
            </w:pPr>
          </w:p>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t xml:space="preserve">ПрАТ «РІВНЕОБЛЕНЕРГО» </w:t>
            </w:r>
            <w:r w:rsidRPr="005A615E">
              <w:rPr>
                <w:rFonts w:ascii="Times New Roman" w:hAnsi="Times New Roman"/>
                <w:b/>
                <w:sz w:val="24"/>
                <w:u w:val="single"/>
              </w:rPr>
              <w:br/>
              <w:t xml:space="preserve">(лист від 24.07.2026 № 46-08/7070), </w:t>
            </w:r>
            <w:r w:rsidRPr="005A615E">
              <w:rPr>
                <w:rFonts w:ascii="Times New Roman" w:hAnsi="Times New Roman"/>
                <w:b/>
                <w:sz w:val="24"/>
                <w:u w:val="single"/>
              </w:rPr>
              <w:br/>
            </w:r>
            <w:r w:rsidRPr="005A615E">
              <w:rPr>
                <w:rFonts w:ascii="Times New Roman" w:hAnsi="Times New Roman"/>
                <w:b/>
                <w:sz w:val="24"/>
                <w:u w:val="single"/>
              </w:rPr>
              <w:lastRenderedPageBreak/>
              <w:t xml:space="preserve">ПрАТ «КІРОВОГРАДОБЛЕНЕРГО» </w:t>
            </w:r>
            <w:r w:rsidRPr="005A615E">
              <w:rPr>
                <w:rFonts w:ascii="Times New Roman" w:hAnsi="Times New Roman"/>
                <w:b/>
                <w:sz w:val="24"/>
                <w:u w:val="single"/>
              </w:rPr>
              <w:br/>
              <w:t>(лист від 27.07.2026  № 3919/05/34)</w:t>
            </w:r>
          </w:p>
          <w:p w:rsidR="00CF2AC1" w:rsidRPr="005A615E" w:rsidRDefault="00CF2AC1" w:rsidP="00CF2AC1">
            <w:pPr>
              <w:jc w:val="both"/>
              <w:rPr>
                <w:rFonts w:ascii="Times New Roman" w:hAnsi="Times New Roman"/>
                <w:b/>
                <w:sz w:val="24"/>
                <w:u w:val="single"/>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5) показник ефективності технологічних витрат електроенергії на 1 класі напруги – 0,01 відносних одиниць (для 2027 року для ліцензіатів, перелік яких наведено в  додатку 34 </w:t>
            </w:r>
            <w:r w:rsidRPr="005A615E">
              <w:rPr>
                <w:rFonts w:ascii="Times New Roman" w:hAnsi="Times New Roman"/>
                <w:b/>
              </w:rPr>
              <w:t xml:space="preserve"> та додатку 35</w:t>
            </w:r>
            <w:r w:rsidRPr="005A615E">
              <w:rPr>
                <w:rFonts w:ascii="Times New Roman" w:hAnsi="Times New Roman"/>
              </w:rPr>
              <w:t xml:space="preserve"> до Порядку встановлення (формування) тарифів – 0 відносних одиниць);</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 xml:space="preserve">Обгрунтування </w:t>
            </w:r>
            <w:r w:rsidRPr="005A615E">
              <w:rPr>
                <w:b/>
                <w:i/>
                <w:sz w:val="22"/>
                <w:szCs w:val="22"/>
                <w:u w:val="single"/>
                <w:lang w:val="uk-UA"/>
              </w:rPr>
              <w:br/>
            </w:r>
            <w:r w:rsidRPr="005A615E">
              <w:rPr>
                <w:b/>
                <w:u w:val="single"/>
                <w:lang w:eastAsia="ar-SA"/>
              </w:rPr>
              <w:t>ПрАТ «РІВНЕОБЛЕНЕРГО»</w:t>
            </w:r>
          </w:p>
          <w:p w:rsidR="00CF2AC1" w:rsidRPr="005A615E" w:rsidRDefault="00CF2AC1" w:rsidP="00CF2AC1">
            <w:pPr>
              <w:suppressAutoHyphens/>
              <w:spacing w:line="257" w:lineRule="auto"/>
              <w:jc w:val="both"/>
              <w:rPr>
                <w:rFonts w:ascii="Times New Roman" w:hAnsi="Times New Roman"/>
                <w:lang w:eastAsia="ar-SA"/>
              </w:rPr>
            </w:pPr>
            <w:r w:rsidRPr="005A615E">
              <w:rPr>
                <w:rFonts w:ascii="Times New Roman" w:hAnsi="Times New Roman"/>
                <w:lang w:eastAsia="ar-SA"/>
              </w:rPr>
              <w:t xml:space="preserve">Через відсутність норми прибутку у 2024-2026 роках ПрАТ «Рівнеобленерго» мало зменшені обсяги фінансування інвестпрограми на 326 млн.грн.. У зв’язку із застосованими обмежувальними заходами до структури тарифів у 2023-2025 роках Товариство також було </w:t>
            </w:r>
            <w:r w:rsidRPr="005A615E">
              <w:rPr>
                <w:rFonts w:ascii="Times New Roman" w:hAnsi="Times New Roman"/>
              </w:rPr>
              <w:t>позбавлене фінансової можливості виконувати в повному обсязі заходи Розділу 2 інвестпрограм, які безпосередньо спрямовані на зниження втрат.</w:t>
            </w:r>
          </w:p>
          <w:p w:rsidR="00CF2AC1" w:rsidRPr="005A615E" w:rsidRDefault="00CF2AC1" w:rsidP="00CF2AC1">
            <w:pPr>
              <w:suppressAutoHyphens/>
              <w:spacing w:line="257" w:lineRule="auto"/>
              <w:jc w:val="both"/>
              <w:rPr>
                <w:rFonts w:ascii="Times New Roman" w:hAnsi="Times New Roman"/>
                <w:b/>
                <w:lang w:eastAsia="ar-SA"/>
              </w:rPr>
            </w:pPr>
            <w:r w:rsidRPr="005A615E">
              <w:rPr>
                <w:rFonts w:ascii="Times New Roman" w:hAnsi="Times New Roman"/>
                <w:lang w:eastAsia="ar-SA"/>
              </w:rPr>
              <w:t xml:space="preserve">Зважаючи на об’єктивні причини неможливості модернізації мереж відносно заявлених в умовах першого регуляторного періоду стимулюючого регулювання </w:t>
            </w:r>
            <w:r w:rsidRPr="005A615E">
              <w:rPr>
                <w:rFonts w:ascii="Times New Roman" w:hAnsi="Times New Roman"/>
                <w:b/>
                <w:lang w:eastAsia="ar-SA"/>
              </w:rPr>
              <w:t>Товариство висловлює прохання зробити виключення для ОСР з Додатку 35 і визначити для них показник ефективності ТВЕ для 1,2 класу напруги на рівні 0 відносних одиниць.</w:t>
            </w:r>
          </w:p>
          <w:p w:rsidR="00CF2AC1" w:rsidRPr="005A615E" w:rsidRDefault="00CF2AC1" w:rsidP="00CF2AC1">
            <w:pPr>
              <w:suppressAutoHyphens/>
              <w:ind w:firstLine="226"/>
              <w:jc w:val="both"/>
              <w:rPr>
                <w:rFonts w:ascii="Times New Roman" w:hAnsi="Times New Roman"/>
                <w:b/>
                <w:lang w:eastAsia="ar-SA"/>
              </w:rPr>
            </w:pPr>
          </w:p>
          <w:p w:rsidR="00CF2AC1" w:rsidRPr="005A615E" w:rsidRDefault="00CF2AC1" w:rsidP="00CF2AC1">
            <w:pPr>
              <w:pStyle w:val="rvps2"/>
              <w:spacing w:beforeAutospacing="0" w:afterAutospacing="0"/>
              <w:jc w:val="both"/>
              <w:rPr>
                <w:b/>
                <w:u w:val="single"/>
                <w:lang w:val="uk-UA"/>
              </w:rPr>
            </w:pPr>
            <w:r w:rsidRPr="005A615E">
              <w:rPr>
                <w:b/>
                <w:i/>
                <w:sz w:val="22"/>
                <w:szCs w:val="22"/>
                <w:u w:val="single"/>
                <w:lang w:val="uk-UA"/>
              </w:rPr>
              <w:lastRenderedPageBreak/>
              <w:t xml:space="preserve">Обгрунтування </w:t>
            </w:r>
            <w:r w:rsidRPr="005A615E">
              <w:rPr>
                <w:b/>
                <w:i/>
                <w:sz w:val="22"/>
                <w:szCs w:val="22"/>
                <w:u w:val="single"/>
                <w:lang w:val="uk-UA"/>
              </w:rPr>
              <w:br/>
            </w:r>
            <w:r w:rsidRPr="005A615E">
              <w:rPr>
                <w:b/>
                <w:u w:val="single"/>
                <w:lang w:val="uk-UA"/>
              </w:rPr>
              <w:t>ПрАТ «КІРОВОГРАДОБЛЕНЕРГО»</w:t>
            </w:r>
          </w:p>
          <w:p w:rsidR="00CF2AC1" w:rsidRPr="005A615E" w:rsidRDefault="00CF2AC1" w:rsidP="00CF2AC1">
            <w:pPr>
              <w:pStyle w:val="rvps2"/>
              <w:spacing w:beforeAutospacing="0" w:afterAutospacing="0"/>
              <w:jc w:val="both"/>
              <w:rPr>
                <w:b/>
                <w:i/>
                <w:sz w:val="22"/>
                <w:szCs w:val="22"/>
                <w:u w:val="single"/>
                <w:lang w:val="uk-UA"/>
              </w:rPr>
            </w:pPr>
            <w:r w:rsidRPr="005A615E">
              <w:rPr>
                <w:lang w:val="uk-UA"/>
              </w:rPr>
              <w:t xml:space="preserve">Через встановлення для ПрАТ «Кіровоградобленерго» протягом 2023-2025 років тарифів, які не відповідають економічно обґрунтованим витратам, визначеним у затвердженій НКРЕКП структурі тарифів на послуги з розподілу електричної енергії, Товариство перебуває у стані штучно створеного дефіциту коштів. </w:t>
            </w:r>
            <w:r w:rsidRPr="005A615E">
              <w:t>Тож, до моменту повернення всіх недокомпенсованих коштів за результатами перевірки, до підприємства не мають застосовуватися обмежувальні заходи та вимоги щодо виконання цільових показників.</w:t>
            </w:r>
          </w:p>
          <w:p w:rsidR="00CF2AC1" w:rsidRPr="005A615E" w:rsidRDefault="00CF2AC1" w:rsidP="00CF2AC1">
            <w:pPr>
              <w:suppressAutoHyphens/>
              <w:ind w:firstLine="226"/>
              <w:jc w:val="both"/>
              <w:rPr>
                <w:rFonts w:ascii="Times New Roman" w:hAnsi="Times New Roman"/>
                <w:b/>
                <w:lang w:eastAsia="ar-SA"/>
              </w:rPr>
            </w:pPr>
          </w:p>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t xml:space="preserve">АТ «ЧЕРНІВЦІОБЛЕНЕРГО» </w:t>
            </w:r>
            <w:r w:rsidRPr="005A615E">
              <w:rPr>
                <w:rFonts w:ascii="Times New Roman" w:hAnsi="Times New Roman"/>
                <w:b/>
                <w:sz w:val="24"/>
                <w:u w:val="single"/>
              </w:rPr>
              <w:br/>
              <w:t>(лист від 24.07.2026  № 19/1-02/3604)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Cs/>
              </w:rPr>
              <w:t xml:space="preserve">5) показник ефективності технологічних витрат електроенергії на 1 класі напруги – 0,01 відносних одиниць (для 2027 року для ліцензіатів, перелік яких наведено в додатку 34 до Порядку встановлення (формування) тарифів – 0 відносних одиниць); </w:t>
            </w:r>
            <w:r w:rsidRPr="005A615E">
              <w:rPr>
                <w:rFonts w:ascii="Times New Roman" w:hAnsi="Times New Roman"/>
                <w:b/>
              </w:rPr>
              <w:t xml:space="preserve">(для 2027-2029 років для ліцензіатів, перелік яких наведено в </w:t>
            </w:r>
            <w:r w:rsidRPr="005A615E">
              <w:rPr>
                <w:rFonts w:ascii="Times New Roman" w:hAnsi="Times New Roman"/>
                <w:b/>
                <w:u w:val="single"/>
              </w:rPr>
              <w:t>додатку 35</w:t>
            </w:r>
            <w:r w:rsidRPr="005A615E">
              <w:rPr>
                <w:rFonts w:ascii="Times New Roman" w:hAnsi="Times New Roman"/>
                <w:b/>
              </w:rPr>
              <w:t xml:space="preserve"> до Порядку встановлення (формування) тарифів, – 0 відносних одиниць);</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 xml:space="preserve">Враховуючи те, що АТ «ЧЕРНІВЦІОБЛЕНЕРГО» протягом 2023-2026 років знаходилось в особливих умовах встановлення тарифів на розподіл електричної </w:t>
            </w:r>
            <w:r w:rsidRPr="005A615E">
              <w:rPr>
                <w:rFonts w:ascii="Times New Roman" w:hAnsi="Times New Roman"/>
                <w:bCs/>
              </w:rPr>
              <w:lastRenderedPageBreak/>
              <w:t>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44F70" w:rsidRPr="005A615E" w:rsidRDefault="00C44F70" w:rsidP="00CF2AC1">
            <w:pPr>
              <w:jc w:val="both"/>
              <w:rPr>
                <w:rFonts w:ascii="Times New Roman" w:hAnsi="Times New Roman"/>
                <w:bCs/>
              </w:rPr>
            </w:pPr>
          </w:p>
          <w:p w:rsidR="00C44F70" w:rsidRPr="005A615E" w:rsidRDefault="00C44F70" w:rsidP="00C44F70">
            <w:pPr>
              <w:jc w:val="both"/>
              <w:rPr>
                <w:rFonts w:ascii="Times New Roman" w:hAnsi="Times New Roman"/>
                <w:b/>
                <w:sz w:val="24"/>
                <w:u w:val="single"/>
              </w:rPr>
            </w:pPr>
            <w:r w:rsidRPr="005A615E">
              <w:rPr>
                <w:rFonts w:ascii="Times New Roman" w:hAnsi="Times New Roman"/>
                <w:b/>
                <w:sz w:val="24"/>
                <w:u w:val="single"/>
              </w:rPr>
              <w:t xml:space="preserve">АТ «ЖИТОМИРОБЛЕНЕРГО» </w:t>
            </w:r>
            <w:r w:rsidRPr="005A615E">
              <w:rPr>
                <w:rFonts w:ascii="Times New Roman" w:hAnsi="Times New Roman"/>
                <w:b/>
                <w:sz w:val="24"/>
                <w:u w:val="single"/>
              </w:rPr>
              <w:br/>
              <w:t>(лист від 27.07.2026  № 05/24560)</w:t>
            </w:r>
          </w:p>
          <w:p w:rsidR="00C44F70" w:rsidRPr="005A615E" w:rsidRDefault="00C44F70" w:rsidP="00C44F70">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44F70" w:rsidRPr="005A615E" w:rsidRDefault="00C44F70" w:rsidP="00C44F70">
            <w:pPr>
              <w:shd w:val="clear" w:color="auto" w:fill="FFFFFF"/>
              <w:jc w:val="both"/>
              <w:rPr>
                <w:rFonts w:ascii="Times New Roman" w:hAnsi="Times New Roman"/>
              </w:rPr>
            </w:pPr>
            <w:r w:rsidRPr="005A615E">
              <w:rPr>
                <w:rFonts w:ascii="Times New Roman" w:hAnsi="Times New Roman"/>
              </w:rPr>
              <w:t>…</w:t>
            </w:r>
          </w:p>
          <w:p w:rsidR="00C44F70" w:rsidRPr="005A615E" w:rsidRDefault="00C44F70" w:rsidP="00C44F70">
            <w:pPr>
              <w:shd w:val="clear" w:color="auto" w:fill="FFFFFF"/>
              <w:jc w:val="both"/>
              <w:rPr>
                <w:rFonts w:ascii="Times New Roman" w:hAnsi="Times New Roman"/>
              </w:rPr>
            </w:pPr>
            <w:r w:rsidRPr="005A615E">
              <w:rPr>
                <w:rFonts w:ascii="Times New Roman" w:hAnsi="Times New Roman"/>
              </w:rPr>
              <w:t>5) показник ефективності технологічних витрат електроенергії на 1 класі напруги – 0,01 відносних одиниць (для 2027 року для ліцензіатів, перелік яких наведено у додатку 34 до Порядку встановлення (формування) тарифів  – 0 відносних одиниць).</w:t>
            </w:r>
          </w:p>
          <w:p w:rsidR="00C44F70" w:rsidRPr="005A615E" w:rsidRDefault="00C44F70" w:rsidP="00C44F70">
            <w:pPr>
              <w:shd w:val="clear" w:color="auto" w:fill="FFFFFF"/>
              <w:jc w:val="both"/>
              <w:rPr>
                <w:rFonts w:ascii="Times New Roman" w:hAnsi="Times New Roman"/>
                <w:b/>
              </w:rPr>
            </w:pPr>
            <w:r w:rsidRPr="005A615E">
              <w:rPr>
                <w:rFonts w:ascii="Times New Roman" w:hAnsi="Times New Roman"/>
                <w:b/>
              </w:rPr>
              <w:t>Для ліцензіатів, перелік яких наведено у додатку 35 до Порядку для періоду воєнного стану та двох років після його закінчення – 0 %);</w:t>
            </w:r>
          </w:p>
          <w:p w:rsidR="00C44F70" w:rsidRPr="005A615E" w:rsidRDefault="00C44F70" w:rsidP="00C44F70">
            <w:pPr>
              <w:shd w:val="clear" w:color="auto" w:fill="FFFFFF"/>
              <w:jc w:val="both"/>
              <w:rPr>
                <w:rFonts w:ascii="Times New Roman" w:hAnsi="Times New Roman"/>
              </w:rPr>
            </w:pPr>
          </w:p>
          <w:p w:rsidR="00C44F70" w:rsidRPr="005A615E" w:rsidRDefault="00C44F70" w:rsidP="00C44F70">
            <w:pPr>
              <w:jc w:val="both"/>
              <w:rPr>
                <w:b/>
                <w:i/>
                <w:u w:val="single"/>
              </w:rPr>
            </w:pPr>
            <w:r w:rsidRPr="005A615E">
              <w:rPr>
                <w:b/>
                <w:i/>
                <w:u w:val="single"/>
              </w:rPr>
              <w:t>Обгрунтування</w:t>
            </w:r>
          </w:p>
          <w:p w:rsidR="00C44F70" w:rsidRPr="005A615E" w:rsidRDefault="00C44F70" w:rsidP="00C44F70">
            <w:pPr>
              <w:jc w:val="both"/>
              <w:rPr>
                <w:rFonts w:ascii="Times New Roman" w:hAnsi="Times New Roman"/>
                <w:shd w:val="clear" w:color="auto" w:fill="FFFFFF"/>
              </w:rPr>
            </w:pPr>
            <w:r w:rsidRPr="005A615E">
              <w:rPr>
                <w:rFonts w:ascii="Times New Roman" w:hAnsi="Times New Roman"/>
                <w:shd w:val="clear" w:color="auto" w:fill="FFFFFF"/>
              </w:rPr>
              <w:t>Протягом 2023-2025 років, внаслідок значного недофінансування інвестиційних програм, зумовленого значним дефіцитом фінансових ресурсів та відсутністю джерел його покриття, заходи, що були направлені на реконструкцію та модернізацію мережі розподілу, не були реалізовані Товариством, що призвело до відсутності запланованого корисного ефекту, що критично «загальмувало» необхідний темп розвитку мереж Товариства.</w:t>
            </w:r>
          </w:p>
          <w:p w:rsidR="00C44F70" w:rsidRPr="005A615E" w:rsidRDefault="00C44F70" w:rsidP="00CF2AC1">
            <w:pPr>
              <w:jc w:val="both"/>
              <w:rPr>
                <w:rFonts w:ascii="Times New Roman" w:hAnsi="Times New Roman"/>
                <w:bCs/>
              </w:rPr>
            </w:pP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lastRenderedPageBreak/>
              <w:t xml:space="preserve">ПрАТ «ЛЬВІВОБЛЕНЕРГО» </w:t>
            </w:r>
            <w:r w:rsidRPr="005A615E">
              <w:rPr>
                <w:rFonts w:ascii="Times New Roman" w:hAnsi="Times New Roman"/>
                <w:b/>
                <w:sz w:val="24"/>
                <w:u w:val="single"/>
              </w:rPr>
              <w:br/>
              <w:t>(лист від 27.07.2026 № 122-07-5357)</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eastAsia="Times New Roman" w:hAnsi="Times New Roman"/>
                <w:b/>
                <w:bCs/>
              </w:rPr>
            </w:pPr>
            <w:r w:rsidRPr="005A615E">
              <w:rPr>
                <w:rFonts w:ascii="Times New Roman" w:hAnsi="Times New Roman"/>
              </w:rPr>
              <w:t xml:space="preserve">5) показник ефективності технологічних витрат електроенергії на 1 класі напруги – 0,01 відносних одиниць </w:t>
            </w:r>
            <w:r w:rsidRPr="005A615E">
              <w:rPr>
                <w:rFonts w:ascii="Times New Roman" w:eastAsia="Times New Roman" w:hAnsi="Times New Roman"/>
                <w:b/>
                <w:bCs/>
              </w:rPr>
              <w:t>(для 2027-2028 року для всіх ліцензіатів 0,00 відносних одиниць)</w:t>
            </w:r>
          </w:p>
          <w:p w:rsidR="00CF2AC1" w:rsidRPr="005A615E" w:rsidRDefault="00CF2AC1" w:rsidP="00CF2AC1">
            <w:pPr>
              <w:shd w:val="clear" w:color="auto" w:fill="FFFFFF"/>
              <w:jc w:val="both"/>
              <w:rPr>
                <w:rFonts w:ascii="Times New Roman" w:eastAsia="Times New Roman" w:hAnsi="Times New Roman"/>
                <w:b/>
                <w:bCs/>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spacing w:line="257" w:lineRule="auto"/>
              <w:jc w:val="both"/>
              <w:rPr>
                <w:rFonts w:ascii="Times New Roman" w:hAnsi="Times New Roman"/>
                <w:shd w:val="clear" w:color="auto" w:fill="FFFFFF"/>
              </w:rPr>
            </w:pPr>
            <w:r w:rsidRPr="005A615E">
              <w:rPr>
                <w:rFonts w:ascii="Times New Roman" w:hAnsi="Times New Roman"/>
                <w:shd w:val="clear" w:color="auto" w:fill="FFFFFF"/>
              </w:rPr>
              <w:t xml:space="preserve">Аналіз показав, що намагання забезпечити стабільне енерго-забезпечення споживачів і розвиваючи мережу 110/35 кВ, на першому класі напруги в Товариства практично немає можливостей активно впливати на зниження ТВЕ. </w:t>
            </w:r>
          </w:p>
          <w:p w:rsidR="00CF2AC1" w:rsidRPr="005A615E" w:rsidRDefault="00CF2AC1" w:rsidP="00CF2AC1">
            <w:pPr>
              <w:spacing w:line="257" w:lineRule="auto"/>
              <w:jc w:val="both"/>
              <w:rPr>
                <w:rFonts w:ascii="Times New Roman" w:hAnsi="Times New Roman"/>
                <w:shd w:val="clear" w:color="auto" w:fill="FFFFFF"/>
              </w:rPr>
            </w:pPr>
            <w:r w:rsidRPr="005A615E">
              <w:rPr>
                <w:rFonts w:ascii="Times New Roman" w:hAnsi="Times New Roman"/>
                <w:shd w:val="clear" w:color="auto" w:fill="FFFFFF"/>
              </w:rPr>
              <w:t xml:space="preserve">Адже змінами в схемі практично керує НЕК «Укренерго», яке змушене реагувати на обстріли рф по енергетичній інфраструктурі. Протягом років з 2022 ТВЕ на першому класі напруги </w:t>
            </w:r>
            <w:r w:rsidRPr="005A615E">
              <w:rPr>
                <w:rFonts w:ascii="Times New Roman" w:hAnsi="Times New Roman"/>
                <w:b/>
                <w:shd w:val="clear" w:color="auto" w:fill="FFFFFF"/>
              </w:rPr>
              <w:t>зростали</w:t>
            </w:r>
            <w:r w:rsidRPr="005A615E">
              <w:rPr>
                <w:rFonts w:ascii="Times New Roman" w:hAnsi="Times New Roman"/>
                <w:shd w:val="clear" w:color="auto" w:fill="FFFFFF"/>
              </w:rPr>
              <w:t xml:space="preserve"> (чи залишались на рівні) і досягати подальшого зниження в 1% є практично неможливо. Схема нестабільна. Стала схема нормального режиму після закінчення воєнного стану потребує часу для відновлення магістральних мереж та генеруючих потужностей, що напряму впливає на рівень втрат електроенергії.</w:t>
            </w:r>
          </w:p>
          <w:p w:rsidR="00CF2AC1" w:rsidRPr="005A615E" w:rsidRDefault="00CF2AC1" w:rsidP="00CF2AC1">
            <w:pPr>
              <w:spacing w:line="257" w:lineRule="auto"/>
              <w:jc w:val="both"/>
              <w:rPr>
                <w:rFonts w:ascii="Times New Roman" w:hAnsi="Times New Roman"/>
                <w:shd w:val="clear" w:color="auto" w:fill="FFFFFF"/>
              </w:rPr>
            </w:pPr>
            <w:r w:rsidRPr="005A615E">
              <w:rPr>
                <w:rFonts w:ascii="Times New Roman" w:hAnsi="Times New Roman"/>
                <w:shd w:val="clear" w:color="auto" w:fill="FFFFFF"/>
              </w:rPr>
              <w:t xml:space="preserve">Додається постійне зростання обсягів надходження в мережі Товариства і відповідно зростання змінних ТВЕ в мережах (Зростання обсягів надходження відбувається в основному через перенесення підприємств зі сходу та переїзд населення). Планова заміна проводу на більший перетин чи закупівля нових трансформаторів, що дозволить знизити технічні ТВЕ, </w:t>
            </w:r>
            <w:r w:rsidRPr="005A615E">
              <w:rPr>
                <w:rFonts w:ascii="Times New Roman" w:hAnsi="Times New Roman"/>
                <w:shd w:val="clear" w:color="auto" w:fill="FFFFFF"/>
              </w:rPr>
              <w:lastRenderedPageBreak/>
              <w:t>вимагає величезних капіталовкладень, значно вищих за існуючу інвестпрограму.</w:t>
            </w:r>
          </w:p>
          <w:p w:rsidR="00CF2AC1" w:rsidRPr="005A615E" w:rsidRDefault="00CF2AC1" w:rsidP="00CF2AC1">
            <w:pPr>
              <w:spacing w:after="75" w:line="259" w:lineRule="auto"/>
              <w:ind w:firstLine="240"/>
              <w:jc w:val="both"/>
              <w:rPr>
                <w:rFonts w:ascii="Times New Roman" w:hAnsi="Times New Roman"/>
                <w:b/>
                <w:sz w:val="24"/>
                <w:u w:val="single"/>
              </w:rPr>
            </w:pPr>
            <w:r w:rsidRPr="005A615E">
              <w:rPr>
                <w:rFonts w:ascii="Times New Roman" w:hAnsi="Times New Roman"/>
                <w:b/>
                <w:sz w:val="24"/>
                <w:u w:val="single"/>
              </w:rPr>
              <w:t xml:space="preserve">АТ «ХМЕЛЬНИЦЬКОБЛЕНЕРГО» </w:t>
            </w:r>
            <w:r w:rsidRPr="005A615E">
              <w:rPr>
                <w:rFonts w:ascii="Times New Roman" w:hAnsi="Times New Roman"/>
                <w:b/>
                <w:sz w:val="24"/>
                <w:u w:val="single"/>
              </w:rPr>
              <w:br/>
              <w:t xml:space="preserve">(лист від 27.07.2026 № 4-6209-0201/26), </w:t>
            </w:r>
            <w:r w:rsidRPr="005A615E">
              <w:rPr>
                <w:rFonts w:ascii="Times New Roman" w:hAnsi="Times New Roman"/>
                <w:b/>
                <w:sz w:val="24"/>
                <w:u w:val="single"/>
              </w:rPr>
              <w:br/>
              <w:t>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eastAsia="Times New Roman" w:hAnsi="Times New Roman"/>
                <w:sz w:val="24"/>
                <w:szCs w:val="24"/>
                <w:u w:val="single"/>
                <w:lang w:eastAsia="ru-RU"/>
              </w:rPr>
              <w:br/>
            </w:r>
            <w:r w:rsidRPr="005A615E">
              <w:rPr>
                <w:rFonts w:ascii="Times New Roman" w:hAnsi="Times New Roman"/>
                <w:b/>
                <w:sz w:val="24"/>
                <w:u w:val="single"/>
              </w:rPr>
              <w:t>(лист від 30.07.2026 № 6957/04/2026 (ПОДАНО НЕ В СТРОК)</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cs="Times New Roman"/>
              </w:rPr>
              <w:t>5) показник ефективності технологічних витрат електроенергії на 1 класі напруги – 0,01 відносних одиниць (для періоду воєнного стану та двох років після його закінчення – 0 відносних одиниць);</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Вважаємо за недоцільне встановлювати такі показники для ОСР на період дії військового стану.</w:t>
            </w:r>
          </w:p>
          <w:p w:rsidR="00CF2AC1" w:rsidRPr="005A615E" w:rsidRDefault="00CF2AC1" w:rsidP="00CF2AC1">
            <w:pPr>
              <w:shd w:val="clear" w:color="auto" w:fill="FFFFFF"/>
              <w:jc w:val="both"/>
              <w:rPr>
                <w:rFonts w:ascii="Times New Roman" w:hAnsi="Times New Roman"/>
                <w:b/>
                <w:sz w:val="24"/>
                <w:u w:val="single"/>
              </w:rPr>
            </w:pPr>
            <w:r w:rsidRPr="005A615E">
              <w:rPr>
                <w:rFonts w:ascii="Times New Roman" w:hAnsi="Times New Roman" w:cs="Times New Roman"/>
              </w:rPr>
              <w:t>Внаслідок бойових дій ОСР змушені: здійснювати численні тимчасові схеми живлення; експлуатувати мережі в аварійних режимах; багаторазово перемикати схеми електропостачання; використовувати резервні маршрути передачі електроенергії. Такі режими роботи об'єктивно призводять до збільшення технологічних втрат і не можуть розглядатися як наслідок неефективної діяльності оператора.</w:t>
            </w:r>
          </w:p>
        </w:tc>
        <w:tc>
          <w:tcPr>
            <w:tcW w:w="3969" w:type="dxa"/>
            <w:gridSpan w:val="2"/>
          </w:tcPr>
          <w:p w:rsidR="00BE2C24" w:rsidRPr="005A615E" w:rsidRDefault="00BE2C24" w:rsidP="00BE2C24">
            <w:pPr>
              <w:rPr>
                <w:rFonts w:ascii="Times New Roman" w:hAnsi="Times New Roman"/>
                <w:b/>
                <w:sz w:val="24"/>
              </w:rPr>
            </w:pPr>
            <w:r w:rsidRPr="005A615E">
              <w:rPr>
                <w:rFonts w:ascii="Times New Roman" w:hAnsi="Times New Roman"/>
                <w:b/>
                <w:sz w:val="24"/>
              </w:rPr>
              <w:lastRenderedPageBreak/>
              <w:t>Не враховано</w:t>
            </w:r>
          </w:p>
          <w:p w:rsidR="00BE2C24" w:rsidRPr="005A615E" w:rsidRDefault="00BE2C24" w:rsidP="00BE2C24">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BE2C24" w:rsidRPr="005A615E" w:rsidRDefault="00BE2C24" w:rsidP="00BE2C24">
            <w:pPr>
              <w:rPr>
                <w:rFonts w:ascii="Times New Roman" w:hAnsi="Times New Roman"/>
                <w:b/>
                <w:sz w:val="24"/>
              </w:rPr>
            </w:pPr>
            <w:r w:rsidRPr="005A615E">
              <w:rPr>
                <w:rFonts w:ascii="Times New Roman" w:hAnsi="Times New Roman"/>
                <w:b/>
                <w:sz w:val="24"/>
              </w:rPr>
              <w:t>Недостатньо обгрунтова позиція</w:t>
            </w:r>
          </w:p>
          <w:p w:rsidR="00C44F70" w:rsidRPr="005A615E" w:rsidRDefault="00C44F70" w:rsidP="00E50498">
            <w:pPr>
              <w:widowControl w:val="0"/>
              <w:spacing w:line="257" w:lineRule="auto"/>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6) показник ефективності технологічних витрат електроенергії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на 2 класі напруги – 0,035 відносних одиниць (для 2027 року для ліцензіатів, перелік яких наведено в додатку 34 до Порядку встановлення (формування) тарифів, – 0 відносних одиниць);</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lastRenderedPageBreak/>
              <w:t xml:space="preserve">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w:t>
            </w:r>
            <w:r w:rsidRPr="005A615E">
              <w:rPr>
                <w:rFonts w:ascii="Times New Roman" w:hAnsi="Times New Roman"/>
                <w:b/>
                <w:sz w:val="24"/>
                <w:u w:val="single"/>
              </w:rPr>
              <w:lastRenderedPageBreak/>
              <w:t>«ТЕРНОПІЛЬОБЛЕНЕРГО»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w:t>
            </w:r>
          </w:p>
          <w:p w:rsidR="00CF2AC1" w:rsidRPr="005A615E" w:rsidRDefault="00CF2AC1" w:rsidP="00CF2AC1">
            <w:pPr>
              <w:jc w:val="both"/>
              <w:rPr>
                <w:rFonts w:ascii="Times New Roman" w:hAnsi="Times New Roman"/>
                <w:b/>
                <w:sz w:val="24"/>
                <w:u w:val="single"/>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b/>
                <w:i/>
                <w:u w:val="single"/>
              </w:rPr>
            </w:pPr>
            <w:r w:rsidRPr="005A615E">
              <w:rPr>
                <w:rFonts w:ascii="Times New Roman" w:hAnsi="Times New Roman"/>
              </w:rPr>
              <w:t>6) показник ефективності технологічних витрат електроенергії на 2 класі напруги – 0,035 відносних одиниць (</w:t>
            </w:r>
            <w:r w:rsidRPr="005A615E">
              <w:rPr>
                <w:rFonts w:ascii="Times New Roman" w:hAnsi="Times New Roman"/>
                <w:b/>
                <w:u w:val="single"/>
              </w:rPr>
              <w:t>для періоду воєнного стану та двох років після його закінчення</w:t>
            </w:r>
            <w:r w:rsidRPr="005A615E">
              <w:rPr>
                <w:rFonts w:ascii="Times New Roman" w:hAnsi="Times New Roman"/>
                <w:b/>
              </w:rPr>
              <w:t xml:space="preserve"> </w:t>
            </w:r>
            <w:r w:rsidRPr="005A615E">
              <w:rPr>
                <w:rFonts w:ascii="Times New Roman" w:hAnsi="Times New Roman"/>
              </w:rPr>
              <w:t>для ліцензіатів, перелік яких наведено в  додатку 34 до Порядку встановлення (формування) тарифів – 0 відносних одиниць);</w:t>
            </w:r>
            <w:r w:rsidRPr="005A615E">
              <w:rPr>
                <w:b/>
                <w:i/>
                <w:u w:val="single"/>
              </w:rPr>
              <w:t xml:space="preserve"> </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eastAsia="Times New Roman" w:hAnsi="Times New Roman"/>
                <w:bCs/>
                <w:lang w:eastAsia="ru-RU"/>
              </w:rPr>
            </w:pPr>
            <w:r w:rsidRPr="005A615E">
              <w:rPr>
                <w:rFonts w:ascii="Times New Roman" w:eastAsia="Times New Roman" w:hAnsi="Times New Roman"/>
                <w:bCs/>
                <w:lang w:eastAsia="ru-RU"/>
              </w:rPr>
              <w:t>Стала схема нормального режиму після закінчення воєнного стану потребує часу для відновлення магістральних мереж та генеруючих потужностей, що напряму впливає на рівень втрат електроенергії. Тому пропонується два роки для відновлення схеми нормального режиму.</w:t>
            </w:r>
          </w:p>
          <w:p w:rsidR="00CF2AC1" w:rsidRPr="005A615E" w:rsidRDefault="00CF2AC1" w:rsidP="00CF2AC1">
            <w:pPr>
              <w:jc w:val="both"/>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«РІВНЕОБЛЕНЕРГО» </w:t>
            </w:r>
            <w:r w:rsidRPr="005A615E">
              <w:rPr>
                <w:rFonts w:ascii="Times New Roman" w:hAnsi="Times New Roman"/>
                <w:b/>
                <w:sz w:val="24"/>
                <w:u w:val="single"/>
              </w:rPr>
              <w:br/>
              <w:t xml:space="preserve">(лист від 24.07.2026 № 46-08/7070), </w:t>
            </w:r>
            <w:r w:rsidRPr="005A615E">
              <w:rPr>
                <w:rFonts w:ascii="Times New Roman" w:hAnsi="Times New Roman"/>
                <w:b/>
                <w:sz w:val="24"/>
                <w:u w:val="single"/>
              </w:rPr>
              <w:br/>
              <w:t xml:space="preserve">ПрАТ «КІРОВОГРАДОБЛЕНЕРГО» </w:t>
            </w:r>
            <w:r w:rsidRPr="005A615E">
              <w:rPr>
                <w:rFonts w:ascii="Times New Roman" w:hAnsi="Times New Roman"/>
                <w:b/>
                <w:sz w:val="24"/>
                <w:u w:val="single"/>
              </w:rPr>
              <w:br/>
              <w:t>(лист від 27.07.2026  № 3919/05/34)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2. Установити на другий регуляторний період (5 років) параметри регулювання, що мають довгостроковий </w:t>
            </w:r>
            <w:r w:rsidRPr="005A615E">
              <w:rPr>
                <w:rFonts w:ascii="Times New Roman" w:hAnsi="Times New Roman"/>
              </w:rPr>
              <w:lastRenderedPageBreak/>
              <w:t>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6) показник ефективності технологічних витрат електроенергії на 2 класі напруги – 0,035 відносних одиниць (для 2027 року для ліцензіатів, перелік яких наведено в додатку 34 </w:t>
            </w:r>
            <w:r w:rsidRPr="005A615E">
              <w:rPr>
                <w:rFonts w:ascii="Times New Roman" w:hAnsi="Times New Roman"/>
                <w:b/>
              </w:rPr>
              <w:t xml:space="preserve"> та додатку 35</w:t>
            </w:r>
            <w:r w:rsidRPr="005A615E">
              <w:rPr>
                <w:rFonts w:ascii="Times New Roman" w:hAnsi="Times New Roman"/>
              </w:rPr>
              <w:t xml:space="preserve"> до Порядку встановлення (формування) тарифів, – 0 відносних одиниць);</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uppressAutoHyphens/>
              <w:ind w:firstLine="226"/>
              <w:jc w:val="both"/>
              <w:rPr>
                <w:rFonts w:ascii="Times New Roman" w:hAnsi="Times New Roman"/>
                <w:lang w:eastAsia="ar-SA"/>
              </w:rPr>
            </w:pPr>
            <w:r w:rsidRPr="005A615E">
              <w:rPr>
                <w:rFonts w:ascii="Times New Roman" w:hAnsi="Times New Roman"/>
                <w:lang w:eastAsia="ar-SA"/>
              </w:rPr>
              <w:t xml:space="preserve">Через відсутність норми прибутку у 2024-2026 роках ПрАТ «Рівнеобленерго» мало зменшені обсяги фінансування інвестпрограми на 326 млн.грн.. У зв’язку із застосованими обмежувальними заходами до структури тарифів у 2023-2025 роках Товариство також було </w:t>
            </w:r>
            <w:r w:rsidRPr="005A615E">
              <w:rPr>
                <w:rFonts w:ascii="Times New Roman" w:hAnsi="Times New Roman"/>
              </w:rPr>
              <w:t>позбавлене фінансової можливості виконувати в повному обсязі заходи Розділу 2 інвестпрограм, які безпосередньо спрямовані на зниження втрат.</w:t>
            </w:r>
          </w:p>
          <w:p w:rsidR="00CF2AC1" w:rsidRPr="005A615E" w:rsidRDefault="00CF2AC1" w:rsidP="00CF2AC1">
            <w:pPr>
              <w:suppressAutoHyphens/>
              <w:ind w:firstLine="226"/>
              <w:jc w:val="both"/>
              <w:rPr>
                <w:rFonts w:ascii="Times New Roman" w:hAnsi="Times New Roman"/>
                <w:b/>
                <w:lang w:eastAsia="ar-SA"/>
              </w:rPr>
            </w:pPr>
            <w:r w:rsidRPr="005A615E">
              <w:rPr>
                <w:rFonts w:ascii="Times New Roman" w:hAnsi="Times New Roman"/>
                <w:lang w:eastAsia="ar-SA"/>
              </w:rPr>
              <w:t xml:space="preserve">Зважаючи на об’єктивні причини неможливості модернізації мереж відносно заявлених в умовах першого регуляторного періоду стимулюючого регулювання </w:t>
            </w:r>
            <w:r w:rsidRPr="005A615E">
              <w:rPr>
                <w:rFonts w:ascii="Times New Roman" w:hAnsi="Times New Roman"/>
                <w:b/>
                <w:lang w:eastAsia="ar-SA"/>
              </w:rPr>
              <w:t>Товариство висловлює прохання зробити виключення для ОСР з Додатку 35 і визначити для них показник ефективності ТВЕ для 1,2 класу напруги на рівні 0 відносних одиниць.</w:t>
            </w:r>
          </w:p>
          <w:p w:rsidR="00CF2AC1" w:rsidRPr="005A615E" w:rsidRDefault="00CF2AC1" w:rsidP="00CF2AC1">
            <w:pPr>
              <w:suppressAutoHyphens/>
              <w:ind w:firstLine="226"/>
              <w:jc w:val="both"/>
              <w:rPr>
                <w:rFonts w:ascii="Times New Roman" w:hAnsi="Times New Roman"/>
                <w:b/>
                <w:lang w:eastAsia="ar-SA"/>
              </w:rPr>
            </w:pPr>
          </w:p>
          <w:p w:rsidR="00CF2AC1" w:rsidRPr="005A615E" w:rsidRDefault="00CF2AC1" w:rsidP="00CF2AC1">
            <w:pPr>
              <w:pStyle w:val="rvps2"/>
              <w:spacing w:beforeAutospacing="0" w:afterAutospacing="0"/>
              <w:jc w:val="both"/>
              <w:rPr>
                <w:b/>
                <w:u w:val="single"/>
                <w:lang w:val="uk-UA"/>
              </w:rPr>
            </w:pPr>
            <w:r w:rsidRPr="005A615E">
              <w:rPr>
                <w:b/>
                <w:i/>
                <w:sz w:val="22"/>
                <w:szCs w:val="22"/>
                <w:u w:val="single"/>
                <w:lang w:val="uk-UA"/>
              </w:rPr>
              <w:t xml:space="preserve">Обгрунтування </w:t>
            </w:r>
            <w:r w:rsidRPr="005A615E">
              <w:rPr>
                <w:b/>
                <w:u w:val="single"/>
                <w:lang w:val="uk-UA"/>
              </w:rPr>
              <w:t>ПрАТ «Кіровоградобленерго»</w:t>
            </w:r>
          </w:p>
          <w:p w:rsidR="00CF2AC1" w:rsidRPr="005A615E" w:rsidRDefault="00CF2AC1" w:rsidP="00CF2AC1">
            <w:pPr>
              <w:pStyle w:val="rvps2"/>
              <w:spacing w:beforeAutospacing="0" w:afterAutospacing="0"/>
              <w:jc w:val="both"/>
              <w:rPr>
                <w:b/>
                <w:sz w:val="22"/>
                <w:u w:val="single"/>
              </w:rPr>
            </w:pPr>
            <w:r w:rsidRPr="005A615E">
              <w:rPr>
                <w:sz w:val="22"/>
                <w:lang w:val="uk-UA"/>
              </w:rPr>
              <w:t xml:space="preserve">Через встановлення для ПрАТ «Кіровоградобленерго» протягом 2023-2025 років тарифів, які не відповідають економічно обґрунтованим витратам, визначеним у затвердженій НКРЕКП структурі тарифів на послуги з розподілу електричної енергії, Товариство перебуває у стані штучно створеного дефіциту коштів. </w:t>
            </w:r>
            <w:r w:rsidRPr="005A615E">
              <w:rPr>
                <w:sz w:val="22"/>
              </w:rPr>
              <w:t xml:space="preserve">Тож, до моменту повернення всіх недокомпенсованих коштів </w:t>
            </w:r>
            <w:r w:rsidRPr="005A615E">
              <w:rPr>
                <w:sz w:val="22"/>
              </w:rPr>
              <w:lastRenderedPageBreak/>
              <w:t>за результатами перевірки, до підприємства не мають застосовуватися обмежувальні заходи та вимоги щодо виконання цільових показників.</w:t>
            </w:r>
          </w:p>
          <w:p w:rsidR="00CF2AC1" w:rsidRPr="005A615E" w:rsidRDefault="00CF2AC1" w:rsidP="00CF2AC1">
            <w:pPr>
              <w:suppressAutoHyphens/>
              <w:ind w:firstLine="226"/>
              <w:jc w:val="both"/>
              <w:rPr>
                <w:rFonts w:ascii="Times New Roman" w:hAnsi="Times New Roman"/>
                <w:b/>
                <w:lang w:eastAsia="ar-S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«ЧЕРНІВЦІОБЛЕНЕРГО» </w:t>
            </w:r>
            <w:r w:rsidRPr="005A615E">
              <w:rPr>
                <w:rFonts w:ascii="Times New Roman" w:hAnsi="Times New Roman"/>
                <w:b/>
                <w:sz w:val="24"/>
                <w:u w:val="single"/>
              </w:rPr>
              <w:br/>
              <w:t>(лист від 24.07.2026 № 19/1-02/3604)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Cs/>
              </w:rPr>
              <w:t xml:space="preserve">6) показник ефективності технологічних витрат електроенергії на 2 класі напруги – 0,035 відносних одиниць (для 2027 року для ліцензіатів, перелік яких наведено в додатку 34 до Порядку встановлення (формування) тарифів, – 0 відносних одиниць); </w:t>
            </w:r>
            <w:r w:rsidRPr="005A615E">
              <w:rPr>
                <w:rFonts w:ascii="Times New Roman" w:hAnsi="Times New Roman"/>
                <w:b/>
              </w:rPr>
              <w:t xml:space="preserve">(для 2027-2029 років для ліцензіатів, перелік яких наведено </w:t>
            </w:r>
            <w:r w:rsidRPr="005A615E">
              <w:rPr>
                <w:rFonts w:ascii="Times New Roman" w:hAnsi="Times New Roman"/>
                <w:b/>
                <w:u w:val="single"/>
              </w:rPr>
              <w:t>в додатку 35</w:t>
            </w:r>
            <w:r w:rsidRPr="005A615E">
              <w:rPr>
                <w:rFonts w:ascii="Times New Roman" w:hAnsi="Times New Roman"/>
                <w:b/>
              </w:rPr>
              <w:t xml:space="preserve"> до Порядку встановлення (формування) тарифів, – 0 відносних одиниць);</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F2AC1" w:rsidRPr="005A615E" w:rsidRDefault="00CF2AC1" w:rsidP="00CF2AC1">
            <w:pPr>
              <w:jc w:val="both"/>
              <w:rPr>
                <w:rFonts w:ascii="Times New Roman" w:hAnsi="Times New Roman"/>
                <w:bCs/>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«ЖИТОМИРОБЛЕНЕРГО» </w:t>
            </w:r>
            <w:r w:rsidRPr="005A615E">
              <w:rPr>
                <w:rFonts w:ascii="Times New Roman" w:hAnsi="Times New Roman"/>
                <w:b/>
                <w:sz w:val="24"/>
                <w:u w:val="single"/>
              </w:rPr>
              <w:br/>
              <w:t>(лист від 27.07.2026 № 05/24560)</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2. Установити на другий регуляторний період (5 років) параметри регулювання, що мають довгостроковий </w:t>
            </w:r>
            <w:r w:rsidRPr="005A615E">
              <w:rPr>
                <w:rFonts w:ascii="Times New Roman" w:hAnsi="Times New Roman"/>
              </w:rPr>
              <w:lastRenderedPageBreak/>
              <w:t>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6) показник ефективності технологічних витрат електроенергії на 2 класі напруги – 0,035 відносних одиниць (для 2027 року для ліцензіатів, перелік яких наведено в додатку 34 до Порядку встановлення (формування) тарифів, – 0 відносних одиниць).</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
              </w:rPr>
              <w:t>Для ліцензіатів, перелік яких наведено у додатку 35 до Порядку для періоду воєнного стану та двох років після його закінчення – 0 %);</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pStyle w:val="rvps2"/>
              <w:spacing w:beforeAutospacing="0" w:afterAutospacing="0"/>
              <w:ind w:firstLine="343"/>
              <w:jc w:val="both"/>
              <w:rPr>
                <w:sz w:val="22"/>
                <w:shd w:val="clear" w:color="auto" w:fill="FFFFFF"/>
                <w:lang w:val="uk-UA"/>
              </w:rPr>
            </w:pPr>
            <w:r w:rsidRPr="005A615E">
              <w:rPr>
                <w:sz w:val="22"/>
                <w:shd w:val="clear" w:color="auto" w:fill="FFFFFF"/>
                <w:lang w:val="uk-UA"/>
              </w:rPr>
              <w:t>Протягом 2023-2025 років, внаслідок значного недофінансування інвестиційних програм, зумовленого значним дефіцитом фінансових ресурсів та відсутністю джерел його покриття, заходи, що були направлені на реконструкцію та модернізацію мережі розподілу, не були реалізовані Товариством, що призвело до відсутності запланованого корисного ефекту, що критично «загальмувало» необхідний темп розвитку мереж Товариства.</w:t>
            </w:r>
          </w:p>
          <w:p w:rsidR="00CF2AC1" w:rsidRPr="005A615E" w:rsidRDefault="00CF2AC1" w:rsidP="00CF2AC1">
            <w:pPr>
              <w:pStyle w:val="rvps2"/>
              <w:spacing w:beforeAutospacing="0" w:afterAutospacing="0"/>
              <w:ind w:firstLine="343"/>
              <w:jc w:val="both"/>
              <w:rPr>
                <w:b/>
                <w:u w:val="single"/>
                <w:lang w:val="uk-UA"/>
              </w:rPr>
            </w:pPr>
          </w:p>
          <w:p w:rsidR="00CF2AC1" w:rsidRPr="005A615E" w:rsidRDefault="00CF2AC1" w:rsidP="00CF2AC1">
            <w:pPr>
              <w:spacing w:after="75" w:line="259" w:lineRule="auto"/>
              <w:ind w:firstLine="35"/>
              <w:rPr>
                <w:rFonts w:ascii="Times New Roman" w:eastAsia="Times New Roman" w:hAnsi="Times New Roman"/>
                <w:sz w:val="24"/>
                <w:szCs w:val="24"/>
                <w:lang w:eastAsia="ru-RU"/>
              </w:rPr>
            </w:pPr>
            <w:r w:rsidRPr="005A615E">
              <w:rPr>
                <w:rFonts w:ascii="Times New Roman" w:hAnsi="Times New Roman"/>
                <w:b/>
                <w:sz w:val="24"/>
                <w:u w:val="single"/>
              </w:rPr>
              <w:t xml:space="preserve">АТ «ХМЕЛЬНИЦЬКОБЛЕНЕРГО» </w:t>
            </w:r>
            <w:r w:rsidRPr="005A615E">
              <w:rPr>
                <w:rFonts w:ascii="Times New Roman" w:hAnsi="Times New Roman"/>
                <w:b/>
                <w:sz w:val="24"/>
                <w:u w:val="single"/>
              </w:rPr>
              <w:br/>
              <w:t xml:space="preserve">(лист від 27.07.2026 № 4-6209-0201/26), </w:t>
            </w:r>
            <w:r w:rsidRPr="005A615E">
              <w:rPr>
                <w:rFonts w:ascii="Times New Roman" w:hAnsi="Times New Roman"/>
                <w:b/>
                <w:sz w:val="24"/>
                <w:u w:val="single"/>
              </w:rPr>
              <w:br/>
              <w:t>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cs="Times New Roman"/>
              </w:rPr>
              <w:t xml:space="preserve">6) показник ефективності технологічних витрат електроенергії </w:t>
            </w:r>
            <w:r w:rsidRPr="005A615E">
              <w:rPr>
                <w:rFonts w:ascii="Times New Roman" w:hAnsi="Times New Roman"/>
              </w:rPr>
              <w:t xml:space="preserve"> </w:t>
            </w:r>
            <w:r w:rsidRPr="005A615E">
              <w:rPr>
                <w:rFonts w:ascii="Times New Roman" w:hAnsi="Times New Roman" w:cs="Times New Roman"/>
              </w:rPr>
              <w:t xml:space="preserve">на </w:t>
            </w:r>
            <w:r w:rsidRPr="005A615E">
              <w:rPr>
                <w:rFonts w:ascii="Times New Roman" w:hAnsi="Times New Roman"/>
              </w:rPr>
              <w:t>2</w:t>
            </w:r>
            <w:r w:rsidRPr="005A615E">
              <w:rPr>
                <w:rFonts w:ascii="Times New Roman" w:hAnsi="Times New Roman" w:cs="Times New Roman"/>
              </w:rPr>
              <w:t xml:space="preserve"> класі напруги – 0,035 відносних </w:t>
            </w:r>
            <w:r w:rsidRPr="005A615E">
              <w:rPr>
                <w:rFonts w:ascii="Times New Roman" w:hAnsi="Times New Roman" w:cs="Times New Roman"/>
              </w:rPr>
              <w:lastRenderedPageBreak/>
              <w:t>одиниць (для періоду воєнного стану та двох років після його закінчення – 0 відносних одиниць);</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Вважаємо за недоцільне встановлювати такі показники для ОСР на період дії військового стану.</w:t>
            </w:r>
          </w:p>
          <w:p w:rsidR="00CF2AC1" w:rsidRPr="005A615E" w:rsidRDefault="00CF2AC1" w:rsidP="00CF2AC1">
            <w:pPr>
              <w:shd w:val="clear" w:color="auto" w:fill="FFFFFF"/>
              <w:jc w:val="both"/>
              <w:rPr>
                <w:b/>
                <w:u w:val="single"/>
              </w:rPr>
            </w:pPr>
            <w:r w:rsidRPr="005A615E">
              <w:rPr>
                <w:rFonts w:ascii="Times New Roman" w:hAnsi="Times New Roman" w:cs="Times New Roman"/>
              </w:rPr>
              <w:t>Внаслідок бойових дій ОСР змушені: здійснювати численні тимчасові схеми живлення; експлуатувати мережі в аварійних режимах; багаторазово перемикати схеми електропостачання; використовувати резервні маршрути передачі електроенергії. Такі режими роботи об'єктивно призводять до збільшення технологічних втрат і не можуть розглядатися як наслідок неефективної діяльності оператора.</w:t>
            </w:r>
          </w:p>
        </w:tc>
        <w:tc>
          <w:tcPr>
            <w:tcW w:w="3969" w:type="dxa"/>
            <w:gridSpan w:val="2"/>
          </w:tcPr>
          <w:p w:rsidR="009A723E" w:rsidRPr="005A615E" w:rsidRDefault="009A723E" w:rsidP="009A723E">
            <w:pPr>
              <w:rPr>
                <w:rFonts w:ascii="Times New Roman" w:hAnsi="Times New Roman"/>
                <w:b/>
                <w:sz w:val="24"/>
              </w:rPr>
            </w:pPr>
            <w:r w:rsidRPr="005A615E">
              <w:rPr>
                <w:rFonts w:ascii="Times New Roman" w:hAnsi="Times New Roman"/>
                <w:b/>
                <w:sz w:val="24"/>
              </w:rPr>
              <w:lastRenderedPageBreak/>
              <w:t>Не враховано</w:t>
            </w:r>
          </w:p>
          <w:p w:rsidR="009A723E" w:rsidRPr="005A615E" w:rsidRDefault="009A723E" w:rsidP="009A723E">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9A723E" w:rsidRPr="005A615E" w:rsidRDefault="009A723E" w:rsidP="009A723E">
            <w:pPr>
              <w:rPr>
                <w:rFonts w:ascii="Times New Roman" w:hAnsi="Times New Roman"/>
                <w:b/>
                <w:sz w:val="24"/>
              </w:rPr>
            </w:pPr>
            <w:r w:rsidRPr="005A615E">
              <w:rPr>
                <w:rFonts w:ascii="Times New Roman" w:hAnsi="Times New Roman"/>
                <w:b/>
                <w:sz w:val="24"/>
              </w:rPr>
              <w:t>Недостатньо обгрунтова позиція</w:t>
            </w:r>
          </w:p>
          <w:p w:rsidR="00C44F70" w:rsidRPr="005A615E" w:rsidRDefault="00C44F70" w:rsidP="009A723E">
            <w:pPr>
              <w:widowControl w:val="0"/>
              <w:spacing w:line="257" w:lineRule="auto"/>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7) цільовий показник якості послуг для міської території –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150 хвилин (продовження виконання зобов’язань);</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Cs/>
              </w:rPr>
              <w:t xml:space="preserve">7) цільовий показник якості послуг для міської території – 150 хвилин (продовження виконання зобов’язань);  </w:t>
            </w:r>
            <w:r w:rsidRPr="005A615E">
              <w:rPr>
                <w:rFonts w:ascii="Times New Roman" w:hAnsi="Times New Roman"/>
                <w:b/>
              </w:rPr>
              <w:t xml:space="preserve">(не застосовується протягом 2027-2029 років для ліцензіатів, перелік яких наведено </w:t>
            </w:r>
            <w:r w:rsidRPr="005A615E">
              <w:rPr>
                <w:rFonts w:ascii="Times New Roman" w:hAnsi="Times New Roman"/>
                <w:b/>
                <w:u w:val="single"/>
              </w:rPr>
              <w:t>в додатку 35</w:t>
            </w:r>
            <w:r w:rsidRPr="005A615E">
              <w:rPr>
                <w:rFonts w:ascii="Times New Roman" w:hAnsi="Times New Roman"/>
                <w:b/>
              </w:rPr>
              <w:t xml:space="preserve"> до Порядку встановлення (формування) тарифів);</w:t>
            </w:r>
          </w:p>
          <w:p w:rsidR="00CF2AC1" w:rsidRPr="005A615E" w:rsidRDefault="00CF2AC1" w:rsidP="00CF2AC1">
            <w:pPr>
              <w:jc w:val="both"/>
              <w:rPr>
                <w:rFonts w:ascii="Times New Roman" w:hAnsi="Times New Roman"/>
                <w:b/>
                <w:sz w:val="24"/>
                <w:u w:val="single"/>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
                <w:sz w:val="24"/>
                <w:u w:val="single"/>
              </w:rPr>
            </w:pPr>
            <w:r w:rsidRPr="005A615E">
              <w:rPr>
                <w:rFonts w:ascii="Times New Roman" w:hAnsi="Times New Roman"/>
                <w:bCs/>
              </w:rPr>
              <w:t xml:space="preserve">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w:t>
            </w:r>
            <w:r w:rsidRPr="005A615E">
              <w:rPr>
                <w:rFonts w:ascii="Times New Roman" w:hAnsi="Times New Roman"/>
                <w:bCs/>
              </w:rPr>
              <w:lastRenderedPageBreak/>
              <w:t>на 2027-2029 роки для досягнення рівня ОСР, які були на загальних умовах</w:t>
            </w:r>
          </w:p>
        </w:tc>
        <w:tc>
          <w:tcPr>
            <w:tcW w:w="3969" w:type="dxa"/>
            <w:gridSpan w:val="2"/>
          </w:tcPr>
          <w:p w:rsidR="009A723E" w:rsidRPr="005A615E" w:rsidRDefault="009A723E" w:rsidP="009A723E">
            <w:pPr>
              <w:rPr>
                <w:rFonts w:ascii="Times New Roman" w:hAnsi="Times New Roman"/>
                <w:b/>
                <w:sz w:val="24"/>
              </w:rPr>
            </w:pPr>
            <w:r w:rsidRPr="005A615E">
              <w:rPr>
                <w:rFonts w:ascii="Times New Roman" w:hAnsi="Times New Roman"/>
                <w:b/>
                <w:sz w:val="24"/>
              </w:rPr>
              <w:lastRenderedPageBreak/>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widowControl w:val="0"/>
              <w:spacing w:line="257" w:lineRule="auto"/>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8) цільовий показник якості послуг для сільської території –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300 хвилин (продовження виконання зобов’язань);</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bCs/>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Cs/>
              </w:rPr>
              <w:t xml:space="preserve">8) цільовий показник якості послуг для сільської території – 300 хвилин (продовження виконання зобов’язань); </w:t>
            </w:r>
            <w:r w:rsidRPr="005A615E">
              <w:rPr>
                <w:rFonts w:ascii="Times New Roman" w:hAnsi="Times New Roman"/>
                <w:b/>
              </w:rPr>
              <w:t xml:space="preserve">(не застосовується протягом 2027-2029 років для ліцензіатів, перелік яких наведено </w:t>
            </w:r>
            <w:r w:rsidRPr="005A615E">
              <w:rPr>
                <w:rFonts w:ascii="Times New Roman" w:hAnsi="Times New Roman"/>
                <w:b/>
                <w:u w:val="single"/>
              </w:rPr>
              <w:t>в додатку 35</w:t>
            </w:r>
            <w:r w:rsidRPr="005A615E">
              <w:rPr>
                <w:rFonts w:ascii="Times New Roman" w:hAnsi="Times New Roman"/>
                <w:b/>
              </w:rPr>
              <w:t xml:space="preserve">  до Порядку встановлення (формування) тарифів);</w:t>
            </w:r>
          </w:p>
          <w:p w:rsidR="00CF2AC1" w:rsidRPr="005A615E" w:rsidRDefault="00CF2AC1" w:rsidP="00CF2AC1">
            <w:pPr>
              <w:shd w:val="clear" w:color="auto" w:fill="FFFFFF"/>
              <w:jc w:val="both"/>
              <w:rPr>
                <w:rFonts w:ascii="Times New Roman" w:hAnsi="Times New Roman"/>
                <w:b/>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F2AC1" w:rsidRPr="005A615E" w:rsidRDefault="00CF2AC1" w:rsidP="00CF2AC1">
            <w:pPr>
              <w:jc w:val="both"/>
              <w:rPr>
                <w:rFonts w:ascii="Times New Roman" w:hAnsi="Times New Roman"/>
                <w:b/>
                <w:sz w:val="24"/>
                <w:u w:val="single"/>
              </w:rPr>
            </w:pPr>
          </w:p>
        </w:tc>
        <w:tc>
          <w:tcPr>
            <w:tcW w:w="3969" w:type="dxa"/>
            <w:gridSpan w:val="2"/>
          </w:tcPr>
          <w:p w:rsidR="009A723E" w:rsidRPr="005A615E" w:rsidRDefault="009A723E" w:rsidP="009A723E">
            <w:pPr>
              <w:rPr>
                <w:rFonts w:ascii="Times New Roman" w:hAnsi="Times New Roman"/>
                <w:b/>
                <w:sz w:val="24"/>
              </w:rPr>
            </w:pPr>
            <w:r w:rsidRPr="005A615E">
              <w:rPr>
                <w:rFonts w:ascii="Times New Roman" w:hAnsi="Times New Roman"/>
                <w:b/>
                <w:sz w:val="24"/>
              </w:rPr>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widowControl w:val="0"/>
              <w:spacing w:line="257" w:lineRule="auto"/>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9) цільові показники комерційної якості послуг:</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індекс усунення причин недотримання показників якості електричної енергії у встановлений строк – на рівні ≥ 98 %;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індекс надання послуги зі стандартного приєднання у встановлений строк – на рівні ≥ 98 %;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 98 %;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90 %;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індекс рівня сервісу кол-центру протягом 30 секунд (відсоток дзвінків, з’єднаних з оператором кол-центру протягом 30 секунд) у звітному році ≥ 75 % (за винятком періодів, встановлених постановою НКРЕКП від 12 червня 2018 року № 373 «Про затвердження Мінімальних вимог до якості обслуговування споживачів електричної енергії кол-центрами»);</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індекс відсотка втрачених у черзі дзвінків кол-центру у звітному році ≤ 10 %;</w:t>
            </w:r>
          </w:p>
          <w:p w:rsidR="00CF2AC1" w:rsidRPr="005A615E" w:rsidRDefault="00CF2AC1" w:rsidP="00CF2AC1">
            <w:pPr>
              <w:shd w:val="clear" w:color="auto" w:fill="FFFFFF"/>
              <w:jc w:val="both"/>
              <w:rPr>
                <w:rFonts w:ascii="Times New Roman" w:hAnsi="Times New Roman"/>
                <w:b/>
                <w:sz w:val="24"/>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lastRenderedPageBreak/>
              <w:t xml:space="preserve">АТ «Запоріжжяобленерго» (лист </w:t>
            </w:r>
            <w:r w:rsidRPr="005A615E">
              <w:rPr>
                <w:rFonts w:ascii="Times New Roman" w:hAnsi="Times New Roman"/>
                <w:b/>
                <w:sz w:val="24"/>
                <w:u w:val="single"/>
              </w:rPr>
              <w:br/>
              <w:t>від 15.07.2026 № 001-33/663)</w:t>
            </w:r>
          </w:p>
          <w:p w:rsidR="00CF2AC1" w:rsidRPr="005A615E" w:rsidRDefault="00CF2AC1" w:rsidP="00CF2AC1">
            <w:pPr>
              <w:shd w:val="clear" w:color="auto" w:fill="FFFFFF"/>
              <w:spacing w:after="150"/>
              <w:rPr>
                <w:rFonts w:ascii="Times New Roman" w:hAnsi="Times New Roman"/>
                <w:lang w:eastAsia="uk-UA"/>
              </w:rPr>
            </w:pPr>
            <w:r w:rsidRPr="005A615E">
              <w:rPr>
                <w:rFonts w:ascii="Times New Roman" w:eastAsia="Times New Roman" w:hAnsi="Times New Roman"/>
                <w:lang w:eastAsia="uk-UA"/>
              </w:rPr>
              <w:t>Пропонується підпункт 9 пункту 2 Постанови викласти в такій редакції:</w:t>
            </w:r>
          </w:p>
          <w:p w:rsidR="00CF2AC1" w:rsidRPr="005A615E" w:rsidRDefault="00CF2AC1" w:rsidP="00CF2AC1">
            <w:pPr>
              <w:shd w:val="clear" w:color="auto" w:fill="FFFFFF"/>
              <w:jc w:val="both"/>
              <w:rPr>
                <w:rFonts w:ascii="Times New Roman" w:hAnsi="Times New Roman"/>
              </w:rPr>
            </w:pPr>
            <w:r w:rsidRPr="005A615E">
              <w:rPr>
                <w:rFonts w:ascii="Times New Roman" w:eastAsia="Times New Roman" w:hAnsi="Times New Roman"/>
                <w:lang w:eastAsia="uk-UA"/>
              </w:rPr>
              <w:t>«</w:t>
            </w:r>
            <w:r w:rsidRPr="005A615E">
              <w:rPr>
                <w:rFonts w:ascii="Times New Roman" w:eastAsia="Times New Roman" w:hAnsi="Times New Roman"/>
                <w:lang w:eastAsia="ru-RU"/>
              </w:rPr>
              <w:t>цільові показники комерційної якості послуг:</w:t>
            </w:r>
          </w:p>
          <w:p w:rsidR="00CF2AC1" w:rsidRPr="005A615E" w:rsidRDefault="00CF2AC1" w:rsidP="00CF2AC1">
            <w:pPr>
              <w:shd w:val="clear" w:color="auto" w:fill="FFFFFF"/>
              <w:jc w:val="both"/>
              <w:rPr>
                <w:rFonts w:ascii="Times New Roman" w:hAnsi="Times New Roman"/>
              </w:rPr>
            </w:pPr>
            <w:r w:rsidRPr="005A615E">
              <w:rPr>
                <w:rFonts w:ascii="Times New Roman" w:eastAsia="Times New Roman" w:hAnsi="Times New Roman"/>
                <w:lang w:eastAsia="ru-RU"/>
              </w:rPr>
              <w:lastRenderedPageBreak/>
              <w:t>індекс усунення причин недотримання показників якості електричної енергії у встановлений строк – на рівні ≥ 98 %;</w:t>
            </w:r>
          </w:p>
          <w:p w:rsidR="00CF2AC1" w:rsidRPr="005A615E" w:rsidRDefault="00CF2AC1" w:rsidP="00CF2AC1">
            <w:pPr>
              <w:shd w:val="clear" w:color="auto" w:fill="FFFFFF"/>
              <w:jc w:val="both"/>
              <w:rPr>
                <w:rFonts w:ascii="Times New Roman" w:hAnsi="Times New Roman"/>
              </w:rPr>
            </w:pPr>
            <w:r w:rsidRPr="005A615E">
              <w:rPr>
                <w:rFonts w:ascii="Times New Roman" w:eastAsia="Times New Roman" w:hAnsi="Times New Roman"/>
                <w:lang w:eastAsia="ru-RU"/>
              </w:rPr>
              <w:t>індекс надання послуги зі стандартного приєднання у встановлений строк – на рівні ≥ 98 %;</w:t>
            </w:r>
          </w:p>
          <w:p w:rsidR="00CF2AC1" w:rsidRPr="005A615E" w:rsidRDefault="00CF2AC1" w:rsidP="00CF2AC1">
            <w:pPr>
              <w:shd w:val="clear" w:color="auto" w:fill="FFFFFF"/>
              <w:jc w:val="both"/>
              <w:rPr>
                <w:rFonts w:ascii="Times New Roman" w:hAnsi="Times New Roman"/>
              </w:rPr>
            </w:pPr>
            <w:r w:rsidRPr="005A615E">
              <w:rPr>
                <w:rFonts w:ascii="Times New Roman" w:eastAsia="Times New Roman" w:hAnsi="Times New Roman"/>
                <w:lang w:eastAsia="ru-RU"/>
              </w:rPr>
              <w:t xml:space="preserve">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w:t>
            </w:r>
            <w:r w:rsidRPr="005A615E">
              <w:rPr>
                <w:rFonts w:ascii="Times New Roman" w:eastAsia="Times New Roman" w:hAnsi="Times New Roman"/>
                <w:b/>
                <w:lang w:eastAsia="ru-RU"/>
              </w:rPr>
              <w:t>≥ 85 %</w:t>
            </w:r>
            <w:r w:rsidRPr="005A615E">
              <w:rPr>
                <w:rFonts w:ascii="Times New Roman" w:eastAsia="Times New Roman" w:hAnsi="Times New Roman"/>
                <w:lang w:eastAsia="ru-RU"/>
              </w:rPr>
              <w:t>;</w:t>
            </w:r>
          </w:p>
          <w:p w:rsidR="00CF2AC1" w:rsidRPr="005A615E" w:rsidRDefault="00CF2AC1" w:rsidP="00CF2AC1">
            <w:pPr>
              <w:shd w:val="clear" w:color="auto" w:fill="FFFFFF"/>
              <w:jc w:val="both"/>
              <w:rPr>
                <w:rFonts w:ascii="Times New Roman" w:hAnsi="Times New Roman"/>
              </w:rPr>
            </w:pPr>
            <w:r w:rsidRPr="005A615E">
              <w:rPr>
                <w:rFonts w:ascii="Times New Roman" w:eastAsia="Times New Roman" w:hAnsi="Times New Roman"/>
                <w:lang w:eastAsia="ru-RU"/>
              </w:rPr>
              <w:t xml:space="preserve">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w:t>
            </w:r>
          </w:p>
          <w:p w:rsidR="00CF2AC1" w:rsidRPr="005A615E" w:rsidRDefault="00CF2AC1" w:rsidP="00CF2AC1">
            <w:pPr>
              <w:shd w:val="clear" w:color="auto" w:fill="FFFFFF"/>
              <w:jc w:val="both"/>
              <w:rPr>
                <w:rFonts w:ascii="Times New Roman" w:hAnsi="Times New Roman"/>
              </w:rPr>
            </w:pPr>
            <w:r w:rsidRPr="005A615E">
              <w:rPr>
                <w:rFonts w:ascii="Times New Roman" w:eastAsia="Times New Roman" w:hAnsi="Times New Roman"/>
                <w:lang w:eastAsia="ru-RU"/>
              </w:rPr>
              <w:t xml:space="preserve">2018 року № 311 – на рівні </w:t>
            </w:r>
            <w:r w:rsidRPr="005A615E">
              <w:rPr>
                <w:rFonts w:ascii="Times New Roman" w:eastAsia="Times New Roman" w:hAnsi="Times New Roman"/>
                <w:b/>
                <w:lang w:eastAsia="ru-RU"/>
              </w:rPr>
              <w:t>≥ 65 %</w:t>
            </w:r>
            <w:r w:rsidRPr="005A615E">
              <w:rPr>
                <w:rFonts w:ascii="Times New Roman" w:eastAsia="Times New Roman" w:hAnsi="Times New Roman"/>
                <w:lang w:eastAsia="ru-RU"/>
              </w:rPr>
              <w:t>;</w:t>
            </w:r>
          </w:p>
          <w:p w:rsidR="00CF2AC1" w:rsidRPr="005A615E" w:rsidRDefault="00CF2AC1" w:rsidP="00CF2AC1">
            <w:pPr>
              <w:shd w:val="clear" w:color="auto" w:fill="FFFFFF"/>
              <w:jc w:val="both"/>
              <w:rPr>
                <w:rFonts w:ascii="Times New Roman" w:hAnsi="Times New Roman"/>
              </w:rPr>
            </w:pPr>
            <w:r w:rsidRPr="005A615E">
              <w:rPr>
                <w:rFonts w:ascii="Times New Roman" w:eastAsia="Times New Roman" w:hAnsi="Times New Roman"/>
                <w:lang w:eastAsia="ru-RU"/>
              </w:rPr>
              <w:t>індекс рівня сервісу кол-центру протягом 30 секунд (відсоток дзвінків, з’єднаних з оператором кол-центру протягом 30 секунд) у звітному році ≥ 75 % (за винятком періодів, встановлених постановою НКРЕКП від 12 червня 2018 року № 373 «Про затвердження Мінімальних вимог до якості обслуговування споживачів електричної енергії кол-центрами»);»</w:t>
            </w:r>
          </w:p>
          <w:p w:rsidR="00CF2AC1" w:rsidRPr="005A615E" w:rsidRDefault="00CF2AC1" w:rsidP="00CF2AC1">
            <w:pPr>
              <w:shd w:val="clear" w:color="auto" w:fill="FFFFFF"/>
              <w:jc w:val="both"/>
              <w:rPr>
                <w:rFonts w:ascii="Times New Roman" w:eastAsia="Times New Roman" w:hAnsi="Times New Roman"/>
                <w:lang w:eastAsia="ru-RU"/>
              </w:rPr>
            </w:pPr>
            <w:r w:rsidRPr="005A615E">
              <w:rPr>
                <w:rFonts w:ascii="Times New Roman" w:eastAsia="Times New Roman" w:hAnsi="Times New Roman"/>
                <w:lang w:eastAsia="ru-RU"/>
              </w:rPr>
              <w:t>індекс відсотка втрачених у черзі дзвінків кол-центру у звітному році ≤ 10 %;»</w:t>
            </w:r>
          </w:p>
          <w:p w:rsidR="00CF2AC1" w:rsidRPr="005A615E" w:rsidRDefault="00CF2AC1" w:rsidP="00CF2AC1">
            <w:pPr>
              <w:pStyle w:val="rvps2"/>
              <w:spacing w:beforeAutospacing="0" w:afterAutospacing="0"/>
              <w:ind w:firstLine="343"/>
              <w:jc w:val="both"/>
              <w:rPr>
                <w:b/>
                <w:i/>
                <w:sz w:val="22"/>
                <w:szCs w:val="22"/>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pStyle w:val="a5"/>
              <w:tabs>
                <w:tab w:val="left" w:pos="0"/>
              </w:tabs>
              <w:ind w:left="0" w:firstLine="321"/>
              <w:jc w:val="both"/>
              <w:rPr>
                <w:rFonts w:ascii="Times New Roman" w:hAnsi="Times New Roman"/>
                <w:sz w:val="22"/>
                <w:lang w:val="uk-UA"/>
              </w:rPr>
            </w:pPr>
            <w:r w:rsidRPr="005A615E">
              <w:rPr>
                <w:rFonts w:ascii="Times New Roman" w:eastAsia="Times New Roman" w:hAnsi="Times New Roman"/>
                <w:sz w:val="22"/>
                <w:szCs w:val="22"/>
                <w:lang w:val="uk-UA" w:eastAsia="ru-RU"/>
              </w:rPr>
              <w:t>У зв’язку з тривалими повітряними тривогами,  постійною загрозою обстрілів та роботою пристроїв радіоелектронної боротьби, технічно неможливо в запропонованому обсязі виконати зчитування даних з лічильників, де оператор системи розподілу є стороною, відповідальною за точку комерційного облік.</w:t>
            </w:r>
          </w:p>
          <w:p w:rsidR="00CF2AC1" w:rsidRPr="005A615E" w:rsidRDefault="00CF2AC1" w:rsidP="00CF2AC1">
            <w:pPr>
              <w:pStyle w:val="a5"/>
              <w:tabs>
                <w:tab w:val="left" w:pos="0"/>
              </w:tabs>
              <w:ind w:left="0" w:firstLine="321"/>
              <w:jc w:val="both"/>
              <w:rPr>
                <w:rFonts w:ascii="Times New Roman" w:hAnsi="Times New Roman"/>
                <w:sz w:val="22"/>
              </w:rPr>
            </w:pPr>
            <w:r w:rsidRPr="005A615E">
              <w:rPr>
                <w:rFonts w:ascii="Times New Roman" w:eastAsia="Times New Roman" w:hAnsi="Times New Roman"/>
                <w:sz w:val="22"/>
                <w:szCs w:val="22"/>
                <w:lang w:eastAsia="ru-RU"/>
              </w:rPr>
              <w:lastRenderedPageBreak/>
              <w:t>Також необхідність внесення запропонованих змін обґрунтовується наявністю таких факторів:</w:t>
            </w:r>
          </w:p>
          <w:p w:rsidR="00CF2AC1" w:rsidRPr="005A615E" w:rsidRDefault="00CF2AC1" w:rsidP="00CF2AC1">
            <w:pPr>
              <w:pStyle w:val="a5"/>
              <w:tabs>
                <w:tab w:val="left" w:pos="0"/>
              </w:tabs>
              <w:ind w:left="0" w:firstLine="321"/>
              <w:jc w:val="both"/>
              <w:rPr>
                <w:rFonts w:ascii="Times New Roman" w:hAnsi="Times New Roman"/>
                <w:sz w:val="22"/>
              </w:rPr>
            </w:pPr>
            <w:r w:rsidRPr="005A615E">
              <w:rPr>
                <w:rFonts w:ascii="Times New Roman" w:eastAsia="Times New Roman" w:hAnsi="Times New Roman"/>
                <w:sz w:val="22"/>
                <w:szCs w:val="22"/>
                <w:lang w:eastAsia="ru-RU"/>
              </w:rPr>
              <w:t xml:space="preserve"> - більша частина території Запорізької області знаходиться в тимчасовій окупації, інша – на територіях активних та можливих бойових дій; </w:t>
            </w:r>
          </w:p>
          <w:p w:rsidR="00CF2AC1" w:rsidRPr="005A615E" w:rsidRDefault="00CF2AC1" w:rsidP="00CF2AC1">
            <w:pPr>
              <w:pStyle w:val="a5"/>
              <w:tabs>
                <w:tab w:val="left" w:pos="0"/>
              </w:tabs>
              <w:ind w:left="0"/>
              <w:jc w:val="both"/>
              <w:rPr>
                <w:rFonts w:ascii="Times New Roman" w:hAnsi="Times New Roman"/>
                <w:sz w:val="22"/>
              </w:rPr>
            </w:pPr>
            <w:r w:rsidRPr="005A615E">
              <w:rPr>
                <w:rFonts w:ascii="Times New Roman" w:eastAsia="Times New Roman" w:hAnsi="Times New Roman"/>
                <w:sz w:val="22"/>
                <w:szCs w:val="22"/>
                <w:lang w:eastAsia="ru-RU"/>
              </w:rPr>
              <w:t xml:space="preserve">- періодично застосовуються графіки погодинних відключень електричної енергії, що унеможливлює виконання планових завдань; </w:t>
            </w:r>
          </w:p>
          <w:p w:rsidR="00CF2AC1" w:rsidRPr="005A615E" w:rsidRDefault="00CF2AC1" w:rsidP="00CF2AC1">
            <w:pPr>
              <w:pStyle w:val="a5"/>
              <w:tabs>
                <w:tab w:val="left" w:pos="0"/>
              </w:tabs>
              <w:ind w:left="0" w:firstLine="321"/>
              <w:jc w:val="both"/>
              <w:rPr>
                <w:rFonts w:ascii="Times New Roman" w:hAnsi="Times New Roman"/>
                <w:sz w:val="22"/>
              </w:rPr>
            </w:pPr>
            <w:r w:rsidRPr="005A615E">
              <w:rPr>
                <w:rFonts w:ascii="Times New Roman" w:eastAsia="Times New Roman" w:hAnsi="Times New Roman"/>
                <w:sz w:val="22"/>
                <w:szCs w:val="22"/>
                <w:lang w:eastAsia="ru-RU"/>
              </w:rPr>
              <w:t xml:space="preserve">- до електроустановок великої частини споживачів відсутній доступ, у тому числі для проведення контрольного огляду вузлів обліку засобів у зв’язку з виїздом споживачів до більш безпечних регіонів; </w:t>
            </w:r>
          </w:p>
          <w:p w:rsidR="00CF2AC1" w:rsidRPr="005A615E" w:rsidRDefault="00CF2AC1" w:rsidP="00CF2AC1">
            <w:pPr>
              <w:shd w:val="clear" w:color="auto" w:fill="FFFFFF"/>
              <w:jc w:val="both"/>
              <w:rPr>
                <w:rFonts w:ascii="Times New Roman" w:eastAsia="Times New Roman" w:hAnsi="Times New Roman"/>
                <w:lang w:eastAsia="ru-RU"/>
              </w:rPr>
            </w:pPr>
            <w:r w:rsidRPr="005A615E">
              <w:rPr>
                <w:rFonts w:ascii="Times New Roman" w:eastAsia="Times New Roman" w:hAnsi="Times New Roman"/>
                <w:lang w:eastAsia="ru-RU"/>
              </w:rPr>
              <w:t>- існує значний  кадровий дефіцит оперативно-технічного персоналу (фактично заповнено 35% від затвердженої штатної кількості).</w:t>
            </w:r>
          </w:p>
          <w:p w:rsidR="00CF2AC1" w:rsidRPr="005A615E" w:rsidRDefault="00CF2AC1" w:rsidP="00CF2AC1">
            <w:pPr>
              <w:jc w:val="both"/>
              <w:rPr>
                <w:rFonts w:ascii="Times New Roman" w:hAnsi="Times New Roman"/>
                <w:b/>
                <w:sz w:val="24"/>
                <w:szCs w:val="24"/>
                <w:u w:val="single"/>
              </w:rPr>
            </w:pPr>
            <w:r w:rsidRPr="005A615E">
              <w:rPr>
                <w:rFonts w:ascii="Times New Roman" w:hAnsi="Times New Roman"/>
                <w:b/>
                <w:sz w:val="24"/>
                <w:szCs w:val="24"/>
                <w:u w:val="single"/>
              </w:rPr>
              <w:t xml:space="preserve">АТ «Миколаївобленерго» (лист </w:t>
            </w:r>
            <w:r w:rsidRPr="005A615E">
              <w:rPr>
                <w:rFonts w:ascii="Times New Roman" w:hAnsi="Times New Roman"/>
                <w:b/>
                <w:sz w:val="24"/>
                <w:szCs w:val="24"/>
                <w:u w:val="single"/>
              </w:rPr>
              <w:br/>
              <w:t>від 17.07.2026 № 01/01-21-4091)</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9) цільові показники комерційної якості послуг:</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jc w:val="both"/>
              <w:rPr>
                <w:rFonts w:ascii="Times New Roman" w:hAnsi="Times New Roman"/>
              </w:rPr>
            </w:pPr>
            <w:r w:rsidRPr="005A615E">
              <w:rPr>
                <w:rFonts w:ascii="Times New Roman" w:hAnsi="Times New Roman"/>
              </w:rPr>
              <w:t xml:space="preserve">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w:t>
            </w:r>
            <w:r w:rsidRPr="005A615E">
              <w:rPr>
                <w:rFonts w:ascii="Times New Roman" w:hAnsi="Times New Roman"/>
                <w:b/>
              </w:rPr>
              <w:t>0 % (для прифронтових ОСР)</w:t>
            </w:r>
            <w:r w:rsidRPr="005A615E">
              <w:rPr>
                <w:rFonts w:ascii="Times New Roman" w:hAnsi="Times New Roman"/>
              </w:rPr>
              <w:t>;</w:t>
            </w:r>
          </w:p>
          <w:p w:rsidR="00CF2AC1" w:rsidRPr="005A615E" w:rsidRDefault="00CF2AC1" w:rsidP="00CF2AC1">
            <w:pPr>
              <w:jc w:val="both"/>
              <w:rPr>
                <w:rFonts w:ascii="Times New Roman" w:hAnsi="Times New Roman"/>
                <w:sz w:val="24"/>
              </w:rPr>
            </w:pPr>
            <w:r w:rsidRPr="005A615E">
              <w:rPr>
                <w:rFonts w:ascii="Times New Roman" w:hAnsi="Times New Roman"/>
                <w:sz w:val="24"/>
              </w:rPr>
              <w:t xml:space="preserve">…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w:t>
            </w:r>
            <w:r w:rsidRPr="005A615E">
              <w:rPr>
                <w:rFonts w:ascii="Times New Roman" w:hAnsi="Times New Roman"/>
              </w:rPr>
              <w:lastRenderedPageBreak/>
              <w:t xml:space="preserve">затвердженого постановою НКРЕКП від 14 березня 2018 року № 311 – на рівні  </w:t>
            </w:r>
            <w:r w:rsidRPr="005A615E">
              <w:rPr>
                <w:rFonts w:ascii="Times New Roman" w:hAnsi="Times New Roman"/>
                <w:b/>
              </w:rPr>
              <w:t>0 % (для прифронтових ОСР)</w:t>
            </w: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sz w:val="22"/>
                <w:szCs w:val="22"/>
                <w:lang w:val="uk-UA"/>
              </w:rPr>
              <w:t>Пропонуємо не застосовувати показник індексу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визначений змінами до нормативно-правової бази НКРЕКП для другого регуляторного періоду стимулюючого регулювання, до операторів системи розподілу, що здійснюють діяльність на прифронтових територіях - на період дії воєнного стану та/або проведення бойових дій.</w:t>
            </w:r>
          </w:p>
          <w:p w:rsidR="00CF2AC1" w:rsidRPr="005A615E" w:rsidRDefault="00CF2AC1" w:rsidP="00CF2AC1">
            <w:pPr>
              <w:pStyle w:val="isselectedend"/>
              <w:spacing w:before="0" w:beforeAutospacing="0" w:after="0" w:afterAutospacing="0"/>
              <w:ind w:firstLine="457"/>
              <w:jc w:val="both"/>
              <w:rPr>
                <w:sz w:val="22"/>
                <w:szCs w:val="22"/>
                <w:lang w:val="uk-UA"/>
              </w:rPr>
            </w:pPr>
            <w:r w:rsidRPr="005A615E">
              <w:rPr>
                <w:sz w:val="22"/>
                <w:szCs w:val="22"/>
                <w:lang w:val="uk-UA"/>
              </w:rPr>
              <w:t>Миколаївська область є прифронтовою територією, що обумовлено широкомасштабним  застосуванням безпілотних засобів ураження та засобів радіоелектронної боротьби з ними. В умовах дії РЕБ суттєво порушується мобільний зв’язок та можливість дистанційної передачі даних. Що, в свою чергу, унеможливлює забезпечення гарантованої щодобової вичитки даних комерційного обліку та суттєво ускладнюють можливість забезпечення досягнення цільового показника на рівні ≥ 98 %.</w:t>
            </w:r>
          </w:p>
          <w:p w:rsidR="00CF2AC1" w:rsidRPr="005A615E" w:rsidRDefault="00CF2AC1" w:rsidP="00CF2AC1">
            <w:pPr>
              <w:pStyle w:val="aa"/>
              <w:spacing w:before="0" w:beforeAutospacing="0" w:after="0" w:afterAutospacing="0"/>
              <w:ind w:firstLine="457"/>
              <w:jc w:val="both"/>
              <w:rPr>
                <w:sz w:val="22"/>
                <w:szCs w:val="22"/>
                <w:lang w:val="uk-UA"/>
              </w:rPr>
            </w:pPr>
            <w:r w:rsidRPr="005A615E">
              <w:rPr>
                <w:sz w:val="22"/>
                <w:szCs w:val="22"/>
                <w:lang w:val="uk-UA"/>
              </w:rPr>
              <w:t>У зв'язку з викладеним, впровадження зазначеного показника для операторів системи розподілу, які здійснюють діяльність на прифронтових територіях, перенести на період після завершення бойових дій та до цього часу не застосовувати його при прийнятті регуляторних рішень.</w:t>
            </w:r>
          </w:p>
          <w:p w:rsidR="00CF2AC1" w:rsidRPr="005A615E" w:rsidRDefault="00CF2AC1" w:rsidP="00CF2AC1">
            <w:pPr>
              <w:pStyle w:val="isselectedend"/>
              <w:spacing w:before="0" w:beforeAutospacing="0" w:after="0" w:afterAutospacing="0"/>
              <w:jc w:val="both"/>
              <w:rPr>
                <w:sz w:val="22"/>
                <w:szCs w:val="22"/>
                <w:lang w:val="uk-UA"/>
              </w:rPr>
            </w:pPr>
            <w:r w:rsidRPr="005A615E">
              <w:rPr>
                <w:sz w:val="22"/>
                <w:szCs w:val="22"/>
                <w:lang w:val="uk-UA"/>
              </w:rPr>
              <w:t xml:space="preserve">Також пропонуємо не застосовувати показник </w:t>
            </w:r>
            <w:r w:rsidRPr="005A615E">
              <w:rPr>
                <w:rStyle w:val="ab"/>
                <w:sz w:val="22"/>
                <w:szCs w:val="22"/>
                <w:lang w:val="uk-UA"/>
              </w:rPr>
              <w:t>індексу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w:t>
            </w:r>
            <w:r w:rsidRPr="005A615E">
              <w:rPr>
                <w:sz w:val="22"/>
                <w:szCs w:val="22"/>
                <w:lang w:val="uk-UA"/>
              </w:rPr>
              <w:t xml:space="preserve">, визначений змінами до </w:t>
            </w:r>
            <w:r w:rsidRPr="005A615E">
              <w:rPr>
                <w:sz w:val="22"/>
                <w:szCs w:val="22"/>
                <w:lang w:val="uk-UA"/>
              </w:rPr>
              <w:lastRenderedPageBreak/>
              <w:t>нормативно-правової бази НКРЕКП для другого регуляторного періоду стимулюючого регулювання, до операторів системи розподілу, що здійснюють діяльність на прифронтових територіях - на період дії воєнного стану та/або проведення бойових дій.</w:t>
            </w:r>
          </w:p>
          <w:p w:rsidR="00CF2AC1" w:rsidRPr="005A615E" w:rsidRDefault="00CF2AC1" w:rsidP="00CF2AC1">
            <w:pPr>
              <w:pStyle w:val="isselectedend"/>
              <w:spacing w:before="0" w:beforeAutospacing="0" w:after="0" w:afterAutospacing="0"/>
              <w:jc w:val="both"/>
              <w:rPr>
                <w:sz w:val="22"/>
                <w:szCs w:val="22"/>
                <w:lang w:val="uk-UA"/>
              </w:rPr>
            </w:pPr>
            <w:r w:rsidRPr="005A615E">
              <w:rPr>
                <w:sz w:val="22"/>
                <w:szCs w:val="22"/>
                <w:lang w:val="uk-UA"/>
              </w:rPr>
              <w:t>Миколаївська область є прифронтовою територією, де безпекова ситуація, обмеження доступу до електроустановок споживачів, окремих об'єктів електроенергетики, відсутність споживачів у зв’язку з евакуацією та необхідність першочергового виконання аварійно-відновлювальних робіт суттєво ускладнюють можливість забезпечення досягнення цільового показника на рівні не менше 90 %.</w:t>
            </w:r>
          </w:p>
          <w:p w:rsidR="00CF2AC1" w:rsidRPr="005A615E" w:rsidRDefault="00CF2AC1" w:rsidP="00CF2AC1">
            <w:pPr>
              <w:jc w:val="both"/>
              <w:rPr>
                <w:rFonts w:ascii="Times New Roman" w:hAnsi="Times New Roman"/>
              </w:rPr>
            </w:pPr>
            <w:r w:rsidRPr="005A615E">
              <w:rPr>
                <w:rFonts w:ascii="Times New Roman" w:hAnsi="Times New Roman"/>
              </w:rPr>
              <w:t>У зв'язку з викладеним впровадження зазначеного показника для операторів системи розподілу, які здійснюють діяльність на прифронтових територіях, перенести на період після завершення бойових дій та до цього часу не застосовувати його при прийнятті регуляторних рішень.</w:t>
            </w:r>
          </w:p>
          <w:p w:rsidR="00CF2AC1" w:rsidRPr="005A615E" w:rsidRDefault="00CF2AC1" w:rsidP="00CF2AC1">
            <w:pPr>
              <w:jc w:val="both"/>
              <w:rPr>
                <w:rFonts w:ascii="Times New Roman" w:hAnsi="Times New Roman"/>
                <w:b/>
                <w:sz w:val="24"/>
                <w:u w:val="single"/>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 xml:space="preserve">ГО «Перша енергетична рада» (лист </w:t>
            </w:r>
            <w:r w:rsidRPr="005A615E">
              <w:rPr>
                <w:rFonts w:ascii="Times New Roman" w:hAnsi="Times New Roman"/>
                <w:b/>
                <w:sz w:val="24"/>
                <w:u w:val="single"/>
              </w:rPr>
              <w:br/>
              <w:t xml:space="preserve">від 20.07.2026 № 28/01), 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«ЧЕРНІВЦІОБЛЕНЕРГО» (лист від 24.07.2026  № 19/1-02/3604), АТ «ТЕРНОПІЛЬОБЛЕНЕРГО» (лист від 24.07.2026 № 4428/7), Громадська спілка «Розумні електромережі України» (лист від 24.07.2026  № 24-07/1), АТ «ХАРКІВОБЛЕНЕРГО» (лист від 27.07.2026 № </w:t>
            </w:r>
            <w:r w:rsidRPr="005A615E">
              <w:rPr>
                <w:rFonts w:ascii="Times New Roman" w:hAnsi="Times New Roman"/>
                <w:b/>
                <w:sz w:val="24"/>
                <w:u w:val="single"/>
              </w:rPr>
              <w:lastRenderedPageBreak/>
              <w:t xml:space="preserve">02-34/7102), АТ «УКРАЇНСЬКІ РОЗПОДІЛЬНІ МЕРЕЖІ» (лист від 27.07.2026 № 27/07/26-2), АТ «ПРИКАРПАТТЯОБЛЕНЕРГО» (лист </w:t>
            </w:r>
            <w:r w:rsidRPr="005A615E">
              <w:rPr>
                <w:rFonts w:ascii="Times New Roman" w:hAnsi="Times New Roman"/>
                <w:b/>
                <w:sz w:val="24"/>
                <w:u w:val="single"/>
              </w:rPr>
              <w:br/>
              <w:t xml:space="preserve">від 27.07.2026 № 50012257/12), ПрАТ «ЛЬВІВОБЛЕНЕРГО» (лист </w:t>
            </w:r>
            <w:r w:rsidRPr="005A615E">
              <w:rPr>
                <w:rFonts w:ascii="Times New Roman" w:hAnsi="Times New Roman"/>
                <w:b/>
                <w:sz w:val="24"/>
                <w:u w:val="single"/>
              </w:rPr>
              <w:br/>
              <w:t>від 27.07.2026 № 122-07-5357), АТ «ВІННИЦЯОБЛЕНЕРГО» (лист від 27.07.2026  № 03.13-18608), АТ «ХМЕЛЬНИЦЬКОБЛЕНЕРГО» (лист від 27.07.2026 № 4-6209-0201/26)</w:t>
            </w:r>
            <w:r w:rsidRPr="005A615E">
              <w:rPr>
                <w:rFonts w:ascii="Times New Roman" w:eastAsia="Times New Roman" w:hAnsi="Times New Roman"/>
                <w:sz w:val="24"/>
                <w:szCs w:val="24"/>
                <w:lang w:eastAsia="ru-RU"/>
              </w:rPr>
              <w:t xml:space="preserve">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b/>
                <w:sz w:val="24"/>
              </w:rPr>
            </w:pPr>
            <w:r w:rsidRPr="005A615E">
              <w:rPr>
                <w:rFonts w:ascii="Times New Roman" w:hAnsi="Times New Roman"/>
                <w:b/>
                <w:sz w:val="24"/>
              </w:rPr>
              <w:t>…</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9) цільові показники комерційної якості послуг:</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індекс усунення причин недотримання показників якості електричної енергії у встановлений строк – на рівні ≥ 98 %;</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індекс надання послуги зі стандартного приєднання у встановлений строк – на рівні ≥ 98 %;</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 98 %;</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90 %;</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lastRenderedPageBreak/>
              <w:t>індекс рівня сервісу кол-центру протягом 30 секунд (відсоток дзвінків, з’єднаних з оператором кол-центру протягом 30 секунд) у звітному році ≥ 75 % (за винятком періодів, встановлених постановою НКРЕКП від 12 червня 2018 року № 373 «Про затвердження Мінімальних вимог до якості обслуговування споживачів електричної енергії кол-центрами»);</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індекс відсотка втрачених у черзі дзвінків кол-центру у звітному році ≤ 10 %;</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В запропонованій редакції запровадження цільових показників комерційної якості послуг вбачається недоречним:</w:t>
            </w:r>
          </w:p>
          <w:p w:rsidR="00CF2AC1" w:rsidRPr="005A615E" w:rsidRDefault="00CF2AC1" w:rsidP="00CF2AC1">
            <w:pPr>
              <w:jc w:val="both"/>
              <w:rPr>
                <w:rFonts w:ascii="Times New Roman" w:hAnsi="Times New Roman"/>
              </w:rPr>
            </w:pPr>
            <w:r w:rsidRPr="005A615E">
              <w:rPr>
                <w:rFonts w:ascii="Times New Roman" w:hAnsi="Times New Roman"/>
              </w:rPr>
              <w:t xml:space="preserve"> - більшість з показників не входить до  переліку чинних показників якості послуг</w:t>
            </w:r>
            <w:r w:rsidR="009A723E" w:rsidRPr="005A615E">
              <w:rPr>
                <w:rFonts w:ascii="Times New Roman" w:hAnsi="Times New Roman"/>
              </w:rPr>
              <w:t xml:space="preserve"> (постанова НКРЕКП  №375 від 12.06.2018  «Про затвердження Порядку забезпечення стандартів якості електропостачання та надання компенсацій споживачам за їх недотримання»)</w:t>
            </w:r>
            <w:r w:rsidRPr="005A615E">
              <w:rPr>
                <w:rFonts w:ascii="Times New Roman" w:hAnsi="Times New Roman"/>
              </w:rPr>
              <w:t xml:space="preserve">, </w:t>
            </w:r>
          </w:p>
          <w:p w:rsidR="00CF2AC1" w:rsidRPr="005A615E" w:rsidRDefault="00CF2AC1" w:rsidP="00CF2AC1">
            <w:pPr>
              <w:jc w:val="both"/>
              <w:rPr>
                <w:rFonts w:ascii="Times New Roman" w:hAnsi="Times New Roman"/>
              </w:rPr>
            </w:pPr>
            <w:r w:rsidRPr="005A615E">
              <w:rPr>
                <w:rFonts w:ascii="Times New Roman" w:hAnsi="Times New Roman"/>
              </w:rPr>
              <w:t xml:space="preserve"> - по двох показниках ОСР виплачують індивідуальні компенсації споживачам. Крім того, за порушення показників якості послуг на ОСР Регулятором накладаються штрафні санкції, відповідно матимуть місце подвійні/ потрійні фінансові санкції на ОСР за одні й ті самі порушення,</w:t>
            </w:r>
          </w:p>
          <w:p w:rsidR="00CF2AC1" w:rsidRPr="005A615E" w:rsidRDefault="00CF2AC1" w:rsidP="00CF2AC1">
            <w:pPr>
              <w:jc w:val="both"/>
              <w:rPr>
                <w:rFonts w:ascii="Times New Roman" w:hAnsi="Times New Roman"/>
                <w:b/>
                <w:sz w:val="24"/>
                <w:u w:val="single"/>
              </w:rPr>
            </w:pPr>
            <w:r w:rsidRPr="005A615E">
              <w:rPr>
                <w:rFonts w:ascii="Times New Roman" w:hAnsi="Times New Roman"/>
              </w:rPr>
              <w:t xml:space="preserve"> - досяжність більшості з цільових показників є сумнівною, особливо в умовах військового стану і за відсутності можливості залучення нових інвестицій.</w:t>
            </w:r>
            <w:r w:rsidRPr="005A615E">
              <w:rPr>
                <w:rFonts w:ascii="Times New Roman" w:hAnsi="Times New Roman"/>
                <w:b/>
                <w:sz w:val="24"/>
                <w:u w:val="single"/>
              </w:rPr>
              <w:t xml:space="preserve"> </w:t>
            </w:r>
          </w:p>
          <w:p w:rsidR="00CF2AC1" w:rsidRPr="005A615E" w:rsidRDefault="00CF2AC1" w:rsidP="00CF2AC1">
            <w:pPr>
              <w:jc w:val="both"/>
              <w:rPr>
                <w:rFonts w:ascii="Times New Roman" w:hAnsi="Times New Roman"/>
                <w:b/>
                <w:sz w:val="24"/>
                <w:u w:val="single"/>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b/>
                <w:i/>
                <w:u w:val="single"/>
              </w:rPr>
              <w:t xml:space="preserve">Обгрунтування </w:t>
            </w:r>
            <w:r w:rsidRPr="005A615E">
              <w:rPr>
                <w:rFonts w:ascii="Times New Roman" w:hAnsi="Times New Roman"/>
                <w:b/>
                <w:sz w:val="24"/>
                <w:u w:val="single"/>
              </w:rPr>
              <w:t xml:space="preserve">ДТЕК, АТ «ТЕРНОПІЛЬОБЛЕНЕРГО», Громадська спілка «Розумні електромережі України», АТ «ХАРКІВОБЛЕНЕРГО», АТ «УКРАЇНСЬКІ </w:t>
            </w:r>
            <w:r w:rsidRPr="005A615E">
              <w:rPr>
                <w:rFonts w:ascii="Times New Roman" w:hAnsi="Times New Roman"/>
                <w:b/>
                <w:sz w:val="24"/>
                <w:u w:val="single"/>
              </w:rPr>
              <w:lastRenderedPageBreak/>
              <w:t xml:space="preserve">РОЗПОДІЛЬНІ МЕРЕЖІ», АТ «ХМЕЛЬНИЦЬКОБЛЕНЕРГО» </w:t>
            </w:r>
          </w:p>
          <w:p w:rsidR="00CF2AC1" w:rsidRPr="005A615E" w:rsidRDefault="00CF2AC1" w:rsidP="00CF2AC1">
            <w:pPr>
              <w:jc w:val="both"/>
              <w:rPr>
                <w:b/>
                <w:i/>
                <w:u w:val="single"/>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1.Згідно з Порядком забезпечення стандартів якості (затверджений постановою НКРЕКП від 12 червня 2018 року N 375) передбачено необхідність виплати адресних компенсацій за недотримання показників якості у разі порушень ОСР встановлених строків або стандартів напруги.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2. </w:t>
            </w:r>
            <w:hyperlink r:id="rId12" w:tgtFrame="_blank" w:history="1">
              <w:r w:rsidRPr="005A615E">
                <w:rPr>
                  <w:rFonts w:ascii="Times New Roman" w:hAnsi="Times New Roman"/>
                </w:rPr>
                <w:t>Кодексом системи розподілу</w:t>
              </w:r>
            </w:hyperlink>
            <w:r w:rsidRPr="005A615E">
              <w:rPr>
                <w:rFonts w:ascii="Times New Roman" w:hAnsi="Times New Roman"/>
              </w:rPr>
              <w:t xml:space="preserve"> передбачено механізм захисту прав споживача шляхом зниження вартості послуги, якщо ОСР протермінував виконання робіт із приєднання. Також, НКРЕКП за результатами перевірки накладає ОСР фінансовий штраф у разі порушення надання послуги з приєднання.</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3. Вимоги із забезпечення автоматизованого дистанційного зчитуванням даних з вузлів обліку регулюється Кодексом комерційного обліку електричної енергії (ККОЕЕ). Відповідно до п. 2.3 Ліцензійних умов, ОСР має забезпечувати та здійснювати комерційний облік електричної енергії та обмін даними комерційного обліку відповідно до правил ринку та </w:t>
            </w:r>
            <w:hyperlink r:id="rId13" w:anchor="n9" w:tgtFrame="_blank" w:history="1">
              <w:r w:rsidRPr="005A615E">
                <w:rPr>
                  <w:rFonts w:ascii="Times New Roman" w:hAnsi="Times New Roman"/>
                </w:rPr>
                <w:t>кодексу комерційного обліку</w:t>
              </w:r>
            </w:hyperlink>
            <w:r w:rsidRPr="005A615E">
              <w:rPr>
                <w:rFonts w:ascii="Times New Roman" w:hAnsi="Times New Roman"/>
              </w:rPr>
              <w:t>. Недотримання цієї вимоги вважається невиконанням Ліцензійних умов, за результатами чого застосовуються штрафи за результатами перевірок.</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4. Вимоги щодо періодичності контрольних оглядів вузлів обліку електричної енергії визначаються Кодексом комерційного обліку електричної енергії. Порушення ККОЕЕ є порушенням ліцензійних умов діяльності ОСР, за результатами перевірок  застосовуються штрафні санкції до ОСР.</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5. Відповідно до ПНКРЕКП від 12.06.2018 №375 до загальних стандартів якості надання послуг ОСР належать рівень сервісу кол-центру протягом 30 секунд </w:t>
            </w:r>
            <w:r w:rsidRPr="005A615E">
              <w:rPr>
                <w:rFonts w:ascii="Times New Roman" w:hAnsi="Times New Roman"/>
              </w:rPr>
              <w:lastRenderedPageBreak/>
              <w:t xml:space="preserve">(відсоток дзвінків, з'єднаних з оператором кол-центру протягом 30 секунд) у звітному році - не менше 75 %, індекс відсотка втрачених у черзі дзвінків кол-центру у звітному році ≤ 10 %. Питання функціонування кол-центрів включено до ліцензійних вимог провадження діяльності з розподілу, у разі його невиконання передбачені штрафи за результатами перевірок.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Таким чином за результатами щорічних перевірок ліцензованої діяльності згідно Порядку нарахування штрафів (постанова №1800 від 29.09.2023) нараховується штраф за кожний вид порушення з урахуванням кількості споживачів, тривалості тощо.</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Таким чином, вищезазначені в підпункті 9 показники якості  регулюються положеннями вже діючих документів. Додаткова фіксація цих вимог в іншому документі НКРЕКП призведе до подвоєння штрафів за однакові порушення. </w:t>
            </w:r>
          </w:p>
          <w:p w:rsidR="00CF2AC1" w:rsidRPr="005A615E" w:rsidRDefault="00CF2AC1" w:rsidP="00CF2AC1">
            <w:pPr>
              <w:jc w:val="both"/>
              <w:rPr>
                <w:rFonts w:ascii="Times New Roman" w:hAnsi="Times New Roman"/>
              </w:rPr>
            </w:pPr>
            <w:r w:rsidRPr="005A615E">
              <w:rPr>
                <w:rFonts w:ascii="Times New Roman" w:hAnsi="Times New Roman"/>
              </w:rPr>
              <w:t>Варто відзначити, що за результатами консультацій  з представниками Європейських ОСР, нормативні вимоги, наслідком яких є застосування подвійних штрафів та санкцій для ОСР, не дублюються в нормативних документах.</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b/>
                <w:i/>
                <w:u w:val="single"/>
              </w:rPr>
              <w:t xml:space="preserve">Обгрунтування </w:t>
            </w:r>
            <w:r w:rsidRPr="005A615E">
              <w:rPr>
                <w:rFonts w:ascii="Times New Roman" w:hAnsi="Times New Roman"/>
                <w:b/>
                <w:sz w:val="24"/>
                <w:u w:val="single"/>
              </w:rPr>
              <w:t xml:space="preserve">ПрАТ «ЛЬВІВОБЛЕНЕРГО» </w:t>
            </w:r>
          </w:p>
          <w:p w:rsidR="00CF2AC1" w:rsidRPr="005A615E" w:rsidRDefault="00CF2AC1" w:rsidP="00CF2AC1">
            <w:pPr>
              <w:shd w:val="clear" w:color="auto" w:fill="FFFFFF"/>
              <w:spacing w:line="257" w:lineRule="auto"/>
              <w:ind w:firstLine="113"/>
              <w:jc w:val="both"/>
              <w:rPr>
                <w:rFonts w:ascii="Times New Roman" w:hAnsi="Times New Roman"/>
                <w:lang w:eastAsia="uk-UA"/>
              </w:rPr>
            </w:pPr>
            <w:r w:rsidRPr="005A615E">
              <w:rPr>
                <w:rFonts w:ascii="Times New Roman" w:hAnsi="Times New Roman"/>
                <w:lang w:eastAsia="uk-UA"/>
              </w:rPr>
              <w:t>Частина цих показників вже регулюються</w:t>
            </w:r>
            <w:r w:rsidRPr="005A615E">
              <w:rPr>
                <w:rFonts w:ascii="Times New Roman" w:hAnsi="Times New Roman"/>
              </w:rPr>
              <w:t xml:space="preserve"> регуляторними актами НКРЕКП - Кодекс систем розподілу, Кодекс комерційного обліку електричної енергії та постановами НКРЕКП.</w:t>
            </w:r>
          </w:p>
          <w:p w:rsidR="00CF2AC1" w:rsidRPr="005A615E" w:rsidRDefault="00CF2AC1" w:rsidP="00CF2AC1">
            <w:pPr>
              <w:spacing w:line="257" w:lineRule="auto"/>
              <w:ind w:firstLine="113"/>
              <w:jc w:val="both"/>
              <w:rPr>
                <w:rFonts w:ascii="Times New Roman" w:eastAsia="Times New Roman" w:hAnsi="Times New Roman"/>
              </w:rPr>
            </w:pPr>
            <w:r w:rsidRPr="005A615E">
              <w:rPr>
                <w:rFonts w:ascii="Times New Roman" w:hAnsi="Times New Roman"/>
              </w:rPr>
              <w:t>Недотримання ОСР нормативних актів є не</w:t>
            </w:r>
            <w:r w:rsidRPr="005A615E">
              <w:rPr>
                <w:rFonts w:ascii="Times New Roman" w:eastAsia="Times New Roman" w:hAnsi="Times New Roman"/>
              </w:rPr>
              <w:t>виконанням Ліцензійних умов.</w:t>
            </w:r>
          </w:p>
          <w:p w:rsidR="00CF2AC1" w:rsidRPr="005A615E" w:rsidRDefault="00CF2AC1" w:rsidP="00CF2AC1">
            <w:pPr>
              <w:shd w:val="clear" w:color="auto" w:fill="FFFFFF"/>
              <w:spacing w:line="257" w:lineRule="auto"/>
              <w:ind w:firstLine="113"/>
              <w:jc w:val="both"/>
              <w:rPr>
                <w:rFonts w:ascii="Times New Roman" w:hAnsi="Times New Roman"/>
              </w:rPr>
            </w:pPr>
            <w:r w:rsidRPr="005A615E">
              <w:rPr>
                <w:rFonts w:ascii="Times New Roman" w:hAnsi="Times New Roman"/>
                <w:lang w:eastAsia="uk-UA"/>
              </w:rPr>
              <w:t>Відповідно до заходів державного контролю за невиконання встановлених показників якості, НКРЕКП застосовує штрафні санкції, які розраховуються відповідно до «</w:t>
            </w:r>
            <w:r w:rsidRPr="005A615E">
              <w:rPr>
                <w:rFonts w:ascii="Times New Roman" w:hAnsi="Times New Roman"/>
              </w:rPr>
              <w:t xml:space="preserve">Порядку (методики) визначення розміру штрафів, які накладаються </w:t>
            </w:r>
            <w:r w:rsidRPr="005A615E">
              <w:rPr>
                <w:rFonts w:ascii="Times New Roman" w:hAnsi="Times New Roman"/>
              </w:rPr>
              <w:lastRenderedPageBreak/>
              <w:t xml:space="preserve">Національною комісією, що здійснює державне регулювання у сферах енергетики та комунальних послуг» затверджений Постановою НКРЕКП від 29.09.2023 р. №1800. </w:t>
            </w:r>
          </w:p>
          <w:p w:rsidR="00CF2AC1" w:rsidRPr="005A615E" w:rsidRDefault="00CF2AC1" w:rsidP="00CF2AC1">
            <w:pPr>
              <w:spacing w:line="257" w:lineRule="auto"/>
              <w:ind w:firstLine="113"/>
              <w:jc w:val="both"/>
              <w:rPr>
                <w:rFonts w:ascii="Times New Roman" w:eastAsia="Times New Roman" w:hAnsi="Times New Roman"/>
              </w:rPr>
            </w:pPr>
            <w:r w:rsidRPr="005A615E">
              <w:rPr>
                <w:rFonts w:ascii="Times New Roman" w:hAnsi="Times New Roman"/>
              </w:rPr>
              <w:t xml:space="preserve">Також на виконання вимог Порядку забезпечення стандартів якості (постанова НКРЕКП від 12.06.2018 р. № 375) передбачено необхідність виплати адресних компенсацій за недотримання показників якості у разі порушень ОСР встановлених строків або стандартів напруги.  </w:t>
            </w:r>
            <w:r w:rsidRPr="005A615E">
              <w:rPr>
                <w:rFonts w:ascii="Times New Roman" w:eastAsia="Times New Roman" w:hAnsi="Times New Roman"/>
              </w:rPr>
              <w:t xml:space="preserve">Крім цього, частина заходів з усунення причин недотримання показників якості електричної енергії включаються в інвестиційні програми наступних років, що унеможливлює їх реалізацію у встановлений Порядком термін. </w:t>
            </w:r>
          </w:p>
          <w:p w:rsidR="00CF2AC1" w:rsidRPr="005A615E" w:rsidRDefault="00CF2AC1" w:rsidP="00CF2AC1">
            <w:pPr>
              <w:spacing w:line="257" w:lineRule="auto"/>
              <w:ind w:firstLine="113"/>
              <w:jc w:val="both"/>
              <w:rPr>
                <w:rFonts w:ascii="Times New Roman" w:hAnsi="Times New Roman"/>
              </w:rPr>
            </w:pPr>
            <w:r w:rsidRPr="005A615E">
              <w:rPr>
                <w:rFonts w:ascii="Times New Roman" w:hAnsi="Times New Roman"/>
                <w:shd w:val="clear" w:color="auto" w:fill="FFFFFF"/>
              </w:rPr>
              <w:t>У разі впровадження цих показників якості це призведе до повторного застосування штрафів  НКРЕКП за однакові порушення (невиконання показників).</w:t>
            </w:r>
          </w:p>
          <w:p w:rsidR="00CF2AC1" w:rsidRPr="005A615E" w:rsidRDefault="00CF2AC1" w:rsidP="00CF2AC1">
            <w:pPr>
              <w:shd w:val="clear" w:color="auto" w:fill="FFFFFF"/>
              <w:spacing w:line="257" w:lineRule="auto"/>
              <w:ind w:firstLine="113"/>
              <w:jc w:val="both"/>
              <w:rPr>
                <w:rFonts w:ascii="Times New Roman" w:hAnsi="Times New Roman"/>
                <w:shd w:val="clear" w:color="auto" w:fill="FFFFFF"/>
              </w:rPr>
            </w:pPr>
            <w:r w:rsidRPr="005A615E">
              <w:rPr>
                <w:rFonts w:ascii="Times New Roman" w:hAnsi="Times New Roman"/>
                <w:lang w:eastAsia="uk-UA"/>
              </w:rPr>
              <w:t xml:space="preserve">Оскільки стратегією НКРЕКП до 2030 року передбачено </w:t>
            </w:r>
            <w:r w:rsidRPr="005A615E">
              <w:rPr>
                <w:rFonts w:ascii="Times New Roman" w:hAnsi="Times New Roman"/>
                <w:shd w:val="clear" w:color="auto" w:fill="FFFFFF"/>
              </w:rPr>
              <w:t xml:space="preserve"> прискорення інтеграції в ЄС, необхідно щоб ці показники якості перегукувалися з аналогічними показниками у Европейській практиці реалізації стимулюючого регулювання з урахуванням досвіду розвитку енергетичних ринків.</w:t>
            </w:r>
          </w:p>
          <w:p w:rsidR="00CF2AC1" w:rsidRPr="005A615E" w:rsidRDefault="00CF2AC1" w:rsidP="00CF2AC1">
            <w:pPr>
              <w:spacing w:line="257" w:lineRule="auto"/>
              <w:ind w:firstLine="113"/>
              <w:jc w:val="both"/>
              <w:rPr>
                <w:rFonts w:ascii="Times New Roman" w:hAnsi="Times New Roman"/>
              </w:rPr>
            </w:pPr>
            <w:r w:rsidRPr="005A615E">
              <w:rPr>
                <w:rFonts w:ascii="Times New Roman" w:hAnsi="Times New Roman"/>
              </w:rPr>
              <w:t>Окрім цього, виконання робіт з контрольного огляду засобів обліку є необхідним у першу чергу для ОСР, оскільки виконання таких робіт дає змогу ОСР виявляти та усувати комерційну складову витрат електричної енергії (виявляти факти втручання у роботу електролічильників, виявляти непрацюючі чи пошкоджені електролічильники, виявляти приховані споживачами занижені показники лічильників, тощо).</w:t>
            </w:r>
          </w:p>
          <w:p w:rsidR="00CF2AC1" w:rsidRPr="005A615E" w:rsidRDefault="00CF2AC1" w:rsidP="00CF2AC1">
            <w:pPr>
              <w:shd w:val="clear" w:color="auto" w:fill="FFFFFF"/>
              <w:spacing w:line="257" w:lineRule="auto"/>
              <w:ind w:firstLine="113"/>
              <w:jc w:val="both"/>
              <w:rPr>
                <w:rFonts w:ascii="Times New Roman" w:hAnsi="Times New Roman"/>
              </w:rPr>
            </w:pPr>
            <w:r w:rsidRPr="005A615E">
              <w:rPr>
                <w:rFonts w:ascii="Times New Roman" w:hAnsi="Times New Roman"/>
              </w:rPr>
              <w:t>Невиконання чи невчасне виконання ОСР робіт з контрольного огляду засобів обліку жодним чином не порушує права споживача.</w:t>
            </w:r>
          </w:p>
          <w:p w:rsidR="00CF2AC1" w:rsidRPr="005A615E" w:rsidRDefault="00CF2AC1" w:rsidP="00CF2AC1">
            <w:pPr>
              <w:spacing w:line="257" w:lineRule="auto"/>
              <w:ind w:firstLine="113"/>
              <w:jc w:val="both"/>
              <w:rPr>
                <w:rFonts w:ascii="Times New Roman" w:hAnsi="Times New Roman"/>
              </w:rPr>
            </w:pPr>
            <w:r w:rsidRPr="005A615E">
              <w:rPr>
                <w:rFonts w:ascii="Times New Roman" w:hAnsi="Times New Roman"/>
              </w:rPr>
              <w:lastRenderedPageBreak/>
              <w:t xml:space="preserve">Враховуючи наведене Товариство просить </w:t>
            </w:r>
            <w:r w:rsidRPr="005A615E">
              <w:rPr>
                <w:rFonts w:ascii="Times New Roman" w:hAnsi="Times New Roman"/>
                <w:b/>
              </w:rPr>
              <w:t>не вводити</w:t>
            </w:r>
            <w:r w:rsidRPr="005A615E">
              <w:rPr>
                <w:rFonts w:ascii="Times New Roman" w:hAnsi="Times New Roman"/>
              </w:rPr>
              <w:t xml:space="preserve"> зазначені цільові показники комерційної якості послуг на 2–й регуляторний період.</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u w:val="single"/>
              </w:rPr>
            </w:pPr>
            <w:r w:rsidRPr="005A615E">
              <w:rPr>
                <w:rFonts w:ascii="Times New Roman" w:hAnsi="Times New Roman"/>
                <w:b/>
                <w:i/>
                <w:u w:val="single"/>
              </w:rPr>
              <w:t>Обгрунтування</w:t>
            </w:r>
            <w:r w:rsidRPr="005A615E">
              <w:rPr>
                <w:rFonts w:ascii="Times New Roman" w:hAnsi="Times New Roman"/>
                <w:b/>
                <w:u w:val="single"/>
              </w:rPr>
              <w:t xml:space="preserve"> АТ «ВІННИЦЯОБЛЕНЕРГО»</w:t>
            </w:r>
          </w:p>
          <w:p w:rsidR="00CF2AC1" w:rsidRPr="005A615E" w:rsidRDefault="00CF2AC1" w:rsidP="00CF2AC1">
            <w:pPr>
              <w:jc w:val="both"/>
              <w:rPr>
                <w:rFonts w:ascii="Times New Roman" w:hAnsi="Times New Roman"/>
              </w:rPr>
            </w:pPr>
            <w:r w:rsidRPr="005A615E">
              <w:rPr>
                <w:rFonts w:ascii="Times New Roman" w:hAnsi="Times New Roman"/>
              </w:rPr>
              <w:t xml:space="preserve">В умовах воєнного стану, постійного руйнування енергосистеми, дефіциту робочої сили дотримання показників комерційної якості послуг є проблемним та часто неможливим. </w:t>
            </w:r>
          </w:p>
          <w:p w:rsidR="00CF2AC1" w:rsidRPr="005A615E" w:rsidRDefault="00CF2AC1" w:rsidP="00CF2AC1">
            <w:pPr>
              <w:jc w:val="both"/>
              <w:rPr>
                <w:rFonts w:ascii="Times New Roman" w:hAnsi="Times New Roman"/>
              </w:rPr>
            </w:pPr>
            <w:r w:rsidRPr="005A615E">
              <w:rPr>
                <w:rFonts w:ascii="Times New Roman" w:hAnsi="Times New Roman"/>
              </w:rPr>
              <w:t>Також, в умовах обмеження параметрів  стимулюючого регулювання, таких як амортизація на РБА</w:t>
            </w:r>
            <w:r w:rsidRPr="005A615E">
              <w:rPr>
                <w:rFonts w:ascii="Times New Roman" w:hAnsi="Times New Roman"/>
                <w:vertAlign w:val="subscript"/>
              </w:rPr>
              <w:t xml:space="preserve">0 </w:t>
            </w:r>
            <w:r w:rsidRPr="005A615E">
              <w:rPr>
                <w:rFonts w:ascii="Times New Roman" w:hAnsi="Times New Roman"/>
              </w:rPr>
              <w:t>та норми прибутку на РБА</w:t>
            </w:r>
            <w:r w:rsidRPr="005A615E">
              <w:rPr>
                <w:rFonts w:ascii="Times New Roman" w:hAnsi="Times New Roman"/>
                <w:vertAlign w:val="subscript"/>
              </w:rPr>
              <w:t>нов</w:t>
            </w:r>
            <w:r w:rsidRPr="005A615E">
              <w:rPr>
                <w:rFonts w:ascii="Times New Roman" w:hAnsi="Times New Roman"/>
              </w:rPr>
              <w:t>, що призводить до обмеження інвестиційних програм вже протягом 5 років, запровадження нових показників, які не були передбачені під час запровадження стимулюючого регулювання, є недоцільним та призведе лише до погіршення фінансового стану Товариства.</w:t>
            </w:r>
          </w:p>
          <w:p w:rsidR="00CF2AC1" w:rsidRPr="005A615E" w:rsidRDefault="00CF2AC1" w:rsidP="00CF2AC1">
            <w:pPr>
              <w:jc w:val="both"/>
              <w:rPr>
                <w:rFonts w:ascii="Times New Roman" w:hAnsi="Times New Roman"/>
              </w:rPr>
            </w:pPr>
            <w:r w:rsidRPr="005A615E">
              <w:rPr>
                <w:rFonts w:ascii="Times New Roman" w:hAnsi="Times New Roman"/>
              </w:rPr>
              <w:t>Крім того, запровадження індексу надання послуги зі стандартного приєднання є подвійним покаранням, адже Кодексом системи розподілу вже запроваджені штрафні санкції за недотримання термінів надання послуг з приєднання.</w:t>
            </w:r>
          </w:p>
          <w:p w:rsidR="00CF2AC1" w:rsidRPr="005A615E" w:rsidRDefault="00CF2AC1" w:rsidP="00CF2AC1">
            <w:pPr>
              <w:jc w:val="both"/>
              <w:rPr>
                <w:rFonts w:ascii="Times New Roman" w:hAnsi="Times New Roman"/>
              </w:rPr>
            </w:pPr>
            <w:r w:rsidRPr="005A615E">
              <w:rPr>
                <w:rFonts w:ascii="Times New Roman" w:hAnsi="Times New Roman"/>
              </w:rPr>
              <w:t>Пропонуємо не застосовувати нові показники комерційної якості послуг до завершення чи скасування воєнного стану в Україні.</w:t>
            </w: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«РІВНЕОБЛЕНЕРГО» </w:t>
            </w:r>
            <w:r w:rsidRPr="005A615E">
              <w:rPr>
                <w:rFonts w:ascii="Times New Roman" w:hAnsi="Times New Roman"/>
                <w:b/>
                <w:sz w:val="24"/>
                <w:u w:val="single"/>
              </w:rPr>
              <w:br/>
              <w:t>(лист від 24.07.2026 № 46-08/7070)</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9) цільові показники комерційної якості послуг:</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індекс усунення причин недотримання показників якості електричної енергії у встановлений строк – на </w:t>
            </w:r>
            <w:r w:rsidRPr="005A615E">
              <w:rPr>
                <w:rFonts w:ascii="Times New Roman" w:hAnsi="Times New Roman"/>
              </w:rPr>
              <w:lastRenderedPageBreak/>
              <w:t xml:space="preserve">рівні ≥ 98 % </w:t>
            </w:r>
            <w:r w:rsidRPr="005A615E">
              <w:rPr>
                <w:rFonts w:ascii="Times New Roman" w:hAnsi="Times New Roman"/>
                <w:b/>
                <w:lang w:eastAsia="ar-SA"/>
              </w:rPr>
              <w:t>(для ОСР, перелік яких наведено у додатку 35 даний показник встановити на рівні ≥ 65%)</w:t>
            </w: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 98 % </w:t>
            </w:r>
            <w:r w:rsidRPr="005A615E">
              <w:rPr>
                <w:rFonts w:ascii="Times New Roman" w:hAnsi="Times New Roman"/>
                <w:b/>
                <w:lang w:eastAsia="ar-SA"/>
              </w:rPr>
              <w:t>(для ОСР, перелік яких наведено у додатку 35 даний показник не застосовувати)</w:t>
            </w: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90 % </w:t>
            </w:r>
            <w:r w:rsidRPr="005A615E">
              <w:rPr>
                <w:rFonts w:ascii="Times New Roman" w:hAnsi="Times New Roman"/>
                <w:b/>
              </w:rPr>
              <w:t>(для ОСР, перелік яких наведено у додатку 35 значення індексу визначити на рівні ≥ 50%);</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i/>
                <w:lang w:eastAsia="ar-SA"/>
              </w:rPr>
              <w:t>Рівень зносу основного електротехнічного обладнання мережі 10(6)-0,4 кВ Товариства станом на 31.12.2025 року становить 69%.</w:t>
            </w:r>
            <w:r w:rsidRPr="005A615E">
              <w:rPr>
                <w:rFonts w:ascii="Times New Roman" w:hAnsi="Times New Roman"/>
                <w:lang w:eastAsia="ar-SA"/>
              </w:rPr>
              <w:t xml:space="preserve"> При цьому рівень інвестицій в ці мережі щорічно складає приблизно 100-150 млн грн., що при загальній залишковій вартості активів даної групи обладнання складає 4%. З урахуванням середнього терміну служби та залишкового нормативного рівня для покращення стану обладнання рівень інвестицій повинен вийти на суму в 500-600 млн грн. Оскільки такий рівень зносу прямо впливає на індекс усунення причин недотримання показників якості електричної енергії у встановлений строк, то досягнути показника на рівні ≥ 98 % при наявному фінансуванні ремонтної та </w:t>
            </w:r>
            <w:r w:rsidRPr="005A615E">
              <w:rPr>
                <w:rFonts w:ascii="Times New Roman" w:hAnsi="Times New Roman"/>
                <w:lang w:eastAsia="ar-SA"/>
              </w:rPr>
              <w:lastRenderedPageBreak/>
              <w:t xml:space="preserve">інвестиційної програми ПрАТ «Рівнеобленерго» з відновлення електричних мереж не є можливим. </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lang w:eastAsia="ar-SA"/>
              </w:rPr>
              <w:t>Також наявні випадки, коли незадовільні показники якості електричної енергії зумовлені незадовільним технічним станом електричних мереж користувачів системи розподілу. Згідно з вимогами Кодексу систем розподілу, відповідальність за належний технічний стан електроустановок, які знаходяться за межею експлуатаційної відповідальності ОСР, покладається на користувача, а у ОСР недостатньо важелів впливу для вчасного усунення причин зі сторони користувачів.</w:t>
            </w:r>
          </w:p>
          <w:p w:rsidR="00CF2AC1" w:rsidRPr="005A615E" w:rsidRDefault="00CF2AC1" w:rsidP="00CF2AC1">
            <w:pPr>
              <w:suppressAutoHyphens/>
              <w:spacing w:line="257" w:lineRule="auto"/>
              <w:ind w:firstLine="113"/>
              <w:jc w:val="both"/>
              <w:rPr>
                <w:rFonts w:ascii="Times New Roman" w:hAnsi="Times New Roman"/>
                <w:b/>
                <w:lang w:eastAsia="ar-SA"/>
              </w:rPr>
            </w:pPr>
            <w:r w:rsidRPr="005A615E">
              <w:rPr>
                <w:rFonts w:ascii="Times New Roman" w:hAnsi="Times New Roman"/>
                <w:lang w:eastAsia="ar-SA"/>
              </w:rPr>
              <w:t xml:space="preserve"> </w:t>
            </w:r>
            <w:r w:rsidRPr="005A615E">
              <w:rPr>
                <w:rFonts w:ascii="Times New Roman" w:hAnsi="Times New Roman"/>
                <w:b/>
                <w:lang w:eastAsia="ar-SA"/>
              </w:rPr>
              <w:t xml:space="preserve">Пропонуємо зменшити індекс усунення причин недотримання показників якості електричної енергії у встановлений строк до ≥ 65 %. Або застосувати диверсифікований підхід до встановлення індексу в залежності від стану мереж ліцензіатів. </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lang w:eastAsia="ar-SA"/>
              </w:rPr>
              <w:t xml:space="preserve">При визначенні індексу якості даних комерційного обліку для точок комерційного обліку з можливістю погодинного обліку та дистанційного зчитування даних </w:t>
            </w:r>
            <w:r w:rsidRPr="005A615E">
              <w:rPr>
                <w:rFonts w:ascii="Times New Roman" w:hAnsi="Times New Roman"/>
                <w:b/>
                <w:lang w:eastAsia="ar-SA"/>
              </w:rPr>
              <w:t>доцільно передбачити застосування коригуючих коефіцієнтів або механізму виключення з розрахунку періодів, протягом яких відсутність або неповнота даних була зумовлена об'єктивними обставинами</w:t>
            </w:r>
            <w:r w:rsidRPr="005A615E">
              <w:rPr>
                <w:rFonts w:ascii="Times New Roman" w:hAnsi="Times New Roman"/>
                <w:lang w:eastAsia="ar-SA"/>
              </w:rPr>
              <w:t xml:space="preserve">, що не залежать від ПрАТ «Рівнеобленерго» (ОСР з Додатку 35). Тобто до значення </w:t>
            </w:r>
            <w:r w:rsidRPr="005A615E">
              <w:rPr>
                <w:rFonts w:ascii="Times New Roman" w:hAnsi="Times New Roman"/>
                <w:b/>
                <w:bCs/>
                <w:i/>
                <w:lang w:eastAsia="ar-SA"/>
              </w:rPr>
              <w:t>N_зчитаних</w:t>
            </w:r>
            <w:r w:rsidRPr="005A615E">
              <w:rPr>
                <w:rFonts w:ascii="Times New Roman" w:hAnsi="Times New Roman"/>
                <w:lang w:eastAsia="ar-SA"/>
              </w:rPr>
              <w:t xml:space="preserve"> — кількість точок комерційного обліку (ТКО), для яких зчитані, валідовані та передані до центральної бази даних АКО фактичні, якісні погодинні (інтервальні) дані,  впровадити </w:t>
            </w:r>
            <w:r w:rsidRPr="005A615E">
              <w:rPr>
                <w:rFonts w:ascii="Times New Roman" w:hAnsi="Times New Roman"/>
                <w:b/>
                <w:lang w:eastAsia="ar-SA"/>
              </w:rPr>
              <w:t>підвищуючи коефіцієнт.</w:t>
            </w:r>
            <w:r w:rsidRPr="005A615E">
              <w:rPr>
                <w:rFonts w:ascii="Times New Roman" w:hAnsi="Times New Roman"/>
                <w:lang w:eastAsia="ar-SA"/>
              </w:rPr>
              <w:t xml:space="preserve">  </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lang w:eastAsia="ar-SA"/>
              </w:rPr>
              <w:t xml:space="preserve">Необхідність такого підходу обумовлена тим, що функціонування автоматизованих систем дистанційного зчитування даних залежить від працездатності значної кількості технічних засобів та </w:t>
            </w:r>
            <w:r w:rsidRPr="005A615E">
              <w:rPr>
                <w:rFonts w:ascii="Times New Roman" w:hAnsi="Times New Roman"/>
                <w:lang w:eastAsia="ar-SA"/>
              </w:rPr>
              <w:lastRenderedPageBreak/>
              <w:t>каналів зв'язку («контролерів»), які в процесі експлуатації можуть виходити з ладу внаслідок фізичного зносу, завершення нормативного строку служби окремих компонентів, аварійних ситуацій, пошкодження телекомунікаційної інфраструктури або інших технічних причин.</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lang w:eastAsia="ar-SA"/>
              </w:rPr>
              <w:t>Крім того, в умовах дії правового режиму воєнного стану, на стабільність передачі даних істотно впливають зовнішні фактори, зокрема застосування засобів радіоелектронної боротьби, тимчасові обмеження роботи мереж мобільного зв'язку та передачі даних, перебої електроживлення та інші обставини, що унеможливлюють своєчасне дистанційне зчитування показів приладів обліку незалежно від вжитих оператором системи розподілу заходів.</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lang w:eastAsia="ar-SA"/>
              </w:rPr>
              <w:t>З огляду на викладене, пропонується розглянути можливість застосування коригуючих коефіцієнтів або врахування об'єктивно підтверджених періодів відсутності зв'язку та передачі даних під час розрахунку зазначеного показника, що дозволить забезпечити його об'єктивність та врахувати фактичні умови функціонування систем комерційного обліку електричної енергії. В іншому випадку значення показника залежить, не лише від якості організації комерційного обліку ОСР, а й від зовнішніх факторів, на які оператор системи розподілу не має можливості впливати, що може призвести до викривлення результатів оцінки ефективності його діяльності.</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lang w:eastAsia="ar-SA"/>
              </w:rPr>
              <w:t xml:space="preserve">При цьому зазначаємо, що відповідно до додатка 3 до Мінімальних вимог до якості обслуговування споживачів електричної енергії кол-центрами визначено показник індексу рівня сервісу кол-центру протягом 30 секунд (відсоток дзвінків, з'єднаних з </w:t>
            </w:r>
            <w:r w:rsidRPr="005A615E">
              <w:rPr>
                <w:rFonts w:ascii="Times New Roman" w:hAnsi="Times New Roman"/>
                <w:lang w:eastAsia="ar-SA"/>
              </w:rPr>
              <w:lastRenderedPageBreak/>
              <w:t>оператором кол-центру протягом 30 секунд), цільове значення якого становить не менше 75 %.</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lang w:eastAsia="ar-SA"/>
              </w:rPr>
              <w:t xml:space="preserve">Разом з тим під час розрахунку зазначеного показника доцільно передбачити застосування коригуючого коефіцієнта або механізму виключення з розрахунку періодів, протягом яких робота кол-центру була обмежена чи тимчасово припинена внаслідок обставин, що не залежать від ПрАТ «Рівнеобленерго». </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lang w:eastAsia="ar-SA"/>
              </w:rPr>
              <w:t xml:space="preserve">Зокрема, в умовах дії правового режиму воєнного стану працівники кол-центрів під час оголошення сигналу «Повітряна тривога» зобов'язані виконувати вимоги законодавства у сфері цивільного захисту та перебувати в укриттях, що об'єктивно впливає на можливість своєчасного прийняття та опрацювання вхідних телефонних звернень. Аналогічний вплив на функціонування кол-центру мають аварійні та екстрені відключення електропостачання, пошкодження телекомунікаційної інфраструктури, перебої в роботі мереж зв'язку та інші надзвичайні обставини, що виникають на території провадження діяльності ліцензіата. Адже необхідно врахувати, що зазначені фактори не перебувають у межах контролю ОСР.  </w:t>
            </w:r>
          </w:p>
          <w:p w:rsidR="00CF2AC1" w:rsidRPr="005A615E" w:rsidRDefault="00CF2AC1" w:rsidP="00CF2AC1">
            <w:pPr>
              <w:suppressAutoHyphens/>
              <w:spacing w:line="257" w:lineRule="auto"/>
              <w:ind w:firstLine="113"/>
              <w:jc w:val="both"/>
              <w:rPr>
                <w:rFonts w:ascii="Times New Roman" w:hAnsi="Times New Roman"/>
                <w:lang w:eastAsia="ar-SA"/>
              </w:rPr>
            </w:pPr>
            <w:r w:rsidRPr="005A615E">
              <w:rPr>
                <w:rFonts w:ascii="Times New Roman" w:hAnsi="Times New Roman"/>
                <w:lang w:eastAsia="ar-SA"/>
              </w:rPr>
              <w:t xml:space="preserve">У зв'язку з викладеним </w:t>
            </w:r>
            <w:r w:rsidRPr="005A615E">
              <w:rPr>
                <w:rFonts w:ascii="Times New Roman" w:hAnsi="Times New Roman"/>
                <w:b/>
                <w:lang w:eastAsia="ar-SA"/>
              </w:rPr>
              <w:t>пропонується розглянути можливість застосування коригуючого коефіцієнта до значення «</w:t>
            </w:r>
            <w:r w:rsidRPr="005A615E">
              <w:rPr>
                <w:rFonts w:ascii="Times New Roman" w:hAnsi="Times New Roman"/>
                <w:b/>
                <w:i/>
                <w:lang w:eastAsia="ar-SA"/>
              </w:rPr>
              <w:t>кількість дзвінків, де з'єднання з оператором (початок розмови) відбулося у проміжку від 0 до 30 секунд з моменту потрапляння в чергу 30с.</w:t>
            </w:r>
            <w:r w:rsidRPr="005A615E">
              <w:rPr>
                <w:rFonts w:ascii="Times New Roman" w:hAnsi="Times New Roman"/>
                <w:b/>
                <w:lang w:eastAsia="ar-SA"/>
              </w:rPr>
              <w:t>»,  або виключення з розрахунку показника періодів дії документально підтверджених обставин, що унеможливлювали повноцінне функціонування кол-центру, зокрема часу дії «повітряних тривог», аварійних та екстрених відключень електроживлення, перебоїв у роботі телекомунікаційних мереж та інших обставин непереборного характеру.</w:t>
            </w:r>
          </w:p>
          <w:p w:rsidR="00CF2AC1" w:rsidRPr="005A615E" w:rsidRDefault="00CF2AC1" w:rsidP="00CF2AC1">
            <w:pPr>
              <w:suppressAutoHyphens/>
              <w:spacing w:line="257" w:lineRule="auto"/>
              <w:ind w:firstLine="113"/>
              <w:jc w:val="both"/>
              <w:rPr>
                <w:rFonts w:ascii="Times New Roman" w:hAnsi="Times New Roman"/>
                <w:b/>
                <w:lang w:eastAsia="ar-SA"/>
              </w:rPr>
            </w:pPr>
            <w:r w:rsidRPr="005A615E">
              <w:rPr>
                <w:rFonts w:ascii="Times New Roman" w:hAnsi="Times New Roman"/>
                <w:lang w:eastAsia="ar-SA"/>
              </w:rPr>
              <w:lastRenderedPageBreak/>
              <w:t xml:space="preserve">При визначенні індексу відсотка втрачених у черзі дзвінків кол-центру пропонуємо також  </w:t>
            </w:r>
            <w:r w:rsidRPr="005A615E">
              <w:rPr>
                <w:rFonts w:ascii="Times New Roman" w:hAnsi="Times New Roman"/>
                <w:b/>
                <w:lang w:eastAsia="ar-SA"/>
              </w:rPr>
              <w:t xml:space="preserve">передбачити застосування понижуючого коефіцієнта до показника </w:t>
            </w:r>
            <w:r w:rsidRPr="005A615E">
              <w:rPr>
                <w:rFonts w:ascii="Times New Roman" w:hAnsi="Times New Roman"/>
                <w:b/>
                <w:i/>
                <w:lang w:eastAsia="ar-SA"/>
              </w:rPr>
              <w:t>«кількість втрачених дзвінків»</w:t>
            </w:r>
            <w:r w:rsidRPr="005A615E">
              <w:rPr>
                <w:rFonts w:ascii="Times New Roman" w:hAnsi="Times New Roman"/>
                <w:b/>
                <w:lang w:eastAsia="ar-SA"/>
              </w:rPr>
              <w:t xml:space="preserve"> у випадках настання обставин, що не залежать від діяльності ПрАТ «Рівнеобленерго» та наведені вище.</w:t>
            </w:r>
          </w:p>
          <w:p w:rsidR="00CF2AC1" w:rsidRPr="005A615E" w:rsidRDefault="00CF2AC1" w:rsidP="00CF2AC1">
            <w:pPr>
              <w:suppressAutoHyphens/>
              <w:ind w:firstLine="226"/>
              <w:jc w:val="both"/>
              <w:rPr>
                <w:rFonts w:ascii="Times New Roman" w:hAnsi="Times New Roman"/>
                <w:b/>
                <w:sz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«ЧЕРНІГІВОБЛЕНЕРГО» </w:t>
            </w:r>
            <w:r w:rsidRPr="005A615E">
              <w:rPr>
                <w:rFonts w:ascii="Times New Roman" w:hAnsi="Times New Roman"/>
                <w:b/>
                <w:sz w:val="24"/>
                <w:u w:val="single"/>
              </w:rPr>
              <w:br/>
              <w:t>(лист від 24.07.2026 № 49/9422/01-14)</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jc w:val="both"/>
              <w:rPr>
                <w:rFonts w:ascii="Times New Roman" w:hAnsi="Times New Roman"/>
              </w:rPr>
            </w:pPr>
            <w:r w:rsidRPr="005A615E">
              <w:rPr>
                <w:rFonts w:ascii="Times New Roman" w:hAnsi="Times New Roman"/>
              </w:rPr>
              <w:t xml:space="preserve">9) цільові показники комерційної якості послуг. </w:t>
            </w:r>
            <w:r w:rsidRPr="005A615E">
              <w:rPr>
                <w:rFonts w:ascii="Times New Roman" w:hAnsi="Times New Roman"/>
                <w:b/>
                <w:bCs/>
              </w:rPr>
              <w:t>Дані цільові показники застосовувати з року, наступного за роком припинення воєнного стану</w:t>
            </w:r>
            <w:r w:rsidRPr="005A615E">
              <w:rPr>
                <w:rFonts w:ascii="Times New Roman" w:hAnsi="Times New Roman"/>
              </w:rPr>
              <w:t>:</w:t>
            </w:r>
          </w:p>
          <w:p w:rsidR="00CF2AC1" w:rsidRPr="005A615E" w:rsidRDefault="00CF2AC1" w:rsidP="00CF2AC1">
            <w:pPr>
              <w:jc w:val="both"/>
              <w:rPr>
                <w:rFonts w:ascii="Times New Roman" w:hAnsi="Times New Roman"/>
              </w:rPr>
            </w:pPr>
            <w:r w:rsidRPr="005A615E">
              <w:rPr>
                <w:rFonts w:ascii="Times New Roman" w:hAnsi="Times New Roman"/>
              </w:rPr>
              <w:t xml:space="preserve">індекс усунення причин недотримання показників якості електричної енергії у встановлений строк – на рівні ≥ 98 %; </w:t>
            </w:r>
          </w:p>
          <w:p w:rsidR="00CF2AC1" w:rsidRPr="005A615E" w:rsidRDefault="00CF2AC1" w:rsidP="00CF2AC1">
            <w:pPr>
              <w:jc w:val="both"/>
              <w:rPr>
                <w:rFonts w:ascii="Times New Roman" w:hAnsi="Times New Roman"/>
              </w:rPr>
            </w:pPr>
            <w:r w:rsidRPr="005A615E">
              <w:rPr>
                <w:rFonts w:ascii="Times New Roman" w:hAnsi="Times New Roman"/>
              </w:rPr>
              <w:t>індекс надання послуги зі стандартного приєднання у встановлений строк – на рівні ≥ 98 %;</w:t>
            </w:r>
          </w:p>
          <w:p w:rsidR="00CF2AC1" w:rsidRPr="005A615E" w:rsidRDefault="00CF2AC1" w:rsidP="00CF2AC1">
            <w:pPr>
              <w:jc w:val="both"/>
              <w:rPr>
                <w:rFonts w:ascii="Times New Roman" w:hAnsi="Times New Roman"/>
              </w:rPr>
            </w:pPr>
            <w:r w:rsidRPr="005A615E">
              <w:rPr>
                <w:rFonts w:ascii="Times New Roman" w:hAnsi="Times New Roman"/>
              </w:rPr>
              <w:t xml:space="preserve">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на рівні ≥ </w:t>
            </w:r>
            <w:r w:rsidRPr="005A615E">
              <w:rPr>
                <w:rFonts w:ascii="Times New Roman" w:hAnsi="Times New Roman"/>
                <w:b/>
                <w:bCs/>
              </w:rPr>
              <w:t xml:space="preserve">70 </w:t>
            </w:r>
            <w:r w:rsidRPr="005A615E">
              <w:rPr>
                <w:rFonts w:ascii="Times New Roman" w:hAnsi="Times New Roman"/>
              </w:rPr>
              <w:t xml:space="preserve">%. </w:t>
            </w:r>
          </w:p>
          <w:p w:rsidR="00CF2AC1" w:rsidRPr="005A615E" w:rsidRDefault="00CF2AC1" w:rsidP="00CF2AC1">
            <w:pPr>
              <w:jc w:val="both"/>
              <w:rPr>
                <w:rFonts w:ascii="Times New Roman" w:hAnsi="Times New Roman"/>
                <w:b/>
                <w:bCs/>
              </w:rPr>
            </w:pPr>
            <w:r w:rsidRPr="005A615E">
              <w:rPr>
                <w:rFonts w:ascii="Times New Roman" w:hAnsi="Times New Roman"/>
                <w:b/>
                <w:bCs/>
              </w:rPr>
              <w:t xml:space="preserve">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70 %. </w:t>
            </w:r>
          </w:p>
          <w:p w:rsidR="00CF2AC1" w:rsidRPr="005A615E" w:rsidRDefault="00CF2AC1" w:rsidP="00CF2AC1">
            <w:pPr>
              <w:jc w:val="both"/>
              <w:rPr>
                <w:rFonts w:ascii="Times New Roman" w:hAnsi="Times New Roman"/>
              </w:rPr>
            </w:pPr>
            <w:r w:rsidRPr="005A615E">
              <w:rPr>
                <w:rFonts w:ascii="Times New Roman" w:hAnsi="Times New Roman"/>
              </w:rPr>
              <w:t xml:space="preserve">індекс рівня сервісу кол-центру протягом 30 секунд (відсоток дзвінків, з’єднаних з оператором кол-центру протягом 30 секунд) у звітному році ≥ 75 % (за винятком періодів, встановлених постановою НКРЕКП </w:t>
            </w:r>
            <w:r w:rsidRPr="005A615E">
              <w:rPr>
                <w:rFonts w:ascii="Times New Roman" w:hAnsi="Times New Roman"/>
              </w:rPr>
              <w:lastRenderedPageBreak/>
              <w:t>від 12 червня 2018 року № 373 «Про затвердження Мінімальних вимог до якості обслуговування споживачів електричної енергії кол-центрами»); 4 індекс відсотка втрачених у черзі дзвінків кол-центру у звітному році ≤ 10 %;</w:t>
            </w:r>
          </w:p>
          <w:p w:rsidR="00CF2AC1" w:rsidRPr="005A615E" w:rsidRDefault="00CF2AC1" w:rsidP="00CF2AC1">
            <w:pPr>
              <w:keepNext/>
              <w:keepLines/>
              <w:jc w:val="both"/>
              <w:outlineLvl w:val="0"/>
              <w:rPr>
                <w:rFonts w:ascii="Times New Roman" w:hAnsi="Times New Roman"/>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В умовах воєнного стану, постійних руйнувань дотримуватись показників комерційної якості послуг стає неможливим.</w:t>
            </w:r>
          </w:p>
          <w:p w:rsidR="00CF2AC1" w:rsidRPr="005A615E" w:rsidRDefault="00CF2AC1" w:rsidP="00CF2AC1">
            <w:pPr>
              <w:autoSpaceDE w:val="0"/>
              <w:autoSpaceDN w:val="0"/>
              <w:adjustRightInd w:val="0"/>
              <w:jc w:val="both"/>
              <w:rPr>
                <w:rFonts w:ascii="Times New Roman" w:hAnsi="Times New Roman"/>
                <w:b/>
                <w:bCs/>
              </w:rPr>
            </w:pPr>
            <w:r w:rsidRPr="005A615E">
              <w:rPr>
                <w:rFonts w:ascii="Times New Roman" w:hAnsi="Times New Roman"/>
                <w:b/>
                <w:bCs/>
              </w:rPr>
              <w:t>Обґрунтування щодо неможливості забезпечення цільового показника індексу якості даних комерційного обліку на рівні ≥ 98 %</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Станом на липень 2026 року фахівцями АТ «ЧЕРНІГІВОБЛЕНЕРГО» (далі – Товариство) проводиться налаштування всіх точок комерційного обліку (ТКО), де є така можливість, для забезпечення щодобової автоматизованої вичитки графіків навантаження. Однак, попри вичерпні заходи, що вживаються оператором системи розподілу, гарантування ≥ 98 % передачі даних у повному обсязі наразі є об’єктивно неможливим через низку критичних технічних ускладнень, що не залежать від волі Товариства.</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u w:val="single"/>
              </w:rPr>
              <w:t>Енергетичний дефіцит та жорсткі обмеження електропостачання</w:t>
            </w:r>
            <w:r w:rsidRPr="005A615E">
              <w:rPr>
                <w:rFonts w:ascii="Times New Roman" w:hAnsi="Times New Roman"/>
              </w:rPr>
              <w:t xml:space="preserve">. Через систематичні відключення електроенергії внаслідок збройної агресії рф та вимушене застосування графіків (ГПВ, ГАВ, СГАВ), а також використання засобів  РЕБ, тривалість безперервного живлення ТКО є вкрай низькою. «Активне вікно» роботи маршрутизаторів та модемів зв’язку є фізично недостатнім для завершення повного циклу опитування всіх точок у межах однієї сесії живлення. Телекомунікаційне обладнання та прилади обліку потребують технологічного часу на </w:t>
            </w:r>
            <w:r w:rsidRPr="005A615E">
              <w:rPr>
                <w:rFonts w:ascii="Times New Roman" w:hAnsi="Times New Roman"/>
              </w:rPr>
              <w:lastRenderedPageBreak/>
              <w:t>завантаження, реєстрацію в мережі оператора зв'язку та синхронізацію протоколів. Це суттєво скорочує корисний час для вичитки накопичених масивів даних, а постійні переривання живлення призводять до розриву сесій зв'язку.</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u w:val="single"/>
              </w:rPr>
              <w:t>Критичний стан мережевої інфраструктури.</w:t>
            </w:r>
            <w:r w:rsidRPr="005A615E">
              <w:rPr>
                <w:rFonts w:ascii="Times New Roman" w:hAnsi="Times New Roman"/>
              </w:rPr>
              <w:t xml:space="preserve"> Постійні обстріли області призводять до системних пошкоджень як мережевої інфраструктури Товариства, так і базових станцій мобільних операторів. Це критично погіршує якість каналів зв’язку або призводить до їх повної відсутності в окремих вузлах, що ускладнює дистанційний доступ до ТКО. Водночас безпекові загрози та мінна небезпека суттєво ускладнюють проведення оперативних відновлювальних робіт на пошкоджених об'єктах.</w:t>
            </w:r>
          </w:p>
          <w:p w:rsidR="00CF2AC1" w:rsidRPr="005A615E" w:rsidRDefault="00CF2AC1" w:rsidP="00CF2AC1">
            <w:pPr>
              <w:autoSpaceDE w:val="0"/>
              <w:autoSpaceDN w:val="0"/>
              <w:adjustRightInd w:val="0"/>
              <w:ind w:firstLine="360"/>
              <w:jc w:val="both"/>
              <w:rPr>
                <w:rFonts w:ascii="Times New Roman" w:hAnsi="Times New Roman"/>
              </w:rPr>
            </w:pPr>
            <w:r w:rsidRPr="005A615E">
              <w:rPr>
                <w:rFonts w:ascii="Times New Roman" w:hAnsi="Times New Roman"/>
              </w:rPr>
              <w:t>З огляду на вищезазначене, встановлення індексу якості даних комерційного обліку на рівні ≥ 98 % ігнорує фактичний стан роботи ОЕС України та телекомунікаційних мереж в умовах воєнного стану, а його виконання операторами систем розподілу прифронтових територій є технічно неможливим. Окремо наголошуємо, що Товариство прикладає максимально зусиль для забезпечення вичитування даних комерційного обліку, які технічно вдається успішно вичитати з приладів обліку у зазначених умовах. Таким чином Товариство пропонує на час воєнного стану і рік після його закінчення прийняти 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 70 %</w:t>
            </w:r>
          </w:p>
          <w:p w:rsidR="00CF2AC1" w:rsidRPr="005A615E" w:rsidRDefault="00CF2AC1" w:rsidP="00CF2AC1">
            <w:pPr>
              <w:autoSpaceDE w:val="0"/>
              <w:autoSpaceDN w:val="0"/>
              <w:adjustRightInd w:val="0"/>
              <w:ind w:firstLine="360"/>
              <w:jc w:val="both"/>
              <w:rPr>
                <w:rFonts w:ascii="Times New Roman" w:hAnsi="Times New Roman"/>
                <w:b/>
                <w:bCs/>
              </w:rPr>
            </w:pPr>
            <w:r w:rsidRPr="005A615E">
              <w:rPr>
                <w:rFonts w:ascii="Times New Roman" w:hAnsi="Times New Roman"/>
                <w:b/>
                <w:bCs/>
              </w:rPr>
              <w:t xml:space="preserve">Обґрунтування щодо неможливості забезпечення цільового показника індекс якості проведення контрольних оглядів вузлів обліку </w:t>
            </w:r>
            <w:r w:rsidRPr="005A615E">
              <w:rPr>
                <w:rFonts w:ascii="Times New Roman" w:hAnsi="Times New Roman"/>
                <w:b/>
                <w:bCs/>
              </w:rPr>
              <w:lastRenderedPageBreak/>
              <w:t>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90 %;</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 xml:space="preserve">Дотримання термінів проведення КО на рівні ≥ 90 %; в діючих умовах неможливо виконати. Неможливість проведення КО на рівні ≥ 90 % зумовлене наступними факторами, а саме: </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-ускладненим доступом до помешкань користувачів електроенергії, які після повномасштабного вторгнення військ рф на територію Чернігівської області змушені були переїхати в інші регіони України або за кордон.</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 велика кількість ТКО знаходиться на території, де ведуться (велися) бойові дії.</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 xml:space="preserve">- навіть у віддалених від кордону населених пунктах через надмірну обережність, пов’язану з активною роботою представників ТЦК та СП, мешканці свідомо не відчиняють двері працівникам АТ «ЧЕРНІГІВОБЛЕНЕРГО», навіть після пред’явлення службових посвідчень. </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-ситуацією в енергосистемі України, зумовленою постійними обстрілами енергооб’єктів, що в свою чергу призвела до відсутності напруги у споживачів по 12-16 годин на добу, в результаті чого не має можливості проводити КО на ТКО, де встановлені електронні лічильники (з РК-дисплеями).</w:t>
            </w:r>
          </w:p>
          <w:p w:rsidR="00CF2AC1" w:rsidRPr="005A615E" w:rsidRDefault="00CF2AC1" w:rsidP="00CF2AC1">
            <w:pPr>
              <w:autoSpaceDE w:val="0"/>
              <w:autoSpaceDN w:val="0"/>
              <w:adjustRightInd w:val="0"/>
              <w:jc w:val="both"/>
              <w:rPr>
                <w:rFonts w:ascii="Times New Roman" w:hAnsi="Times New Roman"/>
                <w:shd w:val="clear" w:color="auto" w:fill="FFFFFF"/>
              </w:rPr>
            </w:pPr>
            <w:r w:rsidRPr="005A615E">
              <w:rPr>
                <w:rFonts w:ascii="Times New Roman" w:hAnsi="Times New Roman"/>
              </w:rPr>
              <w:t>-відповідно до п.</w:t>
            </w:r>
            <w:r w:rsidRPr="005A615E">
              <w:rPr>
                <w:rFonts w:ascii="Times New Roman" w:hAnsi="Times New Roman"/>
                <w:shd w:val="clear" w:color="auto" w:fill="FFFFFF"/>
              </w:rPr>
              <w:t xml:space="preserve"> 6.2.6.</w:t>
            </w:r>
            <w:r w:rsidRPr="005A615E">
              <w:rPr>
                <w:rFonts w:ascii="Times New Roman" w:hAnsi="Times New Roman"/>
              </w:rPr>
              <w:t xml:space="preserve"> Кодексу комерційного обліку електричної енергії, затвердженого постановою НКРЕКП від 14 березня 2018 року № 311 я</w:t>
            </w:r>
            <w:r w:rsidRPr="005A615E">
              <w:rPr>
                <w:rFonts w:ascii="Times New Roman" w:hAnsi="Times New Roman"/>
                <w:shd w:val="clear" w:color="auto" w:fill="FFFFFF"/>
              </w:rPr>
              <w:t xml:space="preserve">кщо уповноважені представники ППКО/оператора системи під час відвідування об’єкта не мали доступу до вузла обліку та ЗВТ користувача системи, вони направляють </w:t>
            </w:r>
            <w:r w:rsidRPr="005A615E">
              <w:rPr>
                <w:rFonts w:ascii="Times New Roman" w:hAnsi="Times New Roman"/>
                <w:shd w:val="clear" w:color="auto" w:fill="FFFFFF"/>
              </w:rPr>
              <w:lastRenderedPageBreak/>
              <w:t>користувачу системи повідомлення про дату наступного відвідування. Для індивідуальних побутових споживачів дату наступного відвідування повинна бути не раніше двох розрахункових періодів. Отже для вчасного виконання КО (не рідше, ніж раз на шість місяців), необхідно буде відвідувати споживача раз на три місяці, для даної періодичності у Товариства  відсутня належна кількість персоналу.</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b/>
                <w:bCs/>
              </w:rPr>
              <w:t xml:space="preserve">Застарілий технічний парк обладнання. </w:t>
            </w:r>
            <w:r w:rsidRPr="005A615E">
              <w:rPr>
                <w:rFonts w:ascii="Times New Roman" w:hAnsi="Times New Roman"/>
              </w:rPr>
              <w:t>Масово смарт-лічильники в побуті Товариство розпочало встановлювати, починаючи з 2018 року, тоді як вимога щодо забезпечення вичитування погодинних даних навантаження для всіх лічильників, що мають таку можливість, була введена в ККОЕЕ постановою №2418 від 12.12.2023 з початком дії 01.02.2024. Налаштування старих систем (реалізованих до 2024 року) для здійснення дистанційної погодинної вичитки потребує значно більше людських ресурсів та часу, тоді як відсоток вичитки рахується з урахуванням цих лічильників.</w:t>
            </w:r>
          </w:p>
          <w:p w:rsidR="00CF2AC1" w:rsidRPr="005A615E" w:rsidRDefault="00CF2AC1" w:rsidP="00CF2AC1">
            <w:pPr>
              <w:jc w:val="both"/>
              <w:rPr>
                <w:rFonts w:ascii="Times New Roman" w:hAnsi="Times New Roman"/>
              </w:rPr>
            </w:pPr>
            <w:r w:rsidRPr="005A615E">
              <w:rPr>
                <w:rFonts w:ascii="Times New Roman" w:hAnsi="Times New Roman"/>
                <w:shd w:val="clear" w:color="auto" w:fill="FFFFFF"/>
              </w:rPr>
              <w:t xml:space="preserve">Підсумовуючи вищенаведене пропонуємо встановити </w:t>
            </w:r>
            <w:r w:rsidRPr="005A615E">
              <w:rPr>
                <w:rFonts w:ascii="Times New Roman" w:hAnsi="Times New Roman"/>
              </w:rPr>
              <w:t>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70 %;</w:t>
            </w:r>
          </w:p>
          <w:p w:rsidR="00CF2AC1" w:rsidRPr="005A615E" w:rsidRDefault="00CF2AC1" w:rsidP="00CF2AC1">
            <w:pPr>
              <w:jc w:val="both"/>
              <w:rPr>
                <w:rFonts w:ascii="Times New Roman" w:hAnsi="Times New Roman"/>
                <w:b/>
                <w:sz w:val="24"/>
              </w:rPr>
            </w:pPr>
          </w:p>
          <w:p w:rsidR="00CF2AC1" w:rsidRPr="005A615E" w:rsidRDefault="00CF2AC1" w:rsidP="00CF2AC1">
            <w:pPr>
              <w:pStyle w:val="rvps2"/>
              <w:spacing w:beforeAutospacing="0" w:afterAutospacing="0"/>
              <w:jc w:val="both"/>
              <w:rPr>
                <w:b/>
                <w:sz w:val="22"/>
                <w:szCs w:val="22"/>
                <w:u w:val="single"/>
                <w:lang w:val="uk-UA"/>
              </w:rPr>
            </w:pPr>
            <w:r w:rsidRPr="005A615E">
              <w:rPr>
                <w:b/>
                <w:i/>
                <w:sz w:val="22"/>
                <w:szCs w:val="22"/>
                <w:u w:val="single"/>
                <w:lang w:val="uk-UA"/>
              </w:rPr>
              <w:t xml:space="preserve">Обгрунтування </w:t>
            </w:r>
            <w:r w:rsidRPr="005A615E">
              <w:rPr>
                <w:b/>
                <w:sz w:val="22"/>
                <w:szCs w:val="22"/>
                <w:u w:val="single"/>
                <w:lang w:val="uk-UA"/>
              </w:rPr>
              <w:t xml:space="preserve">АТ «ЧЕРНІВЦІОБЛЕНЕРГО» </w:t>
            </w:r>
          </w:p>
          <w:p w:rsidR="00CF2AC1" w:rsidRPr="005A615E" w:rsidRDefault="00CF2AC1" w:rsidP="00CF2AC1">
            <w:pPr>
              <w:jc w:val="both"/>
              <w:rPr>
                <w:rFonts w:ascii="Times New Roman" w:hAnsi="Times New Roman"/>
              </w:rPr>
            </w:pPr>
            <w:r w:rsidRPr="005A615E">
              <w:rPr>
                <w:rFonts w:ascii="Times New Roman" w:hAnsi="Times New Roman"/>
              </w:rPr>
              <w:t xml:space="preserve">Встановлення цільових показників комерційної якості послуг та параметрів коригування необхідного доходу є недоцільними. Вимоги щодо забезпечення комерційної якості послуг, порядок контролю за їх дотриманням та відповідальність операторів систем </w:t>
            </w:r>
            <w:r w:rsidRPr="005A615E">
              <w:rPr>
                <w:rFonts w:ascii="Times New Roman" w:hAnsi="Times New Roman"/>
              </w:rPr>
              <w:lastRenderedPageBreak/>
              <w:t>розподілу вже врегульовані постановою НКРЕКП від 12.06.2018 № 375. Крім того, постановою НКРЕКП від 29.09.2023 № 1800 визначено порядок застосування штрафних санкцій за порушення вимог законодавства та нормативно-правових актів НКРЕКП. Отже, чинна нормативна база вже передбачає дієві механізми стимулювання та відповідальності за недотримання показників якості послуг. Додаткове коригування необхідного доходу за аналогічними показниками в межах стимулюючого регулювання призведе до дублювання механізмів регуляторного впливу та необґрунтованого посилення фінансового навантаження на ОСР. У зв'язку з цим пропонуємо виключити із проєкту зазначені положення та залишити механізми контролю і відповідальності в межах чинних постанов НКРЕКП від 12.06.2018 №375 та від 29.09.2023 №1800.</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ПрАТ «Кіровоградобленерго» (лист від 27.07.2026  № 3919/05/34)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rPr>
              <w:t>9) цільові показники комерційної якості послуг:</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індекс усунення причин недотримання показників якості електричної енергії у встановлений строк – на рівні ≥ 98 %;</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індекс надання послуги зі стандартного приєднання у встановлений строк – на рівні ≥ 98 %;</w:t>
            </w:r>
          </w:p>
          <w:p w:rsidR="00CF2AC1" w:rsidRPr="005A615E" w:rsidRDefault="00CF2AC1" w:rsidP="00CF2AC1">
            <w:pPr>
              <w:jc w:val="both"/>
              <w:rPr>
                <w:rFonts w:ascii="Times New Roman" w:hAnsi="Times New Roman"/>
              </w:rPr>
            </w:pPr>
            <w:r w:rsidRPr="005A615E">
              <w:rPr>
                <w:rFonts w:ascii="Times New Roman" w:hAnsi="Times New Roman"/>
              </w:rPr>
              <w:t xml:space="preserve">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w:t>
            </w:r>
            <w:r w:rsidRPr="005A615E">
              <w:rPr>
                <w:rFonts w:ascii="Times New Roman" w:hAnsi="Times New Roman"/>
              </w:rPr>
              <w:lastRenderedPageBreak/>
              <w:t>комерційного обліку – на рівні ≥ 98 %  для ліцензіатів, перелік яких наведено в додатку 35</w:t>
            </w:r>
            <w:r w:rsidRPr="005A615E">
              <w:rPr>
                <w:rFonts w:ascii="Times New Roman" w:hAnsi="Times New Roman"/>
                <w:bCs/>
              </w:rPr>
              <w:t xml:space="preserve">, </w:t>
            </w:r>
            <w:r w:rsidRPr="005A615E">
              <w:rPr>
                <w:rFonts w:ascii="Times New Roman" w:hAnsi="Times New Roman"/>
              </w:rPr>
              <w:t>з урахуванням недоотриманого доходу за 2024-2026 роки;</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90 %;</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індекс рівня сервісу кол-центру протягом 30 секунд (відсоток дзвінків, з’єднаних з оператором кол-центру протягом 30 секунд) у звітному році ≥ 75 % (за винятком періодів, встановлених постановою НКРЕКП від 12 червня 2018 року № 373 «Про затвердження Мінімальних вимог до якості обслуговування споживачів електричної енергії кол-центрами»);</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індекс відсотка втрачених у черзі дзвінків кол-центру у звітному році ≤ 10 %;</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hd w:val="clear" w:color="auto" w:fill="FFFFFF"/>
              <w:tabs>
                <w:tab w:val="num" w:pos="720"/>
              </w:tabs>
              <w:ind w:firstLine="317"/>
              <w:jc w:val="both"/>
              <w:rPr>
                <w:rFonts w:ascii="Times New Roman" w:hAnsi="Times New Roman"/>
              </w:rPr>
            </w:pPr>
            <w:r w:rsidRPr="005A615E">
              <w:rPr>
                <w:rFonts w:ascii="Times New Roman" w:hAnsi="Times New Roman"/>
              </w:rPr>
              <w:t xml:space="preserve">На територіях ліцензованої діяльності (зокрема, в Кіровоградській області) наявна велика кількість демографічно згасаючих населених пунктів (через міграцію, війну, закриття шкіл та лікарень). Вкладати колосальні кошти інвестиційної програми у повну реконструкцію мереж до "безперспективних" сіл з кількома споживачами для досягнення нормативних показників за всіма напрямками — є економічно абсурдним. Строк окупності таких заходів та економічний ефект значно перевищують допустимий термін експлуатації самих мереж. Ці кошти (які лягають у тариф для всіх споживачів області) ефективніше направити на живлення критичної інфраструктури або щільно населених районів. Регулятору необхідно запровадити особливий </w:t>
            </w:r>
            <w:r w:rsidRPr="005A615E">
              <w:rPr>
                <w:rFonts w:ascii="Times New Roman" w:hAnsi="Times New Roman"/>
              </w:rPr>
              <w:lastRenderedPageBreak/>
              <w:t xml:space="preserve">(послаблений) норматив для «віддалених/малонаселених споживачів». Як альтернатива — для таких територій має бути розроблений механізм співфінансування оновлення мереж за рахунок державних/місцевих програм (Міненерго, ОМС) або самих споживачів (наприклад, програми зі встановлення автономних джерел живлення замість утримання кілометрів збиткових ПЛ). Встановлення жорсткого індексу надання послуги стандартного приєднання (≥ 98%) ігнорує поточні реалії ринку праці та логістики. У зв'язку з мобілізацією технічного персоналу (як самого ОСР, так і підрядних організацій), зменшенням кількості профільних підрядних організацій на території області, дефіцитом специфічних матеріалів та необхідністю узгодження земляних робіт, ОСР об'єктивно позбавлені можливості гарантувати 98% виконання строків без порушення технологій та безпеки праці. </w:t>
            </w:r>
            <w:r w:rsidRPr="005A615E">
              <w:rPr>
                <w:rFonts w:ascii="Times New Roman" w:hAnsi="Times New Roman"/>
                <w:bCs/>
              </w:rPr>
              <w:t>Неможливість дотримання гарантованих стандартів якості надання послуг кол-центрів в умовах дефіциту потужності.</w:t>
            </w:r>
            <w:r w:rsidRPr="005A615E">
              <w:rPr>
                <w:rFonts w:ascii="Times New Roman" w:hAnsi="Times New Roman"/>
              </w:rPr>
              <w:t xml:space="preserve"> Вимоги щодо з'єднання з оператором за 30 секунд (≥ 75%) та відсотка втрачених дзвінків (≤ 10%) розраховані на стабільну роботу енергосистеми. В умовах дефіциту генерації, застосування ГАВ/ГПВ та наслідків обстрілів, кількість одночасних звернень зростає у десятки разів за лічені хвилини. Жодна обґрунтована модель кол-центру не здатна утримувати резерв персоналу для покриття таких аномальних піків. Залишення цієї вимоги гарантовано призводитиме до безпідставного порушення ОСР за форс-мажорні обставини, на які компанія не має жодного впливу.</w:t>
            </w:r>
          </w:p>
          <w:p w:rsidR="00CF2AC1" w:rsidRPr="005A615E" w:rsidRDefault="00CF2AC1" w:rsidP="00CF2AC1">
            <w:pPr>
              <w:shd w:val="clear" w:color="auto" w:fill="FFFFFF"/>
              <w:tabs>
                <w:tab w:val="num" w:pos="720"/>
              </w:tabs>
              <w:ind w:firstLine="317"/>
              <w:jc w:val="both"/>
              <w:rPr>
                <w:rFonts w:ascii="Times New Roman" w:hAnsi="Times New Roman"/>
                <w:sz w:val="24"/>
              </w:rPr>
            </w:pPr>
          </w:p>
          <w:p w:rsidR="00CF2AC1" w:rsidRPr="005A615E" w:rsidRDefault="00CF2AC1" w:rsidP="00CF2AC1">
            <w:pPr>
              <w:shd w:val="clear" w:color="auto" w:fill="FFFFFF"/>
              <w:tabs>
                <w:tab w:val="num" w:pos="720"/>
              </w:tabs>
              <w:jc w:val="both"/>
              <w:rPr>
                <w:rFonts w:ascii="Times New Roman" w:hAnsi="Times New Roman"/>
                <w:b/>
                <w:sz w:val="24"/>
                <w:u w:val="single"/>
              </w:rPr>
            </w:pPr>
            <w:r w:rsidRPr="005A615E">
              <w:rPr>
                <w:rFonts w:ascii="Times New Roman" w:hAnsi="Times New Roman"/>
                <w:b/>
                <w:sz w:val="24"/>
                <w:u w:val="single"/>
              </w:rPr>
              <w:t>НЕК «УКРЕНЕРГО» (лист від 24.07.2026  № 01/46416)</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tabs>
                <w:tab w:val="num" w:pos="720"/>
              </w:tabs>
              <w:ind w:firstLine="317"/>
              <w:jc w:val="both"/>
              <w:rPr>
                <w:rFonts w:ascii="Times New Roman" w:eastAsia="Times New Roman" w:hAnsi="Times New Roman"/>
                <w:bCs/>
                <w:sz w:val="24"/>
                <w:szCs w:val="24"/>
                <w:lang w:eastAsia="ru-RU"/>
              </w:rPr>
            </w:pPr>
            <w:r w:rsidRPr="005A615E">
              <w:rPr>
                <w:rFonts w:ascii="Times New Roman" w:hAnsi="Times New Roman"/>
              </w:rPr>
              <w:t xml:space="preserve">9) </w:t>
            </w:r>
            <w:r w:rsidRPr="005A615E">
              <w:rPr>
                <w:rFonts w:ascii="Times New Roman" w:eastAsia="Times New Roman" w:hAnsi="Times New Roman"/>
                <w:bCs/>
                <w:sz w:val="24"/>
                <w:szCs w:val="24"/>
                <w:lang w:eastAsia="ru-RU"/>
              </w:rPr>
              <w:t>індекс якості даних комерційного обліку, для всіх точок комерційного обліку з можливістю</w:t>
            </w:r>
            <w:r w:rsidRPr="005A615E">
              <w:rPr>
                <w:rFonts w:ascii="Times New Roman" w:eastAsia="Times New Roman" w:hAnsi="Times New Roman"/>
                <w:bCs/>
                <w:strike/>
                <w:sz w:val="24"/>
                <w:szCs w:val="24"/>
                <w:lang w:eastAsia="ru-RU"/>
              </w:rPr>
              <w:t xml:space="preserve"> </w:t>
            </w:r>
            <w:r w:rsidRPr="005A615E">
              <w:rPr>
                <w:rFonts w:ascii="Times New Roman" w:eastAsia="Times New Roman" w:hAnsi="Times New Roman"/>
                <w:b/>
                <w:strike/>
                <w:sz w:val="24"/>
                <w:szCs w:val="24"/>
                <w:lang w:eastAsia="ru-RU"/>
              </w:rPr>
              <w:t>погодинного обліку та</w:t>
            </w:r>
            <w:r w:rsidRPr="005A615E">
              <w:rPr>
                <w:rFonts w:ascii="Times New Roman" w:eastAsia="Times New Roman" w:hAnsi="Times New Roman"/>
                <w:bCs/>
                <w:strike/>
                <w:sz w:val="24"/>
                <w:szCs w:val="24"/>
                <w:lang w:eastAsia="ru-RU"/>
              </w:rPr>
              <w:t xml:space="preserve"> </w:t>
            </w:r>
            <w:r w:rsidRPr="005A615E">
              <w:rPr>
                <w:rFonts w:ascii="Times New Roman" w:eastAsia="Times New Roman" w:hAnsi="Times New Roman"/>
                <w:bCs/>
                <w:sz w:val="24"/>
                <w:szCs w:val="24"/>
                <w:lang w:eastAsia="ru-RU"/>
              </w:rPr>
              <w:t xml:space="preserve">дистанційного зчитування даних, де оператор системи розподілу є </w:t>
            </w:r>
            <w:r w:rsidRPr="005A615E">
              <w:rPr>
                <w:rFonts w:ascii="Times New Roman" w:eastAsia="Times New Roman" w:hAnsi="Times New Roman"/>
                <w:b/>
                <w:strike/>
                <w:sz w:val="24"/>
                <w:szCs w:val="24"/>
                <w:lang w:eastAsia="ru-RU"/>
              </w:rPr>
              <w:t>стороною відповідальною за точку комерційного обліку</w:t>
            </w:r>
            <w:r w:rsidRPr="005A615E">
              <w:rPr>
                <w:rFonts w:ascii="Times New Roman" w:eastAsia="Times New Roman" w:hAnsi="Times New Roman"/>
                <w:b/>
                <w:sz w:val="24"/>
                <w:szCs w:val="24"/>
                <w:lang w:eastAsia="ru-RU"/>
              </w:rPr>
              <w:t xml:space="preserve">  ОДКО </w:t>
            </w:r>
            <w:r w:rsidRPr="005A615E">
              <w:rPr>
                <w:rFonts w:ascii="Times New Roman" w:eastAsia="Times New Roman" w:hAnsi="Times New Roman"/>
                <w:bCs/>
                <w:sz w:val="24"/>
                <w:szCs w:val="24"/>
                <w:lang w:eastAsia="ru-RU"/>
              </w:rPr>
              <w:t>– на рівні ≥ 98 %;</w:t>
            </w:r>
          </w:p>
          <w:p w:rsidR="00CF2AC1" w:rsidRPr="005A615E" w:rsidRDefault="00CF2AC1" w:rsidP="00CF2AC1">
            <w:pPr>
              <w:shd w:val="clear" w:color="auto" w:fill="FFFFFF"/>
              <w:tabs>
                <w:tab w:val="num" w:pos="720"/>
              </w:tabs>
              <w:ind w:firstLine="317"/>
              <w:jc w:val="both"/>
              <w:rPr>
                <w:rFonts w:ascii="Times New Roman" w:eastAsia="Times New Roman" w:hAnsi="Times New Roman"/>
                <w:bCs/>
                <w:sz w:val="24"/>
                <w:szCs w:val="24"/>
                <w:lang w:eastAsia="ru-RU"/>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pStyle w:val="rvps2"/>
              <w:spacing w:beforeAutospacing="0" w:afterAutospacing="0"/>
              <w:ind w:firstLine="343"/>
              <w:jc w:val="both"/>
              <w:rPr>
                <w:sz w:val="22"/>
              </w:rPr>
            </w:pPr>
            <w:r w:rsidRPr="005A615E">
              <w:rPr>
                <w:sz w:val="22"/>
              </w:rPr>
              <w:t>ППКО (у ролі ОДКО) проводить обробку, перевірку, валідацію виміряних даних з подальшою передачею валідованих даних АКО та іншим заінтересованим сторонам.</w:t>
            </w:r>
          </w:p>
          <w:p w:rsidR="00CF2AC1" w:rsidRPr="005A615E" w:rsidRDefault="00CF2AC1" w:rsidP="00CF2AC1">
            <w:pPr>
              <w:pStyle w:val="rvps2"/>
              <w:spacing w:beforeAutospacing="0" w:afterAutospacing="0"/>
              <w:ind w:firstLine="343"/>
              <w:jc w:val="both"/>
              <w:rPr>
                <w:b/>
                <w:i/>
                <w:sz w:val="20"/>
                <w:szCs w:val="22"/>
                <w:u w:val="single"/>
                <w:lang w:val="uk-UA"/>
              </w:rPr>
            </w:pPr>
          </w:p>
          <w:p w:rsidR="00CF2AC1" w:rsidRPr="005A615E" w:rsidRDefault="00CF2AC1" w:rsidP="00CF2AC1">
            <w:pPr>
              <w:ind w:firstLine="308"/>
              <w:jc w:val="both"/>
              <w:rPr>
                <w:rFonts w:ascii="Times New Roman" w:hAnsi="Times New Roman"/>
                <w:b/>
                <w:sz w:val="24"/>
                <w:szCs w:val="24"/>
                <w:u w:val="single"/>
              </w:rPr>
            </w:pPr>
            <w:r w:rsidRPr="005A615E">
              <w:rPr>
                <w:rFonts w:ascii="Times New Roman" w:hAnsi="Times New Roman"/>
                <w:b/>
                <w:bCs/>
                <w:sz w:val="24"/>
                <w:szCs w:val="24"/>
                <w:u w:val="single"/>
              </w:rPr>
              <w:t xml:space="preserve">АТ «СУМИОБЛЕНЕРГО» </w:t>
            </w:r>
            <w:r w:rsidRPr="005A615E">
              <w:rPr>
                <w:rFonts w:ascii="Times New Roman" w:hAnsi="Times New Roman"/>
                <w:b/>
                <w:sz w:val="24"/>
                <w:szCs w:val="24"/>
                <w:u w:val="single"/>
              </w:rPr>
              <w:t>(лист від 27.07.2026  № 28/10407)</w:t>
            </w:r>
          </w:p>
          <w:p w:rsidR="00CF2AC1" w:rsidRPr="005A615E" w:rsidRDefault="00CF2AC1" w:rsidP="00CF2AC1">
            <w:pPr>
              <w:ind w:firstLine="308"/>
              <w:jc w:val="both"/>
              <w:rPr>
                <w:rFonts w:ascii="Times New Roman" w:hAnsi="Times New Roman"/>
                <w:b/>
                <w:sz w:val="24"/>
                <w:szCs w:val="24"/>
                <w:u w:val="single"/>
              </w:rPr>
            </w:pPr>
            <w:r w:rsidRPr="005A615E">
              <w:rPr>
                <w:rFonts w:ascii="Times New Roman" w:hAnsi="Times New Roman"/>
              </w:rPr>
              <w:t>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pStyle w:val="rvps2"/>
              <w:spacing w:beforeAutospacing="0" w:afterAutospacing="0"/>
              <w:ind w:firstLine="343"/>
              <w:jc w:val="both"/>
              <w:rPr>
                <w:sz w:val="20"/>
                <w:szCs w:val="22"/>
                <w:lang w:val="uk-UA"/>
              </w:rPr>
            </w:pPr>
            <w:r w:rsidRPr="005A615E">
              <w:rPr>
                <w:sz w:val="20"/>
                <w:szCs w:val="22"/>
                <w:lang w:val="uk-UA"/>
              </w:rPr>
              <w:t>…</w:t>
            </w:r>
          </w:p>
          <w:p w:rsidR="00CF2AC1" w:rsidRPr="005A615E" w:rsidRDefault="00CF2AC1" w:rsidP="00CF2AC1">
            <w:pPr>
              <w:ind w:firstLine="709"/>
              <w:jc w:val="both"/>
              <w:rPr>
                <w:rFonts w:ascii="Times New Roman" w:hAnsi="Times New Roman"/>
              </w:rPr>
            </w:pPr>
            <w:r w:rsidRPr="005A615E">
              <w:rPr>
                <w:rFonts w:ascii="Times New Roman" w:hAnsi="Times New Roman"/>
              </w:rPr>
              <w:t>9) цільові показники комерційної якості послуг:</w:t>
            </w:r>
          </w:p>
          <w:p w:rsidR="00CF2AC1" w:rsidRPr="005A615E" w:rsidRDefault="00CF2AC1" w:rsidP="00CF2AC1">
            <w:pPr>
              <w:ind w:firstLine="709"/>
              <w:jc w:val="both"/>
              <w:rPr>
                <w:rFonts w:ascii="Times New Roman" w:hAnsi="Times New Roman"/>
              </w:rPr>
            </w:pPr>
            <w:r w:rsidRPr="005A615E">
              <w:rPr>
                <w:rFonts w:ascii="Times New Roman" w:hAnsi="Times New Roman"/>
              </w:rPr>
              <w:t>…</w:t>
            </w:r>
          </w:p>
          <w:p w:rsidR="00CF2AC1" w:rsidRPr="005A615E" w:rsidRDefault="00CF2AC1" w:rsidP="00CF2AC1">
            <w:pPr>
              <w:ind w:firstLine="709"/>
              <w:jc w:val="both"/>
              <w:rPr>
                <w:rFonts w:ascii="Times New Roman" w:hAnsi="Times New Roman"/>
              </w:rPr>
            </w:pPr>
            <w:r w:rsidRPr="005A615E">
              <w:rPr>
                <w:rFonts w:ascii="Times New Roman" w:hAnsi="Times New Roman"/>
                <w:b/>
              </w:rPr>
              <w:t xml:space="preserve">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 50%; індекс якості проведення контрольних оглядів вузлів обліку електричної енергії, де не забезпечено гарантоване щодобове автоматизоване </w:t>
            </w:r>
            <w:r w:rsidRPr="005A615E">
              <w:rPr>
                <w:rFonts w:ascii="Times New Roman" w:hAnsi="Times New Roman"/>
                <w:b/>
              </w:rPr>
              <w:lastRenderedPageBreak/>
              <w:t>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50%;</w:t>
            </w:r>
            <w:r w:rsidRPr="005A615E">
              <w:rPr>
                <w:rFonts w:ascii="Times New Roman" w:hAnsi="Times New Roman"/>
              </w:rPr>
              <w:t xml:space="preserve"> </w:t>
            </w:r>
          </w:p>
          <w:p w:rsidR="00CF2AC1" w:rsidRPr="005A615E" w:rsidRDefault="00CF2AC1" w:rsidP="00CF2AC1">
            <w:pPr>
              <w:ind w:firstLine="709"/>
              <w:jc w:val="both"/>
              <w:rPr>
                <w:rFonts w:ascii="Times New Roman" w:hAnsi="Times New Roman"/>
                <w:sz w:val="20"/>
              </w:rPr>
            </w:pPr>
            <w:r w:rsidRPr="005A615E">
              <w:rPr>
                <w:rFonts w:ascii="Times New Roman" w:hAnsi="Times New Roman"/>
                <w:sz w:val="20"/>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pStyle w:val="a5"/>
              <w:ind w:left="0"/>
              <w:jc w:val="both"/>
              <w:rPr>
                <w:rFonts w:ascii="Times New Roman" w:hAnsi="Times New Roman"/>
                <w:sz w:val="22"/>
                <w:szCs w:val="20"/>
                <w:lang w:val="uk-UA"/>
              </w:rPr>
            </w:pPr>
            <w:r w:rsidRPr="005A615E">
              <w:rPr>
                <w:rFonts w:ascii="Times New Roman" w:hAnsi="Times New Roman"/>
                <w:sz w:val="22"/>
                <w:szCs w:val="20"/>
                <w:lang w:val="uk-UA"/>
              </w:rPr>
              <w:t>Товариство пропонує  на весь період воєнного стану та впродовж 36 місяців після його припинення або скасування</w:t>
            </w:r>
            <w:r w:rsidRPr="005A615E">
              <w:rPr>
                <w:rFonts w:ascii="Times New Roman" w:hAnsi="Times New Roman"/>
                <w:i/>
                <w:sz w:val="22"/>
                <w:szCs w:val="20"/>
                <w:lang w:val="uk-UA"/>
              </w:rPr>
              <w:t xml:space="preserve">, </w:t>
            </w:r>
            <w:r w:rsidRPr="005A615E">
              <w:rPr>
                <w:rFonts w:ascii="Times New Roman" w:hAnsi="Times New Roman"/>
                <w:sz w:val="22"/>
                <w:szCs w:val="20"/>
                <w:lang w:val="uk-UA"/>
              </w:rPr>
              <w:t>прийняти</w:t>
            </w:r>
            <w:r w:rsidRPr="005A615E">
              <w:rPr>
                <w:rFonts w:ascii="Times New Roman" w:hAnsi="Times New Roman"/>
                <w:i/>
                <w:sz w:val="22"/>
                <w:szCs w:val="20"/>
                <w:lang w:val="uk-UA"/>
              </w:rPr>
              <w:t xml:space="preserve"> </w:t>
            </w:r>
            <w:r w:rsidRPr="005A615E">
              <w:rPr>
                <w:rFonts w:ascii="Times New Roman" w:hAnsi="Times New Roman"/>
                <w:sz w:val="22"/>
                <w:szCs w:val="20"/>
                <w:lang w:val="uk-UA"/>
              </w:rPr>
              <w:t xml:space="preserve">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 50 %. </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 xml:space="preserve">Дотримання термінів проведення КО на рівні ≥ 90 % в  умовах  військового стану виконати неможливо. Неможливість проведення КО на рівні ≥ 90 % зумовлене наступними факторами, а саме: </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-ускладненим доступом до помешкань користувачів електроенергії, які після повномасштабного вторгнення військ рф на територію Сумської області змушені були переїхати в інші регіони України або за кордон.</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 велика кількість ТКО знаходиться на території, де ведуться (велися) бойові дії.</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 велика кількість ТКО знаходиться на територіях, де діє заборона військових на проведення регламентних робіт, у зв’язку з безпековою ситуацією.</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 xml:space="preserve">- навіть у віддалених від кордону населених пунктах через надмірну обережність, пов’язану з активною роботою представників ТЦК та СП, мешканці свідомо не відчиняють двері працівникам АТ«СУМИОБЛЕНЕРГО», навіть після пред’явлення службових посвідчень. </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rPr>
              <w:t xml:space="preserve">- ситуацією в енергосистемі України, зумовленою постійними обстрілами енергооб’єктів, що в свою </w:t>
            </w:r>
            <w:r w:rsidRPr="005A615E">
              <w:rPr>
                <w:rFonts w:ascii="Times New Roman" w:hAnsi="Times New Roman"/>
              </w:rPr>
              <w:lastRenderedPageBreak/>
              <w:t>чергу призвела до відсутності напруги у споживачів по 12-16 годин на добу, в результаті чого не має можливості проводити КО на ТКО, де встановлені електронні лічильники (з РК-дисплеями).</w:t>
            </w:r>
          </w:p>
          <w:p w:rsidR="00CF2AC1" w:rsidRPr="005A615E" w:rsidRDefault="00CF2AC1" w:rsidP="00CF2AC1">
            <w:pPr>
              <w:autoSpaceDE w:val="0"/>
              <w:autoSpaceDN w:val="0"/>
              <w:adjustRightInd w:val="0"/>
              <w:jc w:val="both"/>
              <w:rPr>
                <w:rFonts w:ascii="Times New Roman" w:hAnsi="Times New Roman"/>
                <w:shd w:val="clear" w:color="auto" w:fill="FFFFFF"/>
              </w:rPr>
            </w:pPr>
            <w:r w:rsidRPr="005A615E">
              <w:rPr>
                <w:rFonts w:ascii="Times New Roman" w:hAnsi="Times New Roman"/>
              </w:rPr>
              <w:t>- відповідно до п.</w:t>
            </w:r>
            <w:r w:rsidRPr="005A615E">
              <w:rPr>
                <w:rFonts w:ascii="Times New Roman" w:hAnsi="Times New Roman"/>
                <w:shd w:val="clear" w:color="auto" w:fill="FFFFFF"/>
              </w:rPr>
              <w:t xml:space="preserve"> 6.2.6.</w:t>
            </w:r>
            <w:r w:rsidRPr="005A615E">
              <w:rPr>
                <w:rFonts w:ascii="Times New Roman" w:hAnsi="Times New Roman"/>
              </w:rPr>
              <w:t xml:space="preserve"> Кодексу комерційного обліку електричної енергії, затвердженого постановою НКРЕКП від 14 березня 2018 року № 311, я</w:t>
            </w:r>
            <w:r w:rsidRPr="005A615E">
              <w:rPr>
                <w:rFonts w:ascii="Times New Roman" w:hAnsi="Times New Roman"/>
                <w:shd w:val="clear" w:color="auto" w:fill="FFFFFF"/>
              </w:rPr>
              <w:t>кщо уповноважені представники ППКО/оператора системи під час відвідування об’єкта не мали доступу до вузла обліку та ЗВТ користувача системи, вони направляють користувачу системи повідомлення про дату наступного відвідування. Для індивідуальних побутових споживачів дата наступного відвідування повинна бути не раніше двох розрахункових періодів. Отже для вчасного виконання КО (не рідше, ніж раз на шість місяців), необхідно буде відвідувати споживача раз на три місяці. Для даної періодичності відвідувань у Товариства  відсутня належна кількість персоналу.</w:t>
            </w:r>
          </w:p>
          <w:p w:rsidR="00CF2AC1" w:rsidRPr="005A615E" w:rsidRDefault="00CF2AC1" w:rsidP="00CF2AC1">
            <w:pPr>
              <w:autoSpaceDE w:val="0"/>
              <w:autoSpaceDN w:val="0"/>
              <w:adjustRightInd w:val="0"/>
              <w:jc w:val="both"/>
              <w:rPr>
                <w:rFonts w:ascii="Times New Roman" w:hAnsi="Times New Roman"/>
              </w:rPr>
            </w:pPr>
            <w:r w:rsidRPr="005A615E">
              <w:rPr>
                <w:rFonts w:ascii="Times New Roman" w:hAnsi="Times New Roman"/>
                <w:b/>
                <w:bCs/>
              </w:rPr>
              <w:t xml:space="preserve">Застарілий технічний парк обладнання. </w:t>
            </w:r>
            <w:r w:rsidRPr="005A615E">
              <w:rPr>
                <w:rFonts w:ascii="Times New Roman" w:hAnsi="Times New Roman"/>
              </w:rPr>
              <w:t xml:space="preserve">Масово, смарт-лічильники у побутових споживачів електроенергії, Товариство розпочало встановлювати, починаючи з 2018 року, тоді як вимога щодо забезпечення вичитування погодинних даних навантаження для всіх лічильників, що мають таку можливість, була введена в ККОЕЕ постановою №2418 від 12.12.2023 з початком дії 01.02.2024. Налаштування старих систем (реалізованих до 2024 року) для здійснення дистанційного погодинного отримання інформації потребує значного людського ресурсу та часу, тоді як </w:t>
            </w:r>
            <w:r w:rsidRPr="005A615E">
              <w:rPr>
                <w:rFonts w:ascii="Times New Roman" w:hAnsi="Times New Roman"/>
                <w:b/>
                <w:bCs/>
              </w:rPr>
              <w:t xml:space="preserve"> </w:t>
            </w:r>
            <w:r w:rsidRPr="005A615E">
              <w:rPr>
                <w:rFonts w:ascii="Times New Roman" w:hAnsi="Times New Roman"/>
                <w:bCs/>
              </w:rPr>
              <w:t>забезпечення цільового показника індексу якості проведення контрольних оглядів вузлів обліку електричної енергії</w:t>
            </w:r>
            <w:r w:rsidRPr="005A615E">
              <w:rPr>
                <w:rFonts w:ascii="Times New Roman" w:hAnsi="Times New Roman"/>
              </w:rPr>
              <w:t xml:space="preserve"> рахується з урахуванням цих лічильників.</w:t>
            </w:r>
          </w:p>
          <w:p w:rsidR="00CF2AC1" w:rsidRPr="005A615E" w:rsidRDefault="00CF2AC1" w:rsidP="00CF2AC1">
            <w:pPr>
              <w:pStyle w:val="a5"/>
              <w:ind w:left="0"/>
              <w:jc w:val="both"/>
              <w:rPr>
                <w:rFonts w:ascii="Times New Roman" w:hAnsi="Times New Roman"/>
                <w:b/>
                <w:sz w:val="22"/>
                <w:szCs w:val="22"/>
              </w:rPr>
            </w:pPr>
            <w:r w:rsidRPr="005A615E">
              <w:rPr>
                <w:rFonts w:ascii="Times New Roman" w:hAnsi="Times New Roman"/>
                <w:b/>
                <w:sz w:val="22"/>
                <w:szCs w:val="22"/>
                <w:shd w:val="clear" w:color="auto" w:fill="FFFFFF"/>
              </w:rPr>
              <w:t xml:space="preserve">Підсумовуючи вищенаведене, пропонуємо встановити </w:t>
            </w:r>
            <w:r w:rsidRPr="005A615E">
              <w:rPr>
                <w:rFonts w:ascii="Times New Roman" w:hAnsi="Times New Roman"/>
                <w:b/>
                <w:sz w:val="22"/>
                <w:szCs w:val="22"/>
              </w:rPr>
              <w:t xml:space="preserve">індекс якості проведення контрольних </w:t>
            </w:r>
            <w:r w:rsidRPr="005A615E">
              <w:rPr>
                <w:rFonts w:ascii="Times New Roman" w:hAnsi="Times New Roman"/>
                <w:b/>
                <w:sz w:val="22"/>
                <w:szCs w:val="22"/>
              </w:rPr>
              <w:lastRenderedPageBreak/>
              <w:t>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50 %.</w:t>
            </w:r>
          </w:p>
          <w:p w:rsidR="00CF2AC1" w:rsidRPr="005A615E" w:rsidRDefault="00CF2AC1" w:rsidP="00CF2AC1">
            <w:pPr>
              <w:pStyle w:val="a5"/>
              <w:ind w:left="0"/>
              <w:jc w:val="both"/>
              <w:rPr>
                <w:b/>
                <w:i/>
                <w:sz w:val="20"/>
                <w:szCs w:val="22"/>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9) цільові показники комерційної якості послуг:</w:t>
            </w:r>
          </w:p>
          <w:p w:rsidR="00CF2AC1" w:rsidRPr="005A615E" w:rsidRDefault="00CF2AC1" w:rsidP="00CF2AC1">
            <w:pPr>
              <w:numPr>
                <w:ilvl w:val="0"/>
                <w:numId w:val="4"/>
              </w:numPr>
              <w:shd w:val="clear" w:color="auto" w:fill="FFFFFF"/>
              <w:jc w:val="both"/>
              <w:rPr>
                <w:rFonts w:ascii="Times New Roman" w:hAnsi="Times New Roman"/>
              </w:rPr>
            </w:pPr>
            <w:r w:rsidRPr="005A615E">
              <w:rPr>
                <w:rFonts w:ascii="Times New Roman" w:hAnsi="Times New Roman"/>
              </w:rPr>
              <w:t>індекс усунення причин недотримання показників якості електричної енергії у встановлений строк – на рівні ≥ 98 %;</w:t>
            </w:r>
          </w:p>
          <w:p w:rsidR="00CF2AC1" w:rsidRPr="005A615E" w:rsidRDefault="00CF2AC1" w:rsidP="00CF2AC1">
            <w:pPr>
              <w:shd w:val="clear" w:color="auto" w:fill="FFFFFF"/>
              <w:ind w:left="720"/>
              <w:contextualSpacing/>
              <w:jc w:val="both"/>
              <w:rPr>
                <w:rFonts w:ascii="Times New Roman" w:hAnsi="Times New Roman"/>
              </w:rPr>
            </w:pPr>
            <w:r w:rsidRPr="005A615E">
              <w:rPr>
                <w:rFonts w:ascii="Times New Roman" w:hAnsi="Times New Roman"/>
                <w:b/>
              </w:rPr>
              <w:t>(для ліцензіатів, перелік яких наведено у додатку 35 до Порядку встановлення (формування) тарифів, даний цільовий показник протягом другого регуляторного періоду не застосовується);</w:t>
            </w:r>
          </w:p>
          <w:p w:rsidR="00CF2AC1" w:rsidRPr="005A615E" w:rsidRDefault="00CF2AC1" w:rsidP="00CF2AC1">
            <w:pPr>
              <w:numPr>
                <w:ilvl w:val="0"/>
                <w:numId w:val="4"/>
              </w:numPr>
              <w:shd w:val="clear" w:color="auto" w:fill="FFFFFF"/>
              <w:suppressAutoHyphens/>
              <w:jc w:val="both"/>
              <w:rPr>
                <w:rFonts w:ascii="Times New Roman" w:hAnsi="Times New Roman"/>
              </w:rPr>
            </w:pPr>
            <w:r w:rsidRPr="005A615E">
              <w:rPr>
                <w:rFonts w:ascii="Times New Roman" w:hAnsi="Times New Roman"/>
              </w:rPr>
              <w:t>індекс надання послуги зі стандартного приєднання у встановлений строк – на рівні ≥ 98 %;</w:t>
            </w:r>
          </w:p>
          <w:p w:rsidR="00CF2AC1" w:rsidRPr="005A615E" w:rsidRDefault="00CF2AC1" w:rsidP="00CF2AC1">
            <w:pPr>
              <w:shd w:val="clear" w:color="auto" w:fill="FFFFFF"/>
              <w:ind w:left="720"/>
              <w:jc w:val="both"/>
              <w:rPr>
                <w:rFonts w:ascii="Times New Roman" w:hAnsi="Times New Roman"/>
              </w:rPr>
            </w:pPr>
            <w:r w:rsidRPr="005A615E">
              <w:rPr>
                <w:rFonts w:ascii="Times New Roman" w:hAnsi="Times New Roman"/>
                <w:b/>
              </w:rPr>
              <w:t>(для ліцензіатів, перелік яких наведено у додатку 35 до Порядку встановлення (формування) тарифів, даний цільовий показник протягом другого регуляторного періоду не застосовується);</w:t>
            </w:r>
          </w:p>
          <w:p w:rsidR="00CF2AC1" w:rsidRPr="005A615E" w:rsidRDefault="00CF2AC1" w:rsidP="00CF2AC1">
            <w:pPr>
              <w:numPr>
                <w:ilvl w:val="0"/>
                <w:numId w:val="4"/>
              </w:numPr>
              <w:shd w:val="clear" w:color="auto" w:fill="FFFFFF"/>
              <w:suppressAutoHyphens/>
              <w:jc w:val="both"/>
              <w:rPr>
                <w:rFonts w:ascii="Times New Roman" w:hAnsi="Times New Roman"/>
              </w:rPr>
            </w:pPr>
            <w:r w:rsidRPr="005A615E">
              <w:rPr>
                <w:rFonts w:ascii="Times New Roman" w:hAnsi="Times New Roman"/>
              </w:rPr>
              <w:t xml:space="preserve">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w:t>
            </w:r>
            <w:r w:rsidRPr="005A615E">
              <w:rPr>
                <w:rFonts w:ascii="Times New Roman" w:hAnsi="Times New Roman"/>
              </w:rPr>
              <w:lastRenderedPageBreak/>
              <w:t xml:space="preserve">розподілу є стороною відповідальною за точку комерційного обліку – на рівні ≥ 98 % </w:t>
            </w:r>
            <w:r w:rsidRPr="005A615E">
              <w:rPr>
                <w:rFonts w:ascii="Times New Roman" w:hAnsi="Times New Roman"/>
                <w:b/>
              </w:rPr>
              <w:t>(для ліцензіатів, перелік яких наведено у додатку 35 до Порядку встановлення (формування) тарифів, даний цільовий показник протягом другого регуляторного періоду не застосовується);</w:t>
            </w:r>
          </w:p>
          <w:p w:rsidR="00CF2AC1" w:rsidRPr="005A615E" w:rsidRDefault="00CF2AC1" w:rsidP="00CF2AC1">
            <w:pPr>
              <w:numPr>
                <w:ilvl w:val="0"/>
                <w:numId w:val="4"/>
              </w:numPr>
              <w:shd w:val="clear" w:color="auto" w:fill="FFFFFF"/>
              <w:suppressAutoHyphens/>
              <w:jc w:val="both"/>
              <w:rPr>
                <w:rFonts w:ascii="Times New Roman" w:hAnsi="Times New Roman"/>
              </w:rPr>
            </w:pPr>
            <w:r w:rsidRPr="005A615E">
              <w:rPr>
                <w:rFonts w:ascii="Times New Roman" w:hAnsi="Times New Roman"/>
              </w:rPr>
              <w:t xml:space="preserve">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90 % </w:t>
            </w:r>
            <w:r w:rsidRPr="005A615E">
              <w:rPr>
                <w:rFonts w:ascii="Times New Roman" w:hAnsi="Times New Roman"/>
                <w:b/>
              </w:rPr>
              <w:t>(для ліцензіатів, перелік яких наведено у додатку 35 до Порядку встановлення (формування) тарифів, даний цільовий показник протягом другого регуляторного періоду не застосовується);</w:t>
            </w:r>
          </w:p>
          <w:p w:rsidR="00CF2AC1" w:rsidRPr="005A615E" w:rsidRDefault="00CF2AC1" w:rsidP="00CF2AC1">
            <w:pPr>
              <w:shd w:val="clear" w:color="auto" w:fill="FFFFFF"/>
              <w:ind w:left="720"/>
              <w:contextualSpacing/>
              <w:jc w:val="both"/>
              <w:rPr>
                <w:rFonts w:ascii="Times New Roman" w:hAnsi="Times New Roman"/>
              </w:rPr>
            </w:pPr>
          </w:p>
          <w:p w:rsidR="00CF2AC1" w:rsidRPr="005A615E" w:rsidRDefault="00CF2AC1" w:rsidP="00CF2AC1">
            <w:pPr>
              <w:numPr>
                <w:ilvl w:val="0"/>
                <w:numId w:val="4"/>
              </w:numPr>
              <w:shd w:val="clear" w:color="auto" w:fill="FFFFFF"/>
              <w:suppressAutoHyphens/>
              <w:jc w:val="both"/>
              <w:rPr>
                <w:rFonts w:ascii="Times New Roman" w:hAnsi="Times New Roman"/>
              </w:rPr>
            </w:pPr>
            <w:r w:rsidRPr="005A615E">
              <w:rPr>
                <w:rFonts w:ascii="Times New Roman" w:hAnsi="Times New Roman"/>
              </w:rPr>
              <w:t>індекс рівня сервісу кол-центру протягом 30 секунд (відсоток дзвінків, з’єднаних з оператором кол-центру протягом 30 секунд) у звітному році ≥ 75 % (за винятком періодів, встановлених постановою НКРЕКП від 12 червня 2018 року № 373 «Про затвердження Мінімальних вимог до якості обслуговування споживачів електричної енергії кол-центрами»);</w:t>
            </w:r>
          </w:p>
          <w:p w:rsidR="00CF2AC1" w:rsidRPr="005A615E" w:rsidRDefault="00CF2AC1" w:rsidP="00CF2AC1">
            <w:pPr>
              <w:pStyle w:val="a5"/>
              <w:numPr>
                <w:ilvl w:val="0"/>
                <w:numId w:val="4"/>
              </w:numPr>
              <w:jc w:val="both"/>
              <w:rPr>
                <w:b/>
                <w:i/>
                <w:sz w:val="22"/>
                <w:szCs w:val="22"/>
                <w:u w:val="single"/>
              </w:rPr>
            </w:pPr>
            <w:r w:rsidRPr="005A615E">
              <w:rPr>
                <w:rFonts w:ascii="Times New Roman" w:hAnsi="Times New Roman"/>
                <w:sz w:val="22"/>
                <w:szCs w:val="22"/>
              </w:rPr>
              <w:t>індекс відсотка втрачених у черзі дзвінків кол-центру у звітному році ≤ 10 %;</w:t>
            </w:r>
          </w:p>
          <w:p w:rsidR="00CF2AC1" w:rsidRPr="005A615E" w:rsidRDefault="00CF2AC1" w:rsidP="00CF2AC1">
            <w:pPr>
              <w:jc w:val="both"/>
              <w:rPr>
                <w:b/>
                <w:i/>
                <w:sz w:val="20"/>
                <w:u w:val="single"/>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lastRenderedPageBreak/>
              <w:t xml:space="preserve">Для визначення цільових показників по  індексу усунення причин недотримання показників якості електричної енергії у встановлений строк,  індексу якості даних комерційного обліку, індексу якості </w:t>
            </w:r>
            <w:r w:rsidRPr="005A615E">
              <w:rPr>
                <w:rFonts w:ascii="Times New Roman" w:hAnsi="Times New Roman"/>
                <w:bCs/>
              </w:rPr>
              <w:t xml:space="preserve">проведення контрольних оглядів </w:t>
            </w:r>
            <w:r w:rsidRPr="005A615E">
              <w:rPr>
                <w:rFonts w:ascii="Times New Roman" w:hAnsi="Times New Roman"/>
              </w:rPr>
              <w:t xml:space="preserve">вузлів обліку електричної енергії, </w:t>
            </w:r>
            <w:r w:rsidRPr="005A615E">
              <w:rPr>
                <w:rFonts w:ascii="Times New Roman" w:hAnsi="Times New Roman"/>
                <w:b/>
              </w:rPr>
              <w:t>необхідно враховувати неможливість фінансування визначеними ОСР протягом першого регуляторного періоду заходів ІП</w:t>
            </w:r>
            <w:r w:rsidRPr="005A615E">
              <w:rPr>
                <w:rFonts w:ascii="Times New Roman" w:hAnsi="Times New Roman"/>
              </w:rPr>
              <w:t>, направлених на покращення показників якості електричної енергії, стану та технічного рівня мереж Товариства, а також заходів, направлених на забезпечення належного рівня комерційного обліку.</w:t>
            </w:r>
          </w:p>
          <w:p w:rsidR="00CF2AC1" w:rsidRPr="005A615E" w:rsidRDefault="00CF2AC1" w:rsidP="00CF2AC1">
            <w:pPr>
              <w:widowControl w:val="0"/>
              <w:spacing w:line="257" w:lineRule="auto"/>
              <w:jc w:val="both"/>
              <w:rPr>
                <w:rFonts w:ascii="Times New Roman" w:hAnsi="Times New Roman"/>
              </w:rPr>
            </w:pPr>
            <w:r w:rsidRPr="005A615E">
              <w:rPr>
                <w:rFonts w:ascii="Times New Roman" w:hAnsi="Times New Roman"/>
                <w:b/>
              </w:rPr>
              <w:t>Варто також звернути увагу, що чинними нормативними актами вже передбачено відповідальність за недотримання показників якості електричної енергії та забезпечення проведення контрольних оглядів вузлів обліку електричної енергії</w:t>
            </w:r>
            <w:r w:rsidRPr="005A615E">
              <w:rPr>
                <w:rFonts w:ascii="Times New Roman" w:hAnsi="Times New Roman"/>
              </w:rPr>
              <w:t>, зокрема штрафні санкції визначені постановою НКРЕКП від 12.06.2018 року №375 «Про затвердження Порядку забезпечення стандартів якості електропостачання та надання компенсацій споживачам за їх недотримання» та застосовуються до ОСР в ході проведення перевірок та на підставі постанови НКРЕКП від 29.09.2023 року № 1800</w:t>
            </w:r>
            <w:bookmarkStart w:id="2" w:name="n3"/>
            <w:bookmarkEnd w:id="2"/>
            <w:r w:rsidRPr="005A615E">
              <w:rPr>
                <w:rFonts w:ascii="Times New Roman" w:hAnsi="Times New Roman"/>
              </w:rPr>
              <w:t xml:space="preserve"> «Про затвердження Порядку (методики) визначення розміру штрафів, які накладаються Національною комісією, що здійснює державне регулювання у сферах енергетики та комунальних послуг».</w:t>
            </w:r>
          </w:p>
          <w:p w:rsidR="00CF2AC1" w:rsidRPr="005A615E" w:rsidRDefault="00CF2AC1" w:rsidP="00CF2AC1">
            <w:pPr>
              <w:widowControl w:val="0"/>
              <w:spacing w:line="257" w:lineRule="auto"/>
              <w:jc w:val="both"/>
              <w:rPr>
                <w:rFonts w:ascii="Times New Roman" w:hAnsi="Times New Roman"/>
                <w:b/>
              </w:rPr>
            </w:pPr>
            <w:r w:rsidRPr="005A615E">
              <w:rPr>
                <w:rFonts w:ascii="Times New Roman" w:hAnsi="Times New Roman"/>
              </w:rPr>
              <w:t>Зазначимо, що рівень зносу основного електротехнічного обладнання Товариства станом на 31.12.2025 року становить 62%.</w:t>
            </w:r>
          </w:p>
          <w:p w:rsidR="00CF2AC1" w:rsidRPr="005A615E" w:rsidRDefault="00CF2AC1" w:rsidP="00CF2AC1">
            <w:pPr>
              <w:pStyle w:val="isselectedend"/>
              <w:spacing w:before="0" w:beforeAutospacing="0" w:after="0" w:afterAutospacing="0"/>
              <w:jc w:val="both"/>
              <w:rPr>
                <w:sz w:val="22"/>
                <w:szCs w:val="22"/>
                <w:lang w:val="uk-UA"/>
              </w:rPr>
            </w:pPr>
            <w:r w:rsidRPr="005A615E">
              <w:rPr>
                <w:rFonts w:eastAsia="Calibri"/>
                <w:bCs/>
                <w:sz w:val="22"/>
                <w:szCs w:val="22"/>
                <w:lang w:eastAsia="en-US"/>
              </w:rPr>
              <w:t xml:space="preserve">Дана пропозиція </w:t>
            </w:r>
            <w:r w:rsidRPr="005A615E">
              <w:rPr>
                <w:sz w:val="22"/>
                <w:szCs w:val="22"/>
              </w:rPr>
              <w:t xml:space="preserve">у запропонованому вигляді є передчасною та такою, що не може бути забезпечена оператором системи розподілу в умовах дії воєнного </w:t>
            </w:r>
            <w:r w:rsidRPr="005A615E">
              <w:rPr>
                <w:sz w:val="22"/>
                <w:szCs w:val="22"/>
              </w:rPr>
              <w:lastRenderedPageBreak/>
              <w:t>стану, масштабного пошкодження енергетичної інфраструктури, обмеженості фінансового ресурсу та фактичного недофінансування заходів інвестиційної програми у період дії воєнного стану.</w:t>
            </w:r>
          </w:p>
          <w:p w:rsidR="00CF2AC1" w:rsidRPr="005A615E" w:rsidRDefault="00CF2AC1" w:rsidP="00CF2AC1">
            <w:pPr>
              <w:pStyle w:val="isselectedend"/>
              <w:spacing w:before="0" w:beforeAutospacing="0" w:after="0" w:afterAutospacing="0"/>
              <w:jc w:val="both"/>
              <w:rPr>
                <w:sz w:val="22"/>
                <w:szCs w:val="22"/>
              </w:rPr>
            </w:pPr>
            <w:r w:rsidRPr="005A615E">
              <w:rPr>
                <w:sz w:val="22"/>
                <w:szCs w:val="22"/>
              </w:rPr>
              <w:t>Насамперед необхідно врахувати, що показник усунення причин недотримання показників якості електричної енергії у встановлений строк не є виключно організаційним або адміністративним показником. Його виконання залежить від фактичної спроможності АТ «Житомиробленерго» оперативно виконувати технічні заходи в мережах: регулювання рівнів напруги, перерозподіл навантаження, ремонт або заміну елементів мережі, реконструкцію ліній, заміну трансформаторного обладнання, будівництво або реконфігурацію мережі. У багатьох випадках усунення причин незадовільної якості електричної енергії потребує не поточного реагування персоналу, а капітального ремонту, реконструкції або нового будівництва.</w:t>
            </w:r>
          </w:p>
          <w:p w:rsidR="00CF2AC1" w:rsidRPr="005A615E" w:rsidRDefault="00CF2AC1" w:rsidP="00CF2AC1">
            <w:pPr>
              <w:pStyle w:val="isselectedend"/>
              <w:spacing w:before="0" w:beforeAutospacing="0" w:after="0" w:afterAutospacing="0"/>
              <w:jc w:val="both"/>
              <w:rPr>
                <w:sz w:val="22"/>
                <w:szCs w:val="22"/>
              </w:rPr>
            </w:pPr>
            <w:r w:rsidRPr="005A615E">
              <w:rPr>
                <w:sz w:val="22"/>
                <w:szCs w:val="22"/>
              </w:rPr>
              <w:t>У період дії воєнного стану виконання таких робіт істотно ускладнене. Розподільні мережі та підстанції зазнають пошкоджень унаслідок бойових дій та ракетно-дронових атак. Частина обладнання працює у післяаварійних, резервних або тимчасових схемах живлення. У таких умовах першочерговим завданням ОСР є відновлення електропостачання споживачів, забезпечення живлення об’єктів критичної інфраструктури, виконання аварійно-відновлювальних робіт та підтримання стійкості мережі. Це об’єктивно зменшує можливість одночасного виконання планових заходів, спрямованих на доведення параметрів якості електричної енергії до нормативних значень у кожному окремому випадку звернення споживача.</w:t>
            </w:r>
          </w:p>
          <w:p w:rsidR="00CF2AC1" w:rsidRPr="005A615E" w:rsidRDefault="00CF2AC1" w:rsidP="00CF2AC1">
            <w:pPr>
              <w:pStyle w:val="isselectedend"/>
              <w:spacing w:before="0" w:beforeAutospacing="0" w:after="0" w:afterAutospacing="0"/>
              <w:jc w:val="both"/>
              <w:rPr>
                <w:sz w:val="22"/>
                <w:szCs w:val="22"/>
              </w:rPr>
            </w:pPr>
            <w:r w:rsidRPr="005A615E">
              <w:rPr>
                <w:sz w:val="22"/>
                <w:szCs w:val="22"/>
              </w:rPr>
              <w:t xml:space="preserve">Окремо слід зазначити, що недотримання показників якості електричної енергії не завжди спричинене виключно станом мереж. На рівні напруги в мережах впливають режими роботи енергосистеми, дефіцит генеруючих потужностей, вимушені мережеві </w:t>
            </w:r>
            <w:r w:rsidRPr="005A615E">
              <w:rPr>
                <w:sz w:val="22"/>
                <w:szCs w:val="22"/>
              </w:rPr>
              <w:lastRenderedPageBreak/>
              <w:t>перемикання, обмеження споживання, аварійні режими, пошкодження суміжної інфраструктури, а також зростання або зміна структури навантаження внаслідок релокації споживачів, підключення резервних джерел живлення, зміни графіків роботи підприємств та інших факторів воєнного часу. АТ «Житомиробленерго» не має повного контролю над усіма такими факторами, однак запропонований показник 98 % фактично покладає на АТ «Житомиробленерго» відповідальність за кінцевий результат без належного розмежування причин, які залежать і не залежать від оператора.</w:t>
            </w:r>
          </w:p>
          <w:p w:rsidR="00CF2AC1" w:rsidRPr="005A615E" w:rsidRDefault="00CF2AC1" w:rsidP="00CF2AC1">
            <w:pPr>
              <w:jc w:val="both"/>
              <w:rPr>
                <w:rFonts w:ascii="Times New Roman" w:hAnsi="Times New Roman"/>
              </w:rPr>
            </w:pPr>
            <w:r w:rsidRPr="005A615E">
              <w:rPr>
                <w:rFonts w:ascii="Times New Roman" w:hAnsi="Times New Roman"/>
              </w:rPr>
              <w:t>Важливим є також те, що протягом періоду дії воєнного стану АТ «Житомиробленерго» не мало можливості належним чином фінансувати та реалізовувати заходи інвестиційної програми у повному обсязі. Відповідно, мережі не були своєчасно підготовлені до досягнення настільки високого рівня комерційної якості послуг. Невиконання або відтермінування інвестиційних заходів призвело до накопичення технічних проблем: зношеності обладнання, обмеженої пропускної спроможності окремих ділянок мереж, недостатнього резервування, дефіциту трансформаторної потужності, недостатньої автоматизації та обмежених можливостей оперативного перемикання навантажень.</w:t>
            </w:r>
          </w:p>
          <w:p w:rsidR="00CF2AC1" w:rsidRPr="005A615E" w:rsidRDefault="00CF2AC1" w:rsidP="00CF2AC1">
            <w:pPr>
              <w:jc w:val="both"/>
              <w:rPr>
                <w:rFonts w:ascii="Times New Roman" w:hAnsi="Times New Roman"/>
              </w:rPr>
            </w:pPr>
            <w:r w:rsidRPr="005A615E">
              <w:rPr>
                <w:rFonts w:ascii="Times New Roman" w:hAnsi="Times New Roman"/>
              </w:rPr>
              <w:t xml:space="preserve">Необхідно застосовувати </w:t>
            </w:r>
            <w:r w:rsidRPr="005A615E">
              <w:rPr>
                <w:rFonts w:ascii="Times New Roman" w:hAnsi="Times New Roman"/>
                <w:b/>
                <w:u w:val="single"/>
                <w:shd w:val="clear" w:color="auto" w:fill="FFFFFF"/>
              </w:rPr>
              <w:t>особливі умови</w:t>
            </w:r>
            <w:r w:rsidRPr="005A615E">
              <w:rPr>
                <w:rFonts w:ascii="Times New Roman" w:hAnsi="Times New Roman"/>
              </w:rPr>
              <w:t xml:space="preserve"> для ОСР, наведених у додатку 35, при визначенні рівнів цільових показників комерційної якості послуг на другий регуляторний період, а саме не застосовувати їх для другого регуляторного періоду. </w:t>
            </w:r>
          </w:p>
          <w:p w:rsidR="00CF2AC1" w:rsidRPr="005A615E" w:rsidRDefault="00CF2AC1" w:rsidP="00CF2AC1">
            <w:pPr>
              <w:jc w:val="both"/>
              <w:rPr>
                <w:rFonts w:ascii="Times New Roman" w:hAnsi="Times New Roman"/>
              </w:rPr>
            </w:pPr>
            <w:r w:rsidRPr="005A615E">
              <w:rPr>
                <w:rFonts w:ascii="Times New Roman" w:hAnsi="Times New Roman"/>
              </w:rPr>
              <w:t>До ОСР вже застосовується санкції щодо протермінування виконання робіт з приєднання згідно з Кодексом системи розподілу. Застосування декількох санкцій за одне порушення є неприпустимим.</w:t>
            </w:r>
          </w:p>
          <w:p w:rsidR="00CF2AC1" w:rsidRPr="005A615E" w:rsidRDefault="00CF2AC1" w:rsidP="00CF2AC1">
            <w:pPr>
              <w:pStyle w:val="a5"/>
              <w:suppressAutoHyphens w:val="0"/>
              <w:ind w:left="0"/>
              <w:jc w:val="both"/>
              <w:rPr>
                <w:rFonts w:ascii="Times New Roman" w:hAnsi="Times New Roman"/>
                <w:sz w:val="22"/>
                <w:szCs w:val="22"/>
              </w:rPr>
            </w:pPr>
            <w:r w:rsidRPr="005A615E">
              <w:rPr>
                <w:rFonts w:ascii="Times New Roman" w:hAnsi="Times New Roman"/>
                <w:sz w:val="22"/>
                <w:szCs w:val="22"/>
                <w:lang w:val="uk-UA"/>
              </w:rPr>
              <w:lastRenderedPageBreak/>
              <w:t xml:space="preserve">З 2017 року в експлуатації АТ «Житомиробленерго» використовуються смарт-лічильники виробництва ТОВ «НІК-ЕЛЕКТРОНІКА», які встановлювались за рахунок інвестиційних програм. </w:t>
            </w:r>
            <w:r w:rsidRPr="005A615E">
              <w:rPr>
                <w:rFonts w:ascii="Times New Roman" w:hAnsi="Times New Roman"/>
                <w:sz w:val="22"/>
                <w:szCs w:val="22"/>
              </w:rPr>
              <w:t xml:space="preserve">Практика експлуатації даних лічильників вказує що середній відсоток опитування (достовірності даних) становить 93 %. Даний показник опитування підтверджується листом роз’ясненням заводу виробника  ТОВ «НІК-ЕЛЕКТРОНІКА» № 106/1 від 26.06.2026 де зазначено що відсоток вичитки смарт лічильників  знаходиться в межах 93-95% та є нормою, що свідчить про завищений запропонований рівень індексу якості даних комерційного обліку. Більше того, у воєнний час провайдерами телекомунікаційних послуг (зокрема й провайдерами зв’язку) не гарантується якість надання послуг зв’язку, що є не залежним від ОСР фактором. Разом з тим, враховуючи те, що вимоги щодо забезпечення автоматизованого дистанційного зчитування даних з вузлів обліку вже регулюються Кодексом комерційного обліку електричної енергії, вважаємо, що застосування декількох санкцій за одне порушення є неприпустимим. </w:t>
            </w:r>
          </w:p>
          <w:p w:rsidR="00CF2AC1" w:rsidRPr="005A615E" w:rsidRDefault="00CF2AC1" w:rsidP="00CF2AC1">
            <w:pPr>
              <w:jc w:val="both"/>
              <w:rPr>
                <w:rFonts w:ascii="Times New Roman" w:hAnsi="Times New Roman"/>
              </w:rPr>
            </w:pPr>
            <w:r w:rsidRPr="005A615E">
              <w:rPr>
                <w:rFonts w:ascii="Times New Roman" w:hAnsi="Times New Roman"/>
              </w:rPr>
              <w:t>До ОСР вже застосовується санкції щодо періодичності контрольних оглядів вузлів обліку згідно з Кодексом комерційного обліку електричної енергії. Застосування декількох санкцій за одне порушення є неприпустимим.</w:t>
            </w:r>
          </w:p>
          <w:p w:rsidR="00CF2AC1" w:rsidRPr="005A615E" w:rsidRDefault="00CF2AC1" w:rsidP="00CF2AC1">
            <w:pPr>
              <w:jc w:val="both"/>
              <w:rPr>
                <w:rFonts w:ascii="Times New Roman" w:hAnsi="Times New Roman"/>
              </w:rPr>
            </w:pPr>
          </w:p>
          <w:p w:rsidR="00CF2AC1" w:rsidRPr="005A615E" w:rsidRDefault="00CF2AC1" w:rsidP="00CF2AC1">
            <w:pPr>
              <w:shd w:val="clear" w:color="auto" w:fill="FFFFFF"/>
              <w:jc w:val="both"/>
              <w:rPr>
                <w:rFonts w:ascii="Times New Roman" w:hAnsi="Times New Roman"/>
                <w:u w:val="single"/>
              </w:rPr>
            </w:pPr>
            <w:r w:rsidRPr="005A615E">
              <w:rPr>
                <w:rFonts w:ascii="Times New Roman" w:hAnsi="Times New Roman"/>
                <w:b/>
                <w:sz w:val="24"/>
                <w:u w:val="single"/>
              </w:rPr>
              <w:t>ПрАТ «ПЕЕМ «Центральна енергетична компанія» (лист від 27.07.2026 № 1012/010.01-03)</w:t>
            </w:r>
            <w:r w:rsidRPr="005A615E">
              <w:rPr>
                <w:rFonts w:ascii="Times New Roman" w:hAnsi="Times New Roman"/>
                <w:u w:val="single"/>
              </w:rPr>
              <w:t xml:space="preserve">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9) цільові показники комерційної якості послуг:</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 xml:space="preserve">індекс усунення причин недотримання показників якості електричної енергії у встановлений строк – на рівні ≥ 98 %; </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 xml:space="preserve">індекс надання послуги зі стандартного приєднання у встановлений строк – на рівні ≥ 98 %; </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b/>
                <w:bCs/>
              </w:rPr>
              <w:t>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на рівні ≥ 70</w:t>
            </w:r>
            <w:r w:rsidRPr="005A615E">
              <w:rPr>
                <w:rFonts w:ascii="Times New Roman" w:hAnsi="Times New Roman" w:cs="Times New Roman"/>
              </w:rPr>
              <w:t xml:space="preserve"> </w:t>
            </w:r>
            <w:r w:rsidRPr="005A615E">
              <w:rPr>
                <w:rFonts w:ascii="Times New Roman" w:hAnsi="Times New Roman" w:cs="Times New Roman"/>
                <w:b/>
                <w:bCs/>
              </w:rPr>
              <w:t>%</w:t>
            </w:r>
            <w:r w:rsidRPr="005A615E">
              <w:rPr>
                <w:rFonts w:ascii="Times New Roman" w:hAnsi="Times New Roman" w:cs="Times New Roman"/>
              </w:rPr>
              <w:t xml:space="preserve">; </w:t>
            </w:r>
          </w:p>
          <w:p w:rsidR="00CF2AC1" w:rsidRPr="005A615E" w:rsidRDefault="00CF2AC1" w:rsidP="00CF2AC1">
            <w:pPr>
              <w:shd w:val="clear" w:color="auto" w:fill="FFFFFF"/>
              <w:jc w:val="both"/>
              <w:rPr>
                <w:rFonts w:ascii="Times New Roman" w:hAnsi="Times New Roman" w:cs="Times New Roman"/>
                <w:b/>
                <w:bCs/>
              </w:rPr>
            </w:pPr>
            <w:r w:rsidRPr="005A615E">
              <w:rPr>
                <w:rFonts w:ascii="Times New Roman" w:hAnsi="Times New Roman" w:cs="Times New Roman"/>
                <w:b/>
                <w:bCs/>
              </w:rPr>
              <w:t>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70 %;</w:t>
            </w:r>
          </w:p>
          <w:p w:rsidR="00CF2AC1" w:rsidRPr="005A615E" w:rsidRDefault="00CF2AC1" w:rsidP="00CF2AC1">
            <w:pPr>
              <w:shd w:val="clear" w:color="auto" w:fill="FFFFFF"/>
              <w:jc w:val="both"/>
              <w:rPr>
                <w:rFonts w:ascii="Times New Roman" w:hAnsi="Times New Roman" w:cs="Times New Roman"/>
              </w:rPr>
            </w:pPr>
            <w:r w:rsidRPr="005A615E">
              <w:rPr>
                <w:rFonts w:ascii="Times New Roman" w:hAnsi="Times New Roman" w:cs="Times New Roman"/>
              </w:rPr>
              <w:t xml:space="preserve"> індекс рівня сервісу кол-центру протягом 30 секунд (відсоток дзвінків, з’єднаних з оператором кол-центру протягом 30 секунд) у звітному році ≥ 75 % (за винятком періодів, встановлених постановою НКРЕКП від 12 червня 2018 року № 373 «Про затвердження Мінімальних вимог до якості обслуговування споживачів електричної енергії кол-центрами»); 4 індекс відсотка втрачених у черзі дзвінків кол-центру у звітному році ≤ 10 %;</w:t>
            </w:r>
          </w:p>
          <w:p w:rsidR="00CF2AC1" w:rsidRPr="005A615E" w:rsidRDefault="00CF2AC1" w:rsidP="00CF2AC1">
            <w:pPr>
              <w:shd w:val="clear" w:color="auto" w:fill="FFFFFF"/>
              <w:jc w:val="both"/>
              <w:rPr>
                <w:rFonts w:ascii="Times New Roman" w:hAnsi="Times New Roman" w:cs="Times New Roman"/>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autoSpaceDE w:val="0"/>
              <w:autoSpaceDN w:val="0"/>
              <w:adjustRightInd w:val="0"/>
              <w:jc w:val="both"/>
              <w:rPr>
                <w:rFonts w:ascii="Times New Roman" w:hAnsi="Times New Roman" w:cs="Times New Roman"/>
                <w:b/>
                <w:bCs/>
              </w:rPr>
            </w:pPr>
            <w:r w:rsidRPr="005A615E">
              <w:rPr>
                <w:rFonts w:ascii="Times New Roman" w:hAnsi="Times New Roman" w:cs="Times New Roman"/>
              </w:rPr>
              <w:t xml:space="preserve">Внаслідок збройної агресії рф виникають систематичні відключення  електроенергії та вимушене застосування графіків (ГПВ, ГАВ, СГАВ), а також використання засобів  РЕБ значно знижує тривалість безперервного живлення ТКО. Роботи маршрутизаторів та модемів </w:t>
            </w:r>
            <w:r w:rsidRPr="005A615E">
              <w:rPr>
                <w:rFonts w:ascii="Times New Roman" w:hAnsi="Times New Roman" w:cs="Times New Roman"/>
              </w:rPr>
              <w:lastRenderedPageBreak/>
              <w:t>зв’язку є фізично недостатнім для завершення повного циклу опитування всіх точок у межах однієї сесії живлення. Тому обладнання (телекомунікаційне та прилади обліку) потребують технологічного часу на завантаження, реєстрацію в мережі оператора зв'язку та синхронізацію протоколів. Це суттєво скорочує корисний час для вичитки накопичених масивів даних.</w:t>
            </w:r>
          </w:p>
          <w:p w:rsidR="00CF2AC1" w:rsidRPr="005A615E" w:rsidRDefault="00CF2AC1" w:rsidP="00CF2AC1">
            <w:pPr>
              <w:autoSpaceDE w:val="0"/>
              <w:autoSpaceDN w:val="0"/>
              <w:adjustRightInd w:val="0"/>
              <w:jc w:val="both"/>
              <w:rPr>
                <w:rFonts w:ascii="Times New Roman" w:hAnsi="Times New Roman" w:cs="Times New Roman"/>
              </w:rPr>
            </w:pPr>
            <w:r w:rsidRPr="005A615E">
              <w:rPr>
                <w:rFonts w:ascii="Times New Roman" w:hAnsi="Times New Roman" w:cs="Times New Roman"/>
              </w:rPr>
              <w:t>Також, постійні</w:t>
            </w:r>
            <w:r w:rsidRPr="005A615E">
              <w:rPr>
                <w:rFonts w:ascii="Times New Roman" w:hAnsi="Times New Roman" w:cs="Times New Roman"/>
                <w:b/>
                <w:bCs/>
              </w:rPr>
              <w:t xml:space="preserve"> </w:t>
            </w:r>
            <w:r w:rsidRPr="005A615E">
              <w:rPr>
                <w:rFonts w:ascii="Times New Roman" w:hAnsi="Times New Roman" w:cs="Times New Roman"/>
              </w:rPr>
              <w:t xml:space="preserve"> обстріли призводять до системних пошкоджень як мережевої інфраструктури Товариства, так і базових станцій мобільних операторів. Це критично погіршує якість каналів зв’язку або призводить до їх повної відсутності в окремих вузлах, що ускладнює дистанційний доступ до ТКО. </w:t>
            </w:r>
          </w:p>
          <w:p w:rsidR="00CF2AC1" w:rsidRPr="005A615E" w:rsidRDefault="00CF2AC1" w:rsidP="00CF2AC1">
            <w:pPr>
              <w:autoSpaceDE w:val="0"/>
              <w:autoSpaceDN w:val="0"/>
              <w:adjustRightInd w:val="0"/>
              <w:ind w:firstLine="360"/>
              <w:jc w:val="both"/>
              <w:rPr>
                <w:rFonts w:ascii="Times New Roman" w:hAnsi="Times New Roman" w:cs="Times New Roman"/>
              </w:rPr>
            </w:pPr>
            <w:r w:rsidRPr="005A615E">
              <w:rPr>
                <w:rFonts w:ascii="Times New Roman" w:hAnsi="Times New Roman" w:cs="Times New Roman"/>
              </w:rPr>
              <w:t xml:space="preserve">З огляду на вищезазначене, встановлення індексу якості даних комерційного обліку на рівні ≥ 98 % є технічно неможливим. Окремо наголошуємо, що Товариство прикладає максимально зусиль для забезпечення вичитування даних комерційного обліку, які технічно вдається успішно вичитати з приладів обліку у зазначених умовах. </w:t>
            </w:r>
          </w:p>
          <w:p w:rsidR="00CF2AC1" w:rsidRPr="005A615E" w:rsidRDefault="00CF2AC1" w:rsidP="00CF2AC1">
            <w:pPr>
              <w:autoSpaceDE w:val="0"/>
              <w:autoSpaceDN w:val="0"/>
              <w:adjustRightInd w:val="0"/>
              <w:ind w:firstLine="360"/>
              <w:jc w:val="both"/>
              <w:rPr>
                <w:rFonts w:ascii="Times New Roman" w:hAnsi="Times New Roman" w:cs="Times New Roman"/>
                <w:b/>
                <w:bCs/>
              </w:rPr>
            </w:pPr>
            <w:r w:rsidRPr="005A615E">
              <w:rPr>
                <w:rFonts w:ascii="Times New Roman" w:hAnsi="Times New Roman" w:cs="Times New Roman"/>
                <w:b/>
                <w:bCs/>
              </w:rPr>
              <w:t>Таким чином Товариство пропонує на час воєнного стану і рік після його закінчення прийняти 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 70 %</w:t>
            </w:r>
          </w:p>
          <w:p w:rsidR="00CF2AC1" w:rsidRPr="005A615E" w:rsidRDefault="00CF2AC1" w:rsidP="00CF2AC1">
            <w:pPr>
              <w:autoSpaceDE w:val="0"/>
              <w:autoSpaceDN w:val="0"/>
              <w:adjustRightInd w:val="0"/>
              <w:ind w:firstLine="360"/>
              <w:jc w:val="both"/>
              <w:rPr>
                <w:rFonts w:ascii="Times New Roman" w:hAnsi="Times New Roman" w:cs="Times New Roman"/>
              </w:rPr>
            </w:pPr>
            <w:r w:rsidRPr="005A615E">
              <w:rPr>
                <w:rFonts w:ascii="Times New Roman" w:hAnsi="Times New Roman" w:cs="Times New Roman"/>
              </w:rPr>
              <w:t xml:space="preserve">    Дотримання термінів проведення КО на рівні ≥ 90 %; в діючих умовах проблематично виконати. Дана проблематика зумовлена наступними факторами: </w:t>
            </w:r>
          </w:p>
          <w:p w:rsidR="00CF2AC1" w:rsidRPr="005A615E" w:rsidRDefault="00CF2AC1" w:rsidP="00CF2AC1">
            <w:pPr>
              <w:autoSpaceDE w:val="0"/>
              <w:autoSpaceDN w:val="0"/>
              <w:adjustRightInd w:val="0"/>
              <w:jc w:val="both"/>
              <w:rPr>
                <w:rFonts w:ascii="Times New Roman" w:hAnsi="Times New Roman" w:cs="Times New Roman"/>
              </w:rPr>
            </w:pPr>
            <w:r w:rsidRPr="005A615E">
              <w:rPr>
                <w:rFonts w:ascii="Times New Roman" w:hAnsi="Times New Roman" w:cs="Times New Roman"/>
              </w:rPr>
              <w:t>- у зв’язку  з повномасштабним вторгненням військ рф велика кількість власників помешкань змушена була переїхати в інші регіони. Як наслідок- ускладнено доступ до цих помешкань.</w:t>
            </w:r>
          </w:p>
          <w:p w:rsidR="00CF2AC1" w:rsidRPr="005A615E" w:rsidRDefault="00CF2AC1" w:rsidP="00CF2AC1">
            <w:pPr>
              <w:autoSpaceDE w:val="0"/>
              <w:autoSpaceDN w:val="0"/>
              <w:adjustRightInd w:val="0"/>
              <w:jc w:val="both"/>
              <w:rPr>
                <w:rFonts w:ascii="Times New Roman" w:hAnsi="Times New Roman" w:cs="Times New Roman"/>
              </w:rPr>
            </w:pPr>
            <w:r w:rsidRPr="005A615E">
              <w:rPr>
                <w:rFonts w:ascii="Times New Roman" w:hAnsi="Times New Roman" w:cs="Times New Roman"/>
              </w:rPr>
              <w:lastRenderedPageBreak/>
              <w:t>-ситуацією в енергосистемі України, зумовленою постійними обстрілами енергооб’єктів, що в свою чергу призвела до відсутності напруги у споживачів до 20 годин на добу, в результаті чого не має можливості проводити КО на ТКО, де встановлені електронні лічильники (з РК-дисплеями).</w:t>
            </w:r>
          </w:p>
          <w:p w:rsidR="00CF2AC1" w:rsidRPr="005A615E" w:rsidRDefault="00CF2AC1" w:rsidP="00CF2AC1">
            <w:pPr>
              <w:autoSpaceDE w:val="0"/>
              <w:autoSpaceDN w:val="0"/>
              <w:adjustRightInd w:val="0"/>
              <w:jc w:val="both"/>
              <w:rPr>
                <w:rFonts w:ascii="Times New Roman" w:hAnsi="Times New Roman" w:cs="Times New Roman"/>
                <w:shd w:val="clear" w:color="auto" w:fill="FFFFFF"/>
              </w:rPr>
            </w:pPr>
            <w:r w:rsidRPr="005A615E">
              <w:rPr>
                <w:rFonts w:ascii="Times New Roman" w:hAnsi="Times New Roman" w:cs="Times New Roman"/>
              </w:rPr>
              <w:t>-відповідно до п.</w:t>
            </w:r>
            <w:r w:rsidRPr="005A615E">
              <w:rPr>
                <w:rFonts w:ascii="Times New Roman" w:hAnsi="Times New Roman" w:cs="Times New Roman"/>
                <w:shd w:val="clear" w:color="auto" w:fill="FFFFFF"/>
              </w:rPr>
              <w:t xml:space="preserve"> 6.2.6.</w:t>
            </w:r>
            <w:r w:rsidRPr="005A615E">
              <w:rPr>
                <w:rFonts w:ascii="Times New Roman" w:hAnsi="Times New Roman" w:cs="Times New Roman"/>
              </w:rPr>
              <w:t xml:space="preserve"> Кодексу комерційного обліку електричної енергії, затвердженого постановою НКРЕКП від 14 березня 2018 року № 311 я</w:t>
            </w:r>
            <w:r w:rsidRPr="005A615E">
              <w:rPr>
                <w:rFonts w:ascii="Times New Roman" w:hAnsi="Times New Roman" w:cs="Times New Roman"/>
                <w:shd w:val="clear" w:color="auto" w:fill="FFFFFF"/>
              </w:rPr>
              <w:t>кщо уповноважені представники ППКО/оператора системи під час відвідування об’єкта не мали доступу до вузла обліку та ЗВТ користувача системи, вони направляють користувачу системи повідомлення про дату наступного відвідування. Для індивідуальних побутових споживачів дату наступного відвідування повинна бути не раніше двох розрахункових періодів. Отже для вчасного виконання КО (не рідше, ніж раз на шість місяців), необхідно буде відвідувати споживача раз на три місяці, для даної періодичності у Товариства  відсутня належна кількість персоналу.</w:t>
            </w:r>
          </w:p>
          <w:p w:rsidR="00CF2AC1" w:rsidRPr="005A615E" w:rsidRDefault="00CF2AC1" w:rsidP="00CF2AC1">
            <w:pPr>
              <w:pStyle w:val="rvps2"/>
              <w:spacing w:beforeAutospacing="0" w:afterAutospacing="0"/>
              <w:ind w:firstLine="343"/>
              <w:jc w:val="both"/>
              <w:rPr>
                <w:b/>
                <w:i/>
                <w:sz w:val="20"/>
                <w:u w:val="single"/>
              </w:rPr>
            </w:pPr>
            <w:r w:rsidRPr="005A615E">
              <w:rPr>
                <w:b/>
                <w:bCs/>
                <w:sz w:val="22"/>
                <w:szCs w:val="22"/>
                <w:shd w:val="clear" w:color="auto" w:fill="FFFFFF"/>
              </w:rPr>
              <w:t xml:space="preserve">Підсумовуючи вищенаведене пропонуємо встановити </w:t>
            </w:r>
            <w:r w:rsidRPr="005A615E">
              <w:rPr>
                <w:b/>
                <w:bCs/>
                <w:sz w:val="22"/>
                <w:szCs w:val="22"/>
              </w:rPr>
              <w:t>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2018 року № 311 – на рівні ≥ 70 %.</w:t>
            </w:r>
          </w:p>
        </w:tc>
        <w:tc>
          <w:tcPr>
            <w:tcW w:w="3969" w:type="dxa"/>
            <w:gridSpan w:val="2"/>
          </w:tcPr>
          <w:p w:rsidR="00AE478F" w:rsidRPr="005A615E" w:rsidRDefault="00641736" w:rsidP="00AE478F">
            <w:pPr>
              <w:rPr>
                <w:rFonts w:ascii="Times New Roman" w:hAnsi="Times New Roman"/>
                <w:b/>
                <w:sz w:val="24"/>
              </w:rPr>
            </w:pPr>
            <w:r w:rsidRPr="005A615E">
              <w:rPr>
                <w:rFonts w:ascii="Times New Roman" w:hAnsi="Times New Roman"/>
                <w:b/>
                <w:sz w:val="24"/>
              </w:rPr>
              <w:lastRenderedPageBreak/>
              <w:t xml:space="preserve">Враховано частково Запропонована </w:t>
            </w:r>
            <w:r w:rsidR="00AE478F" w:rsidRPr="005A615E">
              <w:rPr>
                <w:rFonts w:ascii="Times New Roman" w:hAnsi="Times New Roman"/>
                <w:b/>
                <w:sz w:val="24"/>
              </w:rPr>
              <w:t xml:space="preserve"> редакція</w:t>
            </w:r>
            <w:r w:rsidRPr="005A615E">
              <w:rPr>
                <w:rFonts w:ascii="Times New Roman" w:hAnsi="Times New Roman"/>
                <w:b/>
                <w:sz w:val="24"/>
              </w:rPr>
              <w:t xml:space="preserve"> до обговорення:</w:t>
            </w:r>
          </w:p>
          <w:p w:rsidR="00AE478F" w:rsidRPr="005A615E" w:rsidRDefault="00641736" w:rsidP="00AE478F">
            <w:pPr>
              <w:shd w:val="clear" w:color="auto" w:fill="FFFFFF"/>
              <w:jc w:val="both"/>
              <w:rPr>
                <w:rFonts w:ascii="Times New Roman" w:hAnsi="Times New Roman" w:cs="Times New Roman"/>
              </w:rPr>
            </w:pPr>
            <w:r w:rsidRPr="005A615E">
              <w:rPr>
                <w:rFonts w:ascii="Times New Roman" w:hAnsi="Times New Roman" w:cs="Times New Roman"/>
              </w:rPr>
              <w:t>«</w:t>
            </w:r>
            <w:r w:rsidR="00AE478F" w:rsidRPr="005A615E">
              <w:rPr>
                <w:rFonts w:ascii="Times New Roman" w:hAnsi="Times New Roman" w:cs="Times New Roman"/>
              </w:rPr>
              <w:t>9) цільові показники комерційної якості послуг:</w:t>
            </w:r>
          </w:p>
          <w:p w:rsidR="00AE478F" w:rsidRPr="005A615E" w:rsidRDefault="00AE478F" w:rsidP="00AE478F">
            <w:pPr>
              <w:shd w:val="clear" w:color="auto" w:fill="FFFFFF"/>
              <w:jc w:val="both"/>
              <w:rPr>
                <w:rFonts w:ascii="Times New Roman" w:hAnsi="Times New Roman" w:cs="Times New Roman"/>
              </w:rPr>
            </w:pPr>
            <w:r w:rsidRPr="005A615E">
              <w:rPr>
                <w:rFonts w:ascii="Times New Roman" w:hAnsi="Times New Roman" w:cs="Times New Roman"/>
              </w:rPr>
              <w:t>індекс якості (достовірності) даних відключень в електричних мережах 6 - 150 кВ – на рівні ≥ 98 %;</w:t>
            </w:r>
          </w:p>
          <w:p w:rsidR="00AE478F" w:rsidRPr="005A615E" w:rsidRDefault="00AE478F" w:rsidP="00AE478F">
            <w:pPr>
              <w:shd w:val="clear" w:color="auto" w:fill="FFFFFF"/>
              <w:jc w:val="both"/>
              <w:rPr>
                <w:rFonts w:ascii="Times New Roman" w:hAnsi="Times New Roman" w:cs="Times New Roman"/>
              </w:rPr>
            </w:pPr>
            <w:r w:rsidRPr="005A615E">
              <w:rPr>
                <w:rFonts w:ascii="Times New Roman" w:hAnsi="Times New Roman" w:cs="Times New Roman"/>
              </w:rPr>
              <w:lastRenderedPageBreak/>
              <w:t xml:space="preserve">індекс </w:t>
            </w:r>
            <w:r w:rsidR="00334697" w:rsidRPr="005A615E">
              <w:rPr>
                <w:rFonts w:ascii="Times New Roman" w:hAnsi="Times New Roman" w:cs="Times New Roman"/>
              </w:rPr>
              <w:t xml:space="preserve">якості </w:t>
            </w:r>
            <w:r w:rsidRPr="005A615E">
              <w:rPr>
                <w:rFonts w:ascii="Times New Roman" w:hAnsi="Times New Roman" w:cs="Times New Roman"/>
              </w:rPr>
              <w:t>надання послуги зі стандартного приєднання у встановлений строк – на рівні ≥ 98 %;</w:t>
            </w:r>
          </w:p>
          <w:p w:rsidR="00AE478F" w:rsidRPr="005A615E" w:rsidRDefault="00AE478F" w:rsidP="00AE478F">
            <w:pPr>
              <w:shd w:val="clear" w:color="auto" w:fill="FFFFFF"/>
              <w:jc w:val="both"/>
              <w:rPr>
                <w:rFonts w:ascii="Times New Roman" w:hAnsi="Times New Roman" w:cs="Times New Roman"/>
              </w:rPr>
            </w:pPr>
            <w:r w:rsidRPr="005A615E">
              <w:rPr>
                <w:rFonts w:ascii="Times New Roman" w:hAnsi="Times New Roman" w:cs="Times New Roman"/>
              </w:rPr>
              <w:t>індекс якості даних комерційного обліку – на рівні ≥ 98 %;</w:t>
            </w:r>
            <w:r w:rsidR="00641736" w:rsidRPr="005A615E">
              <w:rPr>
                <w:rFonts w:ascii="Times New Roman" w:hAnsi="Times New Roman" w:cs="Times New Roman"/>
              </w:rPr>
              <w:t>»</w:t>
            </w: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44F70" w:rsidRPr="005A615E" w:rsidRDefault="00C44F70"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00B86" w:rsidRPr="005A615E" w:rsidRDefault="00400B86" w:rsidP="00CF2AC1">
            <w:pPr>
              <w:shd w:val="clear" w:color="auto" w:fill="FFFFFF"/>
              <w:jc w:val="both"/>
              <w:rPr>
                <w:rFonts w:ascii="Times New Roman" w:hAnsi="Times New Roman"/>
                <w:b/>
                <w:sz w:val="24"/>
              </w:rPr>
            </w:pPr>
          </w:p>
          <w:p w:rsidR="004640CB" w:rsidRPr="005A615E" w:rsidRDefault="004640CB"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D707A8" w:rsidP="00CF2AC1">
            <w:pPr>
              <w:shd w:val="clear" w:color="auto" w:fill="FFFFFF"/>
              <w:jc w:val="both"/>
              <w:rPr>
                <w:rFonts w:ascii="Times New Roman" w:hAnsi="Times New Roman"/>
                <w:b/>
                <w:sz w:val="24"/>
              </w:rPr>
            </w:pPr>
            <w:r w:rsidRPr="005A615E">
              <w:rPr>
                <w:rFonts w:ascii="Times New Roman" w:hAnsi="Times New Roman"/>
                <w:b/>
                <w:sz w:val="24"/>
              </w:rPr>
              <w:t>Не враховано</w:t>
            </w:r>
          </w:p>
          <w:p w:rsidR="00D707A8" w:rsidRPr="005A615E" w:rsidRDefault="00D707A8" w:rsidP="00CF2AC1">
            <w:pPr>
              <w:shd w:val="clear" w:color="auto" w:fill="FFFFFF"/>
              <w:jc w:val="both"/>
              <w:rPr>
                <w:rFonts w:ascii="Times New Roman" w:hAnsi="Times New Roman"/>
                <w:b/>
                <w:sz w:val="24"/>
              </w:rPr>
            </w:pPr>
            <w:r w:rsidRPr="005A615E">
              <w:rPr>
                <w:rFonts w:ascii="Times New Roman" w:hAnsi="Times New Roman"/>
                <w:b/>
                <w:sz w:val="24"/>
              </w:rPr>
              <w:lastRenderedPageBreak/>
              <w:t>Недостатньо оюгрунтована позиція</w:t>
            </w: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D707A8" w:rsidRPr="005A615E" w:rsidRDefault="00D707A8" w:rsidP="00D707A8">
            <w:pPr>
              <w:shd w:val="clear" w:color="auto" w:fill="FFFFFF"/>
              <w:jc w:val="both"/>
              <w:rPr>
                <w:rFonts w:ascii="Times New Roman" w:hAnsi="Times New Roman"/>
                <w:b/>
                <w:sz w:val="24"/>
              </w:rPr>
            </w:pPr>
            <w:r w:rsidRPr="005A615E">
              <w:rPr>
                <w:rFonts w:ascii="Times New Roman" w:hAnsi="Times New Roman"/>
                <w:b/>
                <w:sz w:val="24"/>
              </w:rPr>
              <w:t>Не враховано</w:t>
            </w:r>
          </w:p>
          <w:p w:rsidR="00D707A8" w:rsidRPr="005A615E" w:rsidRDefault="00D707A8" w:rsidP="00D707A8">
            <w:pPr>
              <w:shd w:val="clear" w:color="auto" w:fill="FFFFFF"/>
              <w:jc w:val="both"/>
              <w:rPr>
                <w:rFonts w:ascii="Times New Roman" w:hAnsi="Times New Roman"/>
                <w:b/>
                <w:sz w:val="24"/>
              </w:rPr>
            </w:pPr>
            <w:r w:rsidRPr="005A615E">
              <w:rPr>
                <w:rFonts w:ascii="Times New Roman" w:hAnsi="Times New Roman"/>
                <w:b/>
                <w:sz w:val="24"/>
              </w:rPr>
              <w:t>Недостатньо оюгрунтована позиція</w:t>
            </w: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D707A8" w:rsidRPr="005A615E" w:rsidRDefault="00D707A8" w:rsidP="00D707A8">
            <w:pPr>
              <w:shd w:val="clear" w:color="auto" w:fill="FFFFFF"/>
              <w:jc w:val="both"/>
              <w:rPr>
                <w:rFonts w:ascii="Times New Roman" w:hAnsi="Times New Roman"/>
                <w:b/>
                <w:sz w:val="24"/>
              </w:rPr>
            </w:pPr>
            <w:r w:rsidRPr="005A615E">
              <w:rPr>
                <w:rFonts w:ascii="Times New Roman" w:hAnsi="Times New Roman"/>
                <w:b/>
                <w:sz w:val="24"/>
              </w:rPr>
              <w:t>Не враховано</w:t>
            </w:r>
          </w:p>
          <w:p w:rsidR="00D707A8" w:rsidRPr="005A615E" w:rsidRDefault="00D707A8" w:rsidP="00D707A8">
            <w:pPr>
              <w:shd w:val="clear" w:color="auto" w:fill="FFFFFF"/>
              <w:jc w:val="both"/>
              <w:rPr>
                <w:rFonts w:ascii="Times New Roman" w:hAnsi="Times New Roman"/>
                <w:b/>
                <w:sz w:val="24"/>
              </w:rPr>
            </w:pPr>
            <w:r w:rsidRPr="005A615E">
              <w:rPr>
                <w:rFonts w:ascii="Times New Roman" w:hAnsi="Times New Roman"/>
                <w:b/>
                <w:sz w:val="24"/>
              </w:rPr>
              <w:t>Недостатньо оюгрунтована позиція</w:t>
            </w: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p w:rsidR="00CF2AC1" w:rsidRPr="005A615E" w:rsidRDefault="00CF2AC1" w:rsidP="00CF2AC1">
            <w:pPr>
              <w:shd w:val="clear" w:color="auto" w:fill="FFFFFF"/>
              <w:jc w:val="both"/>
              <w:rPr>
                <w:rFonts w:ascii="Times New Roman" w:hAnsi="Times New Roman"/>
                <w:b/>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10) параметр коригування необхідного доходу за недотримання цільового показника якості послуг для міської території – 20;</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jc w:val="both"/>
              <w:rPr>
                <w:rFonts w:ascii="Times New Roman" w:hAnsi="Times New Roman"/>
                <w:b/>
                <w:sz w:val="24"/>
                <w:u w:val="single"/>
              </w:rPr>
            </w:pP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Cs/>
              </w:rPr>
              <w:t xml:space="preserve">10) параметр коригування необхідного доходу за недотримання цільового показника якості послуг для міської території – 20; </w:t>
            </w:r>
            <w:r w:rsidRPr="005A615E">
              <w:rPr>
                <w:rFonts w:ascii="Times New Roman" w:hAnsi="Times New Roman"/>
                <w:b/>
              </w:rPr>
              <w:t xml:space="preserve">(не застосовується протягом 2027-2029 років для ліцензіатів, перелік яких наведено </w:t>
            </w:r>
            <w:r w:rsidRPr="005A615E">
              <w:rPr>
                <w:rFonts w:ascii="Times New Roman" w:hAnsi="Times New Roman"/>
                <w:b/>
                <w:u w:val="single"/>
              </w:rPr>
              <w:t xml:space="preserve">в додатку 35 </w:t>
            </w:r>
            <w:r w:rsidRPr="005A615E">
              <w:rPr>
                <w:rFonts w:ascii="Times New Roman" w:hAnsi="Times New Roman"/>
                <w:b/>
              </w:rPr>
              <w:t>до Порядку встановлення (формування) тарифів);</w:t>
            </w:r>
          </w:p>
          <w:p w:rsidR="00CF2AC1" w:rsidRPr="005A615E" w:rsidRDefault="00CF2AC1" w:rsidP="00CF2AC1">
            <w:pPr>
              <w:shd w:val="clear" w:color="auto" w:fill="FFFFFF"/>
              <w:jc w:val="both"/>
              <w:rPr>
                <w:rFonts w:ascii="Times New Roman" w:hAnsi="Times New Roman"/>
                <w:b/>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F2AC1" w:rsidRPr="005A615E" w:rsidRDefault="00CF2AC1" w:rsidP="00CF2AC1">
            <w:pPr>
              <w:jc w:val="both"/>
              <w:rPr>
                <w:rFonts w:ascii="Times New Roman" w:hAnsi="Times New Roman"/>
                <w:b/>
                <w:sz w:val="24"/>
                <w:u w:val="single"/>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АТ «ХМЕЛЬНИЦЬКОБЛЕНЕРГО» (лист від 27.07.2026 № 4-6209-0201/26)</w:t>
            </w:r>
            <w:r w:rsidRPr="005A615E">
              <w:rPr>
                <w:rFonts w:ascii="Times New Roman" w:eastAsia="Times New Roman" w:hAnsi="Times New Roman"/>
                <w:sz w:val="24"/>
                <w:szCs w:val="24"/>
                <w:lang w:eastAsia="ru-RU"/>
              </w:rPr>
              <w:t xml:space="preserve">   </w:t>
            </w:r>
          </w:p>
          <w:p w:rsidR="00CF2AC1" w:rsidRPr="005A615E" w:rsidRDefault="00CF2AC1" w:rsidP="00CF2AC1">
            <w:pPr>
              <w:jc w:val="both"/>
              <w:rPr>
                <w:rFonts w:ascii="Times New Roman" w:hAnsi="Times New Roman"/>
              </w:rPr>
            </w:pPr>
            <w:r w:rsidRPr="005A615E">
              <w:rPr>
                <w:rFonts w:ascii="Times New Roman" w:hAnsi="Times New Roman"/>
              </w:rPr>
              <w:t>Не застосовувати у другому регуляторному періоді даного цільового показника якості послуг</w:t>
            </w:r>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sz w:val="24"/>
              </w:rPr>
            </w:pPr>
            <w:r w:rsidRPr="005A615E">
              <w:rPr>
                <w:rFonts w:ascii="Times New Roman" w:hAnsi="Times New Roman"/>
              </w:rPr>
              <w:t>Запровадження такого значення параметра на даному етапі є передчасним та може мати негативні наслідки для діяльності операторів систем розподілу.</w:t>
            </w:r>
          </w:p>
        </w:tc>
        <w:tc>
          <w:tcPr>
            <w:tcW w:w="3969" w:type="dxa"/>
            <w:gridSpan w:val="2"/>
          </w:tcPr>
          <w:p w:rsidR="004640CB" w:rsidRPr="005A615E" w:rsidRDefault="004640CB" w:rsidP="004640CB">
            <w:pPr>
              <w:rPr>
                <w:rFonts w:ascii="Times New Roman" w:hAnsi="Times New Roman"/>
                <w:b/>
                <w:sz w:val="24"/>
              </w:rPr>
            </w:pPr>
            <w:r w:rsidRPr="005A615E">
              <w:rPr>
                <w:rFonts w:ascii="Times New Roman" w:hAnsi="Times New Roman"/>
                <w:b/>
                <w:sz w:val="24"/>
              </w:rPr>
              <w:lastRenderedPageBreak/>
              <w:t>Не враховано</w:t>
            </w:r>
          </w:p>
          <w:p w:rsidR="004640CB" w:rsidRPr="005A615E" w:rsidRDefault="004640CB" w:rsidP="004640CB">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shd w:val="clear" w:color="auto" w:fill="FFFFFF"/>
              <w:jc w:val="both"/>
              <w:rPr>
                <w:rFonts w:ascii="Times New Roman" w:hAnsi="Times New Roman"/>
                <w:sz w:val="24"/>
              </w:rPr>
            </w:pPr>
            <w:r w:rsidRPr="005A615E">
              <w:rPr>
                <w:rFonts w:ascii="Times New Roman" w:hAnsi="Times New Roman"/>
                <w:sz w:val="24"/>
              </w:rPr>
              <w:t xml:space="preserve">У ОСР мають бути стимули для виконання цільових показників, передбачених впровадженням стимулюючого регулювання для </w:t>
            </w:r>
            <w:r w:rsidRPr="005A615E">
              <w:rPr>
                <w:rFonts w:ascii="Times New Roman" w:hAnsi="Times New Roman"/>
                <w:sz w:val="24"/>
              </w:rPr>
              <w:lastRenderedPageBreak/>
              <w:t>покращення рівня надання якості послуг.</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400B86">
            <w:pPr>
              <w:rPr>
                <w:rFonts w:ascii="Times New Roman" w:hAnsi="Times New Roman"/>
                <w:b/>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11) параметр коригування необхідного доходу за недотримання цільового показника якості послуг для сільської території – 20;</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Cs/>
              </w:rPr>
              <w:lastRenderedPageBreak/>
              <w:t xml:space="preserve">11) параметр коригування необхідного доходу за недотримання цільового показника якості послуг для сільської території - 20; </w:t>
            </w:r>
            <w:r w:rsidRPr="005A615E">
              <w:rPr>
                <w:rFonts w:ascii="Times New Roman" w:hAnsi="Times New Roman"/>
                <w:b/>
              </w:rPr>
              <w:t xml:space="preserve">(не застосовується протягом 2027-2029 років для ліцензіатів, перелік яких наведено </w:t>
            </w:r>
            <w:r w:rsidRPr="005A615E">
              <w:rPr>
                <w:rFonts w:ascii="Times New Roman" w:hAnsi="Times New Roman"/>
                <w:b/>
                <w:u w:val="single"/>
              </w:rPr>
              <w:t xml:space="preserve">в додатку 35 </w:t>
            </w:r>
            <w:r w:rsidRPr="005A615E">
              <w:rPr>
                <w:rFonts w:ascii="Times New Roman" w:hAnsi="Times New Roman"/>
                <w:b/>
              </w:rPr>
              <w:t>до Порядку встановлення (формування) тарифів);</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F2AC1" w:rsidRPr="005A615E" w:rsidRDefault="00CF2AC1" w:rsidP="00CF2AC1">
            <w:pPr>
              <w:jc w:val="both"/>
              <w:rPr>
                <w:rFonts w:ascii="Times New Roman" w:hAnsi="Times New Roman"/>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АТ «ХМЕЛЬНИЦЬКОБЛЕНЕРГО» (лист від 27.07.2026 № 4-6209-0201/26)</w:t>
            </w:r>
            <w:r w:rsidRPr="005A615E">
              <w:rPr>
                <w:rFonts w:ascii="Times New Roman" w:eastAsia="Times New Roman" w:hAnsi="Times New Roman"/>
                <w:sz w:val="24"/>
                <w:szCs w:val="24"/>
                <w:lang w:eastAsia="ru-RU"/>
              </w:rPr>
              <w:t xml:space="preserve">   </w:t>
            </w:r>
          </w:p>
          <w:p w:rsidR="00CF2AC1" w:rsidRPr="005A615E" w:rsidRDefault="00CF2AC1" w:rsidP="00CF2AC1">
            <w:pPr>
              <w:jc w:val="both"/>
              <w:rPr>
                <w:rFonts w:ascii="Times New Roman" w:hAnsi="Times New Roman"/>
              </w:rPr>
            </w:pPr>
            <w:r w:rsidRPr="005A615E">
              <w:rPr>
                <w:rFonts w:ascii="Times New Roman" w:hAnsi="Times New Roman"/>
              </w:rPr>
              <w:t>Не застосовувати у другому регуляторному періоді даного цільового показника якості послуг</w:t>
            </w:r>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Запровадження такого значення параметра на даному етапі є передчасним та може мати негативні наслідки для діяльності операторів систем розподілу.</w:t>
            </w:r>
          </w:p>
          <w:p w:rsidR="00CF2AC1" w:rsidRPr="005A615E" w:rsidRDefault="00CF2AC1" w:rsidP="00CF2AC1">
            <w:pPr>
              <w:jc w:val="both"/>
              <w:rPr>
                <w:rFonts w:ascii="Times New Roman" w:hAnsi="Times New Roman"/>
                <w:b/>
                <w:sz w:val="24"/>
                <w:u w:val="single"/>
              </w:rPr>
            </w:pPr>
          </w:p>
        </w:tc>
        <w:tc>
          <w:tcPr>
            <w:tcW w:w="3969" w:type="dxa"/>
            <w:gridSpan w:val="2"/>
          </w:tcPr>
          <w:p w:rsidR="004640CB" w:rsidRPr="005A615E" w:rsidRDefault="004640CB" w:rsidP="004640CB">
            <w:pPr>
              <w:rPr>
                <w:rFonts w:ascii="Times New Roman" w:hAnsi="Times New Roman"/>
                <w:b/>
                <w:sz w:val="24"/>
              </w:rPr>
            </w:pPr>
            <w:r w:rsidRPr="005A615E">
              <w:rPr>
                <w:rFonts w:ascii="Times New Roman" w:hAnsi="Times New Roman"/>
                <w:b/>
                <w:sz w:val="24"/>
              </w:rPr>
              <w:lastRenderedPageBreak/>
              <w:t>Не враховано</w:t>
            </w:r>
          </w:p>
          <w:p w:rsidR="004640CB" w:rsidRPr="005A615E" w:rsidRDefault="004640CB" w:rsidP="004640CB">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400B86" w:rsidRPr="005A615E" w:rsidRDefault="00400B86" w:rsidP="00400B86">
            <w:pPr>
              <w:rPr>
                <w:rFonts w:ascii="Times New Roman" w:hAnsi="Times New Roman"/>
                <w:b/>
                <w:sz w:val="24"/>
              </w:rPr>
            </w:pPr>
            <w:r w:rsidRPr="005A615E">
              <w:rPr>
                <w:rFonts w:ascii="Times New Roman" w:hAnsi="Times New Roman"/>
                <w:b/>
                <w:sz w:val="24"/>
              </w:rPr>
              <w:t>Недостатньо обгрунтова позиція</w:t>
            </w:r>
          </w:p>
          <w:p w:rsidR="00400B86" w:rsidRPr="005A615E" w:rsidRDefault="00400B86" w:rsidP="00400B86">
            <w:pPr>
              <w:shd w:val="clear" w:color="auto" w:fill="FFFFFF"/>
              <w:jc w:val="both"/>
              <w:rPr>
                <w:rFonts w:ascii="Times New Roman" w:hAnsi="Times New Roman"/>
                <w:sz w:val="24"/>
              </w:rPr>
            </w:pPr>
            <w:r w:rsidRPr="005A615E">
              <w:rPr>
                <w:rFonts w:ascii="Times New Roman" w:hAnsi="Times New Roman"/>
                <w:sz w:val="24"/>
              </w:rPr>
              <w:t xml:space="preserve">У ОСР мають бути стимули для виконання цільових показників, передбачених впровадженням </w:t>
            </w:r>
            <w:r w:rsidRPr="005A615E">
              <w:rPr>
                <w:rFonts w:ascii="Times New Roman" w:hAnsi="Times New Roman"/>
                <w:sz w:val="24"/>
              </w:rPr>
              <w:lastRenderedPageBreak/>
              <w:t>стимулюючого регулювання для покращення рівня надання якості послуг.</w:t>
            </w: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400B86">
            <w:pPr>
              <w:rPr>
                <w:rFonts w:ascii="Times New Roman" w:hAnsi="Times New Roman"/>
                <w:b/>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12) параметр коригування необхідного доходу за недотримання відповідного цільового показника комерційної якості надання послуг – 20, крім параметра коригування необхідного доходу за недотримання показника якості проведення контрольних </w:t>
            </w:r>
            <w:r w:rsidRPr="005A615E">
              <w:rPr>
                <w:rFonts w:ascii="Times New Roman" w:hAnsi="Times New Roman"/>
              </w:rPr>
              <w:lastRenderedPageBreak/>
              <w:t>оглядів вузлів обліку електричної енергії та показника якості даних комерційного обліку, який дорівнює 400 (застосовується починаючи з третього року другого регуляторного періоду);</w:t>
            </w:r>
          </w:p>
          <w:p w:rsidR="00CF2AC1" w:rsidRPr="005A615E" w:rsidRDefault="00CF2AC1" w:rsidP="00CF2AC1">
            <w:pPr>
              <w:rPr>
                <w:rFonts w:ascii="Times New Roman" w:hAnsi="Times New Roman"/>
                <w:b/>
                <w:sz w:val="24"/>
              </w:rPr>
            </w:pPr>
          </w:p>
        </w:tc>
        <w:tc>
          <w:tcPr>
            <w:tcW w:w="5387" w:type="dxa"/>
          </w:tcPr>
          <w:p w:rsidR="00CF2AC1" w:rsidRPr="005A615E" w:rsidRDefault="00CF2AC1" w:rsidP="00CF2AC1">
            <w:pPr>
              <w:spacing w:after="75" w:line="259" w:lineRule="auto"/>
              <w:ind w:firstLine="240"/>
              <w:jc w:val="both"/>
              <w:rPr>
                <w:rFonts w:ascii="Times New Roman" w:hAnsi="Times New Roman"/>
                <w:b/>
                <w:sz w:val="24"/>
                <w:u w:val="single"/>
              </w:rPr>
            </w:pPr>
            <w:r w:rsidRPr="005A615E">
              <w:rPr>
                <w:rFonts w:ascii="Times New Roman" w:hAnsi="Times New Roman"/>
                <w:b/>
                <w:sz w:val="24"/>
                <w:u w:val="single"/>
              </w:rPr>
              <w:lastRenderedPageBreak/>
              <w:t xml:space="preserve">ГО «Перша енергетична рада» (лист </w:t>
            </w:r>
            <w:r w:rsidRPr="005A615E">
              <w:rPr>
                <w:rFonts w:ascii="Times New Roman" w:hAnsi="Times New Roman"/>
                <w:b/>
                <w:sz w:val="24"/>
                <w:u w:val="single"/>
              </w:rPr>
              <w:br/>
              <w:t xml:space="preserve">від 20.07.2026 № 28/01), 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w:t>
            </w:r>
            <w:r w:rsidRPr="005A615E">
              <w:rPr>
                <w:rFonts w:ascii="Times New Roman" w:hAnsi="Times New Roman"/>
                <w:b/>
                <w:sz w:val="24"/>
                <w:u w:val="single"/>
              </w:rPr>
              <w:lastRenderedPageBreak/>
              <w:t xml:space="preserve">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 «Прикарпаттяобленерго» (лист </w:t>
            </w:r>
            <w:r w:rsidRPr="005A615E">
              <w:rPr>
                <w:rFonts w:ascii="Times New Roman" w:hAnsi="Times New Roman"/>
                <w:b/>
                <w:sz w:val="24"/>
                <w:u w:val="single"/>
              </w:rPr>
              <w:br/>
              <w:t xml:space="preserve">від 27.07.2026 № 50012257/12), ПрАТ «Львівобленерго» (лист </w:t>
            </w:r>
            <w:r w:rsidRPr="005A615E">
              <w:rPr>
                <w:rFonts w:ascii="Times New Roman" w:hAnsi="Times New Roman"/>
                <w:b/>
                <w:sz w:val="24"/>
                <w:u w:val="single"/>
              </w:rPr>
              <w:br/>
              <w:t>від 27.07.2026 № 122-07-5357), 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strike/>
              </w:rPr>
            </w:pPr>
            <w:r w:rsidRPr="005A615E">
              <w:rPr>
                <w:rFonts w:ascii="Times New Roman" w:hAnsi="Times New Roman"/>
                <w:strike/>
              </w:rPr>
              <w:t>12) параметр коригування необхідного доходу за недотримання відповідного цільового показника комерційної якості надання послуг – 20, крім параметра коригування необхідного доходу за недотримання показника якості проведення контрольних оглядів вузлів обліку електричної енергії та показника якості даних комерційного обліку, який дорівнює 400 (застосовується починаючи з третього року другого регуляторного періоду);</w:t>
            </w:r>
          </w:p>
          <w:p w:rsidR="00CF2AC1" w:rsidRPr="005A615E" w:rsidRDefault="00CF2AC1" w:rsidP="00CF2AC1">
            <w:pPr>
              <w:shd w:val="clear" w:color="auto" w:fill="FFFFFF"/>
              <w:jc w:val="both"/>
              <w:rPr>
                <w:rFonts w:ascii="Times New Roman" w:hAnsi="Times New Roman"/>
                <w:strike/>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pStyle w:val="rvps2"/>
              <w:spacing w:beforeAutospacing="0" w:afterAutospacing="0"/>
              <w:ind w:firstLine="343"/>
              <w:jc w:val="both"/>
              <w:rPr>
                <w:sz w:val="22"/>
                <w:lang w:val="uk-UA"/>
              </w:rPr>
            </w:pPr>
            <w:r w:rsidRPr="005A615E">
              <w:rPr>
                <w:sz w:val="22"/>
                <w:lang w:val="uk-UA"/>
              </w:rPr>
              <w:t xml:space="preserve">Виходячи із запропонованих формул розрахунку розміру санкцій за недотримання цільових показників </w:t>
            </w:r>
            <w:r w:rsidRPr="005A615E">
              <w:rPr>
                <w:sz w:val="22"/>
                <w:lang w:val="uk-UA"/>
              </w:rPr>
              <w:lastRenderedPageBreak/>
              <w:t xml:space="preserve">комерційної якості послуг, запропоновані параметри коригування є необгрунтованими. </w:t>
            </w:r>
          </w:p>
          <w:p w:rsidR="00CF2AC1" w:rsidRPr="005A615E" w:rsidRDefault="00CF2AC1" w:rsidP="00CF2AC1">
            <w:pPr>
              <w:jc w:val="both"/>
              <w:rPr>
                <w:rFonts w:ascii="Times New Roman" w:hAnsi="Times New Roman"/>
                <w:b/>
                <w:sz w:val="24"/>
                <w:u w:val="single"/>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b/>
                <w:i/>
                <w:u w:val="single"/>
              </w:rPr>
              <w:t xml:space="preserve">Обгрунтування </w:t>
            </w:r>
            <w:r w:rsidRPr="005A615E">
              <w:rPr>
                <w:rFonts w:ascii="Times New Roman" w:hAnsi="Times New Roman"/>
                <w:b/>
                <w:sz w:val="24"/>
                <w:u w:val="single"/>
              </w:rPr>
              <w:t xml:space="preserve">ДТЕК, АТ «ТЕРНОПІЛЬОБЛЕНЕРГО», Громадська спілка «Розумні електромережі України», АТ «Харківобленерго», АТ «УКРАЇНСЬКІ РОЗПОДІЛЬНІ МЕРЕЖІ», АТ «ХМЕЛЬНИЦЬКОБЛЕНЕРГО» </w:t>
            </w: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 </w:t>
            </w:r>
          </w:p>
          <w:p w:rsidR="00CF2AC1" w:rsidRPr="005A615E" w:rsidRDefault="00CF2AC1" w:rsidP="00CF2AC1">
            <w:pPr>
              <w:jc w:val="both"/>
              <w:rPr>
                <w:rFonts w:ascii="Times New Roman" w:hAnsi="Times New Roman"/>
              </w:rPr>
            </w:pPr>
            <w:r w:rsidRPr="005A615E">
              <w:rPr>
                <w:rFonts w:ascii="Times New Roman" w:hAnsi="Times New Roman"/>
              </w:rPr>
              <w:t>У зв’язку з дублюванням вимог, що вже передбачені нормативними документами (за невиконання яких передбачені штрафи за результатами перевірок) пропонуємо не застосовувати коригування НД за недотримання показника комерційної якості.</w:t>
            </w:r>
          </w:p>
          <w:p w:rsidR="00CF2AC1" w:rsidRPr="005A615E" w:rsidRDefault="00CF2AC1" w:rsidP="00CF2AC1">
            <w:pPr>
              <w:jc w:val="both"/>
              <w:rPr>
                <w:rFonts w:ascii="Times New Roman" w:hAnsi="Times New Roman"/>
              </w:rPr>
            </w:pPr>
            <w:r w:rsidRPr="005A615E">
              <w:rPr>
                <w:rFonts w:ascii="Times New Roman" w:hAnsi="Times New Roman"/>
              </w:rPr>
              <w:t>Під час бойових дій та під час застосування ГПВ неможливо забезпечити 100% виконання контрольних оглядів, тому що персонал значний час знаходиться в укритті з бетою забезпечення власної безпеки, або не в змозі зняти показники, коли відключені лічильники. Доступність до лічильників побутових споживачів обмежена відсутністю клієнтів (міграція населення).</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rPr>
            </w:pPr>
            <w:r w:rsidRPr="005A615E">
              <w:rPr>
                <w:b/>
                <w:i/>
                <w:u w:val="single"/>
              </w:rPr>
              <w:t xml:space="preserve">Обгрунтування </w:t>
            </w:r>
            <w:r w:rsidRPr="005A615E">
              <w:rPr>
                <w:rFonts w:ascii="Times New Roman" w:hAnsi="Times New Roman"/>
                <w:b/>
                <w:sz w:val="24"/>
                <w:u w:val="single"/>
              </w:rPr>
              <w:t xml:space="preserve">АТ «Прикарпаттяобленерго» </w:t>
            </w:r>
            <w:r w:rsidRPr="005A615E">
              <w:rPr>
                <w:rFonts w:ascii="Times New Roman" w:hAnsi="Times New Roman"/>
              </w:rPr>
              <w:t>Пропонуємо не встановлювати додаткові параметри коригування необхідного доходу за недотримання відповідного цільового показника комерційної якості надання послуг, оскільки виконання даних показників та штрафні санкції і компенсації споживачам за їх недотримання передбачено іншими нормативними документами НКРЕКП.</w:t>
            </w:r>
          </w:p>
          <w:p w:rsidR="00CF2AC1" w:rsidRPr="005A615E" w:rsidRDefault="00CF2AC1" w:rsidP="00CF2AC1">
            <w:pPr>
              <w:jc w:val="both"/>
              <w:rPr>
                <w:b/>
                <w:i/>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12) параметр </w:t>
            </w:r>
            <w:r w:rsidRPr="005A615E">
              <w:rPr>
                <w:rFonts w:ascii="Times New Roman" w:hAnsi="Times New Roman"/>
                <w:b/>
                <w:strike/>
              </w:rPr>
              <w:t>коригування необхідного доходу за недотримання відповідного цільового показника комерційної якості надання послуг – 20, крім параметра</w:t>
            </w:r>
            <w:r w:rsidRPr="005A615E">
              <w:rPr>
                <w:rFonts w:ascii="Times New Roman" w:hAnsi="Times New Roman"/>
              </w:rPr>
              <w:t xml:space="preserve"> коригування необхідного доходу за недотримання показника якості проведення контрольних оглядів вузлів обліку електричної енергії та показника якості даних комерційного обліку</w:t>
            </w:r>
            <w:r w:rsidRPr="005A615E">
              <w:rPr>
                <w:rFonts w:ascii="Times New Roman" w:hAnsi="Times New Roman"/>
                <w:b/>
                <w:strike/>
              </w:rPr>
              <w:t>, який дорівнює</w:t>
            </w:r>
            <w:r w:rsidRPr="005A615E">
              <w:rPr>
                <w:rFonts w:ascii="Times New Roman" w:hAnsi="Times New Roman"/>
              </w:rPr>
              <w:t xml:space="preserve"> - 400 (застосовується починаючи з третього року другого регуляторного періоду);</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uppressAutoHyphens/>
              <w:jc w:val="both"/>
              <w:rPr>
                <w:rFonts w:ascii="Times New Roman" w:hAnsi="Times New Roman"/>
              </w:rPr>
            </w:pPr>
            <w:r w:rsidRPr="005A615E">
              <w:rPr>
                <w:rFonts w:ascii="Times New Roman" w:hAnsi="Times New Roman"/>
                <w:lang w:eastAsia="ar-SA"/>
              </w:rPr>
              <w:t xml:space="preserve">У відповідності до постанови НКРЕКП від </w:t>
            </w:r>
            <w:r w:rsidRPr="005A615E">
              <w:rPr>
                <w:rFonts w:ascii="Times New Roman" w:hAnsi="Times New Roman"/>
                <w:b/>
                <w:bCs/>
                <w:shd w:val="clear" w:color="auto" w:fill="FFFFFF"/>
              </w:rPr>
              <w:t>12.06.2018  № 375 п.2.5 Розділу 2 вже</w:t>
            </w:r>
            <w:r w:rsidRPr="005A615E">
              <w:rPr>
                <w:rFonts w:ascii="Times New Roman" w:hAnsi="Times New Roman"/>
              </w:rPr>
              <w:t xml:space="preserve"> передбачено дієвий механізм фінансової відповідальності Ліцензіата</w:t>
            </w:r>
            <w:r w:rsidRPr="005A615E">
              <w:rPr>
                <w:rFonts w:ascii="Times New Roman" w:hAnsi="Times New Roman"/>
                <w:b/>
                <w:bCs/>
                <w:shd w:val="clear" w:color="auto" w:fill="FFFFFF"/>
              </w:rPr>
              <w:t xml:space="preserve"> за неотримання термінів </w:t>
            </w:r>
            <w:r w:rsidRPr="005A615E">
              <w:rPr>
                <w:rFonts w:ascii="Times New Roman" w:hAnsi="Times New Roman"/>
              </w:rPr>
              <w:t xml:space="preserve">усунення причин недотримання показників якості електричної енергії. Притягнення Ліцензіата ОСР до відповідальності за недотримання термінів усунення причин незадовільної якості напруги двічі є неправомірним та таким, що не відповідає принципу правової визначеності та заборони </w:t>
            </w:r>
            <w:r w:rsidRPr="005A615E">
              <w:rPr>
                <w:rFonts w:ascii="Times New Roman" w:hAnsi="Times New Roman"/>
                <w:b/>
                <w:u w:val="single"/>
              </w:rPr>
              <w:t xml:space="preserve">подвійної відповідальності за одне й те саме порушення. </w:t>
            </w:r>
            <w:r w:rsidRPr="005A615E">
              <w:rPr>
                <w:rFonts w:ascii="Times New Roman" w:hAnsi="Times New Roman"/>
              </w:rPr>
              <w:t>Вимога щодо застосування повторних санкцій є необґрунтованою, оскільки фінансова відповідальність Ліцензіата перед споживачем вже врегульована нормами Постанови.</w:t>
            </w:r>
          </w:p>
          <w:p w:rsidR="00CF2AC1" w:rsidRPr="005A615E" w:rsidRDefault="00CF2AC1" w:rsidP="00CF2AC1">
            <w:pPr>
              <w:suppressAutoHyphens/>
              <w:jc w:val="both"/>
              <w:rPr>
                <w:b/>
                <w:i/>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2. Установити на другий регуляторний період (5 років) параметри регулювання, що мають довгостроковий </w:t>
            </w:r>
            <w:r w:rsidRPr="005A615E">
              <w:rPr>
                <w:rFonts w:ascii="Times New Roman" w:hAnsi="Times New Roman"/>
              </w:rPr>
              <w:lastRenderedPageBreak/>
              <w:t>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Cs/>
              </w:rPr>
              <w:t xml:space="preserve">12) параметр коригування необхідного доходу за недотримання відповідного цільового показника комерційної якості надання послуг – 20, крім параметра коригування необхідного доходу за недотримання показника якості проведення контрольних оглядів вузлів обліку електричної енергії та показника якості даних комерційного обліку, який дорівнює 400 (застосовується починаючи з третього року другого регуляторного періоду); </w:t>
            </w:r>
            <w:r w:rsidRPr="005A615E">
              <w:rPr>
                <w:rFonts w:ascii="Times New Roman" w:hAnsi="Times New Roman"/>
                <w:b/>
              </w:rPr>
              <w:t xml:space="preserve">(не застосовується протягом 2027-2029 років для ліцензіатів, перелік яких наведено </w:t>
            </w:r>
            <w:r w:rsidRPr="005A615E">
              <w:rPr>
                <w:rFonts w:ascii="Times New Roman" w:hAnsi="Times New Roman"/>
                <w:b/>
                <w:u w:val="single"/>
              </w:rPr>
              <w:t xml:space="preserve">в додатку 35 </w:t>
            </w:r>
            <w:r w:rsidRPr="005A615E">
              <w:rPr>
                <w:rFonts w:ascii="Times New Roman" w:hAnsi="Times New Roman"/>
                <w:b/>
              </w:rPr>
              <w:t>до Порядку встановлення (формування) тарифів);</w:t>
            </w:r>
          </w:p>
          <w:p w:rsidR="00CF2AC1" w:rsidRPr="005A615E" w:rsidRDefault="00CF2AC1" w:rsidP="00CF2AC1">
            <w:pPr>
              <w:shd w:val="clear" w:color="auto" w:fill="FFFFFF"/>
              <w:jc w:val="both"/>
              <w:rPr>
                <w:rFonts w:ascii="Times New Roman" w:hAnsi="Times New Roman"/>
                <w:b/>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strike/>
                <w:sz w:val="24"/>
              </w:rPr>
            </w:pPr>
            <w:r w:rsidRPr="005A615E">
              <w:rPr>
                <w:rFonts w:ascii="Times New Roman" w:hAnsi="Times New Roman"/>
                <w:bCs/>
              </w:rPr>
              <w:t>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tc>
        <w:tc>
          <w:tcPr>
            <w:tcW w:w="3969" w:type="dxa"/>
            <w:gridSpan w:val="2"/>
          </w:tcPr>
          <w:p w:rsidR="00CF2AC1" w:rsidRPr="005A615E" w:rsidRDefault="00400B86" w:rsidP="00CF2AC1">
            <w:pPr>
              <w:rPr>
                <w:rFonts w:ascii="Times New Roman" w:hAnsi="Times New Roman"/>
                <w:b/>
                <w:sz w:val="24"/>
              </w:rPr>
            </w:pPr>
            <w:r w:rsidRPr="005A615E">
              <w:rPr>
                <w:rFonts w:ascii="Times New Roman" w:hAnsi="Times New Roman"/>
                <w:b/>
                <w:sz w:val="24"/>
              </w:rPr>
              <w:lastRenderedPageBreak/>
              <w:t>Враховано частково</w:t>
            </w:r>
          </w:p>
          <w:p w:rsidR="00030224" w:rsidRPr="005A615E" w:rsidRDefault="00030224" w:rsidP="00CF2AC1">
            <w:pPr>
              <w:rPr>
                <w:rFonts w:ascii="Times New Roman" w:hAnsi="Times New Roman"/>
                <w:b/>
                <w:sz w:val="24"/>
              </w:rPr>
            </w:pPr>
            <w:r w:rsidRPr="005A615E">
              <w:rPr>
                <w:rFonts w:ascii="Times New Roman" w:hAnsi="Times New Roman"/>
                <w:b/>
                <w:sz w:val="24"/>
              </w:rPr>
              <w:t xml:space="preserve">Підпункт 12 замінити </w:t>
            </w:r>
            <w:r w:rsidR="00775F5F" w:rsidRPr="005A615E">
              <w:rPr>
                <w:rFonts w:ascii="Times New Roman" w:hAnsi="Times New Roman"/>
                <w:b/>
                <w:sz w:val="24"/>
              </w:rPr>
              <w:t xml:space="preserve">новими </w:t>
            </w:r>
            <w:r w:rsidRPr="005A615E">
              <w:rPr>
                <w:rFonts w:ascii="Times New Roman" w:hAnsi="Times New Roman"/>
                <w:b/>
                <w:sz w:val="24"/>
              </w:rPr>
              <w:t>т</w:t>
            </w:r>
            <w:r w:rsidR="00775F5F" w:rsidRPr="005A615E">
              <w:rPr>
                <w:rFonts w:ascii="Times New Roman" w:hAnsi="Times New Roman"/>
                <w:b/>
                <w:sz w:val="24"/>
              </w:rPr>
              <w:t>р</w:t>
            </w:r>
            <w:r w:rsidRPr="005A615E">
              <w:rPr>
                <w:rFonts w:ascii="Times New Roman" w:hAnsi="Times New Roman"/>
                <w:b/>
                <w:sz w:val="24"/>
              </w:rPr>
              <w:t>ьома підпунктами</w:t>
            </w:r>
          </w:p>
          <w:p w:rsidR="00400B86" w:rsidRPr="005A615E" w:rsidRDefault="00400B86" w:rsidP="00400B86">
            <w:pPr>
              <w:shd w:val="clear" w:color="auto" w:fill="FFFFFF"/>
              <w:jc w:val="both"/>
              <w:rPr>
                <w:rFonts w:ascii="Times New Roman" w:hAnsi="Times New Roman"/>
              </w:rPr>
            </w:pPr>
            <w:r w:rsidRPr="005A615E">
              <w:rPr>
                <w:rFonts w:ascii="Times New Roman" w:hAnsi="Times New Roman"/>
              </w:rPr>
              <w:t>Запропонована редакція:</w:t>
            </w:r>
          </w:p>
          <w:p w:rsidR="00383834" w:rsidRPr="005A615E" w:rsidRDefault="00383834" w:rsidP="00383834">
            <w:pPr>
              <w:jc w:val="both"/>
              <w:rPr>
                <w:rFonts w:ascii="Times New Roman" w:hAnsi="Times New Roman"/>
              </w:rPr>
            </w:pPr>
            <w:r w:rsidRPr="005A615E">
              <w:rPr>
                <w:rFonts w:ascii="Times New Roman" w:hAnsi="Times New Roman"/>
              </w:rPr>
              <w:t xml:space="preserve">12) параметр коригування необхідного доходу за недотримання цільового індексу якості (достовірності) даних </w:t>
            </w:r>
            <w:r w:rsidRPr="005A615E">
              <w:rPr>
                <w:rFonts w:ascii="Times New Roman" w:hAnsi="Times New Roman"/>
              </w:rPr>
              <w:lastRenderedPageBreak/>
              <w:t>відключень в електричних мережах 6 - 150 кВ – 0,125;</w:t>
            </w:r>
          </w:p>
          <w:p w:rsidR="00383834" w:rsidRPr="005A615E" w:rsidRDefault="00383834" w:rsidP="00383834">
            <w:pPr>
              <w:shd w:val="clear" w:color="auto" w:fill="FFFFFF"/>
              <w:jc w:val="both"/>
              <w:rPr>
                <w:rFonts w:ascii="Times New Roman" w:hAnsi="Times New Roman"/>
              </w:rPr>
            </w:pPr>
          </w:p>
          <w:p w:rsidR="00383834" w:rsidRPr="005A615E" w:rsidRDefault="00383834" w:rsidP="00383834">
            <w:pPr>
              <w:shd w:val="clear" w:color="auto" w:fill="FFFFFF"/>
              <w:jc w:val="both"/>
              <w:rPr>
                <w:rFonts w:ascii="Times New Roman" w:hAnsi="Times New Roman"/>
              </w:rPr>
            </w:pPr>
          </w:p>
          <w:p w:rsidR="00383834" w:rsidRPr="005A615E" w:rsidRDefault="00383834" w:rsidP="00383834">
            <w:pPr>
              <w:jc w:val="both"/>
              <w:rPr>
                <w:rFonts w:ascii="Times New Roman" w:hAnsi="Times New Roman"/>
              </w:rPr>
            </w:pPr>
            <w:r w:rsidRPr="005A615E">
              <w:rPr>
                <w:rFonts w:ascii="Times New Roman" w:hAnsi="Times New Roman"/>
              </w:rPr>
              <w:t xml:space="preserve">13) параметр коригування необхідного доходу за недотримання цільового </w:t>
            </w:r>
            <w:r w:rsidR="00334697" w:rsidRPr="005A615E">
              <w:rPr>
                <w:rFonts w:ascii="Times New Roman" w:hAnsi="Times New Roman"/>
              </w:rPr>
              <w:t xml:space="preserve">якості </w:t>
            </w:r>
            <w:r w:rsidRPr="005A615E">
              <w:rPr>
                <w:rFonts w:ascii="Times New Roman" w:hAnsi="Times New Roman"/>
              </w:rPr>
              <w:t>індексу надання послуг зі стандартного приєднання – 0,125;</w:t>
            </w:r>
          </w:p>
          <w:p w:rsidR="00383834" w:rsidRPr="005A615E" w:rsidRDefault="00383834" w:rsidP="00383834">
            <w:pPr>
              <w:shd w:val="clear" w:color="auto" w:fill="FFFFFF"/>
              <w:jc w:val="both"/>
              <w:rPr>
                <w:rFonts w:ascii="Times New Roman" w:hAnsi="Times New Roman"/>
              </w:rPr>
            </w:pPr>
          </w:p>
          <w:p w:rsidR="00383834" w:rsidRPr="005A615E" w:rsidRDefault="00383834" w:rsidP="00383834">
            <w:pPr>
              <w:shd w:val="clear" w:color="auto" w:fill="FFFFFF"/>
              <w:jc w:val="both"/>
              <w:rPr>
                <w:rFonts w:ascii="Times New Roman" w:hAnsi="Times New Roman"/>
              </w:rPr>
            </w:pPr>
            <w:r w:rsidRPr="005A615E">
              <w:rPr>
                <w:rFonts w:ascii="Times New Roman" w:hAnsi="Times New Roman"/>
              </w:rPr>
              <w:t>14) параметр коригування необхідного доходу за недотримання цільового індекс якості даних комерційного обліку</w:t>
            </w:r>
            <w:r w:rsidRPr="005A615E">
              <w:t xml:space="preserve"> </w:t>
            </w:r>
            <w:r w:rsidRPr="005A615E">
              <w:rPr>
                <w:rFonts w:ascii="Times New Roman" w:hAnsi="Times New Roman"/>
              </w:rPr>
              <w:t>– 0,125;</w:t>
            </w: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tc>
      </w:tr>
      <w:tr w:rsidR="00CF2AC1" w:rsidRPr="005A615E" w:rsidTr="00A56FEE">
        <w:tc>
          <w:tcPr>
            <w:tcW w:w="6232" w:type="dxa"/>
          </w:tcPr>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13) рік з початку переходу на стимулююче регулювання, у якому має бути досягнуто встановлений цільовий показник якості послуг, – 16-й рік;</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lastRenderedPageBreak/>
              <w:t xml:space="preserve">13) рік з початку переходу на стимулююче регулювання, у якому має бути досягнуто встановлений цільовий показник якості послуг, -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16-й рік; (для ліцензіатів, перелік яких наведено в додатку 35 до Порядку встановлення (формування) тарифів), - 19-й рік;</w:t>
            </w:r>
          </w:p>
          <w:p w:rsidR="00CF2AC1" w:rsidRPr="005A615E" w:rsidRDefault="00CF2AC1" w:rsidP="00CF2AC1">
            <w:pPr>
              <w:jc w:val="both"/>
              <w:rPr>
                <w:rFonts w:ascii="Times New Roman" w:hAnsi="Times New Roman"/>
                <w:b/>
                <w:sz w:val="24"/>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«Харківобленерго» (лист від 27.07.2026 № 02-34/7102), АТ «УКРАЇНСЬКІ РОЗПОДІЛЬНІ МЕРЕЖІ» (лист від 27.07.2026 № 27/07/26-2)</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13) рік з початку переходу на стимулююче регулювання, у якому має бути досягнуто встановлений цільовий показник якості послуг, – 17-й рік;</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«Кіровоградобленерго» (лист від 27.07.2026  № 3919/05/34)</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2. Установити на другий регуляторний період (5 років) параметри регулювання, що мають довгостроковий </w:t>
            </w:r>
            <w:r w:rsidRPr="005A615E">
              <w:rPr>
                <w:rFonts w:ascii="Times New Roman" w:hAnsi="Times New Roman"/>
              </w:rPr>
              <w:lastRenderedPageBreak/>
              <w:t>строк дії, для цілей стимулюючого регулювання для ліцензіатів, на рівні:</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13) рік з початку переходу на стимулююче регулювання, у якому має бути досягнуто встановлений цільовий показник якості послуг, – 16-й рік, крім ліцензіатів, перелік яких наведено в додатку 35. Для ліцензіатів зазначених в додатку 35 рік з початку переходу на стимулююче регулювання, у якому має бути досягнуто встановлений цільовий показник якості послуг розраховується за принципом: 16 рік додати  кількість років скільки ліцензіат отримував зменшену норму доходу на регуляторну базу активів, яка створена на дату переходу та на регуляторну базу активів яка створена після дати переходу до стимулюючого регулювання;</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hd w:val="clear" w:color="auto" w:fill="FFFFFF"/>
              <w:ind w:firstLine="317"/>
              <w:jc w:val="both"/>
              <w:rPr>
                <w:rFonts w:ascii="Times New Roman" w:hAnsi="Times New Roman"/>
              </w:rPr>
            </w:pPr>
            <w:r w:rsidRPr="005A615E">
              <w:rPr>
                <w:rFonts w:ascii="Times New Roman" w:hAnsi="Times New Roman"/>
              </w:rPr>
              <w:t xml:space="preserve">ОСР, включені до додатка № 35, протягом 2024-2026 років були позбавлені норми доходу, а відповідно і прибутку, який мав би бути джерелом фінансування інвестиційних програм. Зменшення дохідної частини прямо означає зменшення обсягів інвестиційних програм. Відповідно досягти ідентичних показників надійності за 16 років нарівні з ОСР, які отримують повне фінансування, є математично, економічно та фізично неможливим. На 2027 рік НКРЕКП так само пропонується дискримінаційний підхід до певних груп компаній у визначенні норму доходу  В зв’язку з цим пропонується логічна формула: на скільки років зменшене фінансування (урізана норма доходу), на стільки ж років об'єктивно має бути відтерміновано виконання зобов’язань щодо досягнення цільових показників (16 років + кількість років зі зниженим обсягом доходу). Вимагати однакового результату при </w:t>
            </w:r>
            <w:r w:rsidRPr="005A615E">
              <w:rPr>
                <w:rFonts w:ascii="Times New Roman" w:hAnsi="Times New Roman"/>
              </w:rPr>
              <w:lastRenderedPageBreak/>
              <w:t xml:space="preserve">різному фінансуванні суперечить самій суті стимулюючого регулювання. Разом з тим, згідно з чинною Постановою НКРЕКП від 12.06.2018 №375, ОСР вже несе пряму фінансову відповідальність за недотримання гарантованих стандартів якості (щодо строків усунення причин неякісної напруги, строків приєднання тощо) шляхом виплати компенсацій безпосередньо споживачу. Застосування цих же порушень для розрахунку «індексів» у п. 9, які згодом через п. 12 додатково зменшують Необхідний дохід ОСР (шляхом коригування тарифу), створює прецедент подвійного фінансового стягнення за одне й те саме порушення. Це є прямим втручанням у господарську діяльність та порушує базові принципи права та Конституції </w:t>
            </w:r>
            <w:r w:rsidRPr="005A615E">
              <w:rPr>
                <w:rFonts w:ascii="Times New Roman" w:hAnsi="Times New Roman"/>
                <w:bCs/>
              </w:rPr>
              <w:t>(порушення ст. 61 Конституції України)</w:t>
            </w:r>
            <w:r w:rsidRPr="005A615E">
              <w:rPr>
                <w:rFonts w:ascii="Times New Roman" w:hAnsi="Times New Roman"/>
              </w:rPr>
              <w:t xml:space="preserve">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Виплата прямих компенсацій споживачам (згідно з Постановою №375) здійснюється за рахунок доходу компанії — це вже є достатнім фінансовим стимулом для ОСР покращувати сервіс. Натомість штучне урізання ще й Необхідного доходу (який є джерелом фінансування операційної діяльності та ремонтів) створює замкнене коло: </w:t>
            </w:r>
            <w:r w:rsidRPr="005A615E">
              <w:rPr>
                <w:rFonts w:ascii="Times New Roman" w:hAnsi="Times New Roman"/>
                <w:i/>
                <w:iCs/>
              </w:rPr>
              <w:t xml:space="preserve">ОСР виплатив компенсацію з прибутку </w:t>
            </w:r>
            <w:r w:rsidRPr="005A615E">
              <w:rPr>
                <w:rFonts w:ascii="Segoe UI Symbol" w:hAnsi="Segoe UI Symbol" w:cs="Segoe UI Symbol"/>
                <w:i/>
                <w:iCs/>
              </w:rPr>
              <w:t>➔</w:t>
            </w:r>
            <w:r w:rsidRPr="005A615E">
              <w:rPr>
                <w:rFonts w:ascii="Times New Roman" w:hAnsi="Times New Roman"/>
                <w:i/>
                <w:iCs/>
              </w:rPr>
              <w:t xml:space="preserve"> Регулятор додатково зняв кошти з тарифу </w:t>
            </w:r>
            <w:r w:rsidRPr="005A615E">
              <w:rPr>
                <w:rFonts w:ascii="Segoe UI Symbol" w:hAnsi="Segoe UI Symbol" w:cs="Segoe UI Symbol"/>
                <w:i/>
                <w:iCs/>
              </w:rPr>
              <w:t>➔</w:t>
            </w:r>
            <w:r w:rsidRPr="005A615E">
              <w:rPr>
                <w:rFonts w:ascii="Times New Roman" w:hAnsi="Times New Roman"/>
                <w:i/>
                <w:iCs/>
              </w:rPr>
              <w:t xml:space="preserve"> в ОСР виникає дефіцит коштів на ремонти та модернізацію </w:t>
            </w:r>
            <w:r w:rsidRPr="005A615E">
              <w:rPr>
                <w:rFonts w:ascii="Segoe UI Symbol" w:hAnsi="Segoe UI Symbol" w:cs="Segoe UI Symbol"/>
                <w:i/>
                <w:iCs/>
              </w:rPr>
              <w:t>➔</w:t>
            </w:r>
            <w:r w:rsidRPr="005A615E">
              <w:rPr>
                <w:rFonts w:ascii="Times New Roman" w:hAnsi="Times New Roman"/>
                <w:i/>
                <w:iCs/>
              </w:rPr>
              <w:t xml:space="preserve"> якість послуг неминуче падає ще більше</w:t>
            </w:r>
            <w:r w:rsidRPr="005A615E">
              <w:rPr>
                <w:rFonts w:ascii="Times New Roman" w:hAnsi="Times New Roman"/>
              </w:rPr>
              <w:t xml:space="preserve">. Такий механізм є деструктивним, а не «стимулюючим». </w:t>
            </w:r>
          </w:p>
        </w:tc>
        <w:tc>
          <w:tcPr>
            <w:tcW w:w="3969" w:type="dxa"/>
            <w:gridSpan w:val="2"/>
          </w:tcPr>
          <w:p w:rsidR="004640CB" w:rsidRPr="005A615E" w:rsidRDefault="004640CB" w:rsidP="004640CB">
            <w:pPr>
              <w:rPr>
                <w:rFonts w:ascii="Times New Roman" w:hAnsi="Times New Roman"/>
                <w:b/>
                <w:sz w:val="24"/>
              </w:rPr>
            </w:pPr>
            <w:r w:rsidRPr="005A615E">
              <w:rPr>
                <w:rFonts w:ascii="Times New Roman" w:hAnsi="Times New Roman"/>
                <w:b/>
                <w:sz w:val="24"/>
              </w:rPr>
              <w:lastRenderedPageBreak/>
              <w:t>Не враховано</w:t>
            </w:r>
          </w:p>
          <w:p w:rsidR="004640CB" w:rsidRPr="005A615E" w:rsidRDefault="004640CB" w:rsidP="004640CB">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4640CB" w:rsidRPr="005A615E" w:rsidRDefault="004640CB" w:rsidP="004640CB">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shd w:val="clear" w:color="auto" w:fill="FFFFFF"/>
              <w:jc w:val="both"/>
              <w:rPr>
                <w:rFonts w:ascii="Times New Roman" w:hAnsi="Times New Roman"/>
                <w:sz w:val="24"/>
              </w:rPr>
            </w:pPr>
            <w:r w:rsidRPr="005A615E">
              <w:rPr>
                <w:rFonts w:ascii="Times New Roman" w:hAnsi="Times New Roman"/>
                <w:sz w:val="24"/>
              </w:rPr>
              <w:t xml:space="preserve">У ОСР мають бути стимули для виконання цільових показників, передбачених впровадженням стимулюючого регулювання для </w:t>
            </w:r>
            <w:r w:rsidRPr="005A615E">
              <w:rPr>
                <w:rFonts w:ascii="Times New Roman" w:hAnsi="Times New Roman"/>
                <w:sz w:val="24"/>
              </w:rPr>
              <w:lastRenderedPageBreak/>
              <w:t>покращення рівня надання якості послуг.</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p w:rsidR="00CF2AC1" w:rsidRPr="005A615E" w:rsidRDefault="00CF2AC1" w:rsidP="00CF2AC1">
            <w:pPr>
              <w:rPr>
                <w:rFonts w:ascii="Times New Roman" w:hAnsi="Times New Roman"/>
                <w:b/>
                <w:strike/>
                <w:sz w:val="24"/>
              </w:rPr>
            </w:pPr>
          </w:p>
        </w:tc>
      </w:tr>
      <w:tr w:rsidR="00CF2AC1" w:rsidRPr="005A615E" w:rsidTr="00A56FEE">
        <w:tc>
          <w:tcPr>
            <w:tcW w:w="15588" w:type="dxa"/>
            <w:gridSpan w:val="4"/>
          </w:tcPr>
          <w:p w:rsidR="00CF2AC1" w:rsidRPr="005A615E" w:rsidRDefault="00CF2AC1" w:rsidP="00CF2AC1">
            <w:pPr>
              <w:jc w:val="center"/>
              <w:rPr>
                <w:rFonts w:ascii="Times New Roman" w:hAnsi="Times New Roman"/>
                <w:b/>
                <w:sz w:val="28"/>
              </w:rPr>
            </w:pPr>
            <w:r w:rsidRPr="005A615E">
              <w:rPr>
                <w:rFonts w:ascii="Times New Roman" w:hAnsi="Times New Roman"/>
                <w:b/>
                <w:sz w:val="28"/>
              </w:rPr>
              <w:lastRenderedPageBreak/>
              <w:t>Постанова НКРЕ від 26.07.2013 № 1029 «Про застосування стимулюючого регулювання при провадженні господарської діяльності з розподілу електричної енергії»</w:t>
            </w:r>
          </w:p>
        </w:tc>
      </w:tr>
      <w:tr w:rsidR="00CF2AC1" w:rsidRPr="005A615E" w:rsidTr="00A56FEE">
        <w:tc>
          <w:tcPr>
            <w:tcW w:w="6232" w:type="dxa"/>
          </w:tcPr>
          <w:p w:rsidR="00CF2AC1" w:rsidRPr="005A615E" w:rsidRDefault="00CF2AC1" w:rsidP="00CF2AC1">
            <w:pPr>
              <w:ind w:firstLine="180"/>
              <w:jc w:val="both"/>
              <w:rPr>
                <w:rFonts w:ascii="Times New Roman" w:hAnsi="Times New Roman"/>
                <w:b/>
                <w:bCs/>
                <w:sz w:val="24"/>
                <w:lang w:eastAsia="uk-UA"/>
              </w:rPr>
            </w:pPr>
            <w:r w:rsidRPr="005A615E">
              <w:rPr>
                <w:rFonts w:ascii="Times New Roman" w:hAnsi="Times New Roman"/>
                <w:b/>
                <w:bCs/>
                <w:sz w:val="24"/>
                <w:lang w:eastAsia="uk-UA"/>
              </w:rPr>
              <w:t>Зміни не пропонувались</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«УКРАЇНСЬКІ РОЗПОДІЛЬНІ МЕРЕЖІ» (лист від 27.07.2026 № 27/07/26-2),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lastRenderedPageBreak/>
              <w:t>1. Стимулююче регулювання при провадженні господарської діяльності з розподілу електричної енергії застосовується для суб’єктів господарювання, які мають ліцензію на провадження господарської діяльності з розподілу електричної енергії (далі - ліцензіати).</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Умовами застосування стимулюючого регулювання для ліцензіатів, є:</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1) проведення оцінки активів відповідно до Методики оцінки активів суб’єктів природних монополій, суб’єктів господарювання на суміжних ринках у сфері комбінованого виробництва електричної та теплової енергії, затвердженої наказом Фонду державного майна України від 12 березня 2013 року № 293, зареєстрованої в Міністерстві юстиції України 29 березня 2013 року за № 522/23054, та наявність позитивної рецензії звіту про незалежну оцінку активів, прорецензованого рецензентами, які працюють в органі державної влади, який здійснює державне регулювання оціночної діяльності;</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2) звернення ліцензіата щодо встановлення тарифів на послуги з розподілу електричної енергії відповідно до Порядку встановлення (формування) тарифів на послуги з розподілу електричної енергії, затвердженого постановою НКРЕКП від 05 жовтня 2018 року № 1175.</w:t>
            </w:r>
          </w:p>
          <w:p w:rsidR="00CF2AC1" w:rsidRPr="005A615E" w:rsidRDefault="00CF2AC1" w:rsidP="00CF2AC1">
            <w:pPr>
              <w:ind w:firstLine="308"/>
              <w:jc w:val="both"/>
              <w:rPr>
                <w:rFonts w:ascii="Times New Roman" w:hAnsi="Times New Roman"/>
                <w:b/>
                <w:bCs/>
                <w:shd w:val="clear" w:color="auto" w:fill="FFFFFF"/>
              </w:rPr>
            </w:pPr>
            <w:r w:rsidRPr="005A615E">
              <w:rPr>
                <w:rFonts w:ascii="Times New Roman" w:hAnsi="Times New Roman"/>
                <w:b/>
                <w:bCs/>
                <w:shd w:val="clear" w:color="auto" w:fill="FFFFFF"/>
              </w:rPr>
              <w:t xml:space="preserve">У випадку проведення ліцензіатом коригування оцінки регуляторної бази активів, яка створена на дату переходу до стимулюючого регулювання у зв’язку з істотною невідповідністю елементів такої оцінки та у зв’язку з істотною різницею в оцінці регуляторної бази активів у інших операторів систем розподілу, НКРЕКП враховує її результати при переході на 2-й регуляторний період за умови проведення ліцензіатом коригування РБАо, з </w:t>
            </w:r>
            <w:r w:rsidRPr="005A615E">
              <w:rPr>
                <w:rFonts w:ascii="Times New Roman" w:hAnsi="Times New Roman"/>
                <w:b/>
                <w:bCs/>
                <w:shd w:val="clear" w:color="auto" w:fill="FFFFFF"/>
              </w:rPr>
              <w:lastRenderedPageBreak/>
              <w:t>урахуванням вибуття та нарахування амортизації за перший регуляторний період.</w:t>
            </w:r>
          </w:p>
          <w:p w:rsidR="00CF2AC1" w:rsidRPr="005A615E" w:rsidRDefault="00CF2AC1" w:rsidP="00CF2AC1">
            <w:pPr>
              <w:ind w:firstLine="308"/>
              <w:jc w:val="both"/>
              <w:rPr>
                <w:rFonts w:ascii="Times New Roman" w:hAnsi="Times New Roman"/>
                <w:b/>
                <w:bCs/>
                <w:shd w:val="clear" w:color="auto" w:fill="FFFFFF"/>
              </w:rPr>
            </w:pPr>
          </w:p>
          <w:p w:rsidR="00CF2AC1" w:rsidRPr="005A615E" w:rsidRDefault="00CF2AC1" w:rsidP="00CF2AC1">
            <w:pPr>
              <w:ind w:firstLine="308"/>
              <w:jc w:val="both"/>
            </w:pPr>
            <w:r w:rsidRPr="005A615E">
              <w:rPr>
                <w:b/>
                <w:i/>
                <w:u w:val="single"/>
              </w:rPr>
              <w:t>Обгрунтування</w:t>
            </w:r>
          </w:p>
          <w:p w:rsidR="00CF2AC1" w:rsidRPr="005A615E" w:rsidRDefault="00CF2AC1" w:rsidP="00CF2AC1">
            <w:pPr>
              <w:jc w:val="both"/>
              <w:rPr>
                <w:rFonts w:ascii="Times New Roman" w:hAnsi="Times New Roman"/>
                <w:b/>
                <w:sz w:val="24"/>
                <w:szCs w:val="24"/>
                <w:u w:val="single"/>
              </w:rPr>
            </w:pPr>
            <w:r w:rsidRPr="005A615E">
              <w:rPr>
                <w:rFonts w:ascii="Times New Roman" w:hAnsi="Times New Roman"/>
                <w:shd w:val="clear" w:color="auto" w:fill="FFFFFF"/>
              </w:rPr>
              <w:t>У випадку виявлення ліцензіатом технічних/методологічних помилок у проведеній суб’єктом оціночної діяльності оцінці регуляторної бази активів, яка створена на дату переходу до стимулюючого регулювання, що призвели до суттєвого зменшення оціночної вартості РБАо, ліцензіат повинен мати можливість здійснити коригування оцінки вартості необоротних активів, з подальшим врахуванням результатів оцінки НКРЕКП при переході на 2-й регуляторний період.</w:t>
            </w:r>
          </w:p>
        </w:tc>
        <w:tc>
          <w:tcPr>
            <w:tcW w:w="3969" w:type="dxa"/>
            <w:gridSpan w:val="2"/>
          </w:tcPr>
          <w:p w:rsidR="00D707A8" w:rsidRPr="005A615E" w:rsidRDefault="00D707A8" w:rsidP="00D707A8">
            <w:pPr>
              <w:rPr>
                <w:rFonts w:ascii="Times New Roman" w:hAnsi="Times New Roman"/>
                <w:b/>
                <w:sz w:val="24"/>
              </w:rPr>
            </w:pPr>
            <w:r w:rsidRPr="005A615E">
              <w:rPr>
                <w:rFonts w:ascii="Times New Roman" w:hAnsi="Times New Roman"/>
                <w:b/>
                <w:sz w:val="24"/>
              </w:rPr>
              <w:lastRenderedPageBreak/>
              <w:t>Не вразовано</w:t>
            </w:r>
          </w:p>
          <w:p w:rsidR="00CF2AC1" w:rsidRPr="005A615E" w:rsidRDefault="00D707A8" w:rsidP="00D707A8">
            <w:pPr>
              <w:rPr>
                <w:rFonts w:ascii="Times New Roman" w:hAnsi="Times New Roman"/>
                <w:b/>
                <w:sz w:val="24"/>
              </w:rPr>
            </w:pPr>
            <w:r w:rsidRPr="005A615E">
              <w:rPr>
                <w:rFonts w:ascii="Times New Roman" w:hAnsi="Times New Roman"/>
                <w:b/>
                <w:sz w:val="24"/>
              </w:rPr>
              <w:t xml:space="preserve">Недостатньо обгрунтована позиція </w:t>
            </w:r>
          </w:p>
        </w:tc>
      </w:tr>
      <w:tr w:rsidR="00CF2AC1" w:rsidRPr="005A615E" w:rsidTr="00A56FEE">
        <w:tc>
          <w:tcPr>
            <w:tcW w:w="6232" w:type="dxa"/>
          </w:tcPr>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lastRenderedPageBreak/>
              <w:t>3. Протягом другого регуляторного періоду ліцензіат має забезпечувати:</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1) розробку та виконання плану заходів із забезпечення достовірності даних для здійснення моніторингу якості послуг, у якому передбачити встановлення обладнання для автоматичної реєстрації відключень на вводах 0,4 кВ трансформаторних підстанцій середнього рівня напруги ліцензіатів;</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w:t>
            </w:r>
          </w:p>
          <w:p w:rsidR="00CF2AC1" w:rsidRPr="005A615E" w:rsidRDefault="00CF2AC1" w:rsidP="00CF2AC1">
            <w:pPr>
              <w:ind w:firstLine="180"/>
              <w:jc w:val="both"/>
              <w:rPr>
                <w:rFonts w:ascii="Times New Roman" w:hAnsi="Times New Roman"/>
                <w:b/>
                <w:sz w:val="24"/>
              </w:rPr>
            </w:pPr>
          </w:p>
        </w:tc>
        <w:tc>
          <w:tcPr>
            <w:tcW w:w="5387" w:type="dxa"/>
          </w:tcPr>
          <w:p w:rsidR="00CF2AC1" w:rsidRPr="005A615E" w:rsidRDefault="00CF2AC1" w:rsidP="00CF2AC1">
            <w:pPr>
              <w:jc w:val="both"/>
              <w:rPr>
                <w:rFonts w:ascii="Times New Roman" w:hAnsi="Times New Roman"/>
                <w:b/>
                <w:sz w:val="24"/>
                <w:szCs w:val="24"/>
                <w:u w:val="single"/>
              </w:rPr>
            </w:pPr>
            <w:r w:rsidRPr="005A615E">
              <w:rPr>
                <w:rFonts w:ascii="Times New Roman" w:hAnsi="Times New Roman"/>
                <w:b/>
                <w:sz w:val="24"/>
                <w:szCs w:val="24"/>
                <w:u w:val="single"/>
              </w:rPr>
              <w:t xml:space="preserve">АТ «Миколаївобленерго» (лист </w:t>
            </w:r>
            <w:r w:rsidRPr="005A615E">
              <w:rPr>
                <w:rFonts w:ascii="Times New Roman" w:hAnsi="Times New Roman"/>
                <w:b/>
                <w:sz w:val="24"/>
                <w:szCs w:val="24"/>
                <w:u w:val="single"/>
              </w:rPr>
              <w:br/>
              <w:t>від 17.07.2026 № 01/01-21-4091)</w:t>
            </w:r>
          </w:p>
          <w:p w:rsidR="00CF2AC1" w:rsidRPr="005A615E" w:rsidRDefault="00CF2AC1" w:rsidP="00CF2AC1">
            <w:pPr>
              <w:ind w:firstLine="181"/>
              <w:jc w:val="both"/>
              <w:rPr>
                <w:rFonts w:ascii="Times New Roman" w:hAnsi="Times New Roman"/>
                <w:lang w:eastAsia="ru-RU"/>
              </w:rPr>
            </w:pPr>
            <w:r w:rsidRPr="005A615E">
              <w:rPr>
                <w:rFonts w:ascii="Times New Roman" w:hAnsi="Times New Roman"/>
                <w:bCs/>
                <w:lang w:eastAsia="ru-RU"/>
              </w:rPr>
              <w:t>3. Протягом другого регуляторного періоду ліцензіат має забезпечувати:</w:t>
            </w:r>
          </w:p>
          <w:p w:rsidR="00CF2AC1" w:rsidRPr="005A615E" w:rsidRDefault="00CF2AC1" w:rsidP="00CF2AC1">
            <w:pPr>
              <w:ind w:firstLine="181"/>
              <w:jc w:val="both"/>
              <w:rPr>
                <w:rFonts w:ascii="Times New Roman" w:hAnsi="Times New Roman"/>
                <w:b/>
                <w:lang w:eastAsia="ru-RU"/>
              </w:rPr>
            </w:pPr>
            <w:r w:rsidRPr="005A615E">
              <w:rPr>
                <w:rFonts w:ascii="Times New Roman" w:hAnsi="Times New Roman"/>
                <w:bCs/>
                <w:lang w:eastAsia="ru-RU"/>
              </w:rPr>
              <w:t xml:space="preserve">1) розробку та виконання плану заходів із забезпечення достовірності даних для здійснення моніторингу якості послуг, у якому передбачити встановлення обладнання для автоматичної реєстрації відключень на вводах 0,4 кВ трансформаторних підстанцій середнього рівня напруги ліцензіатів </w:t>
            </w:r>
            <w:r w:rsidRPr="005A615E">
              <w:rPr>
                <w:rFonts w:ascii="Times New Roman" w:hAnsi="Times New Roman"/>
                <w:b/>
                <w:bCs/>
                <w:lang w:eastAsia="ru-RU"/>
              </w:rPr>
              <w:t>(крім ОСР, перелік яких наведено у додатку 34 до Порядку встановлення (формування тарифів), на період дії військового стану);</w:t>
            </w:r>
          </w:p>
          <w:p w:rsidR="00CF2AC1" w:rsidRPr="005A615E" w:rsidRDefault="00CF2AC1" w:rsidP="00CF2AC1">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Не застосовувати вимоги зазначених пунктів до ОСР,</w:t>
            </w:r>
            <w:r w:rsidRPr="005A615E">
              <w:rPr>
                <w:rFonts w:ascii="Times New Roman" w:hAnsi="Times New Roman"/>
                <w:bCs/>
                <w:lang w:eastAsia="ru-RU"/>
              </w:rPr>
              <w:t xml:space="preserve"> перелік яких наведено у додатку 34 до Порядку встановлення (формування тарифів)</w:t>
            </w:r>
            <w:r w:rsidRPr="005A615E">
              <w:rPr>
                <w:rFonts w:ascii="Times New Roman" w:hAnsi="Times New Roman"/>
              </w:rPr>
              <w:t>, на час дії військового стану з наступних причин:</w:t>
            </w:r>
          </w:p>
          <w:p w:rsidR="00CF2AC1" w:rsidRPr="005A615E" w:rsidRDefault="00CF2AC1" w:rsidP="00CF2AC1">
            <w:pPr>
              <w:pStyle w:val="a5"/>
              <w:numPr>
                <w:ilvl w:val="0"/>
                <w:numId w:val="1"/>
              </w:numPr>
              <w:suppressAutoHyphens w:val="0"/>
              <w:ind w:left="0" w:firstLine="321"/>
              <w:jc w:val="both"/>
              <w:rPr>
                <w:rFonts w:ascii="Times New Roman" w:hAnsi="Times New Roman"/>
                <w:sz w:val="22"/>
                <w:szCs w:val="22"/>
                <w:lang w:val="uk-UA"/>
              </w:rPr>
            </w:pPr>
            <w:r w:rsidRPr="005A615E">
              <w:rPr>
                <w:rFonts w:ascii="Times New Roman" w:hAnsi="Times New Roman"/>
                <w:sz w:val="22"/>
                <w:szCs w:val="22"/>
                <w:lang w:val="uk-UA"/>
              </w:rPr>
              <w:t xml:space="preserve">Неможливість забезпечити фінансування заходів через направлення більшої частини грошових </w:t>
            </w:r>
            <w:r w:rsidRPr="005A615E">
              <w:rPr>
                <w:rFonts w:ascii="Times New Roman" w:hAnsi="Times New Roman"/>
                <w:sz w:val="22"/>
                <w:szCs w:val="22"/>
                <w:lang w:val="uk-UA"/>
              </w:rPr>
              <w:lastRenderedPageBreak/>
              <w:t>коштів на відновлення електричних мереж, пошкоджених внаслідок бойових дій.</w:t>
            </w:r>
          </w:p>
          <w:p w:rsidR="00CF2AC1" w:rsidRPr="005A615E" w:rsidRDefault="00CF2AC1" w:rsidP="00CF2AC1">
            <w:pPr>
              <w:pStyle w:val="a5"/>
              <w:numPr>
                <w:ilvl w:val="0"/>
                <w:numId w:val="1"/>
              </w:numPr>
              <w:suppressAutoHyphens w:val="0"/>
              <w:ind w:left="0" w:firstLine="321"/>
              <w:jc w:val="both"/>
              <w:rPr>
                <w:rFonts w:ascii="Times New Roman" w:hAnsi="Times New Roman"/>
                <w:sz w:val="22"/>
                <w:szCs w:val="22"/>
                <w:lang w:val="uk-UA"/>
              </w:rPr>
            </w:pPr>
            <w:r w:rsidRPr="005A615E">
              <w:rPr>
                <w:rFonts w:ascii="Times New Roman" w:hAnsi="Times New Roman"/>
                <w:sz w:val="22"/>
                <w:szCs w:val="22"/>
                <w:lang w:val="uk-UA"/>
              </w:rPr>
              <w:t>Неможливість забезпечення повноти та безперервності даних моніторингу показників якості електричної енергії через застосування заходів з обмеження електричної потужності, а також військовими заходами з відбиття повітряних атак ворога (застосування РЕБ).</w:t>
            </w:r>
          </w:p>
          <w:p w:rsidR="00CF2AC1" w:rsidRPr="005A615E" w:rsidRDefault="00CF2AC1" w:rsidP="00CF2AC1">
            <w:pPr>
              <w:pStyle w:val="a5"/>
              <w:numPr>
                <w:ilvl w:val="0"/>
                <w:numId w:val="1"/>
              </w:numPr>
              <w:suppressAutoHyphens w:val="0"/>
              <w:ind w:left="0" w:firstLine="321"/>
              <w:jc w:val="both"/>
              <w:rPr>
                <w:rFonts w:ascii="Times New Roman" w:hAnsi="Times New Roman"/>
                <w:sz w:val="22"/>
                <w:szCs w:val="22"/>
              </w:rPr>
            </w:pPr>
            <w:r w:rsidRPr="005A615E">
              <w:rPr>
                <w:rFonts w:ascii="Times New Roman" w:hAnsi="Times New Roman"/>
                <w:sz w:val="22"/>
                <w:szCs w:val="22"/>
              </w:rPr>
              <w:t>Неможливість забезпечити належну безпеку персоналу під час виконання робіт з впровадження заходів  та відновлення через постійні ворожі атаки.</w:t>
            </w:r>
          </w:p>
          <w:p w:rsidR="00CF2AC1" w:rsidRPr="005A615E" w:rsidRDefault="00CF2AC1" w:rsidP="00CF2AC1">
            <w:pPr>
              <w:pStyle w:val="a5"/>
              <w:numPr>
                <w:ilvl w:val="0"/>
                <w:numId w:val="1"/>
              </w:numPr>
              <w:suppressAutoHyphens w:val="0"/>
              <w:ind w:left="0" w:firstLine="321"/>
              <w:jc w:val="both"/>
              <w:rPr>
                <w:rFonts w:ascii="Times New Roman" w:hAnsi="Times New Roman"/>
                <w:sz w:val="22"/>
                <w:szCs w:val="22"/>
              </w:rPr>
            </w:pPr>
            <w:r w:rsidRPr="005A615E">
              <w:rPr>
                <w:rFonts w:ascii="Times New Roman" w:hAnsi="Times New Roman"/>
                <w:sz w:val="22"/>
                <w:szCs w:val="22"/>
              </w:rPr>
              <w:t>Пошкодження та знищення обладнання внаслідок ворожих атак, неможливість оперативного відновлення в зоні бойових дій унеможливлюють забезпечення критерію достовірності даних для моніторингу якості послуг.</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Перед початком другого регуляторного періоду необхідно визначити та зафіксувати  критерії та підходи до плану заходів із забезпечення достовірності даних для здійснення моніторингу якості послуг.</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 xml:space="preserve">Потребується уточнення. Не зрозуміло, що саме є середнім рівнем напруги (якщо це трансформаторні </w:t>
            </w:r>
            <w:r w:rsidRPr="005A615E">
              <w:rPr>
                <w:rFonts w:ascii="Times New Roman" w:hAnsi="Times New Roman"/>
                <w:shd w:val="clear" w:color="auto" w:fill="FFFFFF"/>
              </w:rPr>
              <w:lastRenderedPageBreak/>
              <w:t>підстанції 10/0,4, то не вистачить інвестицій на виконання).</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w:t>
            </w:r>
          </w:p>
          <w:p w:rsidR="00CF2AC1" w:rsidRPr="005A615E" w:rsidRDefault="00CF2AC1" w:rsidP="00CF2AC1">
            <w:pPr>
              <w:ind w:firstLine="180"/>
              <w:contextualSpacing/>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180"/>
              <w:contextualSpacing/>
              <w:jc w:val="both"/>
              <w:rPr>
                <w:rFonts w:ascii="Times New Roman" w:hAnsi="Times New Roman"/>
                <w:bCs/>
                <w:lang w:eastAsia="uk-UA"/>
              </w:rPr>
            </w:pPr>
          </w:p>
          <w:p w:rsidR="00CF2AC1" w:rsidRPr="005A615E" w:rsidRDefault="00CF2AC1" w:rsidP="00CF2AC1">
            <w:pPr>
              <w:ind w:firstLine="180"/>
              <w:contextualSpacing/>
              <w:jc w:val="both"/>
              <w:rPr>
                <w:rFonts w:ascii="Times New Roman" w:hAnsi="Times New Roman"/>
                <w:bCs/>
                <w:lang w:eastAsia="uk-UA"/>
              </w:rPr>
            </w:pPr>
            <w:r w:rsidRPr="005A615E">
              <w:rPr>
                <w:rFonts w:ascii="Times New Roman" w:hAnsi="Times New Roman"/>
                <w:bCs/>
                <w:lang w:eastAsia="uk-UA"/>
              </w:rPr>
              <w:t xml:space="preserve">1) розробку та виконання плану заходів із забезпечення достовірності даних для здійснення моніторингу якості послуг, у якому передбачити встановлення обладнання для автоматичної реєстрації відключень на вводах 0,4 </w:t>
            </w:r>
            <w:r w:rsidRPr="005A615E">
              <w:rPr>
                <w:rFonts w:ascii="Times New Roman" w:hAnsi="Times New Roman"/>
                <w:b/>
                <w:bCs/>
                <w:lang w:eastAsia="uk-UA"/>
              </w:rPr>
              <w:t>(0,23)</w:t>
            </w:r>
            <w:r w:rsidRPr="005A615E">
              <w:rPr>
                <w:rFonts w:ascii="Times New Roman" w:hAnsi="Times New Roman"/>
                <w:bCs/>
                <w:lang w:eastAsia="uk-UA"/>
              </w:rPr>
              <w:t xml:space="preserve">  кВ трансформаторних підстанцій середнього рівня напруги ліцензіатів;</w:t>
            </w:r>
          </w:p>
          <w:p w:rsidR="00CF2AC1" w:rsidRPr="005A615E" w:rsidRDefault="00CF2AC1" w:rsidP="00CF2AC1">
            <w:pPr>
              <w:jc w:val="both"/>
              <w:rPr>
                <w:rFonts w:ascii="Times New Roman" w:hAnsi="Times New Roman"/>
                <w:b/>
                <w:sz w:val="24"/>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uppressAutoHyphens/>
              <w:ind w:firstLine="510"/>
              <w:jc w:val="both"/>
              <w:rPr>
                <w:rFonts w:ascii="Times New Roman" w:hAnsi="Times New Roman"/>
                <w:lang w:eastAsia="ar-SA"/>
              </w:rPr>
            </w:pPr>
            <w:r w:rsidRPr="005A615E">
              <w:rPr>
                <w:rFonts w:ascii="Times New Roman" w:hAnsi="Times New Roman"/>
                <w:lang w:eastAsia="ar-SA"/>
              </w:rPr>
              <w:t>ПрАТ «Рівнеобленерго» знаходиться у вкрай тяжкому фінансовому стані та немає змоги повноцінно фінансувати ліцензовану діяльність з розподілу електроенергії. Це пов’язано з тим, що скасування у 2024-2026 роках регуляторної норми доходу на «стару» РБА призвело до стрімкого зменшення джерел фінансування інвестиційної програми Товариства – в середньому  на 35% щороку. Відсутність джерела Інвестиційної програми «Прибуток (обов’язкові реінвестиції)» зменшило обсяг фінансування за три роки на 326 млн.грн (без ПДВ).</w:t>
            </w:r>
          </w:p>
          <w:p w:rsidR="00CF2AC1" w:rsidRPr="005A615E" w:rsidRDefault="00CF2AC1" w:rsidP="00CF2AC1">
            <w:pPr>
              <w:suppressAutoHyphens/>
              <w:ind w:firstLine="510"/>
              <w:jc w:val="both"/>
              <w:rPr>
                <w:rFonts w:ascii="Times New Roman" w:hAnsi="Times New Roman"/>
                <w:lang w:eastAsia="ar-SA"/>
              </w:rPr>
            </w:pPr>
            <w:r w:rsidRPr="005A615E">
              <w:rPr>
                <w:rFonts w:ascii="Times New Roman" w:hAnsi="Times New Roman"/>
                <w:lang w:eastAsia="ar-SA"/>
              </w:rPr>
              <w:t xml:space="preserve">Ці вагомі втрати занижують розміри інвестиційної програми вже третій рік поспіль та негативно впливають на можливість ПрАТ «Рівнеобленерго» проводити роботи з реконструкції та модернізації електричних мереж Рівненської області, і, головне, унеможливлюють фінансування заходів із закупівлі резервного основного силового обладнання (силових трансформаторів, високовольтних вимикачів </w:t>
            </w:r>
            <w:r w:rsidRPr="005A615E">
              <w:rPr>
                <w:rFonts w:ascii="Times New Roman" w:hAnsi="Times New Roman"/>
                <w:lang w:eastAsia="ar-SA"/>
              </w:rPr>
              <w:lastRenderedPageBreak/>
              <w:t>тощо) для забезпечення поповнення аварійного запасу Товариства.</w:t>
            </w:r>
          </w:p>
          <w:p w:rsidR="00CF2AC1" w:rsidRPr="005A615E" w:rsidRDefault="00CF2AC1" w:rsidP="00CF2AC1">
            <w:pPr>
              <w:suppressAutoHyphens/>
              <w:ind w:firstLine="510"/>
              <w:jc w:val="both"/>
              <w:rPr>
                <w:rFonts w:ascii="Times New Roman" w:hAnsi="Times New Roman"/>
                <w:lang w:eastAsia="ar-SA"/>
              </w:rPr>
            </w:pPr>
            <w:r w:rsidRPr="005A615E">
              <w:rPr>
                <w:rFonts w:ascii="Times New Roman" w:hAnsi="Times New Roman"/>
                <w:lang w:eastAsia="ar-SA"/>
              </w:rPr>
              <w:t>Важливо зазначити, що іншим вагомим результатом дії рівнів тарифів на розподіл електроенергії ПрАТ «Рівнеобленерго», що не компенсують загальні витрати (необхідний дохід), у 2025 році є формування недоотриманого доходу від ліцензійної діяльності з розподілу.</w:t>
            </w:r>
          </w:p>
          <w:p w:rsidR="00CF2AC1" w:rsidRPr="005A615E" w:rsidRDefault="00CF2AC1" w:rsidP="00CF2AC1">
            <w:pPr>
              <w:suppressAutoHyphens/>
              <w:ind w:firstLine="510"/>
              <w:jc w:val="both"/>
              <w:rPr>
                <w:rFonts w:ascii="Times New Roman" w:hAnsi="Times New Roman"/>
                <w:b/>
                <w:lang w:eastAsia="ar-SA"/>
              </w:rPr>
            </w:pPr>
            <w:r w:rsidRPr="005A615E">
              <w:rPr>
                <w:rFonts w:ascii="Times New Roman" w:hAnsi="Times New Roman"/>
                <w:b/>
                <w:lang w:eastAsia="ar-SA"/>
              </w:rPr>
              <w:t>Пропозиція до проєкту: розтермінувати вимогу другого регуляторного періоду на строк в 10 років, оскільки попередня оцінка виконання заходу за другий регуляторний період передбачає залучення 60 млн.грн. щорічно протягом другого регуляторного періоду при загальній інвестпрограмі в 300 млн грн, що складає 20% від загальної суми щорічної інвестпрограми.</w:t>
            </w:r>
          </w:p>
          <w:p w:rsidR="00CF2AC1" w:rsidRPr="005A615E" w:rsidRDefault="00CF2AC1" w:rsidP="00CF2AC1">
            <w:pPr>
              <w:jc w:val="both"/>
              <w:rPr>
                <w:rFonts w:ascii="Times New Roman" w:hAnsi="Times New Roman"/>
                <w:lang w:eastAsia="ar-SA"/>
              </w:rPr>
            </w:pPr>
            <w:r w:rsidRPr="005A615E">
              <w:rPr>
                <w:rFonts w:ascii="Times New Roman" w:hAnsi="Times New Roman"/>
                <w:lang w:eastAsia="ar-SA"/>
              </w:rPr>
              <w:t>Також доцільніше впроваджувати таку систему починаючи з більш нового обладнання, яке було введено в експлуатацію в попередні роки і поступово розміщувати її на більш зношених ТП.</w:t>
            </w:r>
          </w:p>
          <w:p w:rsidR="00CF2AC1" w:rsidRPr="005A615E" w:rsidRDefault="00CF2AC1" w:rsidP="00CF2AC1">
            <w:pPr>
              <w:jc w:val="both"/>
              <w:rPr>
                <w:rFonts w:ascii="Times New Roman" w:hAnsi="Times New Roman"/>
                <w:lang w:eastAsia="ar-S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«ЧЕРНІГІВОБЛЕНЕРГО» (лист від 24.07.2026 № 49/9422/01-14)</w:t>
            </w:r>
          </w:p>
          <w:p w:rsidR="00CF2AC1" w:rsidRPr="005A615E" w:rsidRDefault="00CF2AC1" w:rsidP="00CF2AC1">
            <w:pPr>
              <w:autoSpaceDE w:val="0"/>
              <w:autoSpaceDN w:val="0"/>
              <w:adjustRightInd w:val="0"/>
              <w:jc w:val="both"/>
              <w:rPr>
                <w:rFonts w:ascii="Times New Roman" w:eastAsia="Times New Roman" w:hAnsi="Times New Roman"/>
                <w:sz w:val="24"/>
                <w:szCs w:val="24"/>
                <w:lang w:eastAsia="uk-UA"/>
              </w:rPr>
            </w:pPr>
            <w:r w:rsidRPr="005A615E">
              <w:rPr>
                <w:rFonts w:ascii="Times New Roman" w:eastAsia="Times New Roman" w:hAnsi="Times New Roman"/>
                <w:sz w:val="24"/>
                <w:szCs w:val="24"/>
                <w:lang w:eastAsia="uk-UA"/>
              </w:rPr>
              <w:t>3. Протягом другого регуляторного періоду ліцензіат має забезпечувати:</w:t>
            </w:r>
          </w:p>
          <w:p w:rsidR="00CF2AC1" w:rsidRPr="005A615E" w:rsidRDefault="00CF2AC1" w:rsidP="00CF2AC1">
            <w:pPr>
              <w:autoSpaceDE w:val="0"/>
              <w:autoSpaceDN w:val="0"/>
              <w:adjustRightInd w:val="0"/>
              <w:jc w:val="both"/>
              <w:rPr>
                <w:rFonts w:ascii="Times New Roman" w:eastAsia="Times New Roman" w:hAnsi="Times New Roman"/>
                <w:sz w:val="24"/>
                <w:szCs w:val="24"/>
                <w:lang w:eastAsia="uk-UA"/>
              </w:rPr>
            </w:pPr>
            <w:r w:rsidRPr="005A615E">
              <w:rPr>
                <w:rFonts w:ascii="Times New Roman" w:eastAsia="Times New Roman" w:hAnsi="Times New Roman"/>
                <w:sz w:val="24"/>
                <w:szCs w:val="24"/>
                <w:lang w:eastAsia="uk-UA"/>
              </w:rPr>
              <w:t xml:space="preserve">1) розробку та виконання плану заходів із забезпечення достовірності даних для здійснення моніторингу якості послуг, у якому передбачити встановлення обладнання для автоматичної реєстрації відключень на вводах 0,4 кВ трансформаторних підстанцій середнього рівня напруги ліцензіатів </w:t>
            </w:r>
            <w:r w:rsidRPr="005A615E">
              <w:rPr>
                <w:rFonts w:ascii="Times New Roman" w:hAnsi="Times New Roman"/>
                <w:b/>
                <w:bCs/>
                <w:u w:val="single"/>
              </w:rPr>
              <w:t>(виконання після завершення військового стану та реалізації пріоритетних заходів з відновлення енергооб'єктів</w:t>
            </w:r>
            <w:r w:rsidRPr="005A615E">
              <w:rPr>
                <w:rFonts w:ascii="Times New Roman" w:hAnsi="Times New Roman"/>
                <w:b/>
                <w:bCs/>
              </w:rPr>
              <w:t>)</w:t>
            </w:r>
            <w:r w:rsidRPr="005A615E">
              <w:rPr>
                <w:rFonts w:ascii="Times New Roman" w:eastAsia="Times New Roman" w:hAnsi="Times New Roman"/>
                <w:sz w:val="24"/>
                <w:szCs w:val="24"/>
                <w:lang w:eastAsia="uk-UA"/>
              </w:rPr>
              <w:t>;</w:t>
            </w:r>
          </w:p>
          <w:p w:rsidR="00CF2AC1" w:rsidRPr="005A615E" w:rsidRDefault="00CF2AC1" w:rsidP="00CF2AC1">
            <w:r w:rsidRPr="005A615E">
              <w:rPr>
                <w:b/>
                <w:i/>
                <w:u w:val="single"/>
              </w:rPr>
              <w:lastRenderedPageBreak/>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Пріоритетним завданням для АТ "ЧЕРНІГІВОБЛЕНЕРГО" є реалізація заходів з відновлення об'єктів електричних мереж всіх класів напруги, що були пошкоджені внаслідок ракетно-дронових атак країни-агресора рф. Реалізація заходів з відновлення потребує значних капіталовкладень. Враховуючи вищевикладене, впровадження заходів із забезпечення достовірності даних для здійснення моніторингу якості послуг, що передбачатимуть встановлення обладнання для автоматичної реєстрації відключень на вводах 0,4 кВ трансформаторних підстанцій середнього рівня напруги, а також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 </w:t>
            </w:r>
            <w:r w:rsidRPr="005A615E">
              <w:rPr>
                <w:rFonts w:ascii="Times New Roman" w:hAnsi="Times New Roman"/>
                <w:u w:val="single"/>
              </w:rPr>
              <w:t>пропонуємо розпочати після завершення військового стану та реалізації пріоритетних заходів з відновлення енергооб'єктів</w:t>
            </w:r>
            <w:r w:rsidRPr="005A615E">
              <w:rPr>
                <w:rFonts w:ascii="Times New Roman" w:hAnsi="Times New Roman"/>
              </w:rPr>
              <w:t>.  </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«ЧЕРНІВЦІОБЛЕНЕРГО» (лист від 24.07.2026  № 19/1-02/3604), АТ «Прикарпаттяобленерго» (лист </w:t>
            </w:r>
            <w:r w:rsidRPr="005A615E">
              <w:rPr>
                <w:rFonts w:ascii="Times New Roman" w:hAnsi="Times New Roman"/>
                <w:b/>
                <w:sz w:val="24"/>
                <w:u w:val="single"/>
              </w:rPr>
              <w:br/>
              <w:t>від 27.07.2026 № 50012257/12)</w:t>
            </w:r>
          </w:p>
          <w:p w:rsidR="00CF2AC1" w:rsidRPr="005A615E" w:rsidRDefault="00CF2AC1" w:rsidP="00CF2AC1">
            <w:pPr>
              <w:ind w:firstLine="312"/>
              <w:jc w:val="both"/>
              <w:rPr>
                <w:rFonts w:ascii="Times New Roman" w:hAnsi="Times New Roman"/>
                <w:iCs/>
                <w:lang w:eastAsia="uk-UA"/>
              </w:rPr>
            </w:pPr>
            <w:r w:rsidRPr="005A615E">
              <w:rPr>
                <w:rFonts w:ascii="Times New Roman" w:hAnsi="Times New Roman"/>
                <w:iCs/>
                <w:lang w:eastAsia="uk-UA"/>
              </w:rPr>
              <w:t>3. Протягом другого регуляторного періоду ліцензіат має забезпечувати:</w:t>
            </w:r>
          </w:p>
          <w:p w:rsidR="00CF2AC1" w:rsidRPr="005A615E" w:rsidRDefault="00CF2AC1" w:rsidP="00CF2AC1">
            <w:pPr>
              <w:jc w:val="both"/>
              <w:rPr>
                <w:rFonts w:ascii="Times New Roman" w:hAnsi="Times New Roman"/>
                <w:b/>
                <w:iCs/>
                <w:strike/>
              </w:rPr>
            </w:pPr>
            <w:r w:rsidRPr="005A615E">
              <w:rPr>
                <w:rFonts w:ascii="Times New Roman" w:hAnsi="Times New Roman"/>
                <w:b/>
                <w:iCs/>
                <w:strike/>
              </w:rPr>
              <w:t>1) розробку та виконання плану заходів із забезпечення достовірності даних для здійснення моніторингу якості послуг, в якому передбачити встановлення обладнання для автоматичної реєстрації відключень на вводах 0,4 кВ трансформаторних підстанцій середнього рівня напруги ліцензіатів.</w:t>
            </w:r>
          </w:p>
          <w:p w:rsidR="00CF2AC1" w:rsidRPr="005A615E" w:rsidRDefault="00CF2AC1" w:rsidP="00CF2AC1">
            <w:r w:rsidRPr="005A615E">
              <w:rPr>
                <w:b/>
                <w:i/>
                <w:u w:val="single"/>
              </w:rPr>
              <w:lastRenderedPageBreak/>
              <w:t>Обгрунтування</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 xml:space="preserve">АТ </w:t>
            </w:r>
            <w:r w:rsidRPr="005A615E">
              <w:rPr>
                <w:rFonts w:ascii="Times New Roman" w:hAnsi="Times New Roman"/>
              </w:rPr>
              <w:t>«Чернівціобленерго» п</w:t>
            </w:r>
            <w:r w:rsidRPr="005A615E">
              <w:rPr>
                <w:rFonts w:ascii="Times New Roman" w:hAnsi="Times New Roman"/>
                <w:lang w:eastAsia="uk-UA"/>
              </w:rPr>
              <w:t xml:space="preserve">ропонує </w:t>
            </w:r>
            <w:r w:rsidRPr="005A615E">
              <w:rPr>
                <w:rFonts w:ascii="Times New Roman" w:hAnsi="Times New Roman"/>
              </w:rPr>
              <w:t>протягом 2027-2029 років</w:t>
            </w:r>
            <w:r w:rsidRPr="005A615E">
              <w:rPr>
                <w:rFonts w:ascii="Times New Roman" w:hAnsi="Times New Roman"/>
                <w:lang w:eastAsia="uk-UA"/>
              </w:rPr>
              <w:t xml:space="preserve"> не застосовувати до Ліцензіатів, перелік яких наведено в додатку 35 до Порядку встановлення (формування) тарифів,</w:t>
            </w:r>
            <w:r w:rsidRPr="005A615E">
              <w:rPr>
                <w:rFonts w:ascii="Times New Roman" w:hAnsi="Times New Roman"/>
              </w:rPr>
              <w:t xml:space="preserve"> вимоги передбачені пунктами 1 та 2 пункту 3, оскільки, до визначених ліцензіатів в першому регуляторному періоді було застосовано особливі умови тарифоутворення, а саме: в </w:t>
            </w:r>
            <w:r w:rsidRPr="005A615E">
              <w:rPr>
                <w:rFonts w:ascii="Times New Roman" w:hAnsi="Times New Roman"/>
                <w:lang w:eastAsia="uk-UA"/>
              </w:rPr>
              <w:t>2023-2025 роках встановлювались  занижені, економічно-необгрунтовані тарифів на послуги з розподілу електричної енергії, а в 2024-2026 роках було встановлено нульову норму доходу на регуляторну базу активів, що призвело до суттєвого недофінансування інвестиційних програм. Як наслідок, неможливість проведення модернізації силового та мережевого обладнання, що призводить до зростання технологічних втрат, збільшення тривалості відключень (SAIDI).</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Вказану зміну можливо застосовувати з 2029 по 2035 роки (включно), що відповідає цілям по зниженню SAIDI.</w:t>
            </w:r>
          </w:p>
          <w:p w:rsidR="00CF2AC1" w:rsidRPr="005A615E" w:rsidRDefault="00CF2AC1" w:rsidP="00CF2AC1">
            <w:pPr>
              <w:rPr>
                <w:rFonts w:ascii="Times New Roman" w:hAnsi="Times New Roman"/>
                <w:b/>
                <w:sz w:val="24"/>
                <w:u w:val="single"/>
              </w:rPr>
            </w:pPr>
            <w:r w:rsidRPr="005A615E">
              <w:rPr>
                <w:b/>
                <w:i/>
                <w:u w:val="single"/>
              </w:rPr>
              <w:t xml:space="preserve">Обгрунтування </w:t>
            </w:r>
            <w:r w:rsidRPr="005A615E">
              <w:rPr>
                <w:rFonts w:ascii="Times New Roman" w:hAnsi="Times New Roman"/>
                <w:b/>
                <w:sz w:val="24"/>
                <w:u w:val="single"/>
              </w:rPr>
              <w:t xml:space="preserve">АТ «Прикарпаттяобленерго» </w:t>
            </w:r>
          </w:p>
          <w:p w:rsidR="00CF2AC1" w:rsidRPr="005A615E" w:rsidRDefault="00CF2AC1" w:rsidP="00CF2AC1">
            <w:pPr>
              <w:ind w:left="35"/>
              <w:jc w:val="both"/>
              <w:rPr>
                <w:rFonts w:ascii="Times New Roman" w:hAnsi="Times New Roman"/>
                <w:shd w:val="clear" w:color="auto" w:fill="FFFFFF"/>
              </w:rPr>
            </w:pPr>
            <w:r w:rsidRPr="005A615E">
              <w:rPr>
                <w:rFonts w:ascii="Times New Roman" w:hAnsi="Times New Roman"/>
                <w:shd w:val="clear" w:color="auto" w:fill="FFFFFF"/>
              </w:rPr>
              <w:t>Пропонується перенести терміни розробки, впровадження та реалізації зазначених планів заходів (як щодо реєстрації відключень на вводах 0,4 кВ, так і щодо створення системи моніторингу якості ЕЕ) та розглянути можливість їх впровадження при переході на третій регуляторний період.</w:t>
            </w:r>
          </w:p>
          <w:p w:rsidR="00CF2AC1" w:rsidRPr="005A615E" w:rsidRDefault="00CF2AC1" w:rsidP="00CF2AC1">
            <w:pPr>
              <w:ind w:left="35"/>
              <w:jc w:val="both"/>
              <w:rPr>
                <w:rFonts w:ascii="Times New Roman" w:hAnsi="Times New Roman"/>
                <w:shd w:val="clear" w:color="auto" w:fill="FFFFFF"/>
              </w:rPr>
            </w:pPr>
            <w:r w:rsidRPr="005A615E">
              <w:rPr>
                <w:rFonts w:ascii="Times New Roman" w:hAnsi="Times New Roman"/>
                <w:shd w:val="clear" w:color="auto" w:fill="FFFFFF"/>
              </w:rPr>
              <w:t>Реалізація запропонованих заходів вимагає надзвичайно великих капіталовкладень (закупівля серверного та комутаційного обладнання, спеціалізованих приладів обліку та моніторингу, модернізація каналів зв'язку тощо). Протягом найближчих 5 років компанія не матиме фінансового ресурсу для покриття цих витрат.</w:t>
            </w:r>
          </w:p>
          <w:p w:rsidR="00CF2AC1" w:rsidRPr="005A615E" w:rsidRDefault="00CF2AC1" w:rsidP="00CF2AC1">
            <w:pPr>
              <w:jc w:val="both"/>
              <w:rPr>
                <w:rFonts w:ascii="Times New Roman" w:hAnsi="Times New Roman"/>
              </w:rPr>
            </w:pPr>
            <w:r w:rsidRPr="005A615E">
              <w:rPr>
                <w:rFonts w:ascii="Times New Roman" w:hAnsi="Times New Roman"/>
                <w:shd w:val="clear" w:color="auto" w:fill="FFFFFF"/>
              </w:rPr>
              <w:lastRenderedPageBreak/>
              <w:t>На сьогодні кошти Інвестиційної програми АТ «Прикарпаттяобленерго» є обмеженими та спрямовуються на забезпечення критично важливих напрямків. Зокрема, значний обсяг фінансування залучається для виконання зобов'язань із приєднання споживачів до електричних мереж та ліквідації обмежень доступу до мереж, які здійснюються у складній гірській місцевості Івано-Франківської області (що вимагає значних витрат на будівництво та реконструкцію ліній електропередачі та підстанцій в умовах важкого рельєфу).</w:t>
            </w:r>
          </w:p>
          <w:p w:rsidR="00CF2AC1" w:rsidRPr="005A615E" w:rsidRDefault="00CF2AC1" w:rsidP="00CF2AC1">
            <w:pPr>
              <w:jc w:val="both"/>
              <w:rPr>
                <w:rFonts w:ascii="Times New Roman" w:hAnsi="Times New Roman"/>
                <w:b/>
                <w:iCs/>
                <w:strike/>
                <w:lang w:eastAsia="ru-RU"/>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«ТЕРНОПІЛЬОБЛЕНЕРГО» (лист від 24.07.2026 № 4428/7)</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Перед початком другого регуляторного періоду необхідно визначити та зафіксувати  критерії та підходи до плану заходів із забезпечення достовірності даних для здійснення моніторингу якості послуг.</w:t>
            </w:r>
          </w:p>
          <w:p w:rsidR="00CF2AC1" w:rsidRPr="005A615E" w:rsidRDefault="00CF2AC1" w:rsidP="00CF2AC1">
            <w:pPr>
              <w:jc w:val="both"/>
              <w:rPr>
                <w:rFonts w:ascii="Times New Roman" w:hAnsi="Times New Roman"/>
                <w:b/>
                <w:bCs/>
                <w:lang w:eastAsia="uk-UA"/>
              </w:rPr>
            </w:pPr>
            <w:r w:rsidRPr="005A615E">
              <w:rPr>
                <w:rFonts w:ascii="Times New Roman" w:hAnsi="Times New Roman"/>
                <w:shd w:val="clear" w:color="auto" w:fill="FFFFFF"/>
              </w:rPr>
              <w:t>Формулювання</w:t>
            </w:r>
            <w:r w:rsidRPr="005A615E">
              <w:rPr>
                <w:rFonts w:ascii="Times New Roman" w:hAnsi="Times New Roman"/>
                <w:b/>
                <w:bCs/>
                <w:lang w:eastAsia="uk-UA"/>
              </w:rPr>
              <w:t xml:space="preserve"> «на вводах 0,4 кВ трансформаторних підстанцій середнього рівня напруги ліцензіатів» потребує уточнення.</w:t>
            </w:r>
          </w:p>
          <w:p w:rsidR="00CF2AC1" w:rsidRPr="005A615E" w:rsidRDefault="00CF2AC1" w:rsidP="00CF2AC1">
            <w:pPr>
              <w:jc w:val="both"/>
              <w:rPr>
                <w:rFonts w:ascii="Times New Roman" w:hAnsi="Times New Roman"/>
                <w:b/>
                <w:iCs/>
                <w:strike/>
                <w:lang w:eastAsia="ru-RU"/>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«Кіровоградобленерго» (лист від 27.07.2026  № 3919/05/34)</w:t>
            </w:r>
          </w:p>
          <w:p w:rsidR="00CF2AC1" w:rsidRPr="005A615E" w:rsidRDefault="00CF2AC1" w:rsidP="00CF2AC1">
            <w:pPr>
              <w:ind w:firstLine="180"/>
              <w:contextualSpacing/>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180"/>
              <w:contextualSpacing/>
              <w:jc w:val="both"/>
              <w:rPr>
                <w:rFonts w:ascii="Times New Roman" w:hAnsi="Times New Roman"/>
                <w:b/>
                <w:bCs/>
                <w:lang w:eastAsia="uk-UA"/>
              </w:rPr>
            </w:pPr>
            <w:r w:rsidRPr="005A615E">
              <w:rPr>
                <w:rFonts w:ascii="Times New Roman" w:hAnsi="Times New Roman"/>
                <w:bCs/>
                <w:lang w:eastAsia="uk-UA"/>
              </w:rPr>
              <w:t xml:space="preserve">1) </w:t>
            </w:r>
            <w:r w:rsidRPr="005A615E">
              <w:rPr>
                <w:rFonts w:ascii="Times New Roman" w:hAnsi="Times New Roman"/>
              </w:rPr>
              <w:t xml:space="preserve"> </w:t>
            </w:r>
            <w:r w:rsidRPr="005A615E">
              <w:rPr>
                <w:rFonts w:ascii="Times New Roman" w:hAnsi="Times New Roman"/>
                <w:bCs/>
                <w:lang w:eastAsia="uk-UA"/>
              </w:rPr>
              <w:t xml:space="preserve">розробку та виконання плану заходів із забезпечення достовірності даних для здійснення моніторингу якості послуг, у якому передбачити встановлення обладнання для автоматичної реєстрації відключень на вводах 0,4 кВ трансформаторних підстанцій середнього рівня напруги </w:t>
            </w:r>
            <w:r w:rsidRPr="005A615E">
              <w:rPr>
                <w:rFonts w:ascii="Times New Roman" w:hAnsi="Times New Roman"/>
                <w:b/>
                <w:bCs/>
                <w:lang w:eastAsia="uk-UA"/>
              </w:rPr>
              <w:t xml:space="preserve">(35-10-6/(0,4) кВ ліцензіатів із загальною кількістю приєднаних до підстанції 100 та більше споживачів, та/або на </w:t>
            </w:r>
            <w:r w:rsidRPr="005A615E">
              <w:rPr>
                <w:rFonts w:ascii="Times New Roman" w:hAnsi="Times New Roman"/>
                <w:b/>
                <w:bCs/>
                <w:lang w:eastAsia="uk-UA"/>
              </w:rPr>
              <w:lastRenderedPageBreak/>
              <w:t>окремих відхідних лініях 0,4 кВ, до яких безпосередньо приєднано 100 та більше споживачів;</w:t>
            </w:r>
          </w:p>
          <w:p w:rsidR="00CF2AC1" w:rsidRPr="005A615E" w:rsidRDefault="00CF2AC1" w:rsidP="00CF2AC1">
            <w:r w:rsidRPr="005A615E">
              <w:rPr>
                <w:b/>
                <w:i/>
                <w:u w:val="single"/>
              </w:rPr>
              <w:t>Обгрунтування</w:t>
            </w:r>
          </w:p>
          <w:p w:rsidR="00CF2AC1" w:rsidRPr="005A615E" w:rsidRDefault="00CF2AC1" w:rsidP="00CF2AC1">
            <w:pPr>
              <w:spacing w:line="259" w:lineRule="auto"/>
              <w:jc w:val="both"/>
              <w:rPr>
                <w:rFonts w:ascii="Times New Roman" w:hAnsi="Times New Roman"/>
              </w:rPr>
            </w:pPr>
            <w:r w:rsidRPr="005A615E">
              <w:rPr>
                <w:rFonts w:ascii="Times New Roman" w:hAnsi="Times New Roman"/>
                <w:bCs/>
              </w:rPr>
              <w:t>1. З</w:t>
            </w:r>
            <w:r w:rsidRPr="005A615E">
              <w:rPr>
                <w:rFonts w:ascii="Times New Roman" w:hAnsi="Times New Roman"/>
              </w:rPr>
              <w:t xml:space="preserve">гідно з топологією мереж, значна частина аварійних відключень (перегорання запобіжників, спрацювання автоматів) відбувається не на рівні вводу всієї підстанції, а на окремих </w:t>
            </w:r>
            <w:r w:rsidRPr="005A615E">
              <w:rPr>
                <w:rFonts w:ascii="Times New Roman" w:hAnsi="Times New Roman"/>
                <w:i/>
                <w:iCs/>
              </w:rPr>
              <w:t>відхідних лініях</w:t>
            </w:r>
            <w:r w:rsidRPr="005A615E">
              <w:rPr>
                <w:rFonts w:ascii="Times New Roman" w:hAnsi="Times New Roman"/>
              </w:rPr>
              <w:t xml:space="preserve"> 0,4 кВ. За умови встановлення контролю лише на вводі, система диспетчеризації бачитиме, що підстанція "під напругою", хоча частина споживачів буде знеструмлена. Це не призведе до підвищення рівня достовірності даних та підвищення рівня розрахунку показника SAIDI. </w:t>
            </w:r>
          </w:p>
          <w:p w:rsidR="00CF2AC1" w:rsidRPr="005A615E" w:rsidRDefault="00CF2AC1" w:rsidP="00CF2AC1">
            <w:pPr>
              <w:spacing w:line="259" w:lineRule="auto"/>
              <w:jc w:val="both"/>
              <w:rPr>
                <w:rFonts w:ascii="Times New Roman" w:hAnsi="Times New Roman"/>
              </w:rPr>
            </w:pPr>
            <w:r w:rsidRPr="005A615E">
              <w:rPr>
                <w:rFonts w:ascii="Times New Roman" w:hAnsi="Times New Roman"/>
              </w:rPr>
              <w:t>2. Внаслідок демографічного старіння, економічної міграції та наслідків війни, у сільській місцевості значна кількість ТП 0,4 кВ живлять населені пункти, де фактично проживає до 20-50 споживачів. Капіталовкладення (закупівля обладнання, монтаж, пусконалагодження) в автоматизацію таких об'єктів є економічно необґрунтованими. Термін окупності таких інвестицій та їхній економічний ефект значно перевищуватимуть залишковий фізичний строк експлуатації самих зношених мереж. Обмеження критерієм «100 і більше споживачів» відсікає необхідність неефективно витрачати тарифні кошти у безперспективну інфраструктуру.</w:t>
            </w:r>
          </w:p>
          <w:p w:rsidR="00CF2AC1" w:rsidRPr="005A615E" w:rsidRDefault="00CF2AC1" w:rsidP="00CF2AC1">
            <w:pPr>
              <w:spacing w:line="259" w:lineRule="auto"/>
              <w:jc w:val="both"/>
              <w:rPr>
                <w:rFonts w:ascii="Times New Roman" w:hAnsi="Times New Roman"/>
              </w:rPr>
            </w:pPr>
            <w:r w:rsidRPr="005A615E">
              <w:rPr>
                <w:rFonts w:ascii="Times New Roman" w:hAnsi="Times New Roman"/>
                <w:bCs/>
              </w:rPr>
              <w:t>3.</w:t>
            </w:r>
            <w:r w:rsidRPr="005A615E">
              <w:rPr>
                <w:rFonts w:ascii="Times New Roman" w:hAnsi="Times New Roman"/>
                <w:b/>
                <w:bCs/>
              </w:rPr>
              <w:t xml:space="preserve"> </w:t>
            </w:r>
            <w:r w:rsidRPr="005A615E">
              <w:rPr>
                <w:rFonts w:ascii="Times New Roman" w:hAnsi="Times New Roman"/>
              </w:rPr>
              <w:t xml:space="preserve">Для коректної роботи системи реєстрації відключень у розрахунку SAIDI необхідна безперервна передача даних до диспетчерського центру ОСР (SCADA/ADMS). Значна частина малоабонентських сільських ТП розташована у віддаленій місцевості зі складним рельєфом, де покриття мобільного зв'язку (GSM/LTE) є вкрай нестабільним або взагалі відсутнім. Організація стабільних каналів зв'язку з гарантованим живленням для таких об'єктів (встановлення </w:t>
            </w:r>
            <w:r w:rsidRPr="005A615E">
              <w:rPr>
                <w:rFonts w:ascii="Times New Roman" w:hAnsi="Times New Roman"/>
              </w:rPr>
              <w:lastRenderedPageBreak/>
              <w:t>підсилювачів, радіоканалів, супутникового зв'язку або прокладання оптоволокна) потребуватиме колосальних додаткових капітальних та операційних витрат, які не передбачені структурою тарифу.</w:t>
            </w:r>
          </w:p>
          <w:p w:rsidR="00CF2AC1" w:rsidRPr="005A615E" w:rsidRDefault="00CF2AC1" w:rsidP="00CF2AC1">
            <w:pPr>
              <w:spacing w:line="259" w:lineRule="auto"/>
              <w:jc w:val="both"/>
              <w:rPr>
                <w:rFonts w:ascii="Times New Roman" w:hAnsi="Times New Roman"/>
              </w:rPr>
            </w:pPr>
            <w:r w:rsidRPr="005A615E">
              <w:rPr>
                <w:rFonts w:ascii="Times New Roman" w:hAnsi="Times New Roman"/>
                <w:bCs/>
              </w:rPr>
              <w:t>4.</w:t>
            </w:r>
            <w:r w:rsidRPr="005A615E">
              <w:rPr>
                <w:rFonts w:ascii="Times New Roman" w:hAnsi="Times New Roman"/>
                <w:b/>
                <w:bCs/>
              </w:rPr>
              <w:t xml:space="preserve"> </w:t>
            </w:r>
            <w:r w:rsidRPr="005A615E">
              <w:rPr>
                <w:rFonts w:ascii="Times New Roman" w:hAnsi="Times New Roman"/>
              </w:rPr>
              <w:t>Підстанції, що живлять 100 і більше споживачів, переважно розташовані в містах та селищах і виконані у вигляді закритих трансформаторних підстанцій (ЗТП) капітальної забудови. Це забезпечує надійний антивандальний захист дороговартісного телекомунікаційного та реєстраційного обладнання. Водночас ТП з малою кількістю абонентів у сільській місцевості здебільшого є комплектними або щогловими підстанціями відкритого типу (КТП, ЩТП). Встановлення систем автоматичного моніторингу на таких відкритих конструкціях поза межами щільної забудови створює критично високі ризики розкрадання та вандалізму, що призведе до невідворотних фінансових збитків для ОСР.</w:t>
            </w:r>
          </w:p>
          <w:p w:rsidR="00CF2AC1" w:rsidRPr="005A615E" w:rsidRDefault="00CF2AC1" w:rsidP="00CF2AC1">
            <w:pPr>
              <w:spacing w:line="259" w:lineRule="auto"/>
              <w:jc w:val="both"/>
              <w:rPr>
                <w:rFonts w:ascii="Times New Roman" w:hAnsi="Times New Roman"/>
              </w:rPr>
            </w:pPr>
            <w:r w:rsidRPr="005A615E">
              <w:rPr>
                <w:rFonts w:ascii="Times New Roman" w:hAnsi="Times New Roman"/>
                <w:bCs/>
              </w:rPr>
              <w:t xml:space="preserve">5. </w:t>
            </w:r>
            <w:r w:rsidRPr="005A615E">
              <w:rPr>
                <w:rFonts w:ascii="Times New Roman" w:hAnsi="Times New Roman"/>
              </w:rPr>
              <w:t xml:space="preserve">Показник SAIDI розраховується на одного споживача. Трансформаторні підстанції та відхідні лінії з кількістю абонентів 100 і більше становлять меншу частку від загальної кількості об'єктів ОСР, але саме вони охоплюють </w:t>
            </w:r>
            <w:r w:rsidRPr="005A615E">
              <w:rPr>
                <w:rFonts w:ascii="Times New Roman" w:hAnsi="Times New Roman"/>
                <w:bCs/>
              </w:rPr>
              <w:t>понад 60% споживачів</w:t>
            </w:r>
            <w:r w:rsidRPr="005A615E">
              <w:rPr>
                <w:rFonts w:ascii="Times New Roman" w:hAnsi="Times New Roman"/>
              </w:rPr>
              <w:t>. Автоматизація збору даних саме на цих вузлах живлення забезпечить підвищення достовірності розрахунку SAIDI в цілому по ОСР. Натомість моніторинг дрібних ТП (на 20-50 абонентів) змінить загальний показник якості послуг ОСР лише на десяті/соті долі відсотка, що не виправдовує витрат на їх автоматизацію.</w:t>
            </w:r>
          </w:p>
          <w:p w:rsidR="00CF2AC1" w:rsidRPr="005A615E" w:rsidRDefault="00CF2AC1" w:rsidP="00CF2AC1">
            <w:pPr>
              <w:spacing w:line="259" w:lineRule="auto"/>
              <w:jc w:val="both"/>
              <w:rPr>
                <w:rFonts w:ascii="Times New Roman" w:hAnsi="Times New Roman"/>
              </w:rPr>
            </w:pPr>
            <w:r w:rsidRPr="005A615E">
              <w:rPr>
                <w:rFonts w:ascii="Times New Roman" w:hAnsi="Times New Roman"/>
                <w:bCs/>
              </w:rPr>
              <w:t xml:space="preserve">6. </w:t>
            </w:r>
            <w:r w:rsidRPr="005A615E">
              <w:rPr>
                <w:rFonts w:ascii="Times New Roman" w:hAnsi="Times New Roman"/>
              </w:rPr>
              <w:t xml:space="preserve">Кількість об'єктів 0,4 кВ перевищує кількість об'єктів 6-150 кВ у сотні разів. Тотальна вимога обладнати 100% ТП системами автоматичної реєстрації відключень вимагатиме гігантських капіталовкладень. Оскільки ці заходи фінансуються з Інвестиційної </w:t>
            </w:r>
            <w:r w:rsidRPr="005A615E">
              <w:rPr>
                <w:rFonts w:ascii="Times New Roman" w:hAnsi="Times New Roman"/>
              </w:rPr>
              <w:lastRenderedPageBreak/>
              <w:t xml:space="preserve">програми, це призведе до стрімкого, необґрунтованого навантаження на тариф з розподілу. Критерій «100 і більше споживачів» дозволяє ОСР застосувати </w:t>
            </w:r>
            <w:r w:rsidRPr="005A615E">
              <w:rPr>
                <w:rFonts w:ascii="Times New Roman" w:hAnsi="Times New Roman"/>
                <w:bCs/>
              </w:rPr>
              <w:t>ризик-орієнтований підхід</w:t>
            </w:r>
            <w:r w:rsidRPr="005A615E">
              <w:rPr>
                <w:rFonts w:ascii="Times New Roman" w:hAnsi="Times New Roman"/>
              </w:rPr>
              <w:t>, спрямувавши інвестиції у ті вузли, звідки генерується найбільша кількість "годин знеструмлень" для споживачів.</w:t>
            </w:r>
          </w:p>
          <w:p w:rsidR="00CF2AC1" w:rsidRPr="005A615E" w:rsidRDefault="00CF2AC1" w:rsidP="00CF2AC1">
            <w:pPr>
              <w:spacing w:line="259" w:lineRule="auto"/>
              <w:jc w:val="both"/>
              <w:rPr>
                <w:rFonts w:ascii="Times New Roman" w:hAnsi="Times New Roman"/>
                <w:b/>
                <w:iCs/>
                <w:strike/>
                <w:lang w:eastAsia="ru-RU"/>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jc w:val="both"/>
              <w:rPr>
                <w:rFonts w:ascii="Times New Roman" w:hAnsi="Times New Roman"/>
              </w:rPr>
            </w:pPr>
            <w:r w:rsidRPr="005A615E">
              <w:rPr>
                <w:rFonts w:ascii="Times New Roman" w:hAnsi="Times New Roman"/>
              </w:rPr>
              <w:t>Пропонуємо розглянути виконання цих заходів на 3-й регуляторний період.</w:t>
            </w:r>
          </w:p>
          <w:p w:rsidR="00CF2AC1" w:rsidRPr="005A615E" w:rsidRDefault="00CF2AC1" w:rsidP="00CF2AC1">
            <w:pPr>
              <w:jc w:val="both"/>
              <w:rPr>
                <w:rFonts w:ascii="Times New Roman" w:hAnsi="Times New Roman"/>
              </w:rPr>
            </w:pPr>
            <w:r w:rsidRPr="005A615E">
              <w:rPr>
                <w:rFonts w:ascii="Times New Roman" w:hAnsi="Times New Roman"/>
              </w:rPr>
              <w:t>Не зрозуміло, що саме є середнім рівнем напруги трансформаторних підстанцій (якщо це трансформаторні підстанції 10/0,4 кВ).</w:t>
            </w:r>
          </w:p>
          <w:p w:rsidR="00CF2AC1" w:rsidRPr="005A615E" w:rsidRDefault="00CF2AC1" w:rsidP="00CF2AC1">
            <w:pPr>
              <w:jc w:val="both"/>
              <w:rPr>
                <w:rFonts w:ascii="Times New Roman" w:hAnsi="Times New Roman"/>
              </w:rPr>
            </w:pPr>
            <w:r w:rsidRPr="005A615E">
              <w:rPr>
                <w:rFonts w:ascii="Times New Roman" w:hAnsi="Times New Roman"/>
              </w:rPr>
              <w:t>Пропонуємо розробити методологію визначення та фіксування критеріїв та методів розрахунку планів заходів із забезпечення достовірності даних для здійснення моніторингу якості послуг.</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ind w:firstLine="312"/>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567"/>
              <w:jc w:val="both"/>
              <w:rPr>
                <w:rFonts w:ascii="Times New Roman" w:hAnsi="Times New Roman"/>
                <w:bCs/>
                <w:lang w:eastAsia="uk-UA"/>
              </w:rPr>
            </w:pPr>
            <w:r w:rsidRPr="005A615E">
              <w:rPr>
                <w:rFonts w:ascii="Times New Roman" w:hAnsi="Times New Roman"/>
                <w:b/>
                <w:bCs/>
                <w:lang w:eastAsia="uk-UA"/>
              </w:rPr>
              <w:t>1) розробку та виконання плану заходів із забезпечення достовірності даних для здійснення моніторингу якості послуг в межах джерел фінансування інвестиційних програм заходів І розділу.</w:t>
            </w:r>
            <w:r w:rsidRPr="005A615E">
              <w:rPr>
                <w:rFonts w:ascii="Times New Roman" w:hAnsi="Times New Roman"/>
                <w:bCs/>
                <w:lang w:eastAsia="uk-UA"/>
              </w:rPr>
              <w:t xml:space="preserve"> </w:t>
            </w:r>
          </w:p>
          <w:p w:rsidR="00CF2AC1" w:rsidRPr="005A615E" w:rsidRDefault="00CF2AC1" w:rsidP="00CF2AC1">
            <w:pPr>
              <w:jc w:val="both"/>
              <w:rPr>
                <w:rFonts w:ascii="Times New Roman" w:hAnsi="Times New Roman"/>
                <w:b/>
                <w:sz w:val="24"/>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b/>
                <w:bCs/>
              </w:rPr>
            </w:pPr>
            <w:r w:rsidRPr="005A615E">
              <w:rPr>
                <w:rFonts w:ascii="Times New Roman" w:hAnsi="Times New Roman"/>
                <w:bCs/>
              </w:rPr>
              <w:t xml:space="preserve">Проведення заходів з достовірності даних щодо відключення споживачів на об’єктах електричних мереж напругою 0,4 кВ трансформаторних підстанцій на даний час є недоцільним, оскільки існуючий технічний стан мереж не забезпечує можливості </w:t>
            </w:r>
            <w:r w:rsidRPr="005A615E">
              <w:rPr>
                <w:rFonts w:ascii="Times New Roman" w:hAnsi="Times New Roman"/>
                <w:bCs/>
              </w:rPr>
              <w:lastRenderedPageBreak/>
              <w:t xml:space="preserve">отримання достовірної інформації в дистанційному режимі. Для реалізації зазначеного заходу необхідно виконати реконструкцію електричних мереж із впровадженням засобів телесигналізації та телеуправління комутаційними апаратами комплектних трансформаторних підстанцій (КТП). Виконання вказаних робіт потребує додаткового фінансування, пов’язаного з реконструкцією КТП, придбанням і встановленням відповідного обладнання, а також проведенням пусконалагоджувальних робіт. </w:t>
            </w:r>
            <w:r w:rsidRPr="005A615E">
              <w:rPr>
                <w:rFonts w:ascii="Times New Roman" w:hAnsi="Times New Roman"/>
                <w:b/>
                <w:bCs/>
              </w:rPr>
              <w:t>У зв’язку з викладеним виконання заходів достовірності зазначених даних може бути виконаним після розробки плану заходів та відповідних джерел фінансування ІП в повному об’ємі.</w:t>
            </w:r>
          </w:p>
          <w:p w:rsidR="00CF2AC1" w:rsidRPr="005A615E" w:rsidRDefault="00CF2AC1" w:rsidP="00CF2AC1">
            <w:pPr>
              <w:jc w:val="both"/>
              <w:rPr>
                <w:rFonts w:ascii="Times New Roman" w:hAnsi="Times New Roman"/>
                <w:b/>
                <w:iCs/>
                <w:strike/>
                <w:lang w:eastAsia="ru-RU"/>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jc w:val="both"/>
              <w:rPr>
                <w:rFonts w:ascii="Times New Roman" w:hAnsi="Times New Roman"/>
                <w:b/>
                <w:iCs/>
                <w:strike/>
                <w:lang w:eastAsia="ru-RU"/>
              </w:rPr>
            </w:pPr>
            <w:r w:rsidRPr="005A615E">
              <w:rPr>
                <w:rFonts w:ascii="Times New Roman" w:hAnsi="Times New Roman" w:cs="Times New Roman"/>
                <w:shd w:val="clear" w:color="auto" w:fill="FFFFFF"/>
              </w:rPr>
              <w:t>Перед початком другого регуляторного періоду необхідно визначити та зафіксувати  критерії та підходи до плану заходів із забезпечення достовірності даних для здійснення моніторингу якості послуг.</w:t>
            </w:r>
          </w:p>
        </w:tc>
        <w:tc>
          <w:tcPr>
            <w:tcW w:w="3969" w:type="dxa"/>
            <w:gridSpan w:val="2"/>
          </w:tcPr>
          <w:p w:rsidR="00CF2AC1" w:rsidRPr="005A615E" w:rsidRDefault="00641736" w:rsidP="00CF2AC1">
            <w:pPr>
              <w:rPr>
                <w:rFonts w:ascii="Times New Roman" w:hAnsi="Times New Roman"/>
                <w:b/>
                <w:sz w:val="24"/>
              </w:rPr>
            </w:pPr>
            <w:r w:rsidRPr="005A615E">
              <w:rPr>
                <w:rFonts w:ascii="Times New Roman" w:hAnsi="Times New Roman"/>
                <w:b/>
                <w:sz w:val="24"/>
              </w:rPr>
              <w:lastRenderedPageBreak/>
              <w:t>Не вразовано</w:t>
            </w:r>
          </w:p>
          <w:p w:rsidR="00641736" w:rsidRPr="005A615E" w:rsidRDefault="00641736" w:rsidP="00CF2AC1">
            <w:pPr>
              <w:rPr>
                <w:rFonts w:ascii="Times New Roman" w:hAnsi="Times New Roman"/>
                <w:b/>
                <w:sz w:val="24"/>
              </w:rPr>
            </w:pPr>
            <w:r w:rsidRPr="005A615E">
              <w:rPr>
                <w:rFonts w:ascii="Times New Roman" w:hAnsi="Times New Roman"/>
                <w:b/>
                <w:sz w:val="24"/>
              </w:rPr>
              <w:t>Недостатньо обгрунтована позиція</w:t>
            </w:r>
          </w:p>
        </w:tc>
      </w:tr>
      <w:tr w:rsidR="00CF2AC1" w:rsidRPr="005A615E" w:rsidTr="00A56FEE">
        <w:tc>
          <w:tcPr>
            <w:tcW w:w="6232" w:type="dxa"/>
          </w:tcPr>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lastRenderedPageBreak/>
              <w:t>3. Протягом другого регуляторного періоду ліцензіат має забезпечувати:</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2) 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w:t>
            </w:r>
          </w:p>
          <w:p w:rsidR="00CF2AC1" w:rsidRPr="005A615E" w:rsidRDefault="00CF2AC1" w:rsidP="00CF2AC1">
            <w:pPr>
              <w:ind w:firstLine="180"/>
              <w:jc w:val="both"/>
              <w:rPr>
                <w:rFonts w:ascii="Times New Roman" w:hAnsi="Times New Roman"/>
                <w:b/>
              </w:rPr>
            </w:pPr>
            <w:r w:rsidRPr="005A615E">
              <w:rPr>
                <w:rFonts w:ascii="Times New Roman" w:hAnsi="Times New Roman"/>
                <w:b/>
              </w:rPr>
              <w:t>…</w:t>
            </w:r>
          </w:p>
        </w:tc>
        <w:tc>
          <w:tcPr>
            <w:tcW w:w="5387" w:type="dxa"/>
          </w:tcPr>
          <w:p w:rsidR="00CF2AC1" w:rsidRPr="005A615E" w:rsidRDefault="00CF2AC1" w:rsidP="00CF2AC1">
            <w:pPr>
              <w:jc w:val="both"/>
              <w:rPr>
                <w:rFonts w:ascii="Times New Roman" w:hAnsi="Times New Roman"/>
                <w:b/>
                <w:sz w:val="24"/>
                <w:szCs w:val="24"/>
                <w:u w:val="single"/>
              </w:rPr>
            </w:pPr>
            <w:r w:rsidRPr="005A615E">
              <w:rPr>
                <w:rFonts w:ascii="Times New Roman" w:hAnsi="Times New Roman"/>
                <w:b/>
                <w:sz w:val="24"/>
                <w:szCs w:val="24"/>
                <w:u w:val="single"/>
              </w:rPr>
              <w:t xml:space="preserve">АТ «Миколаївобленерго» (лист </w:t>
            </w:r>
            <w:r w:rsidRPr="005A615E">
              <w:rPr>
                <w:rFonts w:ascii="Times New Roman" w:hAnsi="Times New Roman"/>
                <w:b/>
                <w:sz w:val="24"/>
                <w:szCs w:val="24"/>
                <w:u w:val="single"/>
              </w:rPr>
              <w:br/>
              <w:t>від 17.07.2026 № 01/01-21-4091)</w:t>
            </w:r>
          </w:p>
          <w:p w:rsidR="00CF2AC1" w:rsidRPr="005A615E" w:rsidRDefault="00CF2AC1" w:rsidP="00CF2AC1">
            <w:pPr>
              <w:ind w:firstLine="181"/>
              <w:jc w:val="both"/>
              <w:rPr>
                <w:rFonts w:ascii="Times New Roman" w:hAnsi="Times New Roman"/>
                <w:lang w:eastAsia="ru-RU"/>
              </w:rPr>
            </w:pPr>
            <w:r w:rsidRPr="005A615E">
              <w:rPr>
                <w:rFonts w:ascii="Times New Roman" w:hAnsi="Times New Roman"/>
                <w:bCs/>
                <w:lang w:eastAsia="ru-RU"/>
              </w:rPr>
              <w:t>3. Протягом другого регуляторного періоду ліцензіат має забезпечувати:</w:t>
            </w:r>
          </w:p>
          <w:p w:rsidR="00CF2AC1" w:rsidRPr="005A615E" w:rsidRDefault="00CF2AC1" w:rsidP="00CF2AC1">
            <w:pPr>
              <w:ind w:firstLine="181"/>
              <w:jc w:val="both"/>
              <w:rPr>
                <w:rFonts w:ascii="Times New Roman" w:hAnsi="Times New Roman"/>
                <w:b/>
                <w:bCs/>
                <w:lang w:eastAsia="ru-RU"/>
              </w:rPr>
            </w:pPr>
            <w:r w:rsidRPr="005A615E">
              <w:rPr>
                <w:rFonts w:ascii="Times New Roman" w:hAnsi="Times New Roman"/>
                <w:bCs/>
                <w:lang w:eastAsia="ru-RU"/>
              </w:rPr>
              <w:t xml:space="preserve">2) 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 </w:t>
            </w:r>
            <w:r w:rsidRPr="005A615E">
              <w:rPr>
                <w:rFonts w:ascii="Times New Roman" w:hAnsi="Times New Roman"/>
                <w:b/>
                <w:bCs/>
                <w:lang w:eastAsia="ru-RU"/>
              </w:rPr>
              <w:lastRenderedPageBreak/>
              <w:t>(крім ОСР, перелік яких наведено у додатку 34 до Порядку встановлення (формування тарифів), на період дії військового стану);</w:t>
            </w:r>
          </w:p>
          <w:p w:rsidR="00CF2AC1" w:rsidRPr="005A615E" w:rsidRDefault="00CF2AC1" w:rsidP="00CF2AC1">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Не застосовувати вимоги зазначених пунктів до ОСР,</w:t>
            </w:r>
            <w:r w:rsidRPr="005A615E">
              <w:rPr>
                <w:rFonts w:ascii="Times New Roman" w:hAnsi="Times New Roman"/>
                <w:bCs/>
                <w:lang w:eastAsia="ru-RU"/>
              </w:rPr>
              <w:t xml:space="preserve"> перелік яких наведено у додатку 34 до Порядку встановлення (формування тарифів)</w:t>
            </w:r>
            <w:r w:rsidRPr="005A615E">
              <w:rPr>
                <w:rFonts w:ascii="Times New Roman" w:hAnsi="Times New Roman"/>
              </w:rPr>
              <w:t>, на час дії військового стану з наступних причин:</w:t>
            </w:r>
          </w:p>
          <w:p w:rsidR="00CF2AC1" w:rsidRPr="005A615E" w:rsidRDefault="00CF2AC1" w:rsidP="00CF2AC1">
            <w:pPr>
              <w:pStyle w:val="a5"/>
              <w:numPr>
                <w:ilvl w:val="0"/>
                <w:numId w:val="3"/>
              </w:numPr>
              <w:suppressAutoHyphens w:val="0"/>
              <w:jc w:val="both"/>
              <w:rPr>
                <w:rFonts w:ascii="Times New Roman" w:hAnsi="Times New Roman"/>
                <w:sz w:val="22"/>
                <w:szCs w:val="22"/>
                <w:lang w:val="uk-UA"/>
              </w:rPr>
            </w:pPr>
            <w:r w:rsidRPr="005A615E">
              <w:rPr>
                <w:rFonts w:ascii="Times New Roman" w:hAnsi="Times New Roman"/>
                <w:sz w:val="22"/>
                <w:szCs w:val="22"/>
                <w:lang w:val="uk-UA"/>
              </w:rPr>
              <w:t>Неможливість забезпечити фінансування заходів через направлення більшої частини грошових коштів на відновлення електричних мереж, пошкоджених внаслідок бойових дій.</w:t>
            </w:r>
          </w:p>
          <w:p w:rsidR="00CF2AC1" w:rsidRPr="005A615E" w:rsidRDefault="00CF2AC1" w:rsidP="00CF2AC1">
            <w:pPr>
              <w:pStyle w:val="a5"/>
              <w:numPr>
                <w:ilvl w:val="0"/>
                <w:numId w:val="3"/>
              </w:numPr>
              <w:suppressAutoHyphens w:val="0"/>
              <w:ind w:left="0" w:firstLine="321"/>
              <w:jc w:val="both"/>
              <w:rPr>
                <w:rFonts w:ascii="Times New Roman" w:hAnsi="Times New Roman"/>
                <w:sz w:val="22"/>
                <w:szCs w:val="22"/>
                <w:lang w:val="uk-UA"/>
              </w:rPr>
            </w:pPr>
            <w:r w:rsidRPr="005A615E">
              <w:rPr>
                <w:rFonts w:ascii="Times New Roman" w:hAnsi="Times New Roman"/>
                <w:sz w:val="22"/>
                <w:szCs w:val="22"/>
                <w:lang w:val="uk-UA"/>
              </w:rPr>
              <w:t>Неможливість забезпечення повноти та безперервності даних моніторингу показників якості електричної енергії через застосування заходів з обмеження електричної потужності, а також військовими заходами з відбиття повітряних атак ворога (застосування РЕБ).</w:t>
            </w:r>
          </w:p>
          <w:p w:rsidR="00CF2AC1" w:rsidRPr="005A615E" w:rsidRDefault="00CF2AC1" w:rsidP="00CF2AC1">
            <w:pPr>
              <w:pStyle w:val="a5"/>
              <w:numPr>
                <w:ilvl w:val="0"/>
                <w:numId w:val="3"/>
              </w:numPr>
              <w:suppressAutoHyphens w:val="0"/>
              <w:ind w:left="0" w:firstLine="321"/>
              <w:jc w:val="both"/>
              <w:rPr>
                <w:rFonts w:ascii="Times New Roman" w:hAnsi="Times New Roman"/>
                <w:sz w:val="22"/>
                <w:szCs w:val="22"/>
              </w:rPr>
            </w:pPr>
            <w:r w:rsidRPr="005A615E">
              <w:rPr>
                <w:rFonts w:ascii="Times New Roman" w:hAnsi="Times New Roman"/>
                <w:sz w:val="22"/>
                <w:szCs w:val="22"/>
              </w:rPr>
              <w:t>Неможливість забезпечити належну безпеку персоналу під час виконання робіт з впровадження заходів  та відновлення через постійні ворожі атаки.</w:t>
            </w:r>
          </w:p>
          <w:p w:rsidR="00CF2AC1" w:rsidRPr="005A615E" w:rsidRDefault="00CF2AC1" w:rsidP="00CF2AC1">
            <w:pPr>
              <w:pStyle w:val="a5"/>
              <w:numPr>
                <w:ilvl w:val="0"/>
                <w:numId w:val="3"/>
              </w:numPr>
              <w:suppressAutoHyphens w:val="0"/>
              <w:ind w:left="0" w:firstLine="321"/>
              <w:jc w:val="both"/>
              <w:rPr>
                <w:rFonts w:ascii="Times New Roman" w:hAnsi="Times New Roman"/>
                <w:sz w:val="22"/>
                <w:szCs w:val="22"/>
              </w:rPr>
            </w:pPr>
            <w:r w:rsidRPr="005A615E">
              <w:rPr>
                <w:rFonts w:ascii="Times New Roman" w:hAnsi="Times New Roman"/>
                <w:sz w:val="22"/>
                <w:szCs w:val="22"/>
              </w:rPr>
              <w:t>Пошкодження та знищення обладнання внаслідок ворожих атак, неможливість оперативного відновлення в зоні бойових дій унеможливлюють забезпечення критерію достовірності даних для моніторингу якості послуг.</w:t>
            </w:r>
          </w:p>
          <w:p w:rsidR="00CF2AC1" w:rsidRPr="005A615E" w:rsidRDefault="00CF2AC1" w:rsidP="00CF2AC1">
            <w:pPr>
              <w:jc w:val="both"/>
              <w:rPr>
                <w:rFonts w:ascii="Times New Roman" w:hAnsi="Times New Roman"/>
                <w:b/>
                <w:sz w:val="24"/>
                <w:u w:val="single"/>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 xml:space="preserve">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w:t>
            </w:r>
            <w:r w:rsidRPr="005A615E">
              <w:rPr>
                <w:rFonts w:ascii="Times New Roman" w:hAnsi="Times New Roman"/>
                <w:b/>
                <w:sz w:val="24"/>
                <w:u w:val="single"/>
              </w:rPr>
              <w:lastRenderedPageBreak/>
              <w:t xml:space="preserve">від 24.07.2026  № 24-07/1), АТ «Харківобленерго» (лист від 27.07.2026 № 02-34/7102), АТ «УКРАЇНСЬКІ РОЗПОДІЛЬНІ МЕРЕЖІ» (лист від 27.07.2026 № 27/07/26-2), АТ «Прикарпаттяобленерго» (лист </w:t>
            </w:r>
            <w:r w:rsidRPr="005A615E">
              <w:rPr>
                <w:rFonts w:ascii="Times New Roman" w:hAnsi="Times New Roman"/>
                <w:b/>
                <w:sz w:val="24"/>
                <w:u w:val="single"/>
              </w:rPr>
              <w:br/>
              <w:t xml:space="preserve">від 27.07.2026 № 50012257/12), ПрАТ «Львівобленерго» (лист </w:t>
            </w:r>
            <w:r w:rsidRPr="005A615E">
              <w:rPr>
                <w:rFonts w:ascii="Times New Roman" w:hAnsi="Times New Roman"/>
                <w:b/>
                <w:sz w:val="24"/>
                <w:u w:val="single"/>
              </w:rPr>
              <w:br/>
              <w:t>від 27.07.2026 № 122-07-5357), 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jc w:val="both"/>
              <w:rPr>
                <w:rFonts w:ascii="Times New Roman" w:hAnsi="Times New Roman"/>
                <w:b/>
                <w:sz w:val="24"/>
                <w:u w:val="single"/>
              </w:rPr>
            </w:pPr>
          </w:p>
          <w:p w:rsidR="00CF2AC1" w:rsidRPr="005A615E" w:rsidRDefault="00CF2AC1" w:rsidP="00CF2AC1">
            <w:pPr>
              <w:ind w:firstLine="180"/>
              <w:jc w:val="both"/>
              <w:rPr>
                <w:rFonts w:ascii="Times New Roman" w:hAnsi="Times New Roman"/>
                <w:bCs/>
                <w:strike/>
                <w:lang w:eastAsia="uk-UA"/>
              </w:rPr>
            </w:pPr>
            <w:r w:rsidRPr="005A615E">
              <w:rPr>
                <w:rFonts w:ascii="Times New Roman" w:hAnsi="Times New Roman"/>
                <w:bCs/>
                <w:strike/>
                <w:lang w:eastAsia="uk-UA"/>
              </w:rPr>
              <w:t>2) 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w:t>
            </w:r>
          </w:p>
          <w:p w:rsidR="00CF2AC1" w:rsidRPr="005A615E" w:rsidRDefault="00CF2AC1" w:rsidP="00CF2AC1">
            <w:r w:rsidRPr="005A615E">
              <w:rPr>
                <w:b/>
                <w:i/>
                <w:u w:val="single"/>
              </w:rPr>
              <w:t>Обгрунтування</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В обґрунтуванні до змін в 1009 запропоновано виключити ці показники у зв’язку з тим, що вони  регулюються іншими постановами НКРЕКП. За недостовірність або порушення  передбачені штрафні санкції.</w:t>
            </w:r>
          </w:p>
          <w:p w:rsidR="00CF2AC1" w:rsidRPr="005A615E" w:rsidRDefault="00CF2AC1" w:rsidP="00CF2AC1">
            <w:pPr>
              <w:ind w:firstLine="180"/>
              <w:jc w:val="both"/>
              <w:rPr>
                <w:rFonts w:ascii="Times New Roman" w:hAnsi="Times New Roman"/>
                <w:shd w:val="clear" w:color="auto" w:fill="FFFFFF"/>
              </w:rPr>
            </w:pPr>
            <w:r w:rsidRPr="005A615E">
              <w:rPr>
                <w:rFonts w:ascii="Times New Roman" w:hAnsi="Times New Roman"/>
                <w:shd w:val="clear" w:color="auto" w:fill="FFFFFF"/>
              </w:rPr>
              <w:t>Додаткова фіксація показників якості у нормативних документах інших документах НКРЕКП призведе до подвоєння штрафів за однакові порушення.</w:t>
            </w:r>
          </w:p>
          <w:p w:rsidR="00CF2AC1" w:rsidRPr="005A615E" w:rsidRDefault="00CF2AC1" w:rsidP="00CF2AC1">
            <w:pPr>
              <w:ind w:left="35"/>
              <w:jc w:val="both"/>
              <w:rPr>
                <w:rFonts w:ascii="Times New Roman" w:hAnsi="Times New Roman"/>
                <w:shd w:val="clear" w:color="auto" w:fill="FFFFFF"/>
              </w:rPr>
            </w:pPr>
            <w:r w:rsidRPr="005A615E">
              <w:rPr>
                <w:rFonts w:ascii="Times New Roman" w:hAnsi="Times New Roman"/>
                <w:shd w:val="clear" w:color="auto" w:fill="FFFFFF"/>
              </w:rPr>
              <w:t xml:space="preserve">Крім того, вимоги до якості напруги та дотримання строків розгляду скарг уже детально регламентовані Кодексом систем розподілу (постанова № 310 від 14.03.2018) та Постановою № 375 «Про затвердження Порядку забезпечення стандартів якості </w:t>
            </w:r>
            <w:r w:rsidRPr="005A615E">
              <w:rPr>
                <w:rFonts w:ascii="Times New Roman" w:hAnsi="Times New Roman"/>
                <w:shd w:val="clear" w:color="auto" w:fill="FFFFFF"/>
              </w:rPr>
              <w:lastRenderedPageBreak/>
              <w:t>електропостачання та надання компенсацій споживачам за їх недотримання».</w:t>
            </w:r>
          </w:p>
          <w:p w:rsidR="00CF2AC1" w:rsidRPr="005A615E" w:rsidRDefault="00CF2AC1" w:rsidP="00CF2AC1">
            <w:pPr>
              <w:ind w:left="35"/>
              <w:jc w:val="both"/>
              <w:rPr>
                <w:rFonts w:ascii="Times New Roman" w:hAnsi="Times New Roman"/>
                <w:shd w:val="clear" w:color="auto" w:fill="FFFFFF"/>
              </w:rPr>
            </w:pPr>
            <w:r w:rsidRPr="005A615E">
              <w:rPr>
                <w:rFonts w:ascii="Times New Roman" w:hAnsi="Times New Roman"/>
                <w:shd w:val="clear" w:color="auto" w:fill="FFFFFF"/>
              </w:rPr>
              <w:t>За неналежне виконання цих вимог чи подання недостовірних даних законодавством уже передбачено штрафи (Законом України "Про ринок електричної енергії" та Ліцензійними умовами провадження господарської діяльності з розподілу електричної енергії для ОСР від 27 грудня 2017 року № 1468).</w:t>
            </w:r>
          </w:p>
          <w:p w:rsidR="00CF2AC1" w:rsidRPr="005A615E" w:rsidRDefault="00CF2AC1" w:rsidP="00CF2AC1">
            <w:pPr>
              <w:ind w:left="35" w:firstLine="180"/>
              <w:jc w:val="both"/>
              <w:rPr>
                <w:rFonts w:ascii="Times New Roman" w:hAnsi="Times New Roman"/>
                <w:bCs/>
                <w:strike/>
                <w:lang w:eastAsia="uk-UA"/>
              </w:rPr>
            </w:pPr>
            <w:r w:rsidRPr="005A615E">
              <w:rPr>
                <w:rFonts w:ascii="Times New Roman" w:hAnsi="Times New Roman"/>
                <w:shd w:val="clear" w:color="auto" w:fill="FFFFFF"/>
              </w:rPr>
              <w:t>Пропонується виключити даний показник з проєкту Постанови № 1029, оскільки цей механізм контролю вже повноцінно діє в інших постановах НКРЕКП.</w:t>
            </w:r>
          </w:p>
          <w:p w:rsidR="00CF2AC1" w:rsidRPr="005A615E" w:rsidRDefault="00CF2AC1" w:rsidP="00CF2AC1">
            <w:pPr>
              <w:ind w:firstLine="180"/>
              <w:jc w:val="both"/>
              <w:rPr>
                <w:rFonts w:ascii="Times New Roman" w:hAnsi="Times New Roman"/>
                <w:bCs/>
                <w:strike/>
                <w:lang w:eastAsia="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ind w:firstLine="180"/>
              <w:contextualSpacing/>
              <w:jc w:val="both"/>
              <w:rPr>
                <w:rFonts w:ascii="Times New Roman" w:hAnsi="Times New Roman"/>
                <w:bCs/>
                <w:lang w:eastAsia="uk-UA"/>
              </w:rPr>
            </w:pPr>
            <w:r w:rsidRPr="005A615E">
              <w:rPr>
                <w:rFonts w:ascii="Times New Roman" w:hAnsi="Times New Roman"/>
                <w:bCs/>
                <w:lang w:eastAsia="uk-UA"/>
              </w:rPr>
              <w:t xml:space="preserve">2) розробку та реалізацію плану заходів із забезпечення достовірності, повноти та безперервності даних, необхідних для здійснення </w:t>
            </w:r>
            <w:r w:rsidRPr="005A615E">
              <w:rPr>
                <w:rFonts w:ascii="Times New Roman" w:hAnsi="Times New Roman"/>
                <w:b/>
                <w:bCs/>
                <w:strike/>
                <w:lang w:eastAsia="uk-UA"/>
              </w:rPr>
              <w:t>моніторингу показників якості електричної енергії</w:t>
            </w:r>
            <w:r w:rsidRPr="005A615E">
              <w:rPr>
                <w:rFonts w:ascii="Times New Roman" w:hAnsi="Times New Roman"/>
                <w:b/>
                <w:bCs/>
                <w:lang w:eastAsia="uk-UA"/>
              </w:rPr>
              <w:t xml:space="preserve"> контролю та вимірювання параметрів рівня та змінення напруги, шляхом створення та впровадження системи </w:t>
            </w:r>
            <w:r w:rsidRPr="005A615E">
              <w:rPr>
                <w:rFonts w:ascii="Times New Roman" w:hAnsi="Times New Roman"/>
                <w:bCs/>
                <w:strike/>
                <w:lang w:eastAsia="uk-UA"/>
              </w:rPr>
              <w:t>моніторингу показників</w:t>
            </w:r>
            <w:r w:rsidRPr="005A615E">
              <w:rPr>
                <w:rFonts w:ascii="Times New Roman" w:hAnsi="Times New Roman"/>
                <w:b/>
                <w:bCs/>
                <w:lang w:eastAsia="uk-UA"/>
              </w:rPr>
              <w:t xml:space="preserve"> індикації показника якості електричної енергії – змінення </w:t>
            </w:r>
            <w:r w:rsidRPr="005A615E">
              <w:rPr>
                <w:rFonts w:ascii="Times New Roman" w:hAnsi="Times New Roman"/>
                <w:b/>
                <w:bCs/>
                <w:strike/>
                <w:lang w:eastAsia="uk-UA"/>
              </w:rPr>
              <w:t xml:space="preserve"> </w:t>
            </w:r>
            <w:r w:rsidRPr="005A615E">
              <w:rPr>
                <w:rFonts w:ascii="Times New Roman" w:hAnsi="Times New Roman"/>
                <w:bCs/>
                <w:strike/>
                <w:lang w:eastAsia="uk-UA"/>
              </w:rPr>
              <w:t>(</w:t>
            </w:r>
            <w:r w:rsidRPr="005A615E">
              <w:rPr>
                <w:rFonts w:ascii="Times New Roman" w:hAnsi="Times New Roman"/>
                <w:b/>
                <w:bCs/>
                <w:lang w:eastAsia="uk-UA"/>
              </w:rPr>
              <w:t>рівня напруги електропостачання</w:t>
            </w:r>
            <w:r w:rsidRPr="005A615E">
              <w:rPr>
                <w:rFonts w:ascii="Times New Roman" w:hAnsi="Times New Roman"/>
                <w:bCs/>
                <w:strike/>
                <w:lang w:eastAsia="uk-UA"/>
              </w:rPr>
              <w:t xml:space="preserve">) </w:t>
            </w:r>
            <w:r w:rsidRPr="005A615E">
              <w:rPr>
                <w:rFonts w:ascii="Times New Roman" w:hAnsi="Times New Roman"/>
                <w:b/>
                <w:bCs/>
                <w:lang w:eastAsia="uk-UA"/>
              </w:rPr>
              <w:t>;</w:t>
            </w:r>
          </w:p>
          <w:p w:rsidR="00CF2AC1" w:rsidRPr="005A615E" w:rsidRDefault="00CF2AC1" w:rsidP="00CF2AC1">
            <w:pPr>
              <w:jc w:val="both"/>
              <w:rPr>
                <w:rFonts w:ascii="Times New Roman" w:hAnsi="Times New Roman"/>
                <w:b/>
                <w:sz w:val="24"/>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uppressAutoHyphens/>
              <w:ind w:firstLine="510"/>
              <w:jc w:val="both"/>
              <w:rPr>
                <w:rFonts w:ascii="Times New Roman" w:hAnsi="Times New Roman"/>
                <w:lang w:eastAsia="ar-SA"/>
              </w:rPr>
            </w:pPr>
            <w:r w:rsidRPr="005A615E">
              <w:rPr>
                <w:rFonts w:ascii="Times New Roman" w:hAnsi="Times New Roman"/>
                <w:lang w:eastAsia="ar-SA"/>
              </w:rPr>
              <w:t xml:space="preserve">Система моніторингу показників якості електропостачання повинна базуватися на сертифікованих під ці цілі приладах (наприклад аналізатори якості електричної енергії) та включати до вимірювання багато різних параметрів напруги як безперервних явищ, так і раптових подій. Це досить дорого вартісні прилади і їх облаштування </w:t>
            </w:r>
            <w:r w:rsidRPr="005A615E">
              <w:rPr>
                <w:rFonts w:ascii="Times New Roman" w:hAnsi="Times New Roman"/>
                <w:lang w:eastAsia="ar-SA"/>
              </w:rPr>
              <w:lastRenderedPageBreak/>
              <w:t xml:space="preserve">потребуватиме невиправдано великий інвестицій в даний напрямок, який не буде сам по собі усувати причини неякісного електропостачання. </w:t>
            </w:r>
          </w:p>
          <w:p w:rsidR="00CF2AC1" w:rsidRPr="005A615E" w:rsidRDefault="00CF2AC1" w:rsidP="00CF2AC1">
            <w:pPr>
              <w:suppressAutoHyphens/>
              <w:ind w:firstLine="510"/>
              <w:jc w:val="both"/>
              <w:rPr>
                <w:rFonts w:ascii="Times New Roman" w:hAnsi="Times New Roman"/>
                <w:lang w:eastAsia="ar-SA"/>
              </w:rPr>
            </w:pPr>
            <w:r w:rsidRPr="005A615E">
              <w:rPr>
                <w:rFonts w:ascii="Times New Roman" w:hAnsi="Times New Roman"/>
                <w:lang w:eastAsia="ar-SA"/>
              </w:rPr>
              <w:t>Таким чином пропонується проваджувати на базі відносно недорогих пристроїв як додаткову функцію в рамках розробки та виконання плану заходів із забезпечення достовірності даних для здійснення моніторингу якості послуг, у якому буде передбачено встановлення обладнання для автоматичної реєстрації відключень на вводах 0,4 (0,23) кВ трансформаторних підстанцій середнього рівня напруги.</w:t>
            </w:r>
          </w:p>
          <w:p w:rsidR="00CF2AC1" w:rsidRPr="005A615E" w:rsidRDefault="00CF2AC1" w:rsidP="00CF2AC1">
            <w:pPr>
              <w:suppressAutoHyphens/>
              <w:ind w:firstLine="510"/>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«ЧЕРНІГІВОБЛЕНЕРГО» (лист від 24.07.2026 № 49/9422/01-14)</w:t>
            </w:r>
          </w:p>
          <w:p w:rsidR="00CF2AC1" w:rsidRPr="005A615E" w:rsidRDefault="00CF2AC1" w:rsidP="00CF2AC1">
            <w:pPr>
              <w:autoSpaceDE w:val="0"/>
              <w:autoSpaceDN w:val="0"/>
              <w:adjustRightInd w:val="0"/>
              <w:jc w:val="both"/>
              <w:rPr>
                <w:rFonts w:ascii="Times New Roman" w:eastAsia="Times New Roman" w:hAnsi="Times New Roman"/>
                <w:lang w:eastAsia="uk-UA"/>
              </w:rPr>
            </w:pPr>
            <w:r w:rsidRPr="005A615E">
              <w:rPr>
                <w:rFonts w:ascii="Times New Roman" w:eastAsia="Times New Roman" w:hAnsi="Times New Roman"/>
                <w:lang w:eastAsia="uk-UA"/>
              </w:rPr>
              <w:t>3. Протягом другого регуляторного періоду ліцензіат має забезпечувати:</w:t>
            </w:r>
          </w:p>
          <w:p w:rsidR="00CF2AC1" w:rsidRPr="005A615E" w:rsidRDefault="00CF2AC1" w:rsidP="00CF2AC1">
            <w:pPr>
              <w:autoSpaceDE w:val="0"/>
              <w:autoSpaceDN w:val="0"/>
              <w:adjustRightInd w:val="0"/>
              <w:jc w:val="both"/>
              <w:rPr>
                <w:rFonts w:ascii="Times New Roman" w:eastAsia="Times New Roman" w:hAnsi="Times New Roman"/>
                <w:lang w:eastAsia="uk-UA"/>
              </w:rPr>
            </w:pPr>
            <w:r w:rsidRPr="005A615E">
              <w:rPr>
                <w:rFonts w:ascii="Times New Roman" w:eastAsia="Times New Roman" w:hAnsi="Times New Roman"/>
                <w:lang w:eastAsia="uk-UA"/>
              </w:rPr>
              <w:t>…</w:t>
            </w:r>
          </w:p>
          <w:p w:rsidR="00CF2AC1" w:rsidRPr="005A615E" w:rsidRDefault="00CF2AC1" w:rsidP="00CF2AC1">
            <w:pPr>
              <w:autoSpaceDE w:val="0"/>
              <w:autoSpaceDN w:val="0"/>
              <w:adjustRightInd w:val="0"/>
              <w:jc w:val="both"/>
              <w:rPr>
                <w:rFonts w:ascii="Times New Roman" w:eastAsia="Times New Roman" w:hAnsi="Times New Roman"/>
                <w:lang w:eastAsia="uk-UA"/>
              </w:rPr>
            </w:pPr>
            <w:r w:rsidRPr="005A615E">
              <w:rPr>
                <w:rFonts w:ascii="Times New Roman" w:eastAsia="Times New Roman" w:hAnsi="Times New Roman"/>
                <w:lang w:eastAsia="uk-UA"/>
              </w:rPr>
              <w:t>2) 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w:t>
            </w:r>
            <w:r w:rsidRPr="005A615E">
              <w:rPr>
                <w:rFonts w:ascii="Times New Roman" w:hAnsi="Times New Roman"/>
                <w:b/>
                <w:bCs/>
                <w:u w:val="single"/>
              </w:rPr>
              <w:t xml:space="preserve"> (виконання після завершення військового стану та реалізації пріоритетних заходів з відновлення енергооб'єктів</w:t>
            </w:r>
            <w:r w:rsidRPr="005A615E">
              <w:rPr>
                <w:rFonts w:ascii="Times New Roman" w:hAnsi="Times New Roman"/>
                <w:b/>
                <w:bCs/>
              </w:rPr>
              <w:t>)</w:t>
            </w:r>
            <w:r w:rsidRPr="005A615E">
              <w:rPr>
                <w:rFonts w:ascii="Times New Roman" w:eastAsia="Times New Roman" w:hAnsi="Times New Roman"/>
                <w:lang w:eastAsia="uk-UA"/>
              </w:rPr>
              <w:t>;</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Пріоритетним завданням для АТ "ЧЕРНІГІВОБЛЕНЕРГО" є реалізація заходів з відновлення об'єктів електричних мереж всіх класів напруги, що були пошкоджені внаслідок ракетно-дронових атак країни-агресора рф. Реалізація заходів з відновлення потребує значних капіталовкладень. Враховуючи вищевикладене, впровадження заходів із забезпечення достовірності даних для здійснення </w:t>
            </w:r>
            <w:r w:rsidRPr="005A615E">
              <w:rPr>
                <w:rFonts w:ascii="Times New Roman" w:hAnsi="Times New Roman"/>
              </w:rPr>
              <w:lastRenderedPageBreak/>
              <w:t xml:space="preserve">моніторингу якості послуг, що передбачатимуть встановлення обладнання для автоматичної реєстрації відключень на вводах 0,4 кВ трансформаторних підстанцій середнього рівня напруги, а також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 </w:t>
            </w:r>
            <w:r w:rsidRPr="005A615E">
              <w:rPr>
                <w:rFonts w:ascii="Times New Roman" w:hAnsi="Times New Roman"/>
                <w:u w:val="single"/>
              </w:rPr>
              <w:t>пропонуємо розпочати після завершення військового стану та реалізації пріоритетних заходів з відновлення енергооб'єктів</w:t>
            </w:r>
            <w:r w:rsidRPr="005A615E">
              <w:rPr>
                <w:rFonts w:ascii="Times New Roman" w:hAnsi="Times New Roman"/>
              </w:rPr>
              <w:t>.    </w:t>
            </w:r>
          </w:p>
          <w:p w:rsidR="00CF2AC1" w:rsidRPr="005A615E" w:rsidRDefault="00CF2AC1" w:rsidP="00CF2AC1">
            <w:pPr>
              <w:suppressAutoHyphens/>
              <w:ind w:firstLine="510"/>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ind w:firstLine="312"/>
              <w:jc w:val="both"/>
              <w:rPr>
                <w:rFonts w:ascii="Times New Roman" w:hAnsi="Times New Roman"/>
                <w:iCs/>
                <w:lang w:eastAsia="uk-UA"/>
              </w:rPr>
            </w:pPr>
            <w:r w:rsidRPr="005A615E">
              <w:rPr>
                <w:rFonts w:ascii="Times New Roman" w:hAnsi="Times New Roman"/>
                <w:iCs/>
                <w:lang w:eastAsia="uk-UA"/>
              </w:rPr>
              <w:t>3. Протягом другого регуляторного періоду ліцензіат має забезпечувати:</w:t>
            </w:r>
          </w:p>
          <w:p w:rsidR="00CF2AC1" w:rsidRPr="005A615E" w:rsidRDefault="00CF2AC1" w:rsidP="00CF2AC1">
            <w:pPr>
              <w:ind w:firstLine="567"/>
              <w:jc w:val="both"/>
              <w:rPr>
                <w:rFonts w:ascii="Times New Roman" w:hAnsi="Times New Roman"/>
                <w:b/>
                <w:iCs/>
                <w:strike/>
              </w:rPr>
            </w:pPr>
            <w:r w:rsidRPr="005A615E">
              <w:rPr>
                <w:rFonts w:ascii="Times New Roman" w:hAnsi="Times New Roman"/>
                <w:b/>
                <w:iCs/>
                <w:strike/>
              </w:rPr>
              <w:t>2) 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w:t>
            </w:r>
          </w:p>
          <w:p w:rsidR="00CF2AC1" w:rsidRPr="005A615E" w:rsidRDefault="00CF2AC1" w:rsidP="00CF2AC1">
            <w:r w:rsidRPr="005A615E">
              <w:rPr>
                <w:b/>
                <w:i/>
                <w:u w:val="single"/>
              </w:rPr>
              <w:t>Обгрунтування</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 xml:space="preserve">АТ </w:t>
            </w:r>
            <w:r w:rsidRPr="005A615E">
              <w:rPr>
                <w:rFonts w:ascii="Times New Roman" w:hAnsi="Times New Roman"/>
              </w:rPr>
              <w:t>«Чернівціобленерго» п</w:t>
            </w:r>
            <w:r w:rsidRPr="005A615E">
              <w:rPr>
                <w:rFonts w:ascii="Times New Roman" w:hAnsi="Times New Roman"/>
                <w:lang w:eastAsia="uk-UA"/>
              </w:rPr>
              <w:t xml:space="preserve">ропонує </w:t>
            </w:r>
            <w:r w:rsidRPr="005A615E">
              <w:rPr>
                <w:rFonts w:ascii="Times New Roman" w:hAnsi="Times New Roman"/>
              </w:rPr>
              <w:t>протягом 2027-2029 років</w:t>
            </w:r>
            <w:r w:rsidRPr="005A615E">
              <w:rPr>
                <w:rFonts w:ascii="Times New Roman" w:hAnsi="Times New Roman"/>
                <w:lang w:eastAsia="uk-UA"/>
              </w:rPr>
              <w:t xml:space="preserve"> не застосовувати до Ліцензіатів, перелік яких наведено в додатку 35 до Порядку встановлення (формування) тарифів,</w:t>
            </w:r>
            <w:r w:rsidRPr="005A615E">
              <w:rPr>
                <w:rFonts w:ascii="Times New Roman" w:hAnsi="Times New Roman"/>
              </w:rPr>
              <w:t xml:space="preserve"> вимоги передбачені пунктами 1 та 2 пункту 3, оскільки, до визначених ліцензіатів в першому регуляторному періоді було застосовано особливі умови тарифоутворення, а саме: в </w:t>
            </w:r>
            <w:r w:rsidRPr="005A615E">
              <w:rPr>
                <w:rFonts w:ascii="Times New Roman" w:hAnsi="Times New Roman"/>
                <w:lang w:eastAsia="uk-UA"/>
              </w:rPr>
              <w:t xml:space="preserve">2023-2025 роках встановлювались  занижені, економічно-необгрунтовані тарифів на послуги з розподілу електричної енергії, а в 2024-2026 роках було </w:t>
            </w:r>
            <w:r w:rsidRPr="005A615E">
              <w:rPr>
                <w:rFonts w:ascii="Times New Roman" w:hAnsi="Times New Roman"/>
                <w:lang w:eastAsia="uk-UA"/>
              </w:rPr>
              <w:lastRenderedPageBreak/>
              <w:t>встановлено нульову норму доходу на регуляторну базу активів, що призвело до суттєвого недофінансування інвестиційних програм. Як наслідок, неможливість проведення модернізації силового та мережевого обладнання, що призводить до зростання технологічних втрат, збільшення тривалості відключень (SAIDI).</w:t>
            </w:r>
          </w:p>
          <w:p w:rsidR="00CF2AC1" w:rsidRPr="005A615E" w:rsidRDefault="00CF2AC1" w:rsidP="00CF2AC1">
            <w:pPr>
              <w:ind w:firstLine="567"/>
              <w:jc w:val="both"/>
              <w:rPr>
                <w:rFonts w:ascii="Times New Roman" w:hAnsi="Times New Roman"/>
                <w:lang w:eastAsia="uk-UA"/>
              </w:rPr>
            </w:pPr>
            <w:r w:rsidRPr="005A615E">
              <w:rPr>
                <w:rFonts w:ascii="Times New Roman" w:hAnsi="Times New Roman"/>
                <w:lang w:eastAsia="uk-UA"/>
              </w:rPr>
              <w:t>Вказану зміну можливо застосовувати з 2029 по 2035 роки (включно), що відповідає цілям по зниженню SAIDI.</w:t>
            </w:r>
          </w:p>
          <w:p w:rsidR="00CF2AC1" w:rsidRPr="005A615E" w:rsidRDefault="00CF2AC1" w:rsidP="00CF2AC1">
            <w:pPr>
              <w:ind w:firstLine="567"/>
              <w:jc w:val="both"/>
              <w:rPr>
                <w:rFonts w:ascii="Times New Roman" w:hAnsi="Times New Roman"/>
                <w:b/>
                <w:iCs/>
                <w:strik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«Кіровоградобленерго» (лист від 27.07.2026  № 3919/05/34)</w:t>
            </w:r>
          </w:p>
          <w:p w:rsidR="00CF2AC1" w:rsidRPr="005A615E" w:rsidRDefault="00CF2AC1" w:rsidP="00CF2AC1">
            <w:pPr>
              <w:ind w:firstLine="180"/>
              <w:contextualSpacing/>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180"/>
              <w:contextualSpacing/>
              <w:jc w:val="both"/>
              <w:rPr>
                <w:rFonts w:ascii="Times New Roman" w:hAnsi="Times New Roman"/>
                <w:bCs/>
                <w:lang w:eastAsia="uk-UA"/>
              </w:rPr>
            </w:pPr>
            <w:r w:rsidRPr="005A615E">
              <w:rPr>
                <w:rFonts w:ascii="Times New Roman" w:hAnsi="Times New Roman"/>
                <w:bCs/>
                <w:lang w:eastAsia="uk-UA"/>
              </w:rPr>
              <w:t>…</w:t>
            </w:r>
          </w:p>
          <w:p w:rsidR="00CF2AC1" w:rsidRPr="005A615E" w:rsidRDefault="00CF2AC1" w:rsidP="00CF2AC1">
            <w:pPr>
              <w:contextualSpacing/>
              <w:jc w:val="both"/>
              <w:rPr>
                <w:rFonts w:ascii="Times New Roman" w:hAnsi="Times New Roman"/>
                <w:b/>
                <w:bCs/>
                <w:lang w:eastAsia="uk-UA"/>
              </w:rPr>
            </w:pPr>
            <w:r w:rsidRPr="005A615E">
              <w:rPr>
                <w:rFonts w:ascii="Times New Roman" w:hAnsi="Times New Roman"/>
                <w:b/>
                <w:bCs/>
                <w:lang w:eastAsia="uk-UA"/>
              </w:rPr>
              <w:t>Редакція 1</w:t>
            </w:r>
          </w:p>
          <w:p w:rsidR="00CF2AC1" w:rsidRPr="005A615E" w:rsidRDefault="00CF2AC1" w:rsidP="00CF2AC1">
            <w:pPr>
              <w:ind w:firstLine="180"/>
              <w:contextualSpacing/>
              <w:jc w:val="both"/>
              <w:rPr>
                <w:rFonts w:ascii="Times New Roman" w:hAnsi="Times New Roman"/>
                <w:bCs/>
                <w:lang w:eastAsia="uk-UA"/>
              </w:rPr>
            </w:pPr>
            <w:r w:rsidRPr="005A615E">
              <w:rPr>
                <w:rFonts w:ascii="Times New Roman" w:hAnsi="Times New Roman"/>
                <w:bCs/>
                <w:lang w:eastAsia="uk-UA"/>
              </w:rPr>
              <w:t>2) 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рівнів напруг 35-10(6) кВ шляхом створення та впровадження системи моніторингу показників якості електричної енергії (рівня напруги) виключно на підстанціях та розподільчих пунктах (ПС/РП) напругою на 150(110)/35(20)/10(6) кВ та 35(20)/10(6)  кВ;</w:t>
            </w:r>
          </w:p>
          <w:p w:rsidR="00CF2AC1" w:rsidRPr="005A615E" w:rsidRDefault="00CF2AC1" w:rsidP="00CF2AC1">
            <w:pPr>
              <w:ind w:firstLine="180"/>
              <w:contextualSpacing/>
              <w:jc w:val="both"/>
              <w:rPr>
                <w:rFonts w:ascii="Times New Roman" w:hAnsi="Times New Roman"/>
                <w:bCs/>
                <w:lang w:eastAsia="uk-UA"/>
              </w:rPr>
            </w:pPr>
          </w:p>
          <w:p w:rsidR="00CF2AC1" w:rsidRPr="005A615E" w:rsidRDefault="00CF2AC1" w:rsidP="00CF2AC1">
            <w:pPr>
              <w:ind w:firstLine="180"/>
              <w:contextualSpacing/>
              <w:jc w:val="both"/>
              <w:rPr>
                <w:rFonts w:ascii="Times New Roman" w:hAnsi="Times New Roman"/>
                <w:b/>
                <w:bCs/>
                <w:lang w:eastAsia="uk-UA"/>
              </w:rPr>
            </w:pPr>
            <w:r w:rsidRPr="005A615E">
              <w:rPr>
                <w:rFonts w:ascii="Times New Roman" w:hAnsi="Times New Roman"/>
                <w:b/>
                <w:bCs/>
                <w:lang w:eastAsia="uk-UA"/>
              </w:rPr>
              <w:t>Редакція2</w:t>
            </w:r>
          </w:p>
          <w:p w:rsidR="00CF2AC1" w:rsidRPr="005A615E" w:rsidRDefault="00CF2AC1" w:rsidP="00CF2AC1">
            <w:pPr>
              <w:ind w:firstLine="180"/>
              <w:contextualSpacing/>
              <w:jc w:val="both"/>
              <w:rPr>
                <w:rFonts w:ascii="Times New Roman" w:hAnsi="Times New Roman"/>
                <w:bCs/>
                <w:lang w:eastAsia="uk-UA"/>
              </w:rPr>
            </w:pPr>
            <w:r w:rsidRPr="005A615E">
              <w:rPr>
                <w:rFonts w:ascii="Times New Roman" w:hAnsi="Times New Roman"/>
                <w:bCs/>
                <w:lang w:eastAsia="uk-UA"/>
              </w:rPr>
              <w:t xml:space="preserve">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рівнів напруг 35-10(6) кВ та 0,4кВ, шляхом створення та впровадження системи моніторингу показників якості електричної енергії (рівня напруги) виключно на підстанціях та </w:t>
            </w:r>
            <w:r w:rsidRPr="005A615E">
              <w:rPr>
                <w:rFonts w:ascii="Times New Roman" w:hAnsi="Times New Roman"/>
                <w:bCs/>
                <w:lang w:eastAsia="uk-UA"/>
              </w:rPr>
              <w:lastRenderedPageBreak/>
              <w:t>розподільчих пунктах (ПС/РП) напругою на 150(110)/35(20)/10(6) кВ та 35(20)/10(6)  кВ, а також на трансформаторних підстанціях (ТП) 0,4 кВ із кількістю приєднаних споживачів 100 і більше;</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pacing w:line="259" w:lineRule="auto"/>
              <w:jc w:val="both"/>
              <w:rPr>
                <w:b/>
              </w:rPr>
            </w:pPr>
            <w:r w:rsidRPr="005A615E">
              <w:rPr>
                <w:b/>
              </w:rPr>
              <w:t>До підпункту 2 редакція 1):</w:t>
            </w:r>
          </w:p>
          <w:p w:rsidR="00CF2AC1" w:rsidRPr="005A615E" w:rsidRDefault="00CF2AC1" w:rsidP="00CF2AC1">
            <w:pPr>
              <w:spacing w:line="259" w:lineRule="auto"/>
              <w:jc w:val="both"/>
              <w:rPr>
                <w:rFonts w:ascii="Times New Roman" w:hAnsi="Times New Roman"/>
              </w:rPr>
            </w:pPr>
            <w:r w:rsidRPr="005A615E">
              <w:rPr>
                <w:rFonts w:ascii="Times New Roman" w:hAnsi="Times New Roman"/>
              </w:rPr>
              <w:t xml:space="preserve">1. Наразі Розділ VI Кодексу систем розподілу (КСР) визначає модель </w:t>
            </w:r>
            <w:r w:rsidRPr="005A615E">
              <w:rPr>
                <w:rFonts w:ascii="Times New Roman" w:hAnsi="Times New Roman"/>
                <w:i/>
                <w:iCs/>
              </w:rPr>
              <w:t>періодичного</w:t>
            </w:r>
            <w:r w:rsidRPr="005A615E">
              <w:rPr>
                <w:rFonts w:ascii="Times New Roman" w:hAnsi="Times New Roman"/>
              </w:rPr>
              <w:t xml:space="preserve"> моніторингу: від одноразових щорічних вимірювань на ПС ВН/СН до вибіркових вимірювань на 0,5% від загальної кількості ТП. Перехід від зазначеної моделі вибіркового контролю до запропонованої моделі </w:t>
            </w:r>
            <w:r w:rsidRPr="005A615E">
              <w:rPr>
                <w:rFonts w:ascii="Times New Roman" w:hAnsi="Times New Roman"/>
                <w:bCs/>
              </w:rPr>
              <w:t>постійного онлайн-моніторингу</w:t>
            </w:r>
            <w:r w:rsidRPr="005A615E">
              <w:rPr>
                <w:rFonts w:ascii="Times New Roman" w:hAnsi="Times New Roman"/>
              </w:rPr>
              <w:t xml:space="preserve"> в центрах живлення та вузлах концентрації споживачів створить набагато більший технічний ефект. Це якісно підвищить рівень керованості мережами, дозволить контролювати реальний стан та оперативно реагувати на відхилення. На першому етапі це дасть змогу побудувати дієву, робочу модель моніторингу, яку в майбутньому (за потреби та наявності фінансування) можна буде масштабувати.</w:t>
            </w:r>
          </w:p>
          <w:p w:rsidR="00CF2AC1" w:rsidRPr="005A615E" w:rsidRDefault="00CF2AC1" w:rsidP="00CF2AC1">
            <w:pPr>
              <w:spacing w:line="259" w:lineRule="auto"/>
              <w:jc w:val="both"/>
              <w:rPr>
                <w:rFonts w:ascii="Times New Roman" w:hAnsi="Times New Roman"/>
              </w:rPr>
            </w:pPr>
            <w:r w:rsidRPr="005A615E">
              <w:rPr>
                <w:rFonts w:ascii="Times New Roman" w:hAnsi="Times New Roman"/>
              </w:rPr>
              <w:t xml:space="preserve">2. Створення легітимної системи моніторингу вимагає застосування виключно того обладнання, що відповідає Закону України «Про метрологію та метрологічну діяльність» та Технічному регламенту законодавчо регульованих засобів вимірювальної техніки (затвердженого постановою КМУ №94). Усі прилади повинні бути сертифіковані, проходити оцінку відповідності та регулярну повірку. Тотальне встановлення такого вартісного обладнання на абсолютно всіх об’єктах є економічно непідйомним та призведе до невиправданого зростання тарифу або неможливості реалізації зазначеної задачі. Концентрація сертифікованих засобів вимірювання на </w:t>
            </w:r>
            <w:r w:rsidRPr="005A615E">
              <w:rPr>
                <w:rFonts w:ascii="Times New Roman" w:hAnsi="Times New Roman"/>
              </w:rPr>
              <w:lastRenderedPageBreak/>
              <w:t>ключових вузлах є оптимальним розподілом інвестицій.</w:t>
            </w:r>
          </w:p>
          <w:p w:rsidR="00CF2AC1" w:rsidRPr="005A615E" w:rsidRDefault="00CF2AC1" w:rsidP="00CF2AC1">
            <w:pPr>
              <w:spacing w:line="259" w:lineRule="auto"/>
              <w:jc w:val="both"/>
              <w:rPr>
                <w:rFonts w:ascii="Times New Roman" w:hAnsi="Times New Roman"/>
              </w:rPr>
            </w:pPr>
            <w:r w:rsidRPr="005A615E">
              <w:rPr>
                <w:rFonts w:ascii="Times New Roman" w:hAnsi="Times New Roman"/>
              </w:rPr>
              <w:t xml:space="preserve">3. Тотальне встановлення систем моніторингу безпосередньо на шинах 0,4 кВ ТП не вирішить проблему відповідності показників якості ЕЕ у точці приєднання споживача. Відповідно до чинного законодавства (зокрема ДСТУ EN 50160), оцінка показників якості електроенергії має здійснюватися безпосередньо в точці комерційного обліку — на </w:t>
            </w:r>
            <w:r w:rsidRPr="005A615E">
              <w:rPr>
                <w:rFonts w:ascii="Times New Roman" w:hAnsi="Times New Roman"/>
                <w:bCs/>
              </w:rPr>
              <w:t>межі балансового розподілу</w:t>
            </w:r>
            <w:r w:rsidRPr="005A615E">
              <w:rPr>
                <w:rFonts w:ascii="Times New Roman" w:hAnsi="Times New Roman"/>
              </w:rPr>
              <w:t xml:space="preserve"> ОСР та споживача. Вимірювання на шинах ТП не дає релевантної картини: воно не враховує падіння напруги у довгих лініях електропередачі (до кінцевого споживача) або ж, навпаки, може фіксувати локальні спотворення напруги, викликані специфічним обладнанням інших абонентів на лінії (робота зварювальних апаратів, потужних насосів тощо). </w:t>
            </w:r>
          </w:p>
          <w:p w:rsidR="00CF2AC1" w:rsidRPr="005A615E" w:rsidRDefault="00CF2AC1" w:rsidP="00CF2AC1">
            <w:pPr>
              <w:spacing w:line="259" w:lineRule="auto"/>
              <w:jc w:val="both"/>
              <w:rPr>
                <w:rFonts w:ascii="Times New Roman" w:hAnsi="Times New Roman"/>
                <w:b/>
              </w:rPr>
            </w:pPr>
            <w:r w:rsidRPr="005A615E">
              <w:rPr>
                <w:rFonts w:ascii="Times New Roman" w:hAnsi="Times New Roman"/>
                <w:b/>
              </w:rPr>
              <w:t>Запропонований алгоритм повністю відповідає духу Розділів VI та ХІ КСР: ОСР створює систему постійного (базового) моніторингу там, де є концентрація споживачів, що дає можливість чітко керувати мережею енергорайону. Для дрібних енергооб’єктів, типу ТП, контроль якості здійснюватиметься, як і раніше, в рамках процедури розгляду скарг та за періодичним принципом — шляхом встановлення сертифікованих аналізаторів безпосередньо на межі балансового розподілу заявника або в період виконання програми моніторингу згідно  вимог VI КСР.</w:t>
            </w:r>
          </w:p>
          <w:p w:rsidR="00CF2AC1" w:rsidRPr="005A615E" w:rsidRDefault="00CF2AC1" w:rsidP="00CF2AC1">
            <w:pPr>
              <w:spacing w:line="259" w:lineRule="auto"/>
              <w:jc w:val="both"/>
              <w:rPr>
                <w:rFonts w:ascii="Times New Roman" w:hAnsi="Times New Roman"/>
                <w:b/>
              </w:rPr>
            </w:pPr>
            <w:r w:rsidRPr="005A615E">
              <w:rPr>
                <w:rFonts w:ascii="Times New Roman" w:hAnsi="Times New Roman"/>
                <w:b/>
              </w:rPr>
              <w:t>До підпункту 2 редакція 2), додатково до обґрунтувань наведених вище:</w:t>
            </w:r>
          </w:p>
          <w:p w:rsidR="00CF2AC1" w:rsidRPr="005A615E" w:rsidRDefault="00CF2AC1" w:rsidP="00CF2AC1">
            <w:pPr>
              <w:jc w:val="both"/>
              <w:rPr>
                <w:rFonts w:ascii="Times New Roman" w:hAnsi="Times New Roman"/>
              </w:rPr>
            </w:pPr>
            <w:r w:rsidRPr="005A615E">
              <w:rPr>
                <w:rFonts w:ascii="Times New Roman" w:hAnsi="Times New Roman"/>
              </w:rPr>
              <w:t xml:space="preserve">1. Трансформаторні підстанції 0,4 кВ, що живлять 100 і більше споживачів, складають у середньому лише </w:t>
            </w:r>
            <w:r w:rsidRPr="005A615E">
              <w:rPr>
                <w:rFonts w:ascii="Times New Roman" w:hAnsi="Times New Roman"/>
                <w:bCs/>
              </w:rPr>
              <w:t>20%</w:t>
            </w:r>
            <w:r w:rsidRPr="005A615E">
              <w:rPr>
                <w:rFonts w:ascii="Times New Roman" w:hAnsi="Times New Roman"/>
              </w:rPr>
              <w:t xml:space="preserve"> від загальної кількості ТП на балансі ОСР та </w:t>
            </w:r>
            <w:r w:rsidRPr="005A615E">
              <w:rPr>
                <w:rFonts w:ascii="Times New Roman" w:hAnsi="Times New Roman"/>
              </w:rPr>
              <w:lastRenderedPageBreak/>
              <w:t xml:space="preserve">виконані переважно у конструктивному виконанні ЗТП, але через них проходить понад </w:t>
            </w:r>
            <w:r w:rsidRPr="005A615E">
              <w:rPr>
                <w:rFonts w:ascii="Times New Roman" w:hAnsi="Times New Roman"/>
                <w:bCs/>
              </w:rPr>
              <w:t>70%</w:t>
            </w:r>
            <w:r w:rsidRPr="005A615E">
              <w:rPr>
                <w:rFonts w:ascii="Times New Roman" w:hAnsi="Times New Roman"/>
              </w:rPr>
              <w:t xml:space="preserve"> всього обсягу розподіленої електроенергії побутовим та юридичним споживачам мережі 0,4кВ, та покривають орієнтовно 60% споживачів. Моніторинг цих вузлів дає репрезентативну картину якості напруги для абсолютної більшості споживачів. Також такі ТП та ПС, як правило, розташовані в зонах із надійним покриттям GSM/LTE або мають власні канали телемеханіки. Вони забезпечені належною фізичною охороною та захистом від вандалізму. Встановлення дорогого обладнання моніторингу на дрібних, віддалених ТП у полях чи вимираючих селах технічно ускладнене через відсутність стабільного зв'язку для передачі даних онлайн та високий ризик крадіжок. Вартість ТП в ряді випадків буде меншою ніж вартість вимірювального обладнання яке відповідає вимогам Закону України про метрологію та метрологічну діяльність. Поряд з цим збір, обробка та зберігання значень параметрів напруги з тисяч дрібних ТП створить колосальний обсяг "сирих" даних. Це вимагатиме від ОСР розбудови наддорогих дата-центрів для обробки інформації, яка не несе практичної цінності для управління якістю мережі.  </w:t>
            </w:r>
          </w:p>
          <w:p w:rsidR="00CF2AC1" w:rsidRPr="005A615E" w:rsidRDefault="00CF2AC1" w:rsidP="00CF2AC1">
            <w:pPr>
              <w:ind w:firstLine="180"/>
              <w:contextualSpacing/>
              <w:jc w:val="both"/>
              <w:rPr>
                <w:rFonts w:ascii="Times New Roman" w:hAnsi="Times New Roman"/>
              </w:rPr>
            </w:pPr>
            <w:r w:rsidRPr="005A615E">
              <w:rPr>
                <w:rFonts w:ascii="Times New Roman" w:hAnsi="Times New Roman"/>
                <w:bCs/>
              </w:rPr>
              <w:t>2.</w:t>
            </w:r>
            <w:r w:rsidRPr="005A615E">
              <w:rPr>
                <w:rFonts w:ascii="Times New Roman" w:hAnsi="Times New Roman"/>
                <w:b/>
                <w:bCs/>
              </w:rPr>
              <w:t xml:space="preserve"> </w:t>
            </w:r>
            <w:r w:rsidRPr="005A615E">
              <w:rPr>
                <w:rFonts w:ascii="Times New Roman" w:hAnsi="Times New Roman"/>
              </w:rPr>
              <w:t xml:space="preserve">Вартість одного сертифікованого приладу контролю якості електроенергії (ПКЕ) разом із монтажем, організацією каналу зв'язку та інтеграцією в ПЗ становить значну суму. Вкладати ці кошти у ТП, яка живить 5–25 споживачів у віддаленій місцевості — економічно абсурдно. Окупність такого заходу перевищує термін служби самого обладнання. Оскільки всі витрати на створення системи моніторингу покриваються за рахунок Інвестиційної програми (тобто з тарифу на розподіл), тотальний моніторинг абсолютно всіх ТП призвів би до стрімкого </w:t>
            </w:r>
            <w:r w:rsidRPr="005A615E">
              <w:rPr>
                <w:rFonts w:ascii="Times New Roman" w:hAnsi="Times New Roman"/>
              </w:rPr>
              <w:lastRenderedPageBreak/>
              <w:t>і необґрунтованого зростання тарифу для споживачів усієї області або у разі збереження обсягів фінансування співставних до існуючих призвів би до неможливості виконання даної вимоги в період другого регуляторного періоду.</w:t>
            </w:r>
          </w:p>
          <w:p w:rsidR="00CF2AC1" w:rsidRPr="005A615E" w:rsidRDefault="00CF2AC1" w:rsidP="00CF2AC1">
            <w:pPr>
              <w:ind w:firstLine="180"/>
              <w:contextualSpacing/>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ind w:firstLine="312"/>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180"/>
              <w:contextualSpacing/>
              <w:jc w:val="both"/>
              <w:rPr>
                <w:rFonts w:ascii="Times New Roman" w:hAnsi="Times New Roman"/>
                <w:sz w:val="24"/>
              </w:rPr>
            </w:pPr>
            <w:r w:rsidRPr="005A615E">
              <w:rPr>
                <w:rFonts w:ascii="Times New Roman" w:hAnsi="Times New Roman"/>
                <w:sz w:val="24"/>
              </w:rPr>
              <w:t>…</w:t>
            </w:r>
          </w:p>
          <w:p w:rsidR="00CF2AC1" w:rsidRPr="005A615E" w:rsidRDefault="00CF2AC1" w:rsidP="00CF2AC1">
            <w:pPr>
              <w:ind w:firstLine="567"/>
              <w:jc w:val="both"/>
              <w:rPr>
                <w:rFonts w:ascii="Times New Roman" w:hAnsi="Times New Roman"/>
              </w:rPr>
            </w:pPr>
            <w:r w:rsidRPr="005A615E">
              <w:rPr>
                <w:rFonts w:ascii="Times New Roman" w:hAnsi="Times New Roman"/>
              </w:rPr>
              <w:t xml:space="preserve">2) </w:t>
            </w:r>
            <w:r w:rsidRPr="005A615E">
              <w:rPr>
                <w:rFonts w:ascii="Times New Roman" w:hAnsi="Times New Roman"/>
                <w:bCs/>
                <w:lang w:eastAsia="uk-UA"/>
              </w:rPr>
              <w:t>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w:t>
            </w:r>
            <w:r w:rsidRPr="005A615E">
              <w:rPr>
                <w:rFonts w:ascii="Times New Roman" w:hAnsi="Times New Roman"/>
              </w:rPr>
              <w:t>;</w:t>
            </w:r>
          </w:p>
          <w:p w:rsidR="00CF2AC1" w:rsidRPr="005A615E" w:rsidRDefault="00CF2AC1" w:rsidP="00CF2AC1">
            <w:pPr>
              <w:ind w:firstLine="567"/>
              <w:jc w:val="both"/>
              <w:rPr>
                <w:rFonts w:ascii="Times New Roman" w:hAnsi="Times New Roman"/>
                <w:b/>
              </w:rPr>
            </w:pPr>
            <w:r w:rsidRPr="005A615E">
              <w:rPr>
                <w:rFonts w:ascii="Times New Roman" w:hAnsi="Times New Roman"/>
                <w:b/>
              </w:rPr>
              <w:t>(Для ліцензіатів, перелік яких наведено у додатку 35 до Порядку встановлення (формування) тарифів, даний цільовий показник не застосовується));</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ind w:firstLine="567"/>
              <w:jc w:val="both"/>
              <w:rPr>
                <w:rFonts w:ascii="Times New Roman" w:hAnsi="Times New Roman"/>
                <w:b/>
                <w:sz w:val="24"/>
                <w:u w:val="single"/>
              </w:rPr>
            </w:pPr>
            <w:r w:rsidRPr="005A615E">
              <w:rPr>
                <w:rFonts w:ascii="Times New Roman" w:hAnsi="Times New Roman"/>
                <w:bCs/>
              </w:rPr>
              <w:t xml:space="preserve">Проведення заходів з достовірності даних щодо відключення споживачів на об’єктах електричних мереж напругою 0,4 кВ трансформаторних підстанцій на даний час є недоцільним, оскільки існуючий технічний стан мереж не забезпечує можливості отримання достовірної інформації в дистанційному режимі. Для реалізації зазначеного заходу необхідно виконати реконструкцію електричних мереж із впровадженням засобів телесигналізації та телеуправління комутаційними апаратами комплектних трансформаторних підстанцій (КТП). Виконання вказаних робіт потребує додаткового фінансування, пов’язаного з реконструкцією КТП, </w:t>
            </w:r>
            <w:r w:rsidRPr="005A615E">
              <w:rPr>
                <w:rFonts w:ascii="Times New Roman" w:hAnsi="Times New Roman"/>
                <w:bCs/>
              </w:rPr>
              <w:lastRenderedPageBreak/>
              <w:t xml:space="preserve">придбанням і встановленням відповідного обладнання, а також проведенням пусконалагоджувальних робіт. </w:t>
            </w:r>
            <w:r w:rsidRPr="005A615E">
              <w:rPr>
                <w:rFonts w:ascii="Times New Roman" w:hAnsi="Times New Roman"/>
                <w:b/>
                <w:bCs/>
              </w:rPr>
              <w:t>У зв’язку з викладеним виконання заходів достовірності зазначених даних може бути виконаним після розробки плану заходів та відповідних джерел фінансування ІП в повному об’ємі.</w:t>
            </w:r>
          </w:p>
        </w:tc>
        <w:tc>
          <w:tcPr>
            <w:tcW w:w="3969" w:type="dxa"/>
            <w:gridSpan w:val="2"/>
          </w:tcPr>
          <w:p w:rsidR="00641736" w:rsidRPr="005A615E" w:rsidRDefault="00641736" w:rsidP="00641736">
            <w:pPr>
              <w:rPr>
                <w:rFonts w:ascii="Times New Roman" w:hAnsi="Times New Roman"/>
                <w:b/>
                <w:sz w:val="24"/>
              </w:rPr>
            </w:pPr>
            <w:r w:rsidRPr="005A615E">
              <w:rPr>
                <w:rFonts w:ascii="Times New Roman" w:hAnsi="Times New Roman"/>
                <w:b/>
                <w:sz w:val="24"/>
              </w:rPr>
              <w:lastRenderedPageBreak/>
              <w:t>Не вразовано</w:t>
            </w:r>
          </w:p>
          <w:p w:rsidR="00CF2AC1" w:rsidRPr="005A615E" w:rsidRDefault="00641736" w:rsidP="00641736">
            <w:pPr>
              <w:rPr>
                <w:rFonts w:ascii="Times New Roman" w:hAnsi="Times New Roman"/>
                <w:b/>
                <w:sz w:val="24"/>
              </w:rPr>
            </w:pPr>
            <w:r w:rsidRPr="005A615E">
              <w:rPr>
                <w:rFonts w:ascii="Times New Roman" w:hAnsi="Times New Roman"/>
                <w:b/>
                <w:sz w:val="24"/>
              </w:rPr>
              <w:t xml:space="preserve">Недостатньо обгрунтована позиція </w:t>
            </w:r>
          </w:p>
        </w:tc>
      </w:tr>
      <w:tr w:rsidR="00A16D77" w:rsidRPr="005A615E" w:rsidTr="00A56FEE">
        <w:tc>
          <w:tcPr>
            <w:tcW w:w="6232" w:type="dxa"/>
          </w:tcPr>
          <w:p w:rsidR="00A16D77" w:rsidRPr="005A615E" w:rsidRDefault="00FE4811" w:rsidP="00CF2AC1">
            <w:pPr>
              <w:ind w:firstLine="180"/>
              <w:jc w:val="both"/>
              <w:rPr>
                <w:rFonts w:ascii="Times New Roman" w:hAnsi="Times New Roman"/>
                <w:bCs/>
                <w:lang w:eastAsia="uk-UA"/>
              </w:rPr>
            </w:pPr>
            <w:r w:rsidRPr="005A615E">
              <w:rPr>
                <w:rFonts w:ascii="Times New Roman" w:hAnsi="Times New Roman"/>
                <w:b/>
                <w:bCs/>
                <w:sz w:val="24"/>
                <w:lang w:eastAsia="uk-UA"/>
              </w:rPr>
              <w:lastRenderedPageBreak/>
              <w:t>Зміни не пропонувались</w:t>
            </w:r>
          </w:p>
        </w:tc>
        <w:tc>
          <w:tcPr>
            <w:tcW w:w="5387" w:type="dxa"/>
          </w:tcPr>
          <w:p w:rsidR="00A16D77" w:rsidRPr="005A615E" w:rsidRDefault="00A16D77" w:rsidP="00A16D77">
            <w:pPr>
              <w:jc w:val="both"/>
              <w:rPr>
                <w:rFonts w:ascii="Times New Roman" w:hAnsi="Times New Roman"/>
                <w:bCs/>
              </w:rPr>
            </w:pPr>
            <w:r w:rsidRPr="005A615E">
              <w:rPr>
                <w:rFonts w:ascii="Times New Roman" w:hAnsi="Times New Roman"/>
                <w:bCs/>
              </w:rPr>
              <w:t>Пропозиція НКРЕКП</w:t>
            </w:r>
          </w:p>
          <w:p w:rsidR="00A16D77" w:rsidRPr="005A615E" w:rsidRDefault="00A16D77" w:rsidP="00A16D77">
            <w:pPr>
              <w:jc w:val="both"/>
              <w:rPr>
                <w:rFonts w:ascii="Times New Roman" w:hAnsi="Times New Roman"/>
                <w:b/>
                <w:sz w:val="24"/>
                <w:szCs w:val="24"/>
                <w:u w:val="single"/>
              </w:rPr>
            </w:pPr>
            <w:r w:rsidRPr="005A615E">
              <w:rPr>
                <w:rFonts w:ascii="Times New Roman" w:hAnsi="Times New Roman"/>
                <w:bCs/>
              </w:rPr>
              <w:t>2) звернення ліцензіата щодо встановлення тарифів на послуги з розподілу електричної енергії відповідно до </w:t>
            </w:r>
            <w:hyperlink r:id="rId14" w:anchor="n15" w:tgtFrame="_blank" w:history="1">
              <w:r w:rsidRPr="005A615E">
                <w:rPr>
                  <w:rFonts w:ascii="Times New Roman" w:hAnsi="Times New Roman"/>
                  <w:bCs/>
                </w:rPr>
                <w:t>Порядку встановлення (формування) тарифів на послуги з розподілу електричної енергії</w:t>
              </w:r>
            </w:hyperlink>
            <w:r w:rsidRPr="005A615E">
              <w:rPr>
                <w:rFonts w:ascii="Times New Roman" w:hAnsi="Times New Roman"/>
                <w:bCs/>
              </w:rPr>
              <w:t>, затвердженого постановою НКРЕКП від 05 жовтня 2018 року № 1175</w:t>
            </w:r>
            <w:r w:rsidRPr="005A615E">
              <w:rPr>
                <w:rFonts w:ascii="Times New Roman" w:hAnsi="Times New Roman"/>
                <w:b/>
                <w:bCs/>
              </w:rPr>
              <w:t xml:space="preserve"> (далі – Порядок №1175).</w:t>
            </w:r>
          </w:p>
        </w:tc>
        <w:tc>
          <w:tcPr>
            <w:tcW w:w="3969" w:type="dxa"/>
            <w:gridSpan w:val="2"/>
          </w:tcPr>
          <w:p w:rsidR="00FE4811" w:rsidRPr="005A615E" w:rsidRDefault="00641736" w:rsidP="00FE4811">
            <w:pPr>
              <w:rPr>
                <w:rFonts w:ascii="Times New Roman" w:hAnsi="Times New Roman"/>
                <w:b/>
                <w:sz w:val="24"/>
              </w:rPr>
            </w:pPr>
            <w:r w:rsidRPr="005A615E">
              <w:rPr>
                <w:rFonts w:ascii="Times New Roman" w:hAnsi="Times New Roman"/>
                <w:b/>
                <w:sz w:val="24"/>
              </w:rPr>
              <w:t>Запропонована редакція до обговорення:</w:t>
            </w:r>
          </w:p>
          <w:p w:rsidR="00641736" w:rsidRPr="005A615E" w:rsidRDefault="00641736" w:rsidP="00FE4811">
            <w:pPr>
              <w:rPr>
                <w:rFonts w:ascii="Times New Roman" w:hAnsi="Times New Roman"/>
                <w:b/>
                <w:sz w:val="24"/>
              </w:rPr>
            </w:pPr>
            <w:r w:rsidRPr="005A615E">
              <w:rPr>
                <w:rFonts w:ascii="Times New Roman" w:hAnsi="Times New Roman"/>
                <w:bCs/>
              </w:rPr>
              <w:t>«2) звернення ліцензіата щодо встановлення тарифів на послуги з розподілу електричної енергії відповідно до </w:t>
            </w:r>
            <w:hyperlink r:id="rId15" w:anchor="n15" w:tgtFrame="_blank" w:history="1">
              <w:r w:rsidRPr="005A615E">
                <w:rPr>
                  <w:rFonts w:ascii="Times New Roman" w:hAnsi="Times New Roman"/>
                  <w:bCs/>
                </w:rPr>
                <w:t>Порядку встановлення (формування) тарифів на послуги з розподілу електричної енергії</w:t>
              </w:r>
            </w:hyperlink>
            <w:r w:rsidRPr="005A615E">
              <w:rPr>
                <w:rFonts w:ascii="Times New Roman" w:hAnsi="Times New Roman"/>
                <w:bCs/>
              </w:rPr>
              <w:t>, затвердженого постановою НКРЕКП від 05 жовтня 2018 року № 1175</w:t>
            </w:r>
            <w:r w:rsidRPr="005A615E">
              <w:rPr>
                <w:rFonts w:ascii="Times New Roman" w:hAnsi="Times New Roman"/>
                <w:b/>
                <w:bCs/>
              </w:rPr>
              <w:t xml:space="preserve"> (далі – Порядок №1175).»</w:t>
            </w:r>
          </w:p>
          <w:p w:rsidR="00A16D77" w:rsidRPr="005A615E" w:rsidRDefault="00A16D77"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80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 xml:space="preserve">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(підпункт 2 пункту 2 цієї постанови), зафіксованих результатами контролю, </w:t>
            </w:r>
            <w:r w:rsidRPr="005A615E">
              <w:rPr>
                <w:rFonts w:ascii="Times New Roman" w:hAnsi="Times New Roman"/>
                <w:bCs/>
                <w:lang w:eastAsia="uk-UA"/>
              </w:rPr>
              <w:lastRenderedPageBreak/>
              <w:t>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 крім ліцензіатів, перелік яких наведено в додатку 35 до Порядку встановлення (формування) тарифів на послуги з розподілу електричної енергії, затвердженого постановою НКРЕКП від 05 жовтня 2018 року № 1175, в обсязі щорічного інвестування не менше ніж 100 % від прибутку на регуляторну базу активів,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 забезпечивши першочергове фінансування зобов’язань, невиконаних згідно з підпунктом 2 пункту 2 цієї постанови.</w:t>
            </w:r>
          </w:p>
          <w:p w:rsidR="00CF2AC1" w:rsidRPr="005A615E" w:rsidRDefault="00CF2AC1" w:rsidP="00CF2AC1">
            <w:pPr>
              <w:ind w:firstLine="180"/>
              <w:jc w:val="both"/>
              <w:rPr>
                <w:rFonts w:ascii="Times New Roman" w:hAnsi="Times New Roman"/>
                <w:b/>
              </w:rPr>
            </w:pPr>
          </w:p>
        </w:tc>
        <w:tc>
          <w:tcPr>
            <w:tcW w:w="5387" w:type="dxa"/>
          </w:tcPr>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lastRenderedPageBreak/>
              <w:t xml:space="preserve">ГО «Перша енергетична рада» (лист </w:t>
            </w:r>
            <w:r w:rsidRPr="005A615E">
              <w:rPr>
                <w:rFonts w:ascii="Times New Roman" w:hAnsi="Times New Roman"/>
                <w:b/>
                <w:sz w:val="24"/>
                <w:u w:val="single"/>
              </w:rPr>
              <w:br/>
              <w:t xml:space="preserve">від 20.07.2026 № 28/01), 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АТ «Харківобленерго» (лист від 27.07.2026 № 02-34/7102), АТ «УКРАЇНСЬКІ РОЗПОДІЛЬНІ МЕРЕЖІ» (лист від 27.07.2026 № 27/07/26-2), АТ «Прикарпаттяобленерго» (лист </w:t>
            </w:r>
            <w:r w:rsidRPr="005A615E">
              <w:rPr>
                <w:rFonts w:ascii="Times New Roman" w:hAnsi="Times New Roman"/>
                <w:b/>
                <w:sz w:val="24"/>
                <w:u w:val="single"/>
              </w:rPr>
              <w:br/>
              <w:t xml:space="preserve">від 27.07.2026 № 50012257/12), АТ </w:t>
            </w:r>
            <w:r w:rsidRPr="005A615E">
              <w:rPr>
                <w:rFonts w:ascii="Times New Roman" w:hAnsi="Times New Roman"/>
                <w:b/>
                <w:sz w:val="24"/>
                <w:u w:val="single"/>
              </w:rPr>
              <w:lastRenderedPageBreak/>
              <w:t>«ХМЕЛЬНИЦЬКОБЛЕНЕРГО»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jc w:val="both"/>
              <w:rPr>
                <w:rFonts w:ascii="Times New Roman" w:hAnsi="Times New Roman"/>
                <w:b/>
                <w:sz w:val="24"/>
                <w:u w:val="single"/>
              </w:rPr>
            </w:pP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rPr>
                <w:rFonts w:ascii="Times New Roman" w:hAnsi="Times New Roman"/>
                <w:sz w:val="24"/>
              </w:rPr>
            </w:pPr>
            <w:r w:rsidRPr="005A615E">
              <w:rPr>
                <w:rFonts w:ascii="Times New Roman" w:hAnsi="Times New Roman"/>
                <w:sz w:val="24"/>
              </w:rPr>
              <w:t>…</w:t>
            </w:r>
          </w:p>
          <w:p w:rsidR="00CF2AC1" w:rsidRPr="005A615E" w:rsidRDefault="00CF2AC1" w:rsidP="00CF2AC1">
            <w:pPr>
              <w:ind w:firstLine="180"/>
              <w:contextualSpacing/>
              <w:jc w:val="both"/>
              <w:rPr>
                <w:rFonts w:ascii="Times New Roman" w:hAnsi="Times New Roman"/>
                <w:lang w:eastAsia="uk-UA"/>
              </w:rPr>
            </w:pPr>
            <w:r w:rsidRPr="005A615E">
              <w:rPr>
                <w:rFonts w:ascii="Times New Roman" w:hAnsi="Times New Roman"/>
                <w:lang w:eastAsia="uk-UA"/>
              </w:rPr>
              <w:t xml:space="preserve">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w:t>
            </w:r>
            <w:r w:rsidRPr="005A615E">
              <w:rPr>
                <w:rFonts w:ascii="Times New Roman" w:hAnsi="Times New Roman"/>
                <w:b/>
                <w:bCs/>
                <w:lang w:eastAsia="uk-UA"/>
              </w:rPr>
              <w:t xml:space="preserve">50 </w:t>
            </w:r>
            <w:r w:rsidRPr="005A615E">
              <w:rPr>
                <w:rFonts w:ascii="Times New Roman" w:hAnsi="Times New Roman"/>
                <w:bCs/>
                <w:lang w:eastAsia="uk-UA"/>
              </w:rPr>
              <w:t>відсотків</w:t>
            </w:r>
            <w:r w:rsidRPr="005A615E">
              <w:rPr>
                <w:rFonts w:ascii="Times New Roman" w:hAnsi="Times New Roman"/>
                <w:lang w:eastAsia="uk-UA"/>
              </w:rPr>
              <w:t xml:space="preserve">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p>
          <w:p w:rsidR="00CF2AC1" w:rsidRPr="005A615E" w:rsidRDefault="00CF2AC1" w:rsidP="00CF2AC1">
            <w:pPr>
              <w:ind w:firstLine="180"/>
              <w:jc w:val="both"/>
              <w:rPr>
                <w:rFonts w:ascii="Times New Roman" w:hAnsi="Times New Roman"/>
                <w:bCs/>
                <w:strike/>
                <w:lang w:eastAsia="uk-UA"/>
              </w:rPr>
            </w:pPr>
            <w:r w:rsidRPr="005A615E">
              <w:rPr>
                <w:rFonts w:ascii="Times New Roman" w:hAnsi="Times New Roman"/>
                <w:bCs/>
                <w:strike/>
                <w:lang w:eastAsia="uk-UA"/>
              </w:rPr>
              <w:t xml:space="preserve">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(підпункт 2 пункту 2 цієї постанови), зафіксованих результатами контролю, 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 крім ліцензіатів, перелік яких наведено в додатку 35 до Порядку встановлення (формування) тарифів на послуги з розподілу електричної енергії, затвердженого постановою НКРЕКП від 05 жовтня 2018 року № 1175, в обсязі </w:t>
            </w:r>
            <w:r w:rsidRPr="005A615E">
              <w:rPr>
                <w:rFonts w:ascii="Times New Roman" w:hAnsi="Times New Roman"/>
                <w:bCs/>
                <w:strike/>
                <w:lang w:eastAsia="uk-UA"/>
              </w:rPr>
              <w:lastRenderedPageBreak/>
              <w:t>щорічного інвестування не менше ніж 100 % від прибутку на регуляторну базу активів,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 забезпечивши першочергове фінансування зобов’язань, невиконаних згідно з підпунктом 2 пункту 2 цієї постанови.</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u w:val="single"/>
              </w:rPr>
            </w:pPr>
            <w:r w:rsidRPr="005A615E">
              <w:rPr>
                <w:rFonts w:ascii="Times New Roman" w:hAnsi="Times New Roman"/>
              </w:rPr>
              <w:t xml:space="preserve">Тарифні методології для ОСР в Європі взагалі не передбачають обов’язкового реінвестування прибутку, оскільки це знижує привабливість ОСР для інвестицій. Пропозиція збільшити обов’язкове інвестування  за рахунок прибутку з чинних 50% до 80% і навіть до 100% (з урахуванням дофінансування інвестиційних зобов’язань за перший регуляторний період) вбачається контрпродуктивною. Це погіршує і так вже викривлений баланс інтересів компаній/власників та споживачів/суспільства та </w:t>
            </w:r>
            <w:r w:rsidRPr="005A615E">
              <w:rPr>
                <w:rFonts w:ascii="Times New Roman" w:hAnsi="Times New Roman"/>
                <w:u w:val="single"/>
              </w:rPr>
              <w:t>погіршуватиме фінансовий стан компаній.</w:t>
            </w:r>
          </w:p>
          <w:p w:rsidR="00CF2AC1" w:rsidRPr="005A615E" w:rsidRDefault="00CF2AC1" w:rsidP="00CF2AC1">
            <w:pPr>
              <w:jc w:val="both"/>
              <w:rPr>
                <w:rFonts w:ascii="Times New Roman" w:hAnsi="Times New Roman"/>
              </w:rPr>
            </w:pPr>
          </w:p>
          <w:p w:rsidR="00CF2AC1" w:rsidRPr="005A615E" w:rsidRDefault="00CF2AC1" w:rsidP="00CF2AC1">
            <w:pPr>
              <w:spacing w:after="75" w:line="259" w:lineRule="auto"/>
              <w:ind w:firstLine="240"/>
              <w:jc w:val="both"/>
              <w:rPr>
                <w:rFonts w:ascii="Times New Roman" w:hAnsi="Times New Roman"/>
                <w:b/>
                <w:sz w:val="24"/>
                <w:u w:val="single"/>
              </w:rPr>
            </w:pPr>
            <w:r w:rsidRPr="005A615E">
              <w:rPr>
                <w:b/>
                <w:i/>
                <w:u w:val="single"/>
              </w:rPr>
              <w:t>Обгрунтування</w:t>
            </w:r>
            <w:r w:rsidRPr="005A615E">
              <w:rPr>
                <w:rFonts w:ascii="Times New Roman" w:hAnsi="Times New Roman"/>
                <w:b/>
                <w:sz w:val="24"/>
                <w:u w:val="single"/>
              </w:rPr>
              <w:t xml:space="preserve"> ДТЕК,</w:t>
            </w:r>
            <w:r w:rsidRPr="005A615E">
              <w:rPr>
                <w:b/>
                <w:u w:val="single"/>
              </w:rPr>
              <w:t xml:space="preserve"> </w:t>
            </w:r>
            <w:r w:rsidRPr="005A615E">
              <w:rPr>
                <w:rFonts w:ascii="Times New Roman" w:hAnsi="Times New Roman"/>
                <w:b/>
                <w:sz w:val="24"/>
                <w:u w:val="single"/>
              </w:rPr>
              <w:t>АТ «ТЕРНОПІЛЬОБЛЕНЕРГО», АТ «Харківобленерго», АТ «ХМЕЛЬНИЦЬКОБЛЕНЕРГО», АТ «ЧЕРКАСИОБЛЕНЕРГО»</w:t>
            </w:r>
            <w:r w:rsidRPr="005A615E">
              <w:rPr>
                <w:rFonts w:ascii="Times New Roman" w:eastAsia="Times New Roman" w:hAnsi="Times New Roman"/>
                <w:sz w:val="24"/>
                <w:szCs w:val="24"/>
                <w:u w:val="single"/>
                <w:lang w:eastAsia="ru-RU"/>
              </w:rPr>
              <w:t xml:space="preserve"> </w:t>
            </w:r>
          </w:p>
          <w:p w:rsidR="00CF2AC1" w:rsidRPr="005A615E" w:rsidRDefault="00CF2AC1" w:rsidP="00CF2AC1">
            <w:pPr>
              <w:ind w:firstLine="312"/>
              <w:contextualSpacing/>
              <w:jc w:val="both"/>
              <w:rPr>
                <w:rFonts w:ascii="Times New Roman" w:eastAsia="Times New Roman" w:hAnsi="Times New Roman"/>
                <w:lang w:eastAsia="uk-UA"/>
              </w:rPr>
            </w:pPr>
            <w:r w:rsidRPr="005A615E">
              <w:rPr>
                <w:rFonts w:ascii="Times New Roman" w:eastAsia="Times New Roman" w:hAnsi="Times New Roman"/>
                <w:lang w:eastAsia="uk-UA"/>
              </w:rPr>
              <w:t xml:space="preserve">Запропонована норма суттєво змінює ключові правила роботи ОСР за моделюю стимулюючого регулювання, які були прийняті ОСР на етапі переходу на цю модель функціонування та створює середовище регуляторної непередбачуваності для інвесторів в галузь електроенергетики. </w:t>
            </w:r>
          </w:p>
          <w:p w:rsidR="00CF2AC1" w:rsidRPr="005A615E" w:rsidRDefault="00CF2AC1" w:rsidP="00CF2AC1">
            <w:pPr>
              <w:jc w:val="both"/>
              <w:rPr>
                <w:rFonts w:ascii="Times New Roman" w:eastAsia="Times New Roman" w:hAnsi="Times New Roman"/>
                <w:lang w:eastAsia="uk-UA"/>
              </w:rPr>
            </w:pPr>
            <w:r w:rsidRPr="005A615E">
              <w:rPr>
                <w:rFonts w:ascii="Times New Roman" w:eastAsia="Times New Roman" w:hAnsi="Times New Roman"/>
                <w:lang w:eastAsia="uk-UA"/>
              </w:rPr>
              <w:t xml:space="preserve">У разі запровадження запропонованої зміни у ОСР знизиться інвестиційна привабливість, а саме, якщо у ОСР буде незначний вільний прибуток, це обмежить </w:t>
            </w:r>
            <w:r w:rsidRPr="005A615E">
              <w:rPr>
                <w:rFonts w:ascii="Times New Roman" w:eastAsia="Times New Roman" w:hAnsi="Times New Roman"/>
                <w:lang w:eastAsia="uk-UA"/>
              </w:rPr>
              <w:lastRenderedPageBreak/>
              <w:t>його спроможність залучати інвесторів для залучення коштів значно більших, ніж обов’язкові джерела, що особливо потрібно для відновлення та відбудови мереж після закінчення воєнного стану, а також напряму зменшить  потенційну вартість компаній державного сектору, що призведе до недоотримання державою коштів при приватизації державних ОСР.</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Функціонування ОСР протягом першого регуляторного періоду ОСР супроводжувалось дефіцитом коштів на виконання ліцензованої діяльності, пов’язаного з наслідками воєнних дій, зокрема зниження обсягів розподілу, етапного перегляду тарифів, дефіциту коштів за статтєю ТВЕ тощо. Сума невиконання ІП (зокрема, у випадках дефіциту коштів) вилучалася  з тарифів за результатами перевірок (під час визначення суми недоотриманого доходу). Таким чином не повне виконання зобов’язань щодо щорічного обсягу інвестування в розвиток мереж за джерелами фінансування інвестиційних програм протягом першого РП було обумовлене об’єктивними чинниками, суми невиконання ІП вилучені. Враховуючи особливо складні умови роботи ОСР, обумовлені воєнними ризиками, було прийнято ПНКРЕКП від 26 квітня 2022 року N 406 з метою врегулювання питань реалізації інвестиційних програм 2022-2023 рр.</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Підхід щодо спрямування коштів, що вже були  вилучені з тарифів (необхідного доходу) ОСР, вбачаємо некоректним та неприпустимим.</w:t>
            </w:r>
          </w:p>
          <w:p w:rsidR="00CF2AC1" w:rsidRPr="005A615E" w:rsidRDefault="00CF2AC1" w:rsidP="00CF2AC1">
            <w:pPr>
              <w:jc w:val="both"/>
              <w:rPr>
                <w:rFonts w:ascii="Times New Roman" w:hAnsi="Times New Roman"/>
                <w:shd w:val="clear" w:color="auto" w:fill="FFFFFF"/>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jc w:val="both"/>
              <w:rPr>
                <w:rFonts w:ascii="Times New Roman" w:hAnsi="Times New Roman"/>
                <w:sz w:val="24"/>
              </w:rPr>
            </w:pPr>
            <w:r w:rsidRPr="005A615E">
              <w:rPr>
                <w:rFonts w:ascii="Times New Roman" w:hAnsi="Times New Roman"/>
                <w:sz w:val="24"/>
              </w:rPr>
              <w:lastRenderedPageBreak/>
              <w:t>…</w:t>
            </w:r>
          </w:p>
          <w:p w:rsidR="00CF2AC1" w:rsidRPr="005A615E" w:rsidRDefault="00CF2AC1" w:rsidP="00CF2AC1">
            <w:pPr>
              <w:ind w:firstLine="180"/>
              <w:contextualSpacing/>
              <w:jc w:val="both"/>
              <w:rPr>
                <w:rFonts w:ascii="Times New Roman" w:hAnsi="Times New Roman"/>
                <w:bCs/>
                <w:lang w:eastAsia="uk-UA"/>
              </w:rPr>
            </w:pPr>
            <w:r w:rsidRPr="005A615E">
              <w:rPr>
                <w:rFonts w:ascii="Times New Roman" w:hAnsi="Times New Roman"/>
                <w:bCs/>
                <w:lang w:eastAsia="uk-UA"/>
              </w:rPr>
              <w:t>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80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p>
          <w:p w:rsidR="00CF2AC1" w:rsidRPr="005A615E" w:rsidRDefault="00CF2AC1" w:rsidP="00CF2AC1">
            <w:pPr>
              <w:suppressAutoHyphens/>
              <w:ind w:firstLine="709"/>
              <w:jc w:val="both"/>
              <w:rPr>
                <w:rFonts w:ascii="Times New Roman" w:hAnsi="Times New Roman"/>
                <w:b/>
                <w:bCs/>
                <w:lang w:eastAsia="uk-UA"/>
              </w:rPr>
            </w:pPr>
            <w:r w:rsidRPr="005A615E">
              <w:rPr>
                <w:rFonts w:ascii="Times New Roman" w:hAnsi="Times New Roman"/>
                <w:bCs/>
                <w:lang w:eastAsia="uk-UA"/>
              </w:rPr>
              <w:t xml:space="preserve">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(підпункт 2 пункту 2 цієї постанови), зафіксованих результатами контролю, 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 крім ліцензіатів, перелік яких наведено в додатку 35 до Порядку встановлення (формування) тарифів на послуги з розподілу електричної енергії, затвердженого постановою НКРЕКП від 05 жовтня 2018 року № 1175, </w:t>
            </w:r>
            <w:r w:rsidRPr="005A615E">
              <w:rPr>
                <w:rFonts w:ascii="Times New Roman" w:hAnsi="Times New Roman"/>
                <w:bCs/>
                <w:strike/>
                <w:lang w:eastAsia="uk-UA"/>
              </w:rPr>
              <w:t>в обсязі щорічного інвестування не менше ніж 100 % від прибутку на регуляторну базу активів,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r w:rsidRPr="005A615E">
              <w:rPr>
                <w:rFonts w:ascii="Times New Roman" w:hAnsi="Times New Roman"/>
                <w:bCs/>
                <w:lang w:eastAsia="uk-UA"/>
              </w:rPr>
              <w:t xml:space="preserve">, </w:t>
            </w:r>
            <w:r w:rsidRPr="005A615E">
              <w:rPr>
                <w:rFonts w:ascii="Times New Roman" w:hAnsi="Times New Roman"/>
                <w:b/>
                <w:bCs/>
                <w:lang w:eastAsia="uk-UA"/>
              </w:rPr>
              <w:t xml:space="preserve"> для яких додатковим джерелом фінансування інвестиційної програми визначити джерело фінансування передбачене структурою тарифів на </w:t>
            </w:r>
            <w:r w:rsidRPr="005A615E">
              <w:rPr>
                <w:rFonts w:ascii="Times New Roman" w:hAnsi="Times New Roman"/>
                <w:b/>
                <w:bCs/>
                <w:lang w:eastAsia="uk-UA"/>
              </w:rPr>
              <w:lastRenderedPageBreak/>
              <w:t xml:space="preserve">послуги з розподілу електричної енергії «Коригування необхідного доходу (витрат)» з метою довиконання інвестиційних програм першого регуляторного періоду, передбачена пунктом 5.21 Поряду </w:t>
            </w:r>
            <w:r w:rsidRPr="005A615E">
              <w:rPr>
                <w:rFonts w:ascii="Times New Roman" w:hAnsi="Times New Roman"/>
                <w:b/>
                <w:bCs/>
                <w:iCs/>
                <w:lang w:eastAsia="ar-SA"/>
              </w:rPr>
              <w:t>встановлення (формування) тарифів на послуги з розподілу електричної енергії</w:t>
            </w:r>
            <w:r w:rsidRPr="005A615E">
              <w:rPr>
                <w:rFonts w:ascii="Times New Roman" w:hAnsi="Times New Roman"/>
                <w:b/>
                <w:bCs/>
                <w:lang w:eastAsia="uk-UA"/>
              </w:rPr>
              <w:t>, затвердженого постановою НКРЕКП від 0</w:t>
            </w:r>
            <w:r w:rsidRPr="005A615E">
              <w:rPr>
                <w:rFonts w:ascii="Times New Roman" w:hAnsi="Times New Roman"/>
                <w:b/>
                <w:bCs/>
                <w:iCs/>
                <w:lang w:eastAsia="ar-SA"/>
              </w:rPr>
              <w:t xml:space="preserve">5.10.2018 року, </w:t>
            </w:r>
            <w:r w:rsidRPr="005A615E">
              <w:rPr>
                <w:rFonts w:ascii="Times New Roman" w:hAnsi="Times New Roman"/>
                <w:bCs/>
                <w:lang w:eastAsia="uk-UA"/>
              </w:rPr>
              <w:t>забезпечивши першочергове фінансування зобов’язань, невиконаних згідно з підпунктом 2 пункту 2 цієї постанови.</w:t>
            </w:r>
          </w:p>
          <w:p w:rsidR="00CF2AC1" w:rsidRPr="005A615E" w:rsidRDefault="00CF2AC1" w:rsidP="00CF2AC1">
            <w:pPr>
              <w:jc w:val="both"/>
              <w:rPr>
                <w:rFonts w:ascii="Times New Roman" w:hAnsi="Times New Roman"/>
                <w:sz w:val="24"/>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suppressAutoHyphens/>
              <w:ind w:firstLine="510"/>
              <w:jc w:val="both"/>
              <w:rPr>
                <w:rFonts w:ascii="Times New Roman" w:hAnsi="Times New Roman"/>
                <w:lang w:eastAsia="ar-SA"/>
              </w:rPr>
            </w:pPr>
            <w:r w:rsidRPr="005A615E">
              <w:rPr>
                <w:rFonts w:ascii="Times New Roman" w:hAnsi="Times New Roman"/>
                <w:lang w:eastAsia="ar-SA"/>
              </w:rPr>
              <w:t xml:space="preserve">Висловлюємо прохання розглянути питання щодо встановлення для окремих ОСР, діяльність яких у першому регуляторному періоді була недофінансована (Додаток 35 до Порядку встановлення (формування) тарифів на послуги з розподілу), </w:t>
            </w:r>
            <w:r w:rsidRPr="005A615E">
              <w:rPr>
                <w:rFonts w:ascii="Times New Roman" w:hAnsi="Times New Roman"/>
                <w:i/>
                <w:lang w:eastAsia="ar-SA"/>
              </w:rPr>
              <w:t>додаткових джерел фінансування ІП у другому регуляторному періоді,</w:t>
            </w:r>
            <w:r w:rsidRPr="005A615E">
              <w:rPr>
                <w:rFonts w:ascii="Times New Roman" w:hAnsi="Times New Roman"/>
                <w:lang w:eastAsia="ar-SA"/>
              </w:rPr>
              <w:t xml:space="preserve"> який дозволить таким ОСР забезпечити повне довиконання ІП першого регуляторного періоду. Сума такого додаткового джерела у другому регуляторному періоді щорічно становитиме 1/5 частину від загальної суми недовиконання ІП протягом першого регуляторного періоду (зафіксованих за  результатами заходів контролю) та недоотриманим такими ОСР рівнем прибутку на РБА0, який мав би бути джерелом фінансування ІП протягом 2024-2026 роках.</w:t>
            </w:r>
          </w:p>
          <w:p w:rsidR="00CF2AC1" w:rsidRPr="005A615E" w:rsidRDefault="00CF2AC1" w:rsidP="00CF2AC1">
            <w:pPr>
              <w:suppressAutoHyphens/>
              <w:ind w:firstLine="510"/>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«ЧЕРНІГІВОБЛЕНЕРГО» (лист від 24.07.2026 № 49/9422/01-14)</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lastRenderedPageBreak/>
              <w:t>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80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p>
          <w:p w:rsidR="00CF2AC1" w:rsidRPr="005A615E" w:rsidRDefault="00CF2AC1" w:rsidP="00CF2AC1">
            <w:pPr>
              <w:jc w:val="both"/>
              <w:rPr>
                <w:rFonts w:ascii="Times New Roman" w:hAnsi="Times New Roman"/>
                <w:b/>
                <w:u w:val="single"/>
              </w:rPr>
            </w:pPr>
            <w:r w:rsidRPr="005A615E">
              <w:rPr>
                <w:rFonts w:ascii="Times New Roman" w:hAnsi="Times New Roman"/>
                <w:szCs w:val="24"/>
              </w:rPr>
              <w:t xml:space="preserve">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(підпункт 2 пункту 2 цієї постанови), зафіксованих результатами контролю </w:t>
            </w:r>
            <w:r w:rsidRPr="005A615E">
              <w:rPr>
                <w:rFonts w:ascii="Times New Roman" w:hAnsi="Times New Roman"/>
                <w:b/>
                <w:szCs w:val="24"/>
              </w:rPr>
              <w:t>(з урахуванням рішень(підходів)  НКРЕКП під час здійснення контрольного заходу з перевірки ліцензійної діяльності за перший регуляторний період, що знайшло своє відображення при здійсненні розрахунку недоотриманого (надлишково) отриманого доходу)))</w:t>
            </w:r>
            <w:r w:rsidRPr="005A615E">
              <w:rPr>
                <w:rFonts w:ascii="Times New Roman" w:hAnsi="Times New Roman"/>
                <w:szCs w:val="24"/>
              </w:rPr>
              <w:t xml:space="preserve">, 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 крім ліцензіатів, перелік яких наведено в додатку 35 до Порядку встановлення (формування) тарифів на послуги з розподілу електричної енергії, затвердженого постановою НКРЕКП від 05 жовтня 2018 року № 1175, в обсязі щорічного інвестування не менше ніж 100 % від прибутку на регуляторну базу активів, яка створена на дату переходу до стимулюючого регулювання згідно з інвестиційною програмою, затвердженою, </w:t>
            </w:r>
            <w:r w:rsidRPr="005A615E">
              <w:rPr>
                <w:rFonts w:ascii="Times New Roman" w:hAnsi="Times New Roman"/>
                <w:szCs w:val="24"/>
              </w:rPr>
              <w:lastRenderedPageBreak/>
              <w:t>погодженою та схваленою відповідно до Порядку № 955, забезпечивши першочергове фінансування зобов’язань, невиконаних згідно з підпунктом 2 пункту 2 цієї постанови.</w:t>
            </w:r>
          </w:p>
          <w:p w:rsidR="00CF2AC1" w:rsidRPr="005A615E" w:rsidRDefault="00CF2AC1" w:rsidP="00CF2AC1">
            <w:pPr>
              <w:jc w:val="both"/>
              <w:rPr>
                <w:b/>
                <w:i/>
                <w:u w:val="single"/>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В 2022 році АТ «ЧЕРНІГІВОБЛЕНЕРГО» не мало можливості виконати ІП в межах сум обов'язкових джерел ІП в зв'язку з військовою агресією рф. Сума невиконання була зафіксована під час планової перевірки НКРЕКП та вилучена зі структури тарифів (шляхом коригування доходу в бік зменшення). Компанія вже втратила можливість інвестування в розвиток мереж.</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ind w:firstLine="312"/>
              <w:jc w:val="both"/>
              <w:rPr>
                <w:rFonts w:ascii="Times New Roman" w:hAnsi="Times New Roman"/>
                <w:iCs/>
                <w:lang w:eastAsia="uk-UA"/>
              </w:rPr>
            </w:pPr>
            <w:r w:rsidRPr="005A615E">
              <w:rPr>
                <w:rFonts w:ascii="Times New Roman" w:hAnsi="Times New Roman"/>
                <w:iCs/>
                <w:lang w:eastAsia="uk-UA"/>
              </w:rPr>
              <w:t>3. Протягом другого регуляторного періоду ліцензіат має забезпечувати:</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80</w:t>
            </w:r>
            <w:r w:rsidRPr="005A615E">
              <w:rPr>
                <w:rFonts w:ascii="Times New Roman" w:hAnsi="Times New Roman"/>
                <w:b/>
                <w:bCs/>
                <w:lang w:eastAsia="uk-UA"/>
              </w:rPr>
              <w:t xml:space="preserve"> </w:t>
            </w:r>
            <w:r w:rsidRPr="005A615E">
              <w:rPr>
                <w:rFonts w:ascii="Times New Roman" w:hAnsi="Times New Roman"/>
                <w:lang w:eastAsia="uk-UA"/>
              </w:rPr>
              <w:t xml:space="preserve">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 </w:t>
            </w:r>
          </w:p>
          <w:p w:rsidR="00CF2AC1" w:rsidRPr="005A615E" w:rsidRDefault="00CF2AC1" w:rsidP="00CF2AC1">
            <w:pPr>
              <w:jc w:val="both"/>
              <w:rPr>
                <w:rFonts w:ascii="Times New Roman" w:hAnsi="Times New Roman"/>
                <w:b/>
                <w:bCs/>
                <w:strike/>
                <w:lang w:eastAsia="uk-UA"/>
              </w:rPr>
            </w:pPr>
            <w:r w:rsidRPr="005A615E">
              <w:rPr>
                <w:rFonts w:ascii="Times New Roman" w:hAnsi="Times New Roman"/>
                <w:b/>
                <w:bCs/>
                <w:strike/>
                <w:lang w:eastAsia="uk-UA"/>
              </w:rPr>
              <w:t xml:space="preserve">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(підпункт 2 пункту 2 цієї постанови), зафіксованих результатами контролю, забезпечується протягом другого </w:t>
            </w:r>
            <w:r w:rsidRPr="005A615E">
              <w:rPr>
                <w:rFonts w:ascii="Times New Roman" w:hAnsi="Times New Roman"/>
                <w:b/>
                <w:bCs/>
                <w:strike/>
                <w:lang w:eastAsia="uk-UA"/>
              </w:rPr>
              <w:lastRenderedPageBreak/>
              <w:t>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 крім ліцензіатів, перелік яких наведено в додатку 35 до Порядку встановлення (формування) тарифів на послуги з розподілу електричної енергії, затвердженого постановою НКРЕКП від 05 жовтня 2018 року № 1175, в обсязі щорічного інвестування не менше ніж 100 % від прибутку на регуляторну базу активів,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 забезпечивши першочергове фінансування зобов’язань, невиконаних згідно з підпунктом 2 пункту 2 цієї постанови».</w:t>
            </w:r>
          </w:p>
          <w:p w:rsidR="00CF2AC1" w:rsidRPr="005A615E" w:rsidRDefault="00CF2AC1" w:rsidP="00CF2AC1">
            <w:pPr>
              <w:jc w:val="both"/>
              <w:rPr>
                <w:rFonts w:ascii="Times New Roman" w:hAnsi="Times New Roman"/>
                <w:b/>
                <w:bCs/>
                <w:strike/>
                <w:lang w:eastAsia="ru-RU"/>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 xml:space="preserve">Обгрунтування </w:t>
            </w:r>
          </w:p>
          <w:p w:rsidR="00CF2AC1" w:rsidRPr="005A615E" w:rsidRDefault="00CF2AC1" w:rsidP="00CF2AC1">
            <w:pPr>
              <w:jc w:val="both"/>
              <w:rPr>
                <w:rFonts w:ascii="Times New Roman" w:hAnsi="Times New Roman"/>
              </w:rPr>
            </w:pPr>
            <w:r w:rsidRPr="005A615E">
              <w:rPr>
                <w:rFonts w:ascii="Times New Roman" w:hAnsi="Times New Roman"/>
              </w:rPr>
              <w:t xml:space="preserve">АТ «Чернівціобленерго» не погоджується із запропонованою НКРЕКП редакцією, пункту 3 Постанови. Впровадження такої норми є грубим втручанням в господарську діяльність акціонерного товариства та руйнує базові принципи стимулюючого тарифоутворення, а саме його норму щодо того, що 50% прибутку на «стару» базу активів є гарантованим вільним ресурсом Товариства та його акціонерів. Саме ця норма була єдиним реальним стимулом для інвесторів вкладати кошти в енергетичні підприємства, ризикуючи капіталом. Відповідно до ЗУ «Про акціонерні товариства» від 27.07.2022 року №2465-IX, - виключною компетенцією Загальних зборів </w:t>
            </w:r>
            <w:r w:rsidRPr="005A615E">
              <w:rPr>
                <w:rFonts w:ascii="Times New Roman" w:hAnsi="Times New Roman"/>
              </w:rPr>
              <w:lastRenderedPageBreak/>
              <w:t>акціонерів є затвердження результатів фінансово-господарської діяльності та розподіл прибутку.</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Крім того,  акціонерне товариство, як юридична особа самостійно володіє, користується та розпоряджається своїм майном і коштами.</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Громадська спілка «Розумні електромережі України» (лист від 24.07.2026  № 24-07/1), 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jc w:val="both"/>
              <w:rPr>
                <w:rFonts w:ascii="Times New Roman" w:eastAsia="Times New Roman" w:hAnsi="Times New Roman"/>
                <w:lang w:eastAsia="uk-UA"/>
              </w:rPr>
            </w:pPr>
            <w:r w:rsidRPr="005A615E">
              <w:rPr>
                <w:rFonts w:ascii="Times New Roman" w:eastAsia="Times New Roman" w:hAnsi="Times New Roman"/>
                <w:b/>
                <w:bCs/>
                <w:lang w:eastAsia="uk-UA"/>
              </w:rPr>
              <w:t xml:space="preserve">3) </w:t>
            </w:r>
            <w:r w:rsidRPr="005A615E">
              <w:rPr>
                <w:rFonts w:ascii="Times New Roman" w:eastAsia="Times New Roman" w:hAnsi="Times New Roman"/>
                <w:lang w:eastAsia="uk-UA"/>
              </w:rPr>
              <w:t xml:space="preserve">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w:t>
            </w:r>
            <w:r w:rsidRPr="005A615E">
              <w:rPr>
                <w:rFonts w:ascii="Times New Roman" w:eastAsia="Times New Roman" w:hAnsi="Times New Roman"/>
                <w:b/>
                <w:bCs/>
                <w:lang w:eastAsia="uk-UA"/>
              </w:rPr>
              <w:t>40</w:t>
            </w:r>
            <w:r w:rsidRPr="005A615E">
              <w:rPr>
                <w:rFonts w:ascii="Times New Roman" w:eastAsia="Times New Roman" w:hAnsi="Times New Roman"/>
                <w:lang w:eastAsia="uk-UA"/>
              </w:rPr>
              <w:t xml:space="preserve">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p>
          <w:p w:rsidR="00CF2AC1" w:rsidRPr="005A615E" w:rsidRDefault="00CF2AC1" w:rsidP="00CF2AC1">
            <w:pPr>
              <w:ind w:firstLine="180"/>
              <w:jc w:val="both"/>
              <w:rPr>
                <w:rFonts w:ascii="Times New Roman" w:hAnsi="Times New Roman"/>
                <w:bCs/>
                <w:strike/>
                <w:lang w:eastAsia="uk-UA"/>
              </w:rPr>
            </w:pPr>
            <w:r w:rsidRPr="005A615E">
              <w:rPr>
                <w:rFonts w:ascii="Times New Roman" w:hAnsi="Times New Roman"/>
                <w:bCs/>
                <w:strike/>
                <w:lang w:eastAsia="uk-UA"/>
              </w:rPr>
              <w:t xml:space="preserve">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(підпункт 2 пункту 2 цієї постанови), зафіксованих результатами контролю, 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 крім ліцензіатів, перелік яких наведено в додатку 35 до Порядку встановлення (формування) тарифів на послуги з розподілу </w:t>
            </w:r>
            <w:r w:rsidRPr="005A615E">
              <w:rPr>
                <w:rFonts w:ascii="Times New Roman" w:hAnsi="Times New Roman"/>
                <w:bCs/>
                <w:strike/>
                <w:lang w:eastAsia="uk-UA"/>
              </w:rPr>
              <w:lastRenderedPageBreak/>
              <w:t>електричної енергії, затвердженого постановою НКРЕКП від 05 жовтня 2018 року № 1175, в обсязі щорічного інвестування не менше ніж 100 % від прибутку на регуляторну базу активів,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 забезпечивши першочергове фінансування зобов’язань, невиконаних згідно з підпунктом 2 пункту 2 цієї постанови.</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ind w:firstLine="312"/>
              <w:jc w:val="both"/>
              <w:rPr>
                <w:rFonts w:ascii="Times New Roman" w:eastAsia="Times New Roman" w:hAnsi="Times New Roman"/>
                <w:lang w:eastAsia="uk-UA"/>
              </w:rPr>
            </w:pPr>
            <w:r w:rsidRPr="005A615E">
              <w:rPr>
                <w:rFonts w:ascii="Times New Roman" w:eastAsia="Times New Roman" w:hAnsi="Times New Roman"/>
                <w:lang w:eastAsia="uk-UA"/>
              </w:rPr>
              <w:t xml:space="preserve">Запропонована норма суттєво змінює ключові правила роботи ОСР за моделюю стимулюючого регулювання, які були прийняті ОСР на етапі переходу на цю модель функціонування та створює середовище регуляторної непередбачуваності для інвесторів в галузь електроенергетики. </w:t>
            </w:r>
          </w:p>
          <w:p w:rsidR="00CF2AC1" w:rsidRPr="005A615E" w:rsidRDefault="00CF2AC1" w:rsidP="00CF2AC1">
            <w:pPr>
              <w:ind w:firstLine="308"/>
              <w:jc w:val="both"/>
              <w:rPr>
                <w:rFonts w:ascii="Times New Roman" w:hAnsi="Times New Roman"/>
                <w:shd w:val="clear" w:color="auto" w:fill="FFFFFF"/>
              </w:rPr>
            </w:pPr>
            <w:r w:rsidRPr="005A615E">
              <w:rPr>
                <w:rFonts w:ascii="Times New Roman" w:eastAsia="Times New Roman" w:hAnsi="Times New Roman"/>
                <w:lang w:eastAsia="uk-UA"/>
              </w:rPr>
              <w:t>У разі запровадження запропонованої зміни у ОСР знизиться інвестиційна привабливість, а саме, якщо у ОСР буде незначний вільний прибуток, це обмежить його спроможність залучати інвесторів для залучення коштів значно більших, ніж обов’язкові джерела, що особливо потрібно для відновлення та відбудови мереж після закінчення воєнного стану, а також напряму зменшить  потенційну вартість компаній державного сектору, що призведе до недоотримання державою коштів при приватизації державних ОСР.</w:t>
            </w:r>
            <w:r w:rsidRPr="005A615E">
              <w:rPr>
                <w:rFonts w:ascii="Times New Roman" w:hAnsi="Times New Roman"/>
                <w:shd w:val="clear" w:color="auto" w:fill="FFFFFF"/>
              </w:rPr>
              <w:t xml:space="preserve"> Функціонування ОСР протягом першого регуляторного періоду ОСР супроводжувалось дефіцитом коштів на виконання ліцензованої діяльності, пов’язаного з наслідками воєнних дій, зокрема зниження обсягів розподілу, етапного перегляду тарифів, дефіциту коштів за статтєю ТВЕ тощо. Сума невиконання ІП (зокрема, у випадках дефіциту коштів) вилучалася  з тарифів за </w:t>
            </w:r>
            <w:r w:rsidRPr="005A615E">
              <w:rPr>
                <w:rFonts w:ascii="Times New Roman" w:hAnsi="Times New Roman"/>
                <w:shd w:val="clear" w:color="auto" w:fill="FFFFFF"/>
              </w:rPr>
              <w:lastRenderedPageBreak/>
              <w:t>результатами перевірок (під час визначення суми недоотриманого доходу). Таким чином не повне виконання зобов’язань щодо щорічного обсягу інвестування в розвиток мереж за джерелами фінансування інвестиційних програм протягом першого РП було обумовлене об’єктивними чинниками, суми невиконання ІП вилучені. Враховуючи особливо складні умови роботи ОСР, обумовлені воєнними ризиками, було прийнято ПНКРЕКП від 26 квітня 2022 року № 406 з метою врегулювання питань реалізації інвестиційних програм 2022–2023 рр.</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 xml:space="preserve">Підхід щодо спрямування коштів, що вже були  вилучені з тарифів (необхідного доходу) ОСР, вбачаємо некоректним та неприпустимим. </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Вся ця сума недофінансування вже вилучена!!</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 xml:space="preserve">Крім того, необхідно використовувати єдиний підхід до ліцензіатів з другого регуляторного періоду для недопущення недофінансування компаній і сприяння їх сталій роботі в умовах війни.  Безпосередньо до компаній, перелічених в додатку 35 ніякі санкції не застосовуються (Витяги з Державного реєстру санкцій додаються). </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i/>
                <w:u w:val="single"/>
              </w:rPr>
              <w:t xml:space="preserve">Обгрунтування </w:t>
            </w:r>
            <w:r w:rsidRPr="005A615E">
              <w:rPr>
                <w:rFonts w:ascii="Times New Roman" w:hAnsi="Times New Roman"/>
                <w:b/>
                <w:sz w:val="24"/>
                <w:u w:val="single"/>
              </w:rPr>
              <w:t xml:space="preserve">ПрАТ «Львівобленерго» </w:t>
            </w:r>
          </w:p>
          <w:p w:rsidR="00CF2AC1" w:rsidRPr="005A615E" w:rsidRDefault="00CF2AC1" w:rsidP="00CF2AC1">
            <w:pPr>
              <w:jc w:val="both"/>
              <w:rPr>
                <w:rFonts w:ascii="Times New Roman" w:hAnsi="Times New Roman"/>
              </w:rPr>
            </w:pPr>
            <w:r w:rsidRPr="005A615E">
              <w:rPr>
                <w:rFonts w:ascii="Times New Roman" w:hAnsi="Times New Roman"/>
              </w:rPr>
              <w:t>Зменшення частки вільного прибутку призведе до неможливості ОСР реагування на різкі зміни ціни на електричну енергію з метою компенсації ТВЕ (частка витрат яких у структурі тарифів становлять 40-45%). Як досвід показує, стрибки цін і відповідно витрати можуть сягати максимальних значень (урахуванням застосування цін на граничному рівні Прайскепів).</w:t>
            </w:r>
          </w:p>
          <w:p w:rsidR="00CF2AC1" w:rsidRPr="005A615E" w:rsidRDefault="00CF2AC1" w:rsidP="00CF2AC1">
            <w:pPr>
              <w:ind w:firstLine="175"/>
              <w:jc w:val="both"/>
              <w:rPr>
                <w:rFonts w:ascii="Times New Roman" w:hAnsi="Times New Roman"/>
              </w:rPr>
            </w:pPr>
            <w:r w:rsidRPr="005A615E">
              <w:rPr>
                <w:rFonts w:ascii="Times New Roman" w:hAnsi="Times New Roman"/>
              </w:rPr>
              <w:t xml:space="preserve">Окрім цього пропонуємо ввести в термінології поняття «вільний прибуток» оскільки в постановах і використовується це словосполучення. </w:t>
            </w:r>
          </w:p>
          <w:p w:rsidR="00CF2AC1" w:rsidRPr="005A615E" w:rsidRDefault="00CF2AC1" w:rsidP="00CF2AC1">
            <w:pPr>
              <w:ind w:firstLine="175"/>
              <w:jc w:val="both"/>
              <w:rPr>
                <w:rFonts w:ascii="Times New Roman" w:hAnsi="Times New Roman"/>
              </w:rPr>
            </w:pPr>
            <w:r w:rsidRPr="005A615E">
              <w:rPr>
                <w:rFonts w:ascii="Times New Roman" w:hAnsi="Times New Roman"/>
              </w:rPr>
              <w:lastRenderedPageBreak/>
              <w:t>Фактично - вільний прибуток- це частка прибутку на регуляторну базу активів, яка створена на момент переходу на стимулююче регулювання, після спрямування коштів в розмірі джерела на фінансування інвестиційної програми, а також прибуток на регуляторну базу активів, яка створена після переходу на стимулююче регулювання від активів, які введені після переходу на стимулююче регулювання.</w:t>
            </w:r>
          </w:p>
          <w:p w:rsidR="00CF2AC1" w:rsidRPr="005A615E" w:rsidRDefault="00CF2AC1" w:rsidP="00CF2AC1">
            <w:pPr>
              <w:shd w:val="clear" w:color="auto" w:fill="FFFFFF"/>
              <w:jc w:val="both"/>
              <w:rPr>
                <w:rFonts w:ascii="Times New Roman" w:hAnsi="Times New Roman"/>
                <w:b/>
                <w:sz w:val="24"/>
                <w:u w:val="single"/>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ТОВ «ДТЕК Мережі» (лист від 23.07.2026 41/6-38/2026)</w:t>
            </w:r>
          </w:p>
          <w:p w:rsidR="00CF2AC1" w:rsidRPr="005A615E" w:rsidRDefault="00CF2AC1" w:rsidP="00CF2AC1">
            <w:pPr>
              <w:shd w:val="clear" w:color="auto" w:fill="FFFFFF"/>
              <w:jc w:val="both"/>
              <w:rPr>
                <w:rFonts w:ascii="Times New Roman" w:hAnsi="Times New Roman"/>
                <w:bCs/>
                <w:lang w:eastAsia="uk-UA"/>
              </w:rPr>
            </w:pPr>
            <w:r w:rsidRPr="005A615E">
              <w:rPr>
                <w:rFonts w:ascii="Times New Roman" w:hAnsi="Times New Roman"/>
              </w:rPr>
              <w:t xml:space="preserve">Збільшення зобов’язань ОСР щодо необхідності реінвестування прибутку з 50 % до </w:t>
            </w:r>
            <w:r w:rsidRPr="005A615E">
              <w:rPr>
                <w:rFonts w:ascii="Times New Roman" w:hAnsi="Times New Roman"/>
                <w:bCs/>
                <w:lang w:eastAsia="uk-UA"/>
              </w:rPr>
              <w:t>80 % від прибутку на регуляторну базу активів з розподілу електричної енергії, яка створена на дату переходу до стимулюючого регулювання, суттєво змінює ключові правила роботи ОСР за моделлю стимулюючого регулювання.</w:t>
            </w:r>
          </w:p>
          <w:p w:rsidR="00CF2AC1" w:rsidRPr="005A615E" w:rsidRDefault="00CF2AC1" w:rsidP="00CF2AC1">
            <w:pPr>
              <w:shd w:val="clear" w:color="auto" w:fill="FFFFFF"/>
              <w:jc w:val="both"/>
              <w:rPr>
                <w:rFonts w:ascii="Times New Roman" w:hAnsi="Times New Roman"/>
                <w:bCs/>
                <w:lang w:eastAsia="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ind w:firstLine="312"/>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180"/>
              <w:contextualSpacing/>
              <w:jc w:val="both"/>
              <w:rPr>
                <w:rFonts w:ascii="Times New Roman" w:hAnsi="Times New Roman"/>
                <w:sz w:val="24"/>
              </w:rPr>
            </w:pPr>
            <w:r w:rsidRPr="005A615E">
              <w:rPr>
                <w:rFonts w:ascii="Times New Roman" w:hAnsi="Times New Roman"/>
                <w:sz w:val="24"/>
              </w:rPr>
              <w:t>…</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80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p>
          <w:p w:rsidR="00CF2AC1" w:rsidRPr="005A615E" w:rsidRDefault="00CF2AC1" w:rsidP="00CF2AC1">
            <w:pPr>
              <w:ind w:firstLine="709"/>
              <w:jc w:val="both"/>
              <w:rPr>
                <w:rFonts w:ascii="Times New Roman" w:hAnsi="Times New Roman"/>
                <w:bCs/>
                <w:lang w:eastAsia="uk-UA"/>
              </w:rPr>
            </w:pPr>
            <w:r w:rsidRPr="005A615E">
              <w:rPr>
                <w:rFonts w:ascii="Times New Roman" w:hAnsi="Times New Roman"/>
                <w:bCs/>
                <w:lang w:eastAsia="uk-UA"/>
              </w:rPr>
              <w:t xml:space="preserve">Виконання ліцензіатом зобов’язань щодо забезпечення щорічного обсягу інвестування в </w:t>
            </w:r>
            <w:r w:rsidRPr="005A615E">
              <w:rPr>
                <w:rFonts w:ascii="Times New Roman" w:hAnsi="Times New Roman"/>
                <w:bCs/>
                <w:lang w:eastAsia="uk-UA"/>
              </w:rPr>
              <w:lastRenderedPageBreak/>
              <w:t>розвиток мереж за джерелами фінансування інвестиційних програм, визначених умовами першого регуляторного періоду (підпункт 2 пункту 2 цієї постанови), зафіксованих результатами контролю, 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w:t>
            </w:r>
          </w:p>
          <w:p w:rsidR="00CF2AC1" w:rsidRPr="005A615E" w:rsidRDefault="00CF2AC1" w:rsidP="00CF2AC1">
            <w:pPr>
              <w:ind w:firstLine="709"/>
              <w:jc w:val="both"/>
              <w:rPr>
                <w:rFonts w:ascii="Times New Roman" w:hAnsi="Times New Roman"/>
                <w:b/>
                <w:bCs/>
                <w:iCs/>
              </w:rPr>
            </w:pPr>
            <w:r w:rsidRPr="005A615E">
              <w:rPr>
                <w:rFonts w:ascii="Times New Roman" w:hAnsi="Times New Roman"/>
                <w:b/>
                <w:bCs/>
                <w:lang w:eastAsia="uk-UA"/>
              </w:rPr>
              <w:t xml:space="preserve">Для ОСР додатку 35 до Порядку встановлення (формування) тарифів на послуги з розподілу електричної енергії, затвердженого постановою НКРЕКП від 05 жовтня 2018 року № 1175, фінансування зобов’язань, невиконаних згідно з підпунктом 2 пункту 2 цієї постанови провести за рахунок джерела «Корегування необхідного доходу», визначеного пунктом 5.21 Порядку </w:t>
            </w:r>
            <w:r w:rsidRPr="005A615E">
              <w:rPr>
                <w:rFonts w:ascii="Times New Roman" w:hAnsi="Times New Roman"/>
                <w:b/>
                <w:bCs/>
                <w:iCs/>
              </w:rPr>
              <w:t>встановлення (формування) тарифів на послуги з розподілу електричної енергії</w:t>
            </w:r>
            <w:r w:rsidRPr="005A615E">
              <w:rPr>
                <w:rFonts w:ascii="Times New Roman" w:hAnsi="Times New Roman"/>
                <w:b/>
                <w:bCs/>
                <w:lang w:eastAsia="uk-UA"/>
              </w:rPr>
              <w:t>, затвердженого постановою НКРЕКП від 0</w:t>
            </w:r>
            <w:r w:rsidRPr="005A615E">
              <w:rPr>
                <w:rFonts w:ascii="Times New Roman" w:hAnsi="Times New Roman"/>
                <w:b/>
                <w:bCs/>
                <w:iCs/>
              </w:rPr>
              <w:t>5.10.2018 року №1175, включеного до структури тарифу ОСР.</w:t>
            </w:r>
          </w:p>
          <w:p w:rsidR="00CF2AC1" w:rsidRPr="005A615E" w:rsidRDefault="00CF2AC1" w:rsidP="00CF2AC1">
            <w:pPr>
              <w:ind w:firstLine="709"/>
              <w:jc w:val="both"/>
              <w:rPr>
                <w:bCs/>
                <w:lang w:eastAsia="uk-UA"/>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rPr>
              <w:t>У запропонованому проекті змін визначено, що 80% прибутку з РБА0 необхідно визначати джерелом ІП, при цьому  для ОСР додатка 35 одночасно з цим 100% прибутку на РБА0 необхідно направляти на виконання невиконаних ІП першого регуляторного періоду. Зазначене рішення неможливе до реалізації. З</w:t>
            </w:r>
            <w:r w:rsidRPr="005A615E">
              <w:rPr>
                <w:rFonts w:ascii="Times New Roman" w:hAnsi="Times New Roman"/>
                <w:shd w:val="clear" w:color="auto" w:fill="FFFFFF"/>
              </w:rPr>
              <w:t>агальна сума вимушеного недофінансування Товариством інвестиційних програм протягом першого регуляторного періоду (2023-2025 років) становила 850,33 млн.грн.</w:t>
            </w:r>
            <w:r w:rsidRPr="005A615E">
              <w:rPr>
                <w:rFonts w:ascii="Times New Roman" w:hAnsi="Times New Roman"/>
                <w:b/>
                <w:shd w:val="clear" w:color="auto" w:fill="FFFFFF"/>
              </w:rPr>
              <w:t xml:space="preserve"> (враховуючи фактичні показники </w:t>
            </w:r>
            <w:r w:rsidRPr="005A615E">
              <w:rPr>
                <w:rFonts w:ascii="Times New Roman" w:hAnsi="Times New Roman"/>
                <w:b/>
                <w:shd w:val="clear" w:color="auto" w:fill="FFFFFF"/>
              </w:rPr>
              <w:lastRenderedPageBreak/>
              <w:t>інфляції, зазначена сума, враховуючи період її виникнення, станом на початок 2026 року вже становить 1 062 млн.грн.)</w:t>
            </w:r>
            <w:r w:rsidRPr="005A615E">
              <w:rPr>
                <w:rFonts w:ascii="Times New Roman" w:hAnsi="Times New Roman"/>
                <w:shd w:val="clear" w:color="auto" w:fill="FFFFFF"/>
              </w:rPr>
              <w:t xml:space="preserve">. Орієнтовна сума прибутку на РБА0 для 2027 року, при визначеній регуляторній нормі доходу на рівні 1,5% становитиме близько 130 млн.грн., а загалом за другий регуляторний період (2027-2031 роки) орієнтовно складе 600 млн.грн.. Навіть 100% реінвестування зазначеної суми протягом другого регуляторного періоду </w:t>
            </w:r>
            <w:r w:rsidRPr="005A615E">
              <w:rPr>
                <w:rFonts w:ascii="Times New Roman" w:hAnsi="Times New Roman"/>
                <w:b/>
                <w:shd w:val="clear" w:color="auto" w:fill="FFFFFF"/>
              </w:rPr>
              <w:t>не дозволить забезпечити довиконання обсягу ІП першого регуляторного періоду та призведе до чергового невиконання поточних ІП</w:t>
            </w:r>
            <w:r w:rsidRPr="005A615E">
              <w:rPr>
                <w:rFonts w:ascii="Times New Roman" w:hAnsi="Times New Roman"/>
                <w:shd w:val="clear" w:color="auto" w:fill="FFFFFF"/>
              </w:rPr>
              <w:t>.</w:t>
            </w:r>
          </w:p>
          <w:p w:rsidR="00CF2AC1" w:rsidRPr="005A615E" w:rsidRDefault="00CF2AC1" w:rsidP="00CF2AC1">
            <w:pPr>
              <w:shd w:val="clear" w:color="auto" w:fill="FFFFFF"/>
              <w:jc w:val="both"/>
              <w:rPr>
                <w:rFonts w:ascii="Times New Roman" w:hAnsi="Times New Roman"/>
                <w:shd w:val="clear" w:color="auto" w:fill="FFFFFF"/>
              </w:rPr>
            </w:pPr>
            <w:r w:rsidRPr="005A615E">
              <w:rPr>
                <w:rFonts w:ascii="Times New Roman" w:hAnsi="Times New Roman"/>
                <w:shd w:val="clear" w:color="auto" w:fill="FFFFFF"/>
              </w:rPr>
              <w:t xml:space="preserve">Зазначене вище свідчить про необхідність розгляду питання щодо встановлення для окремих ОСР, діяльність яких у першому регуляторному періоді була недофінансована, </w:t>
            </w:r>
            <w:r w:rsidRPr="005A615E">
              <w:rPr>
                <w:rFonts w:ascii="Times New Roman" w:hAnsi="Times New Roman"/>
                <w:u w:val="single"/>
                <w:shd w:val="clear" w:color="auto" w:fill="FFFFFF"/>
              </w:rPr>
              <w:t>ОСОБЛИВИХ УМОВ,</w:t>
            </w:r>
            <w:r w:rsidRPr="005A615E">
              <w:rPr>
                <w:rFonts w:ascii="Times New Roman" w:hAnsi="Times New Roman"/>
                <w:shd w:val="clear" w:color="auto" w:fill="FFFFFF"/>
              </w:rPr>
              <w:t xml:space="preserve"> а саме визначення додаткових джерел фінансування ІП у другому регуляторному періоді, який дозволить таким ОСР забезпечити повне довиконання ІП першого регуляторного періоду.</w:t>
            </w:r>
          </w:p>
          <w:p w:rsidR="00CF2AC1" w:rsidRPr="005A615E" w:rsidRDefault="00CF2AC1" w:rsidP="00CF2AC1">
            <w:pPr>
              <w:shd w:val="clear" w:color="auto" w:fill="FFFFFF"/>
              <w:jc w:val="both"/>
              <w:rPr>
                <w:rFonts w:ascii="Times New Roman" w:hAnsi="Times New Roman"/>
                <w:shd w:val="clear" w:color="auto" w:fill="FFFFFF"/>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«ВІННИЦЯОБЛЕНЕРГО» (лист від 27.07.2026  № 03.13-18608)</w:t>
            </w:r>
          </w:p>
          <w:p w:rsidR="00CF2AC1" w:rsidRPr="005A615E" w:rsidRDefault="00CF2AC1" w:rsidP="00CF2AC1">
            <w:pPr>
              <w:jc w:val="both"/>
              <w:rPr>
                <w:rFonts w:ascii="Times New Roman" w:hAnsi="Times New Roman"/>
                <w:szCs w:val="24"/>
              </w:rPr>
            </w:pPr>
            <w:r w:rsidRPr="005A615E">
              <w:rPr>
                <w:rFonts w:ascii="Times New Roman" w:hAnsi="Times New Roman"/>
                <w:szCs w:val="24"/>
              </w:rPr>
              <w:t>3. Протягом другого регуляторного періоду ліцензіат має забезпечувати:</w:t>
            </w:r>
          </w:p>
          <w:p w:rsidR="00CF2AC1" w:rsidRPr="005A615E" w:rsidRDefault="00CF2AC1" w:rsidP="00CF2AC1">
            <w:pPr>
              <w:jc w:val="both"/>
              <w:rPr>
                <w:rFonts w:ascii="Times New Roman" w:hAnsi="Times New Roman"/>
                <w:szCs w:val="24"/>
              </w:rPr>
            </w:pPr>
            <w:r w:rsidRPr="005A615E">
              <w:rPr>
                <w:rFonts w:ascii="Times New Roman" w:hAnsi="Times New Roman"/>
                <w:szCs w:val="24"/>
              </w:rPr>
              <w:t>...</w:t>
            </w:r>
          </w:p>
          <w:p w:rsidR="00CF2AC1" w:rsidRPr="005A615E" w:rsidRDefault="00CF2AC1" w:rsidP="00CF2AC1">
            <w:pPr>
              <w:jc w:val="both"/>
              <w:rPr>
                <w:rFonts w:ascii="Times New Roman" w:hAnsi="Times New Roman"/>
                <w:szCs w:val="24"/>
              </w:rPr>
            </w:pPr>
            <w:r w:rsidRPr="005A615E">
              <w:rPr>
                <w:rFonts w:ascii="Times New Roman" w:hAnsi="Times New Roman"/>
                <w:szCs w:val="24"/>
              </w:rPr>
              <w:t xml:space="preserve">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w:t>
            </w:r>
            <w:r w:rsidRPr="005A615E">
              <w:rPr>
                <w:rFonts w:ascii="Times New Roman" w:hAnsi="Times New Roman"/>
                <w:b/>
                <w:szCs w:val="24"/>
              </w:rPr>
              <w:t xml:space="preserve">50 </w:t>
            </w:r>
            <w:r w:rsidRPr="005A615E">
              <w:rPr>
                <w:rFonts w:ascii="Times New Roman" w:hAnsi="Times New Roman"/>
                <w:szCs w:val="24"/>
              </w:rPr>
              <w:t>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p>
          <w:p w:rsidR="00CF2AC1" w:rsidRPr="005A615E" w:rsidRDefault="00CF2AC1" w:rsidP="00CF2AC1">
            <w:pPr>
              <w:shd w:val="clear" w:color="auto" w:fill="FFFFFF"/>
              <w:jc w:val="both"/>
              <w:rPr>
                <w:rFonts w:ascii="Times New Roman" w:hAnsi="Times New Roman"/>
                <w:sz w:val="20"/>
                <w:shd w:val="clear" w:color="auto" w:fill="FFFFFF"/>
              </w:rPr>
            </w:pPr>
            <w:r w:rsidRPr="005A615E">
              <w:rPr>
                <w:rFonts w:ascii="Times New Roman" w:hAnsi="Times New Roman"/>
                <w:szCs w:val="24"/>
              </w:rPr>
              <w:lastRenderedPageBreak/>
              <w:t xml:space="preserve">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(підпункт 2 пункту 2 цієї постанови), зафіксованих результатами контролю </w:t>
            </w:r>
            <w:r w:rsidRPr="005A615E">
              <w:rPr>
                <w:rFonts w:ascii="Times New Roman" w:hAnsi="Times New Roman"/>
                <w:b/>
                <w:szCs w:val="24"/>
              </w:rPr>
              <w:t>(за умови, якщо сума невиконання інвестиційної програми не була вилучена зі структури тарифів)</w:t>
            </w:r>
            <w:r w:rsidRPr="005A615E">
              <w:rPr>
                <w:rFonts w:ascii="Times New Roman" w:hAnsi="Times New Roman"/>
                <w:szCs w:val="24"/>
              </w:rPr>
              <w:t>, 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 крім ліцензіатів, перелік яких наведено в додатку 35 до Порядку встановлення (формування) тарифів на послуги з розподілу електричної енергії, затвердженого постановою НКРЕКП від 05 жовтня 2018 року № 1175, в обсязі щорічного інвестування не менше ніж 100 % від прибутку на регуляторну базу активів,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 забезпечивши першочергове фінансування зобов’язань, невиконаних згідно з підпунктом 2 пункту 2 цієї постанови.</w:t>
            </w:r>
          </w:p>
          <w:p w:rsidR="00CF2AC1" w:rsidRPr="005A615E" w:rsidRDefault="00CF2AC1" w:rsidP="00CF2AC1">
            <w:pPr>
              <w:shd w:val="clear" w:color="auto" w:fill="FFFFFF"/>
              <w:jc w:val="both"/>
              <w:rPr>
                <w:rFonts w:ascii="Times New Roman" w:hAnsi="Times New Roman"/>
                <w:b/>
                <w:sz w:val="24"/>
                <w:u w:val="single"/>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autoSpaceDE w:val="0"/>
              <w:autoSpaceDN w:val="0"/>
              <w:adjustRightInd w:val="0"/>
              <w:jc w:val="both"/>
              <w:rPr>
                <w:rFonts w:ascii="Times New Roman" w:hAnsi="Times New Roman"/>
                <w:lang w:eastAsia="uk-UA"/>
              </w:rPr>
            </w:pPr>
            <w:r w:rsidRPr="005A615E">
              <w:rPr>
                <w:rFonts w:ascii="Times New Roman" w:hAnsi="Times New Roman"/>
                <w:lang w:eastAsia="uk-UA"/>
              </w:rPr>
              <w:t>Під час переходу операторів систем розподілу на стимулююче регулювання визначальною та довгостроковою умовою було обов’язкове реінвестування, саме 50 відсотків від прибутку на РБА, яка створена на дату переходу. Виходячи з цих стабільних умов ліцензіатами формувалися довгострокові фінансові й інвестиційні плани.</w:t>
            </w:r>
          </w:p>
          <w:p w:rsidR="00CF2AC1" w:rsidRPr="005A615E" w:rsidRDefault="00CF2AC1" w:rsidP="00CF2AC1">
            <w:pPr>
              <w:autoSpaceDE w:val="0"/>
              <w:autoSpaceDN w:val="0"/>
              <w:adjustRightInd w:val="0"/>
              <w:jc w:val="both"/>
              <w:rPr>
                <w:rFonts w:ascii="Times New Roman" w:hAnsi="Times New Roman"/>
                <w:lang w:eastAsia="uk-UA"/>
              </w:rPr>
            </w:pPr>
            <w:r w:rsidRPr="005A615E">
              <w:rPr>
                <w:rFonts w:ascii="Times New Roman" w:hAnsi="Times New Roman"/>
                <w:lang w:eastAsia="uk-UA"/>
              </w:rPr>
              <w:lastRenderedPageBreak/>
              <w:t xml:space="preserve">Зміна цього правила після переходу ОСР на стимулююче регулювання, порушує загальновизнаний європейський принцип  передбачуваності та стабільності регуляторного середовища </w:t>
            </w:r>
            <w:r w:rsidRPr="005A615E">
              <w:rPr>
                <w:rFonts w:ascii="Times New Roman" w:eastAsia="Times New Roman" w:hAnsi="Times New Roman"/>
                <w:lang w:eastAsia="uk-UA"/>
              </w:rPr>
              <w:t>(принцип «законних очікувань» ліцензіата)</w:t>
            </w:r>
            <w:r w:rsidRPr="005A615E">
              <w:rPr>
                <w:rFonts w:ascii="Times New Roman" w:hAnsi="Times New Roman"/>
                <w:lang w:eastAsia="uk-UA"/>
              </w:rPr>
              <w:t>.</w:t>
            </w:r>
          </w:p>
          <w:p w:rsidR="00CF2AC1" w:rsidRPr="005A615E" w:rsidRDefault="00CF2AC1" w:rsidP="00CF2AC1">
            <w:pPr>
              <w:autoSpaceDE w:val="0"/>
              <w:autoSpaceDN w:val="0"/>
              <w:adjustRightInd w:val="0"/>
              <w:jc w:val="both"/>
              <w:rPr>
                <w:rFonts w:ascii="Times New Roman" w:hAnsi="Times New Roman"/>
                <w:lang w:eastAsia="uk-UA"/>
              </w:rPr>
            </w:pPr>
            <w:r w:rsidRPr="005A615E">
              <w:rPr>
                <w:rFonts w:ascii="Times New Roman" w:hAnsi="Times New Roman"/>
                <w:lang w:eastAsia="uk-UA"/>
              </w:rPr>
              <w:t>Під час дії воєнного стану багато ліцензіатів не мали змоги виконувати інвестиційну програму в межах обов’язкових джерел фінансування. Суми невиконання були зафіксовані під час перевірок НКРЕКП</w:t>
            </w:r>
            <w:r w:rsidRPr="005A615E">
              <w:rPr>
                <w:rFonts w:ascii="Times New Roman" w:eastAsia="Times New Roman" w:hAnsi="Times New Roman"/>
                <w:lang w:eastAsia="uk-UA"/>
              </w:rPr>
              <w:t xml:space="preserve"> та вилучені зі структури тарифів у наступних періодах (шляхом коригування доходу в бік зменшення)</w:t>
            </w:r>
            <w:r w:rsidRPr="005A615E">
              <w:rPr>
                <w:rFonts w:ascii="Times New Roman" w:hAnsi="Times New Roman"/>
                <w:lang w:eastAsia="uk-UA"/>
              </w:rPr>
              <w:t>.</w:t>
            </w:r>
          </w:p>
          <w:p w:rsidR="00CF2AC1" w:rsidRPr="005A615E" w:rsidRDefault="00CF2AC1" w:rsidP="00CF2AC1">
            <w:pPr>
              <w:autoSpaceDE w:val="0"/>
              <w:autoSpaceDN w:val="0"/>
              <w:adjustRightInd w:val="0"/>
              <w:jc w:val="both"/>
              <w:rPr>
                <w:rFonts w:ascii="Times New Roman" w:hAnsi="Times New Roman"/>
                <w:lang w:eastAsia="uk-UA"/>
              </w:rPr>
            </w:pPr>
            <w:r w:rsidRPr="005A615E">
              <w:rPr>
                <w:rFonts w:ascii="Times New Roman" w:hAnsi="Times New Roman"/>
                <w:lang w:eastAsia="uk-UA"/>
              </w:rPr>
              <w:t>Тобто, НКРЕКП уже вилучила ці кошти у ліцензіатів.</w:t>
            </w: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lang w:eastAsia="uk-UA"/>
              </w:rPr>
              <w:t>Вимога щодо довиконання інвестиційних програм минулих періодів за рахунок вільної частини прибутку є  повторним фінансовим стягненням («подвійним покаранням») та призведе до вимивання обігових коштів ліцензіатів.</w:t>
            </w:r>
          </w:p>
          <w:p w:rsidR="00CF2AC1" w:rsidRPr="005A615E" w:rsidRDefault="00CF2AC1" w:rsidP="00CF2AC1">
            <w:pPr>
              <w:shd w:val="clear" w:color="auto" w:fill="FFFFFF"/>
              <w:jc w:val="both"/>
              <w:rPr>
                <w:rFonts w:ascii="Times New Roman" w:hAnsi="Times New Roman"/>
                <w:b/>
                <w:sz w:val="24"/>
                <w:u w:val="single"/>
              </w:rPr>
            </w:pPr>
          </w:p>
          <w:p w:rsidR="00CF2AC1" w:rsidRPr="005A615E" w:rsidRDefault="00CF2AC1" w:rsidP="00CF2AC1">
            <w:pPr>
              <w:shd w:val="clear" w:color="auto" w:fill="FFFFFF"/>
              <w:jc w:val="both"/>
              <w:rPr>
                <w:rFonts w:ascii="Times New Roman" w:hAnsi="Times New Roman"/>
                <w:u w:val="single"/>
              </w:rPr>
            </w:pPr>
            <w:r w:rsidRPr="005A615E">
              <w:rPr>
                <w:rFonts w:ascii="Times New Roman" w:hAnsi="Times New Roman"/>
                <w:b/>
                <w:sz w:val="24"/>
                <w:u w:val="single"/>
              </w:rPr>
              <w:t>ПрАТ «ПЕЕМ «Центральна енергетична компанія» (лист від 27.07.2026 № 1012/010.01-03)</w:t>
            </w:r>
            <w:r w:rsidRPr="005A615E">
              <w:rPr>
                <w:rFonts w:ascii="Times New Roman" w:hAnsi="Times New Roman"/>
                <w:u w:val="single"/>
              </w:rPr>
              <w:t xml:space="preserve"> </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w:t>
            </w:r>
          </w:p>
          <w:p w:rsidR="00CF2AC1" w:rsidRPr="005A615E" w:rsidRDefault="00CF2AC1" w:rsidP="00CF2AC1">
            <w:pPr>
              <w:keepNext/>
              <w:keepLines/>
              <w:jc w:val="both"/>
              <w:outlineLvl w:val="0"/>
              <w:rPr>
                <w:rFonts w:ascii="Times New Roman" w:eastAsia="Calibri" w:hAnsi="Times New Roman" w:cs="Times New Roman"/>
              </w:rPr>
            </w:pPr>
            <w:r w:rsidRPr="005A615E">
              <w:rPr>
                <w:rFonts w:ascii="Times New Roman" w:eastAsia="Calibri" w:hAnsi="Times New Roman" w:cs="Times New Roman"/>
              </w:rPr>
              <w:t xml:space="preserve">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w:t>
            </w:r>
            <w:r w:rsidRPr="005A615E">
              <w:rPr>
                <w:rFonts w:ascii="Times New Roman" w:eastAsia="Calibri" w:hAnsi="Times New Roman" w:cs="Times New Roman"/>
                <w:b/>
                <w:bCs/>
              </w:rPr>
              <w:t xml:space="preserve">50 </w:t>
            </w:r>
            <w:r w:rsidRPr="005A615E">
              <w:rPr>
                <w:rFonts w:ascii="Times New Roman" w:eastAsia="Calibri" w:hAnsi="Times New Roman" w:cs="Times New Roman"/>
                <w:bCs/>
              </w:rPr>
              <w:t>відсотків</w:t>
            </w:r>
            <w:r w:rsidRPr="005A615E">
              <w:rPr>
                <w:rFonts w:ascii="Times New Roman" w:eastAsia="Calibri" w:hAnsi="Times New Roman" w:cs="Times New Roman"/>
              </w:rPr>
              <w:t xml:space="preserve">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p>
          <w:p w:rsidR="00CF2AC1" w:rsidRPr="005A615E" w:rsidRDefault="00CF2AC1" w:rsidP="00CF2AC1">
            <w:pPr>
              <w:shd w:val="clear" w:color="auto" w:fill="FFFFFF"/>
              <w:jc w:val="both"/>
              <w:rPr>
                <w:rFonts w:ascii="Times New Roman" w:hAnsi="Times New Roman"/>
                <w:sz w:val="24"/>
              </w:rPr>
            </w:pPr>
            <w:r w:rsidRPr="005A615E">
              <w:rPr>
                <w:rFonts w:ascii="Times New Roman" w:hAnsi="Times New Roman"/>
                <w:sz w:val="24"/>
              </w:rPr>
              <w:t>…</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cs="Times New Roman"/>
              </w:rPr>
            </w:pPr>
            <w:r w:rsidRPr="005A615E">
              <w:rPr>
                <w:rFonts w:ascii="Times New Roman" w:eastAsia="Calibri" w:hAnsi="Times New Roman" w:cs="Times New Roman"/>
                <w:b/>
                <w:bCs/>
              </w:rPr>
              <w:lastRenderedPageBreak/>
              <w:t>50 відсотків</w:t>
            </w:r>
            <w:r w:rsidRPr="005A615E">
              <w:rPr>
                <w:rFonts w:ascii="Times New Roman" w:eastAsia="Calibri" w:hAnsi="Times New Roman" w:cs="Times New Roman"/>
              </w:rPr>
              <w:t xml:space="preserve"> від прибутку на регуляторну базу активів з розподілу електричної енергії, яка створена на дату переходу до стимулюючого регулювання - «вільний прибуток» є для ОСР джерелом покриття касових розривів у разі: - </w:t>
            </w:r>
            <w:r w:rsidRPr="005A615E">
              <w:rPr>
                <w:rFonts w:ascii="Times New Roman" w:hAnsi="Times New Roman" w:cs="Times New Roman"/>
              </w:rPr>
              <w:t>Недоотримання необхідного доходу  в наслідок зменшення обсягів розподілу електричної енергії;</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-Збільшення витрат (понад тарифні) на купівлю електричної енергії з метою компенсації технологічних витрат електричної енергії на її розподіл, що пов’язане  з ростом цін на різних сегментах ринку, на яке ОСР не має впливу;</w:t>
            </w:r>
          </w:p>
          <w:p w:rsidR="00CF2AC1" w:rsidRPr="005A615E" w:rsidRDefault="00CF2AC1" w:rsidP="00CF2AC1">
            <w:pPr>
              <w:jc w:val="both"/>
              <w:rPr>
                <w:rFonts w:ascii="Times New Roman" w:hAnsi="Times New Roman" w:cs="Times New Roman"/>
                <w:b/>
                <w:bCs/>
              </w:rPr>
            </w:pPr>
            <w:r w:rsidRPr="005A615E">
              <w:rPr>
                <w:rFonts w:ascii="Times New Roman" w:hAnsi="Times New Roman" w:cs="Times New Roman"/>
              </w:rPr>
              <w:t>-Несвоєчасної сплати споживачами за послуги з розподілу електричної енергії.</w:t>
            </w:r>
          </w:p>
          <w:p w:rsidR="00CF2AC1" w:rsidRPr="005A615E" w:rsidRDefault="00CF2AC1" w:rsidP="00CF2AC1">
            <w:pPr>
              <w:pStyle w:val="a5"/>
              <w:keepNext/>
              <w:keepLines/>
              <w:ind w:left="36" w:firstLine="425"/>
              <w:jc w:val="both"/>
              <w:outlineLvl w:val="0"/>
              <w:rPr>
                <w:rFonts w:ascii="Times New Roman" w:hAnsi="Times New Roman"/>
                <w:sz w:val="22"/>
                <w:szCs w:val="22"/>
              </w:rPr>
            </w:pPr>
            <w:r w:rsidRPr="005A615E">
              <w:rPr>
                <w:rFonts w:ascii="Times New Roman" w:hAnsi="Times New Roman"/>
                <w:sz w:val="22"/>
                <w:szCs w:val="22"/>
              </w:rPr>
              <w:t>Зменшення обсягу «вільного прибутку» суттєво знижує фінансову стійкість ОСР в умовах воєнного часу.</w:t>
            </w:r>
          </w:p>
          <w:p w:rsidR="00CF2AC1" w:rsidRPr="005A615E" w:rsidRDefault="00CF2AC1" w:rsidP="00CF2AC1">
            <w:pPr>
              <w:jc w:val="both"/>
              <w:rPr>
                <w:rFonts w:ascii="Times New Roman" w:hAnsi="Times New Roman"/>
                <w:b/>
                <w:sz w:val="24"/>
                <w:u w:val="single"/>
              </w:rPr>
            </w:pPr>
            <w:r w:rsidRPr="005A615E">
              <w:rPr>
                <w:rFonts w:ascii="Times New Roman" w:eastAsia="Calibri" w:hAnsi="Times New Roman" w:cs="Times New Roman"/>
                <w:b/>
                <w:bCs/>
              </w:rPr>
              <w:t>З огляду на зазначене, пропонуємо джерело фінансування інвестиційної програми від  прибутку на регуляторну базу активів з розподілу електричної енергії, яка створена на дату переходу до стимулюючого регулювання, залишити на рівні 50%.</w:t>
            </w:r>
          </w:p>
        </w:tc>
        <w:tc>
          <w:tcPr>
            <w:tcW w:w="3969" w:type="dxa"/>
            <w:gridSpan w:val="2"/>
          </w:tcPr>
          <w:p w:rsidR="00641736" w:rsidRPr="005A615E" w:rsidRDefault="00641736" w:rsidP="00CF2AC1">
            <w:pPr>
              <w:rPr>
                <w:rFonts w:ascii="Times New Roman" w:hAnsi="Times New Roman"/>
                <w:b/>
                <w:sz w:val="24"/>
              </w:rPr>
            </w:pPr>
            <w:r w:rsidRPr="005A615E">
              <w:rPr>
                <w:rFonts w:ascii="Times New Roman" w:hAnsi="Times New Roman"/>
                <w:b/>
                <w:sz w:val="24"/>
              </w:rPr>
              <w:lastRenderedPageBreak/>
              <w:t>Враховано частково</w:t>
            </w:r>
          </w:p>
          <w:p w:rsidR="00CF2AC1" w:rsidRPr="005A615E" w:rsidRDefault="00CF2AC1" w:rsidP="00CF2AC1">
            <w:pPr>
              <w:rPr>
                <w:rFonts w:ascii="Times New Roman" w:hAnsi="Times New Roman"/>
                <w:b/>
                <w:sz w:val="24"/>
              </w:rPr>
            </w:pPr>
            <w:r w:rsidRPr="005A615E">
              <w:rPr>
                <w:rFonts w:ascii="Times New Roman" w:hAnsi="Times New Roman"/>
                <w:b/>
                <w:sz w:val="24"/>
              </w:rPr>
              <w:t>Загальна позиція</w:t>
            </w:r>
            <w:r w:rsidR="00641736" w:rsidRPr="005A615E">
              <w:rPr>
                <w:rFonts w:ascii="Times New Roman" w:hAnsi="Times New Roman"/>
                <w:b/>
                <w:sz w:val="24"/>
              </w:rPr>
              <w:t xml:space="preserve"> </w:t>
            </w:r>
          </w:p>
          <w:p w:rsidR="00641736" w:rsidRPr="005A615E" w:rsidRDefault="00641736" w:rsidP="00CF2AC1">
            <w:pPr>
              <w:rPr>
                <w:rFonts w:ascii="Times New Roman" w:hAnsi="Times New Roman"/>
                <w:b/>
                <w:sz w:val="24"/>
              </w:rPr>
            </w:pPr>
            <w:r w:rsidRPr="005A615E">
              <w:rPr>
                <w:rFonts w:ascii="Times New Roman" w:hAnsi="Times New Roman"/>
                <w:b/>
                <w:sz w:val="24"/>
              </w:rPr>
              <w:t>Запропонована редакція до обговорення:</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3. Протягом другого регуляторного періоду ліцензіат має забезпечувати:</w:t>
            </w:r>
          </w:p>
          <w:p w:rsidR="00CF2AC1" w:rsidRPr="005A615E" w:rsidRDefault="00CF2AC1" w:rsidP="00CF2AC1">
            <w:pPr>
              <w:ind w:firstLine="180"/>
              <w:jc w:val="both"/>
              <w:rPr>
                <w:rFonts w:ascii="Times New Roman" w:hAnsi="Times New Roman"/>
                <w:bCs/>
                <w:lang w:eastAsia="uk-UA"/>
              </w:rPr>
            </w:pPr>
            <w:r w:rsidRPr="005A615E">
              <w:rPr>
                <w:rFonts w:ascii="Times New Roman" w:hAnsi="Times New Roman"/>
                <w:bCs/>
                <w:lang w:eastAsia="uk-UA"/>
              </w:rPr>
              <w:t>…</w:t>
            </w:r>
          </w:p>
          <w:p w:rsidR="00A16D77" w:rsidRPr="005A615E" w:rsidRDefault="00CF2AC1" w:rsidP="00CF2AC1">
            <w:pPr>
              <w:ind w:firstLine="180"/>
              <w:jc w:val="both"/>
              <w:rPr>
                <w:rFonts w:ascii="Times New Roman" w:hAnsi="Times New Roman"/>
                <w:b/>
                <w:bCs/>
                <w:lang w:eastAsia="uk-UA"/>
              </w:rPr>
            </w:pPr>
            <w:r w:rsidRPr="005A615E">
              <w:rPr>
                <w:rFonts w:ascii="Times New Roman" w:hAnsi="Times New Roman"/>
                <w:bCs/>
                <w:lang w:eastAsia="uk-UA"/>
              </w:rPr>
              <w:t xml:space="preserve">3) при здійсненні діяльності з розподілу електричної енергії щорічне інвестування в обсягах не менше ніж річна сума </w:t>
            </w:r>
            <w:r w:rsidR="00ED1D74" w:rsidRPr="005A615E">
              <w:rPr>
                <w:rFonts w:ascii="Times New Roman" w:hAnsi="Times New Roman"/>
                <w:bCs/>
                <w:lang w:eastAsia="uk-UA"/>
              </w:rPr>
              <w:t xml:space="preserve">амортизації, </w:t>
            </w:r>
            <w:r w:rsidRPr="005A615E">
              <w:rPr>
                <w:rFonts w:ascii="Times New Roman" w:hAnsi="Times New Roman"/>
                <w:bCs/>
                <w:lang w:eastAsia="uk-UA"/>
              </w:rPr>
              <w:t>доходу від плати за реактивну енергію</w:t>
            </w:r>
            <w:r w:rsidR="00ED1D74" w:rsidRPr="005A615E">
              <w:rPr>
                <w:rFonts w:ascii="Times New Roman" w:hAnsi="Times New Roman"/>
                <w:bCs/>
                <w:lang w:eastAsia="uk-UA"/>
              </w:rPr>
              <w:t xml:space="preserve">, </w:t>
            </w:r>
            <w:r w:rsidRPr="005A615E">
              <w:rPr>
                <w:rFonts w:ascii="Times New Roman" w:hAnsi="Times New Roman"/>
                <w:bCs/>
                <w:lang w:eastAsia="uk-UA"/>
              </w:rPr>
              <w:t>80 відсотків від прибутку на регуляторну базу активів з розподілу електричної енергії, яка створена на дату переходу до стимулюючого регулювання</w:t>
            </w:r>
            <w:r w:rsidR="00ED1D74" w:rsidRPr="005A615E">
              <w:rPr>
                <w:rFonts w:ascii="Times New Roman" w:hAnsi="Times New Roman"/>
                <w:bCs/>
                <w:lang w:eastAsia="uk-UA"/>
              </w:rPr>
              <w:t xml:space="preserve"> та 50 </w:t>
            </w:r>
            <w:r w:rsidR="00ED1D74" w:rsidRPr="005A615E">
              <w:rPr>
                <w:rFonts w:ascii="Times New Roman" w:hAnsi="Times New Roman"/>
                <w:bCs/>
                <w:lang w:eastAsia="uk-UA"/>
              </w:rPr>
              <w:lastRenderedPageBreak/>
              <w:t>відсотків від прибутку на регуляторну базу активів з розподілу електричної енергії, яка створена після переходу до стимулюючого регулювання</w:t>
            </w:r>
            <w:r w:rsidRPr="005A615E">
              <w:rPr>
                <w:rFonts w:ascii="Times New Roman" w:hAnsi="Times New Roman"/>
                <w:bCs/>
                <w:lang w:eastAsia="uk-UA"/>
              </w:rPr>
              <w:t>, згідно з інвестиційною програмою, затвердженою, погодженою та схваленою відповідно до Порядку № 955</w:t>
            </w:r>
            <w:r w:rsidR="00A16D77" w:rsidRPr="005A615E">
              <w:rPr>
                <w:rFonts w:ascii="Times New Roman" w:hAnsi="Times New Roman"/>
                <w:bCs/>
                <w:lang w:eastAsia="uk-UA"/>
              </w:rPr>
              <w:t xml:space="preserve"> (</w:t>
            </w:r>
            <w:r w:rsidR="00A16D77" w:rsidRPr="005A615E">
              <w:rPr>
                <w:rFonts w:ascii="Times New Roman" w:hAnsi="Times New Roman"/>
                <w:b/>
                <w:bCs/>
                <w:lang w:eastAsia="uk-UA"/>
              </w:rPr>
              <w:t xml:space="preserve">для ліцензіатів, перелік яких наведено в додатку 35 до Порядку № 1175 - в обсязі щорічного інвестування не менше ніж </w:t>
            </w:r>
            <w:r w:rsidR="007A5D25" w:rsidRPr="005A615E">
              <w:rPr>
                <w:rFonts w:ascii="Times New Roman" w:hAnsi="Times New Roman"/>
                <w:bCs/>
                <w:lang w:eastAsia="uk-UA"/>
              </w:rPr>
              <w:t xml:space="preserve">річна сума амортизації, доходу від плати за реактивну енергію, </w:t>
            </w:r>
            <w:r w:rsidR="004763EC" w:rsidRPr="005A615E">
              <w:rPr>
                <w:rFonts w:ascii="Times New Roman" w:hAnsi="Times New Roman"/>
                <w:b/>
                <w:bCs/>
                <w:lang w:eastAsia="uk-UA"/>
              </w:rPr>
              <w:t>10</w:t>
            </w:r>
            <w:r w:rsidR="00A16D77" w:rsidRPr="005A615E">
              <w:rPr>
                <w:rFonts w:ascii="Times New Roman" w:hAnsi="Times New Roman"/>
                <w:b/>
                <w:bCs/>
                <w:lang w:eastAsia="uk-UA"/>
              </w:rPr>
              <w:t>0 % від прибутку на регуляторну базу активів, яка створена на дату переходу до стимулюючого регулювання та не менше ніж 100 % від прибутку на регуляторну базу активів, яка створена після переходу до стимулюючого регулювання, згідно з інвестиційною програмою, затвердженою, погодженою та схваленою відповідно до Порядку № 955</w:t>
            </w:r>
            <w:r w:rsidR="00A82DB3" w:rsidRPr="005A615E">
              <w:rPr>
                <w:rFonts w:ascii="Times New Roman" w:hAnsi="Times New Roman"/>
                <w:b/>
                <w:bCs/>
                <w:lang w:eastAsia="uk-UA"/>
              </w:rPr>
              <w:t>, які першочергово спрямувуються на щорічного інвестування зобов’язань, невиконаних згідно з підпунктом 1 пункту 2 цієї постанови</w:t>
            </w:r>
            <w:r w:rsidR="00A16D77" w:rsidRPr="005A615E">
              <w:rPr>
                <w:rFonts w:ascii="Times New Roman" w:hAnsi="Times New Roman"/>
                <w:b/>
                <w:bCs/>
                <w:lang w:eastAsia="uk-UA"/>
              </w:rPr>
              <w:t>).</w:t>
            </w:r>
          </w:p>
          <w:p w:rsidR="00641736" w:rsidRPr="005A615E" w:rsidRDefault="00641736" w:rsidP="00641736">
            <w:pPr>
              <w:ind w:firstLine="180"/>
              <w:jc w:val="both"/>
              <w:rPr>
                <w:rFonts w:ascii="Times New Roman" w:hAnsi="Times New Roman"/>
                <w:b/>
                <w:bCs/>
                <w:lang w:eastAsia="uk-UA"/>
              </w:rPr>
            </w:pPr>
            <w:r w:rsidRPr="005A615E">
              <w:rPr>
                <w:rFonts w:ascii="Times New Roman" w:hAnsi="Times New Roman"/>
                <w:b/>
                <w:bCs/>
                <w:lang w:eastAsia="uk-UA"/>
              </w:rPr>
              <w:t xml:space="preserve">У разі наявності попередньо погоджених оператором системи розподілу з Регулятором інвестиційних планів/проєктів тощо щодо залучення кредитних ресурсів для виконання заходів плану розвитку/інвестиційної програми, </w:t>
            </w:r>
            <w:r w:rsidRPr="005A615E">
              <w:rPr>
                <w:rFonts w:ascii="Times New Roman" w:hAnsi="Times New Roman"/>
                <w:b/>
                <w:bCs/>
                <w:lang w:eastAsia="uk-UA"/>
              </w:rPr>
              <w:lastRenderedPageBreak/>
              <w:t>відповідні забов’язання можуть бути зменшені на суму коштів, необхідну для виконання ОСР забов’язань перед фінансовою установою.</w:t>
            </w: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ind w:firstLine="180"/>
              <w:jc w:val="both"/>
              <w:rPr>
                <w:rFonts w:ascii="Times New Roman" w:hAnsi="Times New Roman"/>
                <w:b/>
              </w:rPr>
            </w:pPr>
            <w:r w:rsidRPr="005A615E">
              <w:rPr>
                <w:rFonts w:ascii="Times New Roman" w:hAnsi="Times New Roman"/>
                <w:b/>
              </w:rPr>
              <w:lastRenderedPageBreak/>
              <w:t xml:space="preserve">4. </w:t>
            </w:r>
            <w:r w:rsidRPr="005A615E">
              <w:rPr>
                <w:rFonts w:ascii="Times New Roman" w:hAnsi="Times New Roman"/>
              </w:rPr>
              <w:t>Умовами для застосування ліцензіатами стимулюючого регулювання після першого регуляторного періоду є виконання зобов'язань, визначених пунктом 2 цієї постанови.</w:t>
            </w:r>
            <w:r w:rsidRPr="005A615E">
              <w:rPr>
                <w:rFonts w:ascii="Times New Roman" w:hAnsi="Times New Roman"/>
                <w:b/>
              </w:rPr>
              <w:t xml:space="preserve"> </w:t>
            </w:r>
          </w:p>
          <w:p w:rsidR="00CF2AC1" w:rsidRPr="005A615E" w:rsidRDefault="00CF2AC1" w:rsidP="00CF2AC1">
            <w:pPr>
              <w:shd w:val="clear" w:color="auto" w:fill="FFFFFF"/>
              <w:ind w:firstLine="180"/>
              <w:jc w:val="both"/>
              <w:rPr>
                <w:rFonts w:ascii="Times New Roman" w:hAnsi="Times New Roman"/>
                <w:bCs/>
              </w:rPr>
            </w:pPr>
            <w:r w:rsidRPr="005A615E">
              <w:rPr>
                <w:rFonts w:ascii="Times New Roman" w:hAnsi="Times New Roman"/>
                <w:bCs/>
              </w:rPr>
              <w:t xml:space="preserve">Стан виконання зобов’язань, визначених пунктом 2 цієї постанови фіксується та досліджується під час проведення заходів державного контролю відповідно до Методики визначення сум надлишково отриманого або недоотриманого доходу від здійснення ліцензованої діяльності з розподілу електричної енергії для операторів систем розподілу, які перейшли на стимулююче регулювання (далі – Методика), що є додатком 29 до Порядку контролю за дотриманням ліцензіатами, що провадять діяльність у сферах енергетики та </w:t>
            </w:r>
            <w:r w:rsidRPr="005A615E">
              <w:rPr>
                <w:rFonts w:ascii="Times New Roman" w:hAnsi="Times New Roman"/>
                <w:bCs/>
              </w:rPr>
              <w:lastRenderedPageBreak/>
              <w:t>комунальних послуг, законодавства у відповідних сферах та ліцензійних умов, затвердженого постановою НКРЕКП від 14 червня 2018 року № 428 (далі – Порядок № 428).</w:t>
            </w:r>
          </w:p>
          <w:p w:rsidR="00CF2AC1" w:rsidRPr="005A615E" w:rsidRDefault="00CF2AC1" w:rsidP="00CF2AC1">
            <w:pPr>
              <w:ind w:firstLine="180"/>
              <w:jc w:val="both"/>
              <w:rPr>
                <w:rFonts w:ascii="Times New Roman" w:hAnsi="Times New Roman"/>
                <w:bCs/>
              </w:rPr>
            </w:pPr>
            <w:r w:rsidRPr="005A615E">
              <w:rPr>
                <w:rFonts w:ascii="Times New Roman" w:hAnsi="Times New Roman"/>
                <w:bCs/>
              </w:rPr>
              <w:t>З метою встановлення показників ефективності для ліцензіатів на другий регуляторний період за результатами оцінки досягнення фактичних показників першого регуляторного періоду під час проведення заходів державного контролю відповідно до вимог Методики фіксуються та досліджуються фактичні показники першого регуляторного періоду, визначені підпунктами 3, 5 – 8 пункту 1 постанови Національної комісії, що здійснює державне регулювання у сфері енергетики, від 23 липня 2013 року № 1009 «Про встановлення параметрів регулювання, що мають довгостроковий строк дії, для цілей стимулюючого регулювання» (далі – постанова № 1009).</w:t>
            </w:r>
          </w:p>
          <w:p w:rsidR="00CF2AC1" w:rsidRPr="005A615E" w:rsidRDefault="00CF2AC1" w:rsidP="00CF2AC1">
            <w:pPr>
              <w:jc w:val="both"/>
              <w:rPr>
                <w:rFonts w:ascii="Times New Roman" w:hAnsi="Times New Roman"/>
                <w:bCs/>
              </w:rPr>
            </w:pPr>
            <w:r w:rsidRPr="005A615E">
              <w:rPr>
                <w:rFonts w:ascii="Times New Roman" w:hAnsi="Times New Roman"/>
                <w:bCs/>
              </w:rPr>
              <w:t>З метою встановлення короткострокових цільових показників для ліцензіатів на другий регуляторний період проводиться аналіз та порівняння фактичних показників, процесів і стратегій між операторами системи розподілу з урахуванням ключових факторів впливу для порівняльної оцінки ефективності їх діяльності та визначення потенціалу підвищення ефективності та розвитку (бенчмаркінг).</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r w:rsidRPr="005A615E">
              <w:rPr>
                <w:rFonts w:ascii="Times New Roman" w:hAnsi="Times New Roman"/>
                <w:b/>
                <w:sz w:val="24"/>
              </w:rPr>
              <w:t>Абзац відсутній</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lastRenderedPageBreak/>
              <w:t xml:space="preserve">ГО «Перша енергетична рада» (лист </w:t>
            </w:r>
            <w:r w:rsidRPr="005A615E">
              <w:rPr>
                <w:rFonts w:ascii="Times New Roman" w:hAnsi="Times New Roman"/>
                <w:b/>
                <w:sz w:val="24"/>
                <w:u w:val="single"/>
              </w:rPr>
              <w:br/>
              <w:t>від 20.07.2026 № 28/01)</w:t>
            </w:r>
          </w:p>
          <w:p w:rsidR="00CF2AC1" w:rsidRPr="005A615E" w:rsidRDefault="00CF2AC1" w:rsidP="00CF2AC1">
            <w:pPr>
              <w:ind w:firstLine="180"/>
              <w:jc w:val="both"/>
              <w:rPr>
                <w:rFonts w:ascii="Times New Roman" w:hAnsi="Times New Roman"/>
                <w:b/>
              </w:rPr>
            </w:pPr>
            <w:r w:rsidRPr="005A615E">
              <w:rPr>
                <w:rFonts w:ascii="Times New Roman" w:hAnsi="Times New Roman"/>
                <w:b/>
              </w:rPr>
              <w:t xml:space="preserve">4. </w:t>
            </w:r>
            <w:r w:rsidRPr="005A615E">
              <w:rPr>
                <w:rFonts w:ascii="Times New Roman" w:hAnsi="Times New Roman"/>
              </w:rPr>
              <w:t>Умовами для застосування ліцензіатами стимулюючого регулювання після першого регуляторного періоду є виконання зобов'язань, визначених пунктом 2 цієї постанови.</w:t>
            </w:r>
            <w:r w:rsidRPr="005A615E">
              <w:rPr>
                <w:rFonts w:ascii="Times New Roman" w:hAnsi="Times New Roman"/>
                <w:b/>
              </w:rPr>
              <w:t xml:space="preserve"> </w:t>
            </w:r>
          </w:p>
          <w:p w:rsidR="00CF2AC1" w:rsidRPr="005A615E" w:rsidRDefault="00CF2AC1" w:rsidP="00CF2AC1">
            <w:pPr>
              <w:ind w:firstLine="180"/>
              <w:jc w:val="both"/>
              <w:rPr>
                <w:rFonts w:ascii="Times New Roman" w:hAnsi="Times New Roman"/>
                <w:b/>
                <w:bCs/>
              </w:rPr>
            </w:pPr>
            <w:r w:rsidRPr="005A615E">
              <w:rPr>
                <w:rFonts w:ascii="Times New Roman" w:hAnsi="Times New Roman"/>
                <w:bCs/>
              </w:rPr>
              <w:t xml:space="preserve">Стан виконання зобов’язань, визначених пунктом 2 цієї постанови фіксується та досліджується під час проведення заходів державного контролю відповідно до Методики визначення сум надлишково отриманого або недоотриманого доходу від здійснення ліцензованої діяльності з розподілу електричної енергії </w:t>
            </w:r>
            <w:r w:rsidRPr="005A615E">
              <w:rPr>
                <w:rFonts w:ascii="Times New Roman" w:hAnsi="Times New Roman"/>
                <w:bCs/>
              </w:rPr>
              <w:lastRenderedPageBreak/>
              <w:t>для операторів систем розподілу, які перейшли на стимулююче регулювання (далі – Методика), що є додатком 29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w:t>
            </w:r>
          </w:p>
          <w:p w:rsidR="00CF2AC1" w:rsidRPr="005A615E" w:rsidRDefault="00CF2AC1" w:rsidP="00CF2AC1">
            <w:pPr>
              <w:spacing w:line="259" w:lineRule="auto"/>
              <w:ind w:firstLine="180"/>
              <w:jc w:val="both"/>
              <w:rPr>
                <w:rFonts w:ascii="Times New Roman" w:hAnsi="Times New Roman"/>
                <w:b/>
              </w:rPr>
            </w:pPr>
            <w:r w:rsidRPr="005A615E">
              <w:rPr>
                <w:rFonts w:ascii="Times New Roman" w:hAnsi="Times New Roman"/>
                <w:bCs/>
              </w:rPr>
              <w:t>З метою встановлення показників ефективності для ліцензіатів на другий регуляторний період за результатами оцінки досягнення фактичних показників першого регуляторного періоду під час проведення заходів державного контролю відповідно до вимог Методики фіксуються та досліджуються фактичні показники</w:t>
            </w:r>
            <w:r w:rsidRPr="005A615E">
              <w:rPr>
                <w:rFonts w:ascii="Times New Roman" w:hAnsi="Times New Roman"/>
                <w:b/>
              </w:rPr>
              <w:t xml:space="preserve"> діяльності ліцензіатів за перший регуляторний період.</w:t>
            </w:r>
          </w:p>
          <w:p w:rsidR="00CF2AC1" w:rsidRPr="005A615E" w:rsidRDefault="00CF2AC1" w:rsidP="00CF2AC1">
            <w:pPr>
              <w:jc w:val="both"/>
              <w:rPr>
                <w:rFonts w:ascii="Times New Roman" w:hAnsi="Times New Roman"/>
                <w:strike/>
                <w:sz w:val="24"/>
                <w:u w:val="single"/>
              </w:rPr>
            </w:pPr>
            <w:r w:rsidRPr="005A615E">
              <w:rPr>
                <w:rFonts w:ascii="Times New Roman" w:hAnsi="Times New Roman"/>
                <w:bCs/>
                <w:strike/>
              </w:rPr>
              <w:t>З метою встановлення короткострокових цільових показників для ліцензіатів на другий регуляторний період проводиться аналіз та порівняння фактичних показників, процесів і стратегій між операторами системи розподілу з урахуванням ключових факторів впливу для порівняльної оцінки ефективності їх діяльності та визначення потенціалу підвищення ефективності та розвитку (бенчмаркінг).</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Пп.3, 5–8 п.1 ПНКРЕКП № 1009 встановлюють показники ефективності, які нема чого досліджувати.</w:t>
            </w:r>
          </w:p>
          <w:p w:rsidR="00CF2AC1" w:rsidRPr="005A615E" w:rsidRDefault="00CF2AC1" w:rsidP="00CF2AC1">
            <w:pPr>
              <w:jc w:val="both"/>
              <w:rPr>
                <w:rFonts w:ascii="Times New Roman" w:hAnsi="Times New Roman"/>
                <w:bCs/>
              </w:rPr>
            </w:pPr>
            <w:r w:rsidRPr="005A615E">
              <w:rPr>
                <w:rFonts w:ascii="Times New Roman" w:hAnsi="Times New Roman"/>
                <w:bCs/>
              </w:rPr>
              <w:t xml:space="preserve">Аналізуватись мали б фактичні показники діяльності ОСР, і цей аналіз мав надати інформацію щодо можливої зміни параметрів регулювання на наступний регуляторний період. </w:t>
            </w:r>
          </w:p>
          <w:p w:rsidR="00CF2AC1" w:rsidRPr="005A615E" w:rsidRDefault="00CF2AC1" w:rsidP="00CF2AC1">
            <w:pPr>
              <w:jc w:val="both"/>
              <w:rPr>
                <w:rFonts w:ascii="Times New Roman" w:hAnsi="Times New Roman"/>
                <w:bCs/>
              </w:rPr>
            </w:pPr>
            <w:r w:rsidRPr="005A615E">
              <w:rPr>
                <w:rFonts w:ascii="Times New Roman" w:hAnsi="Times New Roman"/>
                <w:bCs/>
              </w:rPr>
              <w:t xml:space="preserve">Незрозуміло, що мається на увазі під короткостроко-вими цільовими показни-ками. </w:t>
            </w:r>
          </w:p>
          <w:p w:rsidR="00CF2AC1" w:rsidRPr="005A615E" w:rsidRDefault="00CF2AC1" w:rsidP="00CF2AC1">
            <w:pPr>
              <w:jc w:val="both"/>
              <w:rPr>
                <w:rFonts w:ascii="Times New Roman" w:hAnsi="Times New Roman"/>
              </w:rPr>
            </w:pPr>
            <w:r w:rsidRPr="005A615E">
              <w:rPr>
                <w:rFonts w:ascii="Times New Roman" w:hAnsi="Times New Roman"/>
                <w:bCs/>
              </w:rPr>
              <w:lastRenderedPageBreak/>
              <w:t xml:space="preserve">Бенчмаркінг ОСР для визначення індивідуальних показників ефективності мав бути проведений </w:t>
            </w:r>
            <w:r w:rsidRPr="005A615E">
              <w:rPr>
                <w:rFonts w:ascii="Times New Roman" w:hAnsi="Times New Roman"/>
                <w:bCs/>
                <w:u w:val="single"/>
              </w:rPr>
              <w:t>до початку другого регулятор-ного періоду</w:t>
            </w:r>
            <w:r w:rsidRPr="005A615E">
              <w:rPr>
                <w:rFonts w:ascii="Times New Roman" w:hAnsi="Times New Roman"/>
                <w:bCs/>
              </w:rPr>
              <w:t>. Він мав проводитись за відомими методологіями (</w:t>
            </w:r>
            <w:r w:rsidRPr="005A615E">
              <w:rPr>
                <w:rFonts w:ascii="Times New Roman" w:hAnsi="Times New Roman"/>
                <w:bCs/>
                <w:lang w:val="en-US"/>
              </w:rPr>
              <w:t>DEA</w:t>
            </w:r>
            <w:r w:rsidRPr="005A615E">
              <w:rPr>
                <w:rFonts w:ascii="Times New Roman" w:hAnsi="Times New Roman"/>
                <w:bCs/>
              </w:rPr>
              <w:t xml:space="preserve">, </w:t>
            </w:r>
            <w:r w:rsidRPr="005A615E">
              <w:rPr>
                <w:rFonts w:ascii="Times New Roman" w:hAnsi="Times New Roman"/>
                <w:bCs/>
                <w:lang w:val="en-US"/>
              </w:rPr>
              <w:t>COLS</w:t>
            </w:r>
            <w:r w:rsidRPr="005A615E">
              <w:rPr>
                <w:rFonts w:ascii="Times New Roman" w:hAnsi="Times New Roman"/>
                <w:bCs/>
              </w:rPr>
              <w:t xml:space="preserve"> тощо), а не на підставі «</w:t>
            </w:r>
            <w:r w:rsidRPr="005A615E">
              <w:rPr>
                <w:rFonts w:ascii="Times New Roman" w:hAnsi="Times New Roman"/>
              </w:rPr>
              <w:t>порівняння показників, процесів і стратегій».</w:t>
            </w:r>
          </w:p>
          <w:p w:rsidR="00CF2AC1" w:rsidRPr="005A615E" w:rsidRDefault="00CF2AC1" w:rsidP="00CF2AC1">
            <w:pPr>
              <w:jc w:val="both"/>
              <w:rPr>
                <w:rFonts w:ascii="Times New Roman" w:hAnsi="Times New Roman"/>
                <w:b/>
                <w:sz w:val="24"/>
                <w:szCs w:val="24"/>
                <w:u w:val="single"/>
              </w:rPr>
            </w:pPr>
          </w:p>
          <w:p w:rsidR="00CF2AC1" w:rsidRPr="005A615E" w:rsidRDefault="00CF2AC1" w:rsidP="00CF2AC1">
            <w:pPr>
              <w:jc w:val="both"/>
              <w:rPr>
                <w:rFonts w:ascii="Times New Roman" w:hAnsi="Times New Roman"/>
                <w:b/>
                <w:sz w:val="24"/>
                <w:szCs w:val="24"/>
                <w:u w:val="single"/>
              </w:rPr>
            </w:pPr>
            <w:r w:rsidRPr="005A615E">
              <w:rPr>
                <w:rFonts w:ascii="Times New Roman" w:hAnsi="Times New Roman"/>
                <w:b/>
                <w:sz w:val="24"/>
                <w:szCs w:val="24"/>
                <w:u w:val="single"/>
              </w:rPr>
              <w:t xml:space="preserve">АТ «Миколаївобленерго» (лист </w:t>
            </w:r>
            <w:r w:rsidRPr="005A615E">
              <w:rPr>
                <w:rFonts w:ascii="Times New Roman" w:hAnsi="Times New Roman"/>
                <w:b/>
                <w:sz w:val="24"/>
                <w:szCs w:val="24"/>
                <w:u w:val="single"/>
              </w:rPr>
              <w:br/>
              <w:t>від 17.07.2026 № 01/01-21-4091)</w:t>
            </w:r>
          </w:p>
          <w:p w:rsidR="00CF2AC1" w:rsidRPr="005A615E" w:rsidRDefault="00CF2AC1" w:rsidP="00CF2AC1">
            <w:pPr>
              <w:ind w:firstLine="180"/>
              <w:jc w:val="both"/>
              <w:rPr>
                <w:rFonts w:ascii="Times New Roman" w:hAnsi="Times New Roman"/>
                <w:b/>
              </w:rPr>
            </w:pPr>
            <w:r w:rsidRPr="005A615E">
              <w:rPr>
                <w:rFonts w:ascii="Times New Roman" w:hAnsi="Times New Roman"/>
                <w:b/>
              </w:rPr>
              <w:t xml:space="preserve">4. </w:t>
            </w:r>
            <w:r w:rsidRPr="005A615E">
              <w:rPr>
                <w:rFonts w:ascii="Times New Roman" w:hAnsi="Times New Roman"/>
              </w:rPr>
              <w:t>Умовами для застосування ліцензіатами стимулюючого регулювання після першого регуляторного періоду є виконання зобов'язань, визначених пунктом 2 цієї постанови.</w:t>
            </w:r>
            <w:r w:rsidRPr="005A615E">
              <w:rPr>
                <w:rFonts w:ascii="Times New Roman" w:hAnsi="Times New Roman"/>
                <w:b/>
              </w:rPr>
              <w:t xml:space="preserve"> </w:t>
            </w: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w:t>
            </w:r>
          </w:p>
          <w:p w:rsidR="00CF2AC1" w:rsidRPr="005A615E" w:rsidRDefault="00CF2AC1" w:rsidP="00CF2AC1">
            <w:pPr>
              <w:jc w:val="both"/>
              <w:rPr>
                <w:rFonts w:ascii="Times New Roman" w:hAnsi="Times New Roman"/>
                <w:b/>
                <w:sz w:val="24"/>
                <w:szCs w:val="24"/>
              </w:rPr>
            </w:pPr>
            <w:r w:rsidRPr="005A615E">
              <w:rPr>
                <w:rFonts w:ascii="Times New Roman" w:hAnsi="Times New Roman"/>
                <w:b/>
                <w:sz w:val="24"/>
                <w:szCs w:val="24"/>
              </w:rPr>
              <w:t>Для операторів системи розподілу, що здійснюють діяльність на прифронтових територіях, цільові показники ефективності встановлюються індивідуально з урахуванням особливостей функціонування в умовах воєнного стану, а результати їх діяльності не використовуються для прямого порівняння (бенчмаркінгу) з операторами системи розподілу, які не відносяться до прифронтових територій.</w:t>
            </w:r>
          </w:p>
          <w:p w:rsidR="00CF2AC1" w:rsidRPr="005A615E" w:rsidRDefault="00CF2AC1" w:rsidP="00CF2AC1">
            <w:pPr>
              <w:jc w:val="both"/>
              <w:rPr>
                <w:rFonts w:ascii="Times New Roman" w:hAnsi="Times New Roman"/>
                <w:b/>
                <w:sz w:val="24"/>
                <w:szCs w:val="24"/>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ind w:firstLine="457"/>
              <w:jc w:val="both"/>
              <w:rPr>
                <w:rFonts w:ascii="Times New Roman" w:hAnsi="Times New Roman"/>
                <w:lang w:eastAsia="ru-RU"/>
              </w:rPr>
            </w:pPr>
            <w:r w:rsidRPr="005A615E">
              <w:rPr>
                <w:rFonts w:ascii="Times New Roman" w:hAnsi="Times New Roman"/>
                <w:lang w:eastAsia="ru-RU"/>
              </w:rPr>
              <w:t>Пропонуємо доповнити Методику положенням про застосування диференційованого підходу до операторів систем розподілу, що здійснюють діяльність на територіях активних бойових дій, можливих бойових дій або територіях, які зазнають систематичних збройних атак.</w:t>
            </w:r>
          </w:p>
          <w:p w:rsidR="00CF2AC1" w:rsidRPr="005A615E" w:rsidRDefault="00CF2AC1" w:rsidP="00CF2AC1">
            <w:pPr>
              <w:ind w:firstLine="457"/>
              <w:jc w:val="both"/>
              <w:rPr>
                <w:rFonts w:ascii="Times New Roman" w:hAnsi="Times New Roman"/>
                <w:lang w:eastAsia="ru-RU"/>
              </w:rPr>
            </w:pPr>
            <w:r w:rsidRPr="005A615E">
              <w:rPr>
                <w:rFonts w:ascii="Times New Roman" w:hAnsi="Times New Roman"/>
                <w:lang w:eastAsia="ru-RU"/>
              </w:rPr>
              <w:t xml:space="preserve">Під час оцінки досягнення фактичних показників першого регуляторного періоду та встановлення </w:t>
            </w:r>
            <w:r w:rsidRPr="005A615E">
              <w:rPr>
                <w:rFonts w:ascii="Times New Roman" w:hAnsi="Times New Roman"/>
                <w:lang w:eastAsia="ru-RU"/>
              </w:rPr>
              <w:lastRenderedPageBreak/>
              <w:t>цільових показників другого регуляторного періоду пропонуємо враховувати вплив об'єктивних факторів, що не залежать від діяльності ліцензіата, зокрема:</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руйнування електромереж внаслідок бойових дій;</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значне зростання аварійності через воєнні дії;</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обмежений доступ до об'єктів електромереж;</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скорочення кількості споживачів та обсягів розподілу;</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дефіцит персоналу та матеріально-технічних ресурсів;</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тривалі відключення електроенергії, пов'язані з військовою агресією.</w:t>
            </w:r>
          </w:p>
          <w:p w:rsidR="00CF2AC1" w:rsidRPr="005A615E" w:rsidRDefault="00CF2AC1" w:rsidP="00CF2AC1">
            <w:pPr>
              <w:ind w:firstLine="457"/>
              <w:jc w:val="both"/>
              <w:rPr>
                <w:rFonts w:ascii="Times New Roman" w:hAnsi="Times New Roman"/>
                <w:lang w:eastAsia="ru-RU"/>
              </w:rPr>
            </w:pPr>
            <w:r w:rsidRPr="005A615E">
              <w:rPr>
                <w:rFonts w:ascii="Times New Roman" w:hAnsi="Times New Roman"/>
                <w:lang w:eastAsia="ru-RU"/>
              </w:rPr>
              <w:t>У таких випадках оцінка ефективності та бенчмаркінг повинні здійснюватися із застосуванням коригуючих коефіцієнтів або шляхом виключення впливу воєнних факторів, щоб забезпечити об'єктивне порівняння між ОСР.</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Враховуючи вищевикладене, пропонуємо для ОСР, що здійснюють діяльність на прифронтових територіях, цільові показники ефективності встановлювати індивідуально з урахуванням особливостей функціонування в умовах воєнного стану. Такий підхід відповідатиме принципам справедливості регулювання, оскільки дозволяє оцінювати ефективність роботи ОСР з урахуванням об'єктивних факторів, що не залежать від ліцензіата, і водночас не спотворює результати бенчмаркінгу.</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ind w:firstLine="180"/>
              <w:jc w:val="both"/>
              <w:rPr>
                <w:rFonts w:ascii="Times New Roman" w:hAnsi="Times New Roman"/>
                <w:b/>
              </w:rPr>
            </w:pPr>
            <w:r w:rsidRPr="005A615E">
              <w:rPr>
                <w:rFonts w:ascii="Times New Roman" w:hAnsi="Times New Roman"/>
                <w:b/>
              </w:rPr>
              <w:t xml:space="preserve">4. </w:t>
            </w:r>
            <w:r w:rsidRPr="005A615E">
              <w:rPr>
                <w:rFonts w:ascii="Times New Roman" w:hAnsi="Times New Roman"/>
              </w:rPr>
              <w:t>Умовами для застосування ліцензіатами стимулюючого регулювання після першого регуляторного періоду є виконання зобов'язань, визначених пунктом 2 цієї постанови.</w:t>
            </w:r>
            <w:r w:rsidRPr="005A615E">
              <w:rPr>
                <w:rFonts w:ascii="Times New Roman" w:hAnsi="Times New Roman"/>
                <w:b/>
              </w:rPr>
              <w:t xml:space="preserve"> </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jc w:val="both"/>
              <w:rPr>
                <w:rFonts w:ascii="Times New Roman" w:hAnsi="Times New Roman"/>
                <w:b/>
                <w:bCs/>
              </w:rPr>
            </w:pPr>
            <w:r w:rsidRPr="005A615E">
              <w:rPr>
                <w:rFonts w:ascii="Times New Roman" w:hAnsi="Times New Roman"/>
              </w:rPr>
              <w:t xml:space="preserve">З метою встановлення короткострокових цільових показників для ліцензіатів на другий регуляторний </w:t>
            </w:r>
            <w:r w:rsidRPr="005A615E">
              <w:rPr>
                <w:rFonts w:ascii="Times New Roman" w:hAnsi="Times New Roman"/>
              </w:rPr>
              <w:lastRenderedPageBreak/>
              <w:t xml:space="preserve">період проводиться аналіз та порівняння фактичних показників, процесів і стратегій між операторами системи розподілу з урахуванням ключових факторів впливу для порівняльної оцінки ефективності їх діяльності та визначення потенціалу підвищення ефективності та розвитку (бенчмаркінг). </w:t>
            </w:r>
            <w:r w:rsidRPr="005A615E">
              <w:rPr>
                <w:rFonts w:ascii="Times New Roman" w:hAnsi="Times New Roman"/>
                <w:b/>
                <w:bCs/>
              </w:rPr>
              <w:t>(з 2029 року для ліцензіатів, перелік яких наведено в додатку 35 до Порядку встановлення (формування) тарифів)</w:t>
            </w:r>
          </w:p>
          <w:p w:rsidR="00CF2AC1" w:rsidRPr="005A615E" w:rsidRDefault="00CF2AC1" w:rsidP="00CF2AC1">
            <w:pPr>
              <w:jc w:val="both"/>
              <w:rPr>
                <w:rFonts w:ascii="Times New Roman" w:hAnsi="Times New Roman"/>
                <w:sz w:val="24"/>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spacing w:before="120"/>
              <w:jc w:val="both"/>
              <w:rPr>
                <w:rFonts w:ascii="Times New Roman" w:hAnsi="Times New Roman"/>
                <w:b/>
                <w:sz w:val="24"/>
              </w:rPr>
            </w:pPr>
            <w:r w:rsidRPr="005A615E">
              <w:rPr>
                <w:rFonts w:ascii="Times New Roman" w:hAnsi="Times New Roman"/>
              </w:rPr>
              <w:t>У абзаці 4 пункту 4 не визначено ні перелік самих короткострокових цільових показників, ні показників, аналіз і порівняння яких передбачається. Така позиція не дозволяє ОСР ні приймати необхідні рішення щодо планування своєї виробничої діяльності, ні приорітизувати ключові напрямки фінансування діяльності, ні розробляти стратегічні та оперативні рішення, направлені на досягнення необхідного результату. Вважаємо за необхідно конкретизувати запропоновані рішення НКРЕКП.</w:t>
            </w:r>
          </w:p>
        </w:tc>
        <w:tc>
          <w:tcPr>
            <w:tcW w:w="3969" w:type="dxa"/>
            <w:gridSpan w:val="2"/>
          </w:tcPr>
          <w:p w:rsidR="00CF2AC1" w:rsidRPr="005A615E" w:rsidRDefault="00DF58B3" w:rsidP="00CF2AC1">
            <w:pPr>
              <w:rPr>
                <w:rFonts w:ascii="Times New Roman" w:hAnsi="Times New Roman"/>
                <w:b/>
                <w:sz w:val="24"/>
              </w:rPr>
            </w:pPr>
            <w:r w:rsidRPr="005A615E">
              <w:rPr>
                <w:rFonts w:ascii="Times New Roman" w:hAnsi="Times New Roman"/>
                <w:b/>
                <w:sz w:val="24"/>
              </w:rPr>
              <w:lastRenderedPageBreak/>
              <w:t>Враховано частково</w:t>
            </w:r>
          </w:p>
          <w:p w:rsidR="00DF58B3" w:rsidRPr="005A615E" w:rsidRDefault="00DF58B3" w:rsidP="00CF2AC1">
            <w:pPr>
              <w:rPr>
                <w:rFonts w:ascii="Times New Roman" w:hAnsi="Times New Roman"/>
                <w:b/>
                <w:sz w:val="24"/>
              </w:rPr>
            </w:pPr>
            <w:r w:rsidRPr="005A615E">
              <w:rPr>
                <w:rFonts w:ascii="Times New Roman" w:hAnsi="Times New Roman"/>
                <w:b/>
                <w:sz w:val="24"/>
              </w:rPr>
              <w:t>Запропонована редакція</w:t>
            </w:r>
            <w:r w:rsidR="00A82DB3" w:rsidRPr="005A615E">
              <w:rPr>
                <w:rFonts w:ascii="Times New Roman" w:hAnsi="Times New Roman"/>
                <w:b/>
                <w:sz w:val="24"/>
              </w:rPr>
              <w:t xml:space="preserve"> до обговорення:</w:t>
            </w:r>
          </w:p>
          <w:p w:rsidR="00DF58B3" w:rsidRPr="005A615E" w:rsidRDefault="00DF58B3" w:rsidP="00DF58B3">
            <w:pPr>
              <w:jc w:val="both"/>
              <w:rPr>
                <w:rFonts w:ascii="Times New Roman" w:hAnsi="Times New Roman"/>
                <w:sz w:val="20"/>
              </w:rPr>
            </w:pPr>
            <w:r w:rsidRPr="005A615E">
              <w:rPr>
                <w:rFonts w:ascii="Times New Roman" w:hAnsi="Times New Roman"/>
                <w:sz w:val="20"/>
              </w:rPr>
              <w:t xml:space="preserve">«4. Умовами для застосування ліцензіатами стимулюючого регулювання після першого регуляторного періоду є виконання зобов'язань, визначених пунктом 2 цієї постанови. </w:t>
            </w:r>
          </w:p>
          <w:p w:rsidR="00DF58B3" w:rsidRPr="005A615E" w:rsidRDefault="00DF58B3" w:rsidP="00DF58B3">
            <w:pPr>
              <w:jc w:val="both"/>
              <w:rPr>
                <w:rFonts w:ascii="Times New Roman" w:hAnsi="Times New Roman"/>
                <w:sz w:val="20"/>
              </w:rPr>
            </w:pPr>
            <w:r w:rsidRPr="005A615E">
              <w:rPr>
                <w:rFonts w:ascii="Times New Roman" w:hAnsi="Times New Roman"/>
                <w:sz w:val="20"/>
              </w:rPr>
              <w:t xml:space="preserve">Стан виконання зобов’язань, визначених пунктом 2 цієї постанови фіксується та досліджується під час проведення заходів державного контролю відповідно до Методики визначення сум надлишково </w:t>
            </w:r>
            <w:r w:rsidRPr="005A615E">
              <w:rPr>
                <w:rFonts w:ascii="Times New Roman" w:hAnsi="Times New Roman"/>
                <w:sz w:val="20"/>
              </w:rPr>
              <w:lastRenderedPageBreak/>
              <w:t>отриманого або недоотриманого доходу від здійснення ліцензованої діяльності з розподілу електричної енергії для операторів систем розподілу, які перейшли на стимулююче регулювання (далі – Методика), що є додатком 29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(далі – Порядок № 428).</w:t>
            </w:r>
          </w:p>
          <w:p w:rsidR="00DF58B3" w:rsidRPr="005A615E" w:rsidRDefault="00DF58B3" w:rsidP="00DF58B3">
            <w:pPr>
              <w:jc w:val="both"/>
              <w:rPr>
                <w:rFonts w:ascii="Times New Roman" w:hAnsi="Times New Roman"/>
                <w:b/>
                <w:sz w:val="20"/>
              </w:rPr>
            </w:pPr>
            <w:r w:rsidRPr="005A615E">
              <w:rPr>
                <w:rFonts w:ascii="Times New Roman" w:hAnsi="Times New Roman"/>
                <w:sz w:val="20"/>
              </w:rPr>
              <w:t xml:space="preserve">З метою встановлення показників ефективності для ліцензіатів на другий регуляторний період за результатами оцінки досягнення фактичних показників першого регуляторного періоду під час проведення заходів державного контролю відповідно до вимог Методики фіксуються та досліджуються фактичні показники </w:t>
            </w:r>
            <w:r w:rsidRPr="005A615E">
              <w:rPr>
                <w:rFonts w:ascii="Times New Roman" w:hAnsi="Times New Roman"/>
                <w:b/>
                <w:sz w:val="20"/>
              </w:rPr>
              <w:t>діяльності ліцензіатів</w:t>
            </w:r>
            <w:r w:rsidRPr="005A615E">
              <w:rPr>
                <w:rFonts w:ascii="Times New Roman" w:hAnsi="Times New Roman"/>
                <w:sz w:val="20"/>
              </w:rPr>
              <w:t xml:space="preserve"> </w:t>
            </w:r>
            <w:r w:rsidRPr="005A615E">
              <w:rPr>
                <w:rFonts w:ascii="Times New Roman" w:hAnsi="Times New Roman"/>
                <w:b/>
                <w:sz w:val="20"/>
              </w:rPr>
              <w:t>за перший регуляторний період.</w:t>
            </w:r>
          </w:p>
          <w:p w:rsidR="00DF58B3" w:rsidRPr="005A615E" w:rsidRDefault="00DF58B3" w:rsidP="00DF58B3">
            <w:pPr>
              <w:jc w:val="both"/>
              <w:rPr>
                <w:rFonts w:ascii="Times New Roman" w:hAnsi="Times New Roman"/>
                <w:sz w:val="20"/>
              </w:rPr>
            </w:pPr>
            <w:r w:rsidRPr="005A615E">
              <w:rPr>
                <w:rFonts w:ascii="Times New Roman" w:hAnsi="Times New Roman"/>
                <w:sz w:val="20"/>
              </w:rPr>
              <w:t>З метою встановлення короткострокових цільових показників для ліцензіатів на другий регуляторний період проводиться аналіз та порівняння фактичних показників, процесів і стратегій між операторами системи розподілу з урахуванням ключових факторів впливу для порівняльної оцінки ефективності їх діяльності та визначення потенціалу підвищення ефективності та розвитку (бенчмаркінг).»</w:t>
            </w:r>
          </w:p>
          <w:p w:rsidR="00CF2AC1" w:rsidRPr="005A615E" w:rsidRDefault="00CF2AC1" w:rsidP="00DF58B3">
            <w:pPr>
              <w:jc w:val="both"/>
              <w:rPr>
                <w:rFonts w:ascii="Times New Roman" w:hAnsi="Times New Roman"/>
                <w:b/>
                <w:sz w:val="20"/>
              </w:rPr>
            </w:pPr>
          </w:p>
          <w:p w:rsidR="00CF2AC1" w:rsidRPr="005A615E" w:rsidRDefault="00CF2AC1" w:rsidP="00CF2AC1">
            <w:pPr>
              <w:rPr>
                <w:rFonts w:ascii="Times New Roman" w:hAnsi="Times New Roman"/>
                <w:b/>
                <w:sz w:val="24"/>
              </w:rPr>
            </w:pPr>
          </w:p>
          <w:p w:rsidR="00CF2AC1" w:rsidRPr="005A615E" w:rsidRDefault="00CF2AC1" w:rsidP="00CF2AC1">
            <w:pPr>
              <w:shd w:val="clear" w:color="auto" w:fill="FFFFFF"/>
              <w:jc w:val="both"/>
              <w:rPr>
                <w:rFonts w:ascii="Times New Roman" w:hAnsi="Times New Roman"/>
                <w:sz w:val="24"/>
              </w:rPr>
            </w:pPr>
            <w:r w:rsidRPr="005A615E">
              <w:rPr>
                <w:rFonts w:ascii="Times New Roman" w:hAnsi="Times New Roman"/>
                <w:sz w:val="24"/>
              </w:rPr>
              <w:t xml:space="preserve">У ОСР мають бути стимули для виконання цільових показників, передбачених впровадженням </w:t>
            </w:r>
            <w:r w:rsidRPr="005A615E">
              <w:rPr>
                <w:rFonts w:ascii="Times New Roman" w:hAnsi="Times New Roman"/>
                <w:sz w:val="24"/>
              </w:rPr>
              <w:lastRenderedPageBreak/>
              <w:t>стимулюючого регулювання для покращення рівня надання якості послуг.</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FE4811" w:rsidRPr="005A615E" w:rsidRDefault="00FE4811" w:rsidP="00FE4811">
            <w:pPr>
              <w:rPr>
                <w:rFonts w:ascii="Times New Roman" w:hAnsi="Times New Roman"/>
                <w:b/>
                <w:sz w:val="24"/>
              </w:rPr>
            </w:pPr>
            <w:r w:rsidRPr="005A615E">
              <w:rPr>
                <w:rFonts w:ascii="Times New Roman" w:hAnsi="Times New Roman"/>
                <w:b/>
                <w:sz w:val="24"/>
              </w:rPr>
              <w:t>Не враховано</w:t>
            </w:r>
          </w:p>
          <w:p w:rsidR="00FE4811" w:rsidRPr="005A615E" w:rsidRDefault="00FE4811" w:rsidP="00FE4811">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r w:rsidRPr="005A615E">
              <w:rPr>
                <w:rFonts w:ascii="Times New Roman" w:hAnsi="Times New Roman"/>
                <w:b/>
                <w:sz w:val="24"/>
              </w:rPr>
              <w:t>Загальна позиція</w:t>
            </w:r>
          </w:p>
          <w:p w:rsidR="00CF2AC1" w:rsidRPr="005A615E" w:rsidRDefault="00CF2AC1" w:rsidP="00FE4811">
            <w:pPr>
              <w:shd w:val="clear" w:color="auto" w:fill="FFFFFF"/>
              <w:jc w:val="both"/>
              <w:rPr>
                <w:rFonts w:ascii="Times New Roman" w:hAnsi="Times New Roman"/>
                <w:b/>
                <w:sz w:val="24"/>
              </w:rPr>
            </w:pPr>
            <w:r w:rsidRPr="005A615E">
              <w:rPr>
                <w:rFonts w:ascii="Times New Roman" w:hAnsi="Times New Roman"/>
                <w:sz w:val="24"/>
              </w:rPr>
              <w:t>У ОСР мають бути стимули для виконання цільових показників, передбачених впровадженням стимулюючого регулювання для покращення рівня надання якості послуг.</w:t>
            </w: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ind w:firstLine="180"/>
              <w:jc w:val="both"/>
              <w:rPr>
                <w:rFonts w:ascii="Times New Roman" w:hAnsi="Times New Roman"/>
              </w:rPr>
            </w:pPr>
            <w:r w:rsidRPr="005A615E">
              <w:rPr>
                <w:rFonts w:ascii="Times New Roman" w:hAnsi="Times New Roman"/>
              </w:rPr>
              <w:lastRenderedPageBreak/>
              <w:t xml:space="preserve">5. Умовами для застосування ліцензіатами стимулюючого регулювання після другого регуляторного періоду є виконання зобов’язань, визначених пунктом 3 цієї постанови. </w:t>
            </w:r>
          </w:p>
          <w:p w:rsidR="00CF2AC1" w:rsidRPr="005A615E" w:rsidRDefault="00CF2AC1" w:rsidP="00CF2AC1">
            <w:pPr>
              <w:ind w:firstLine="180"/>
              <w:jc w:val="both"/>
              <w:rPr>
                <w:rFonts w:ascii="Times New Roman" w:hAnsi="Times New Roman"/>
              </w:rPr>
            </w:pPr>
            <w:r w:rsidRPr="005A615E">
              <w:rPr>
                <w:rFonts w:ascii="Times New Roman" w:hAnsi="Times New Roman"/>
              </w:rPr>
              <w:t>Стан виконання зобов’язань, визначених пунктом 3 цієї постанови фіксується та досліджується під час проведення заходів державного контролю відповідно до Методики, що є додатком 29 до Порядку № 428.</w:t>
            </w:r>
          </w:p>
          <w:p w:rsidR="00CF2AC1" w:rsidRPr="005A615E" w:rsidRDefault="00CF2AC1" w:rsidP="00CF2AC1">
            <w:pPr>
              <w:ind w:firstLine="180"/>
              <w:jc w:val="both"/>
              <w:rPr>
                <w:rFonts w:ascii="Times New Roman" w:hAnsi="Times New Roman"/>
              </w:rPr>
            </w:pPr>
            <w:r w:rsidRPr="005A615E">
              <w:rPr>
                <w:rFonts w:ascii="Times New Roman" w:hAnsi="Times New Roman"/>
              </w:rPr>
              <w:t>З метою встановлення показників ефективності для ліцензіатів на третій регуляторний період за результатами оцінки досягнення фактичних показників другого регуляторного періоду під час проведення заходів державного контролю відповідно до вимог Методики, що є додатком 29 до Порядку № 428 фіксуються та досліджуються фактичні показники другого регуляторного періоду, визначені постановою № 1009.</w:t>
            </w:r>
          </w:p>
          <w:p w:rsidR="00CF2AC1" w:rsidRPr="005A615E" w:rsidRDefault="00CF2AC1" w:rsidP="00CF2AC1">
            <w:pPr>
              <w:jc w:val="both"/>
              <w:rPr>
                <w:rFonts w:ascii="Times New Roman" w:hAnsi="Times New Roman"/>
                <w:sz w:val="24"/>
              </w:rPr>
            </w:pPr>
            <w:r w:rsidRPr="005A615E">
              <w:rPr>
                <w:rFonts w:ascii="Times New Roman" w:hAnsi="Times New Roman"/>
              </w:rPr>
              <w:t>З метою встановлення короткострокових цільових показників для ліцензіатів після другого регуляторного періоду проводиться аналіз та порівняння фактичних показників, процесів і стратегій між операторами системи розподілу з урахуванням ключових факторів впливу для порівняльної оцінки ефективності їх діяльності та визначення потенціалу підвищення ефективності та розвитку (бенчмаркінг).</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ГО «Перша енергетична рада» (лист </w:t>
            </w:r>
            <w:r w:rsidRPr="005A615E">
              <w:rPr>
                <w:rFonts w:ascii="Times New Roman" w:hAnsi="Times New Roman"/>
                <w:b/>
                <w:sz w:val="24"/>
                <w:u w:val="single"/>
              </w:rPr>
              <w:br/>
              <w:t>від 20.07.2026 № 28/01)</w:t>
            </w:r>
          </w:p>
          <w:p w:rsidR="00CF2AC1" w:rsidRPr="005A615E" w:rsidRDefault="00CF2AC1" w:rsidP="00CF2AC1">
            <w:pPr>
              <w:ind w:firstLine="180"/>
              <w:jc w:val="both"/>
              <w:rPr>
                <w:rFonts w:ascii="Times New Roman" w:hAnsi="Times New Roman"/>
                <w:bCs/>
              </w:rPr>
            </w:pPr>
            <w:r w:rsidRPr="005A615E">
              <w:rPr>
                <w:rFonts w:ascii="Times New Roman" w:hAnsi="Times New Roman"/>
                <w:bCs/>
              </w:rPr>
              <w:t xml:space="preserve">5. Умовами для застосування ліцензіатами стимулюючого регулювання після другого регуляторного періоду є виконання зобов’язань, визначених пунктом 3 цієї постанови. </w:t>
            </w:r>
          </w:p>
          <w:p w:rsidR="00CF2AC1" w:rsidRPr="005A615E" w:rsidRDefault="00CF2AC1" w:rsidP="00CF2AC1">
            <w:pPr>
              <w:ind w:firstLine="180"/>
              <w:jc w:val="both"/>
              <w:rPr>
                <w:rFonts w:ascii="Times New Roman" w:hAnsi="Times New Roman"/>
                <w:bCs/>
              </w:rPr>
            </w:pPr>
            <w:r w:rsidRPr="005A615E">
              <w:rPr>
                <w:rFonts w:ascii="Times New Roman" w:hAnsi="Times New Roman"/>
                <w:bCs/>
              </w:rPr>
              <w:t>Стан виконання зобов’язань, визначених пунктом 3 цієї постанови фіксується та досліджується під час проведення заходів державного контролю відповідно до Методики, що є додатком 29 до Порядку № 428.</w:t>
            </w:r>
          </w:p>
          <w:p w:rsidR="00CF2AC1" w:rsidRPr="005A615E" w:rsidRDefault="00CF2AC1" w:rsidP="00CF2AC1">
            <w:pPr>
              <w:ind w:firstLine="180"/>
              <w:jc w:val="both"/>
              <w:rPr>
                <w:rFonts w:ascii="Times New Roman" w:hAnsi="Times New Roman"/>
                <w:bCs/>
              </w:rPr>
            </w:pPr>
            <w:r w:rsidRPr="005A615E">
              <w:rPr>
                <w:rFonts w:ascii="Times New Roman" w:hAnsi="Times New Roman"/>
                <w:bCs/>
              </w:rPr>
              <w:t>З метою встановлення показників ефективності для ліцензіатів на третій регуляторний період за результатами оцінки досягнення фактичних показників другого регуляторного періоду під час проведення заходів державного контролю відповідно до вимог Методики, що є додатком 29 до Порядку № 428 фіксуються та досліджуються фактичні показники другого регуляторного періоду, визначені постановою № 1009.</w:t>
            </w:r>
          </w:p>
          <w:p w:rsidR="00CF2AC1" w:rsidRPr="005A615E" w:rsidRDefault="00CF2AC1" w:rsidP="00CF2AC1">
            <w:pPr>
              <w:ind w:firstLine="180"/>
              <w:jc w:val="both"/>
              <w:rPr>
                <w:rFonts w:ascii="Times New Roman" w:hAnsi="Times New Roman"/>
                <w:b/>
              </w:rPr>
            </w:pPr>
            <w:r w:rsidRPr="005A615E">
              <w:rPr>
                <w:rFonts w:ascii="Times New Roman" w:hAnsi="Times New Roman"/>
                <w:bCs/>
              </w:rPr>
              <w:t xml:space="preserve">З метою встановлення </w:t>
            </w:r>
            <w:r w:rsidRPr="005A615E">
              <w:rPr>
                <w:rFonts w:ascii="Times New Roman" w:hAnsi="Times New Roman"/>
                <w:b/>
              </w:rPr>
              <w:t xml:space="preserve">індивідуальних показників ефективності </w:t>
            </w:r>
            <w:r w:rsidRPr="005A615E">
              <w:rPr>
                <w:rFonts w:ascii="Times New Roman" w:hAnsi="Times New Roman"/>
                <w:bCs/>
              </w:rPr>
              <w:t xml:space="preserve">ліцензіатів на </w:t>
            </w:r>
            <w:r w:rsidRPr="005A615E">
              <w:rPr>
                <w:rFonts w:ascii="Times New Roman" w:hAnsi="Times New Roman"/>
                <w:b/>
              </w:rPr>
              <w:t>третій регуляторний період</w:t>
            </w:r>
            <w:r w:rsidRPr="005A615E">
              <w:rPr>
                <w:rFonts w:ascii="Times New Roman" w:hAnsi="Times New Roman"/>
                <w:bCs/>
              </w:rPr>
              <w:t xml:space="preserve"> </w:t>
            </w:r>
            <w:r w:rsidRPr="005A615E">
              <w:rPr>
                <w:rFonts w:ascii="Times New Roman" w:hAnsi="Times New Roman"/>
                <w:b/>
              </w:rPr>
              <w:t>протягом другого регуляторного періоду буде проведено порівняльний аналіз ефективності діяльності операторів систем розподілу (бенчмаркінг) за методологією, яку буде затверджено окремим додатком до цієї Постанови до 2028 року.</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Проведення бенчмаркінгу для використання даних у другому регуляторному періоді вже неможливо.</w:t>
            </w:r>
          </w:p>
          <w:p w:rsidR="00CF2AC1" w:rsidRPr="005A615E" w:rsidRDefault="00CF2AC1" w:rsidP="00CF2AC1">
            <w:pPr>
              <w:jc w:val="both"/>
              <w:rPr>
                <w:rFonts w:ascii="Times New Roman" w:hAnsi="Times New Roman"/>
              </w:rPr>
            </w:pPr>
            <w:r w:rsidRPr="005A615E">
              <w:rPr>
                <w:rFonts w:ascii="Times New Roman" w:hAnsi="Times New Roman"/>
              </w:rPr>
              <w:t>Методика бенчмаркінгу має бути обговорена і затверджена як окремий додаток по постанови, оскільки її використання визначально впливатиме на діяльність ОСР.</w:t>
            </w: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lastRenderedPageBreak/>
              <w:t>АТ «ЖИТОМИРОБЛЕНЕРГО» (лист від 27.07.2026  № 05/24560)</w:t>
            </w:r>
          </w:p>
          <w:p w:rsidR="00CF2AC1" w:rsidRPr="005A615E" w:rsidRDefault="00CF2AC1" w:rsidP="00CF2AC1">
            <w:pPr>
              <w:ind w:firstLine="180"/>
              <w:jc w:val="both"/>
              <w:rPr>
                <w:rFonts w:ascii="Times New Roman" w:hAnsi="Times New Roman"/>
              </w:rPr>
            </w:pPr>
            <w:r w:rsidRPr="005A615E">
              <w:rPr>
                <w:rFonts w:ascii="Times New Roman" w:hAnsi="Times New Roman"/>
              </w:rPr>
              <w:t xml:space="preserve">5. Умовами для застосування ліцензіатами стимулюючого регулювання після другого регуляторного періоду є виконання зобов’язань, визначених пунктом 3 цієї постанови. </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jc w:val="both"/>
              <w:rPr>
                <w:rFonts w:ascii="Times New Roman" w:hAnsi="Times New Roman"/>
              </w:rPr>
            </w:pPr>
            <w:r w:rsidRPr="005A615E">
              <w:rPr>
                <w:rFonts w:ascii="Times New Roman" w:hAnsi="Times New Roman"/>
              </w:rPr>
              <w:t>З метою встановлення короткострокових цільових показників для ліцензіатів після другого регуляторного періоду проводиться аналіз та порівняння фактичних показників, процесів і стратегій між операторами системи розподілу з урахуванням ключових факторів</w:t>
            </w:r>
            <w:r w:rsidRPr="005A615E">
              <w:rPr>
                <w:rFonts w:ascii="Times New Roman" w:hAnsi="Times New Roman"/>
                <w:b/>
              </w:rPr>
              <w:t xml:space="preserve"> негативного та позитивного  </w:t>
            </w:r>
            <w:r w:rsidRPr="005A615E">
              <w:rPr>
                <w:rFonts w:ascii="Times New Roman" w:hAnsi="Times New Roman"/>
              </w:rPr>
              <w:t>впливу</w:t>
            </w:r>
            <w:r w:rsidRPr="005A615E">
              <w:rPr>
                <w:rFonts w:ascii="Times New Roman" w:hAnsi="Times New Roman"/>
                <w:b/>
              </w:rPr>
              <w:t xml:space="preserve"> (в тому числі вплив виконання планів заходів передбачених підпунктом 1 пункту 2 та підпунктом 1 пункту 3 цієї постанови) </w:t>
            </w:r>
            <w:r w:rsidRPr="005A615E">
              <w:rPr>
                <w:rFonts w:ascii="Times New Roman" w:hAnsi="Times New Roman"/>
              </w:rPr>
              <w:t>для порівняльної оцінки ефективності їх діяльності та визначення</w:t>
            </w:r>
            <w:r w:rsidRPr="005A615E">
              <w:rPr>
                <w:rFonts w:ascii="Times New Roman" w:hAnsi="Times New Roman"/>
                <w:b/>
              </w:rPr>
              <w:t xml:space="preserve"> наявності </w:t>
            </w:r>
            <w:r w:rsidRPr="005A615E">
              <w:rPr>
                <w:rFonts w:ascii="Times New Roman" w:hAnsi="Times New Roman"/>
              </w:rPr>
              <w:t>потенціалу</w:t>
            </w:r>
            <w:r w:rsidRPr="005A615E">
              <w:rPr>
                <w:rFonts w:ascii="Times New Roman" w:hAnsi="Times New Roman"/>
                <w:b/>
              </w:rPr>
              <w:t xml:space="preserve"> </w:t>
            </w:r>
            <w:r w:rsidRPr="005A615E">
              <w:rPr>
                <w:rFonts w:ascii="Times New Roman" w:hAnsi="Times New Roman"/>
              </w:rPr>
              <w:t>підвищення ефективності та розвитку (бенчмаркінг).</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b/>
                <w:sz w:val="24"/>
              </w:rPr>
            </w:pPr>
            <w:r w:rsidRPr="005A615E">
              <w:rPr>
                <w:rFonts w:ascii="Times New Roman" w:hAnsi="Times New Roman"/>
              </w:rPr>
              <w:t>У абзаці 4 пункту 5 не визначено ні перелік самих короткострокових цільових показників, ні показників, аналіз і порівняння яких передбачається. Така позиція не дозволяє ОСР ні приймати необхідні рішення щодо планування своєї виробничої діяльності, ні приорітизувати ключові напрямки фінансування діяльності, ні розробляти стратегічні та оперативні рішення, направлені на досягнення необхідного результату. Вважаємо за необхідно конкретизувати запропоновані рішення НКРЕКП.</w:t>
            </w:r>
          </w:p>
        </w:tc>
        <w:tc>
          <w:tcPr>
            <w:tcW w:w="3969" w:type="dxa"/>
            <w:gridSpan w:val="2"/>
          </w:tcPr>
          <w:p w:rsidR="00FE4811" w:rsidRPr="005A615E" w:rsidRDefault="00FE4811" w:rsidP="00FE4811">
            <w:pPr>
              <w:rPr>
                <w:rFonts w:ascii="Times New Roman" w:hAnsi="Times New Roman"/>
                <w:b/>
                <w:sz w:val="24"/>
              </w:rPr>
            </w:pPr>
            <w:r w:rsidRPr="005A615E">
              <w:rPr>
                <w:rFonts w:ascii="Times New Roman" w:hAnsi="Times New Roman"/>
                <w:b/>
                <w:sz w:val="24"/>
              </w:rPr>
              <w:lastRenderedPageBreak/>
              <w:t>Не враховано</w:t>
            </w:r>
          </w:p>
          <w:p w:rsidR="00FE4811" w:rsidRPr="005A615E" w:rsidRDefault="00FE4811" w:rsidP="00FE481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jc w:val="both"/>
              <w:rPr>
                <w:rFonts w:ascii="Times New Roman" w:hAnsi="Times New Roman"/>
                <w:sz w:val="24"/>
              </w:rPr>
            </w:pPr>
            <w:r w:rsidRPr="005A615E">
              <w:rPr>
                <w:rFonts w:ascii="Times New Roman" w:hAnsi="Times New Roman"/>
                <w:sz w:val="24"/>
              </w:rPr>
              <w:t xml:space="preserve">У зв’язку з тим, що запропоновані пропозиції потребують додаткового часу для прийняття виваженого рішення, доцільно розглядати зазначені пропозиції під час чергових змін до цього Порядку, пов’язаних з визначенням підходів щодо переходу на третій регуляторний період. </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FE4811" w:rsidRPr="005A615E" w:rsidRDefault="00FE4811" w:rsidP="00FE4811">
            <w:pPr>
              <w:rPr>
                <w:rFonts w:ascii="Times New Roman" w:hAnsi="Times New Roman"/>
                <w:b/>
                <w:sz w:val="24"/>
              </w:rPr>
            </w:pPr>
            <w:r w:rsidRPr="005A615E">
              <w:rPr>
                <w:rFonts w:ascii="Times New Roman" w:hAnsi="Times New Roman"/>
                <w:b/>
                <w:sz w:val="24"/>
              </w:rPr>
              <w:t>Не враховано</w:t>
            </w:r>
          </w:p>
          <w:p w:rsidR="00FE4811" w:rsidRPr="005A615E" w:rsidRDefault="00FE4811" w:rsidP="00FE481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jc w:val="both"/>
              <w:rPr>
                <w:rFonts w:ascii="Times New Roman" w:hAnsi="Times New Roman"/>
                <w:b/>
                <w:sz w:val="24"/>
              </w:rPr>
            </w:pPr>
            <w:r w:rsidRPr="005A615E">
              <w:rPr>
                <w:rFonts w:ascii="Times New Roman" w:hAnsi="Times New Roman"/>
                <w:sz w:val="24"/>
              </w:rPr>
              <w:t xml:space="preserve">У зв’язку з тим, що запропоновані пропозиції потребують додаткового часу для прийняття виваженого рішення, доцільно розглядати зазначені пропозиції під час чергових змін до цього Порядку, пов’язаних з визначенням підходів щодо переходу на третій регуляторний період. </w:t>
            </w:r>
          </w:p>
        </w:tc>
      </w:tr>
      <w:tr w:rsidR="00CF2AC1" w:rsidRPr="005A615E" w:rsidTr="00A56FEE">
        <w:tc>
          <w:tcPr>
            <w:tcW w:w="15588" w:type="dxa"/>
            <w:gridSpan w:val="4"/>
          </w:tcPr>
          <w:p w:rsidR="00CF2AC1" w:rsidRPr="005A615E" w:rsidRDefault="00CF2AC1" w:rsidP="009B491B">
            <w:pPr>
              <w:jc w:val="center"/>
              <w:rPr>
                <w:rFonts w:ascii="Times New Roman" w:hAnsi="Times New Roman"/>
                <w:b/>
                <w:sz w:val="28"/>
              </w:rPr>
            </w:pPr>
            <w:r w:rsidRPr="005A615E">
              <w:rPr>
                <w:rFonts w:ascii="Times New Roman" w:hAnsi="Times New Roman"/>
                <w:b/>
                <w:sz w:val="28"/>
              </w:rPr>
              <w:lastRenderedPageBreak/>
              <w:t>Постанова НКРЕКП від 27.07.2017 № 981 «Про затвердження Положення про порядок подання, визначення та затвердження економічних коефіцієнтів нормативних та прогнозованих технологічних витрат електроенергії»</w:t>
            </w:r>
          </w:p>
        </w:tc>
      </w:tr>
      <w:tr w:rsidR="00CF2AC1" w:rsidRPr="005A615E" w:rsidTr="00A56FEE">
        <w:tc>
          <w:tcPr>
            <w:tcW w:w="6232" w:type="dxa"/>
          </w:tcPr>
          <w:p w:rsidR="00CF2AC1" w:rsidRPr="005A615E" w:rsidRDefault="00CF2AC1" w:rsidP="00CF2AC1">
            <w:pPr>
              <w:spacing w:after="120"/>
              <w:jc w:val="both"/>
              <w:rPr>
                <w:rFonts w:ascii="Times New Roman" w:hAnsi="Times New Roman"/>
              </w:rPr>
            </w:pPr>
            <w:r w:rsidRPr="005A615E">
              <w:rPr>
                <w:rFonts w:ascii="Times New Roman" w:hAnsi="Times New Roman"/>
              </w:rPr>
              <w:t>1.2. У цьому Положенні терміни вживаються в таких значеннях:</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ind w:firstLine="180"/>
              <w:jc w:val="both"/>
              <w:rPr>
                <w:rFonts w:ascii="Times New Roman" w:hAnsi="Times New Roman"/>
              </w:rPr>
            </w:pPr>
            <w:r w:rsidRPr="005A615E">
              <w:rPr>
                <w:rFonts w:ascii="Times New Roman" w:hAnsi="Times New Roman"/>
              </w:rPr>
              <w:lastRenderedPageBreak/>
              <w:t>регуляторний період – період часу між двома послідовними переглядами необхідного доходу та параметрів регулювання, що мають довгостроковий строк дії, який становить 5 років, за винятком першого регуляторного періоду, який становить 6 років.</w:t>
            </w:r>
          </w:p>
          <w:p w:rsidR="00CF2AC1" w:rsidRPr="005A615E" w:rsidRDefault="00CF2AC1" w:rsidP="00CF2AC1">
            <w:pPr>
              <w:rPr>
                <w:rFonts w:ascii="Times New Roman" w:hAnsi="Times New Roman"/>
                <w:bCs/>
              </w:rPr>
            </w:pPr>
            <w:r w:rsidRPr="005A615E">
              <w:rPr>
                <w:rFonts w:ascii="Times New Roman" w:hAnsi="Times New Roman"/>
                <w:bCs/>
              </w:rPr>
              <w:t>…</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jc w:val="both"/>
              <w:rPr>
                <w:rFonts w:ascii="Times New Roman" w:hAnsi="Times New Roman"/>
                <w:b/>
                <w:sz w:val="24"/>
              </w:rPr>
            </w:pPr>
            <w:r w:rsidRPr="005A615E">
              <w:rPr>
                <w:rFonts w:ascii="Times New Roman" w:hAnsi="Times New Roman"/>
                <w:b/>
                <w:sz w:val="24"/>
              </w:rPr>
              <w:t>Зміни не передбачались</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lastRenderedPageBreak/>
              <w:t xml:space="preserve">ГО «Перша енергетична рада» (лист </w:t>
            </w:r>
            <w:r w:rsidRPr="005A615E">
              <w:rPr>
                <w:rFonts w:ascii="Times New Roman" w:hAnsi="Times New Roman"/>
                <w:b/>
                <w:sz w:val="24"/>
                <w:u w:val="single"/>
              </w:rPr>
              <w:br/>
              <w:t>від 20.07.2026 № 28/01)</w:t>
            </w:r>
          </w:p>
          <w:p w:rsidR="00CF2AC1" w:rsidRPr="005A615E" w:rsidRDefault="00CF2AC1" w:rsidP="00CF2AC1">
            <w:pPr>
              <w:spacing w:after="120"/>
              <w:jc w:val="both"/>
              <w:rPr>
                <w:rFonts w:ascii="Times New Roman" w:hAnsi="Times New Roman"/>
              </w:rPr>
            </w:pPr>
            <w:r w:rsidRPr="005A615E">
              <w:rPr>
                <w:rFonts w:ascii="Times New Roman" w:hAnsi="Times New Roman"/>
              </w:rPr>
              <w:lastRenderedPageBreak/>
              <w:t>1.2. У цьому Положенні терміни вживаються в таких значеннях:</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spacing w:after="120"/>
              <w:jc w:val="both"/>
              <w:rPr>
                <w:rFonts w:ascii="Times New Roman" w:hAnsi="Times New Roman"/>
              </w:rPr>
            </w:pPr>
            <w:r w:rsidRPr="005A615E">
              <w:rPr>
                <w:rFonts w:ascii="Times New Roman" w:hAnsi="Times New Roman"/>
              </w:rPr>
              <w:t xml:space="preserve">регуляторний період - період часу між двома послідовними переглядами параметрів регулювання, що мають довготерміновий строк дії, </w:t>
            </w:r>
            <w:r w:rsidRPr="005A615E">
              <w:rPr>
                <w:rFonts w:ascii="Times New Roman" w:hAnsi="Times New Roman"/>
                <w:b/>
                <w:bCs/>
              </w:rPr>
              <w:t>та тарифів,</w:t>
            </w:r>
            <w:r w:rsidRPr="005A615E">
              <w:rPr>
                <w:rFonts w:ascii="Times New Roman" w:hAnsi="Times New Roman"/>
              </w:rPr>
              <w:t xml:space="preserve"> який становить 5 років, за винятком першого регуляторного періоду (перехідний період), який триватиме 6 років.</w:t>
            </w:r>
          </w:p>
          <w:p w:rsidR="00CF2AC1" w:rsidRPr="005A615E" w:rsidRDefault="00CF2AC1" w:rsidP="00CF2AC1">
            <w:pPr>
              <w:jc w:val="both"/>
              <w:rPr>
                <w:rFonts w:ascii="Times New Roman" w:hAnsi="Times New Roman"/>
                <w:b/>
                <w:sz w:val="24"/>
                <w:u w:val="single"/>
              </w:rPr>
            </w:pPr>
            <w:r w:rsidRPr="005A615E">
              <w:rPr>
                <w:rFonts w:ascii="Times New Roman" w:hAnsi="Times New Roman"/>
              </w:rPr>
              <w:t>…</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sz w:val="24"/>
              </w:rPr>
            </w:pPr>
            <w:r w:rsidRPr="005A615E">
              <w:rPr>
                <w:rFonts w:ascii="Times New Roman" w:hAnsi="Times New Roman"/>
                <w:sz w:val="24"/>
              </w:rPr>
              <w:t>Переглядаються параметри регулювання і тарифи, а необхідний дохід розраховується.</w:t>
            </w:r>
          </w:p>
          <w:p w:rsidR="00CF2AC1" w:rsidRPr="005A615E" w:rsidRDefault="00CF2AC1" w:rsidP="00CF2AC1">
            <w:pPr>
              <w:jc w:val="both"/>
              <w:rPr>
                <w:rFonts w:ascii="Times New Roman" w:hAnsi="Times New Roman"/>
                <w:sz w:val="24"/>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«ВІННИЦЯОБЛЕНЕРГО» (лист від 27.07.2026  № 03.13-18608)</w:t>
            </w:r>
          </w:p>
          <w:p w:rsidR="00CF2AC1" w:rsidRPr="005A615E" w:rsidRDefault="00CF2AC1" w:rsidP="00CF2AC1">
            <w:pPr>
              <w:ind w:firstLine="419"/>
              <w:jc w:val="both"/>
              <w:rPr>
                <w:rFonts w:ascii="Times New Roman" w:hAnsi="Times New Roman"/>
                <w:iCs/>
              </w:rPr>
            </w:pPr>
            <w:r w:rsidRPr="005A615E">
              <w:rPr>
                <w:rFonts w:ascii="Times New Roman" w:hAnsi="Times New Roman"/>
                <w:iCs/>
              </w:rPr>
              <w:t>Доповнити пункт 1.2 глави 1 абзацом сьомим наступного змісту:</w:t>
            </w:r>
          </w:p>
          <w:p w:rsidR="00CF2AC1" w:rsidRPr="005A615E" w:rsidRDefault="00CF2AC1" w:rsidP="00CF2AC1">
            <w:pPr>
              <w:jc w:val="both"/>
              <w:rPr>
                <w:rFonts w:ascii="Times New Roman" w:hAnsi="Times New Roman"/>
              </w:rPr>
            </w:pPr>
            <w:r w:rsidRPr="005A615E">
              <w:rPr>
                <w:rFonts w:ascii="Times New Roman" w:hAnsi="Times New Roman"/>
                <w:b/>
                <w:bCs/>
              </w:rPr>
              <w:t xml:space="preserve">«Складова технологічних витрат електричної енергії, зумовлена дією об’єктивних зовнішніх чинників внаслідок збройної агресії (далі – складова ТВЕ) – розрахунковий обсяг додаткових технологічних витрат електричної енергії, що виникають в електричних мережах оператора системи розподілу внаслідок системних змін у режимах роботи мереж та/або зміни їх топології спричинених збройної агресією. Зазначений обсяг визначається спеціалізованими підприємствами / організаціями, що виконують комплекс робіт з розрахунків витрат в електричних мережах, з документальним підтвердженням оператором системи передачі, Державною інспекцією  енергетичного нагляду України, адміністратором комерційного обліку відповідності вихідних даних для проведення таких розрахунків фактичному </w:t>
            </w:r>
            <w:r w:rsidRPr="005A615E">
              <w:rPr>
                <w:rFonts w:ascii="Times New Roman" w:hAnsi="Times New Roman"/>
                <w:b/>
                <w:bCs/>
              </w:rPr>
              <w:lastRenderedPageBreak/>
              <w:t>режиму роботи мережі, та фіксується у встановленому порядку в Акті перевірки НКРЕКП щодо дотримання ліцензіатом вимог законодавства та ліцензійних умов з розподілу електричної енергії</w:t>
            </w:r>
            <w:r w:rsidRPr="005A615E">
              <w:rPr>
                <w:rFonts w:ascii="Times New Roman" w:hAnsi="Times New Roman"/>
              </w:rPr>
              <w:t>.»</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Необхідність введення терміну зумовлена потребою врахування об’єктивного впливу наслідків збройної агресії на технічні та економічні показники роботи ОСР. Чинна методика розрахунку ЕКПТВЕ базується на інерційних принципах і не враховує аномальних витрат, що виникають через руйнування об’єктів енергетики, зміну потокорозподілу та роботу електричних мереж у вимушених (відмінних від нормального) режимах.</w:t>
            </w:r>
          </w:p>
          <w:p w:rsidR="00CF2AC1" w:rsidRPr="005A615E" w:rsidRDefault="00CF2AC1" w:rsidP="00CF2AC1">
            <w:pPr>
              <w:jc w:val="both"/>
              <w:rPr>
                <w:rFonts w:ascii="Times New Roman" w:hAnsi="Times New Roman"/>
                <w:sz w:val="24"/>
              </w:rPr>
            </w:pPr>
            <w:r w:rsidRPr="005A615E">
              <w:rPr>
                <w:rFonts w:ascii="Times New Roman" w:hAnsi="Times New Roman"/>
              </w:rPr>
              <w:t>Введення цього показника дозволяє відокремити витрати, на які ліцензіат не має впливу, від стандартних технологічних втрат. Це забезпечує дотримання законодавчо встановленого принципу економічної обґрунтованості витрат ліцензіата. Запропонований механізм багаторівневої верифікації (із залученням ОСП, АКО та Держенергонагляду) гарантує прозорість, достовірність даних та унеможливлює отримання ліцензіатом надприбутків, забезпечуючи Регулятору певний інструмент контролю.</w:t>
            </w:r>
          </w:p>
        </w:tc>
        <w:tc>
          <w:tcPr>
            <w:tcW w:w="3969" w:type="dxa"/>
            <w:gridSpan w:val="2"/>
          </w:tcPr>
          <w:p w:rsidR="002967C2" w:rsidRPr="005A615E" w:rsidRDefault="002967C2" w:rsidP="002967C2">
            <w:pPr>
              <w:rPr>
                <w:rFonts w:ascii="Times New Roman" w:hAnsi="Times New Roman"/>
                <w:b/>
                <w:sz w:val="24"/>
              </w:rPr>
            </w:pPr>
            <w:r w:rsidRPr="005A615E">
              <w:rPr>
                <w:rFonts w:ascii="Times New Roman" w:hAnsi="Times New Roman"/>
                <w:b/>
                <w:sz w:val="24"/>
              </w:rPr>
              <w:lastRenderedPageBreak/>
              <w:t>Враховано</w:t>
            </w:r>
          </w:p>
          <w:p w:rsidR="002967C2" w:rsidRPr="005A615E" w:rsidRDefault="002967C2" w:rsidP="002967C2">
            <w:pPr>
              <w:rPr>
                <w:rFonts w:ascii="Times New Roman" w:hAnsi="Times New Roman"/>
                <w:b/>
                <w:sz w:val="24"/>
              </w:rPr>
            </w:pPr>
            <w:r w:rsidRPr="005A615E">
              <w:rPr>
                <w:rFonts w:ascii="Times New Roman" w:hAnsi="Times New Roman"/>
                <w:b/>
                <w:sz w:val="24"/>
              </w:rPr>
              <w:lastRenderedPageBreak/>
              <w:t>Внести аналогічні зміни до Порядку № 1175</w:t>
            </w:r>
          </w:p>
          <w:p w:rsidR="00CF2AC1" w:rsidRPr="005A615E" w:rsidRDefault="002967C2" w:rsidP="002967C2">
            <w:pPr>
              <w:rPr>
                <w:rFonts w:ascii="Times New Roman" w:hAnsi="Times New Roman"/>
                <w:b/>
                <w:sz w:val="24"/>
              </w:rPr>
            </w:pPr>
            <w:r w:rsidRPr="005A615E">
              <w:rPr>
                <w:rFonts w:ascii="Times New Roman" w:hAnsi="Times New Roman"/>
                <w:b/>
                <w:sz w:val="24"/>
              </w:rPr>
              <w:t xml:space="preserve"> </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63175E" w:rsidRPr="005A615E" w:rsidRDefault="0063175E" w:rsidP="0063175E">
            <w:pPr>
              <w:rPr>
                <w:rFonts w:ascii="Times New Roman" w:hAnsi="Times New Roman"/>
                <w:b/>
                <w:sz w:val="24"/>
              </w:rPr>
            </w:pPr>
          </w:p>
          <w:p w:rsidR="0063175E" w:rsidRPr="005A615E" w:rsidRDefault="0063175E" w:rsidP="0063175E">
            <w:pPr>
              <w:rPr>
                <w:rFonts w:ascii="Times New Roman" w:hAnsi="Times New Roman"/>
                <w:b/>
                <w:sz w:val="24"/>
              </w:rPr>
            </w:pPr>
          </w:p>
          <w:p w:rsidR="0063175E" w:rsidRPr="005A615E" w:rsidRDefault="0063175E" w:rsidP="0063175E">
            <w:pPr>
              <w:rPr>
                <w:rFonts w:ascii="Times New Roman" w:hAnsi="Times New Roman"/>
                <w:b/>
                <w:sz w:val="24"/>
              </w:rPr>
            </w:pPr>
            <w:r w:rsidRPr="005A615E">
              <w:rPr>
                <w:rFonts w:ascii="Times New Roman" w:hAnsi="Times New Roman"/>
                <w:b/>
                <w:sz w:val="24"/>
              </w:rPr>
              <w:t>Не враховано</w:t>
            </w:r>
          </w:p>
          <w:p w:rsidR="0063175E" w:rsidRPr="005A615E" w:rsidRDefault="0063175E" w:rsidP="0063175E">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ind w:firstLine="216"/>
              <w:jc w:val="both"/>
              <w:rPr>
                <w:rFonts w:ascii="Times New Roman" w:hAnsi="Times New Roman"/>
              </w:rPr>
            </w:pPr>
            <w:r w:rsidRPr="005A615E">
              <w:rPr>
                <w:rFonts w:ascii="Times New Roman" w:hAnsi="Times New Roman"/>
              </w:rPr>
              <w:lastRenderedPageBreak/>
              <w:t xml:space="preserve">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N 5-НКРЕКП-моніторинг-розподіл (місячна) "Звіт про обсяги розподілу електричної енергії", затвердженої постановою НКРЕКП від 29.03.2019 N 450 (далі - форма N 5-НКРЕКП-моніторинг-розподіл), та N 1Б-ТВЕ "Структура балансу електроенергії та технологічних витрат електроенергії (ТВЕ) на </w:t>
            </w:r>
            <w:r w:rsidRPr="005A615E">
              <w:rPr>
                <w:rFonts w:ascii="Times New Roman" w:hAnsi="Times New Roman"/>
              </w:rPr>
              <w:lastRenderedPageBreak/>
              <w:t>передачу по електричних мережах", затвердженої наказом Міністерства енергетики України від 14 жовтня 1999 року N 289 (далі - форма звітності N 1Б-ТВЕ), за три завершені річні періоди (січень - грудень), що передували прогнозному періоду, та розраховується відповідно до глави 2 цього Положення.</w:t>
            </w:r>
          </w:p>
          <w:p w:rsidR="00CF2AC1" w:rsidRPr="005A615E" w:rsidRDefault="00CF2AC1" w:rsidP="00CF2AC1">
            <w:pPr>
              <w:ind w:firstLine="216"/>
              <w:jc w:val="both"/>
              <w:rPr>
                <w:rFonts w:ascii="Times New Roman" w:hAnsi="Times New Roman"/>
              </w:rPr>
            </w:pPr>
            <w:r w:rsidRPr="005A615E">
              <w:rPr>
                <w:rFonts w:ascii="Times New Roman" w:hAnsi="Times New Roman"/>
              </w:rPr>
              <w:t>Розраховане значення ЕКПТВЕ по 1 та 2 класах напруги, без урахування відповідного показника ефективності, порівнюється із відповідним середньорічним ЕКНТВЕ на II - IV квартали 2017 року та I квартал 2018 року та ЕКПТВЕ, затвердженим НКРЕКП на базовий рік.</w:t>
            </w:r>
          </w:p>
          <w:p w:rsidR="00CF2AC1" w:rsidRPr="005A615E" w:rsidRDefault="00CF2AC1" w:rsidP="00CF2AC1">
            <w:pPr>
              <w:ind w:firstLine="216"/>
              <w:jc w:val="both"/>
              <w:rPr>
                <w:rFonts w:ascii="Times New Roman" w:hAnsi="Times New Roman"/>
              </w:rPr>
            </w:pPr>
            <w:r w:rsidRPr="005A615E">
              <w:rPr>
                <w:rFonts w:ascii="Times New Roman" w:hAnsi="Times New Roman"/>
              </w:rPr>
              <w:t>Якщо отримане значення ЕКПТВЕ більше середньорічного ЕКНТВЕ або затвердженого ЕКПТВЕ на базовий рік, то для розрахунку ЕКПТВЕ відповідно до глави 2 цього Положення використовуються дані, що відповідають найменшому із зазначених коефіцієнтів, а саме:</w:t>
            </w:r>
          </w:p>
          <w:p w:rsidR="00CF2AC1" w:rsidRPr="005A615E" w:rsidRDefault="00CF2AC1" w:rsidP="00CF2AC1">
            <w:pPr>
              <w:ind w:firstLine="216"/>
              <w:jc w:val="both"/>
              <w:rPr>
                <w:rFonts w:ascii="Times New Roman" w:hAnsi="Times New Roman"/>
              </w:rPr>
            </w:pPr>
            <w:r w:rsidRPr="005A615E">
              <w:rPr>
                <w:rFonts w:ascii="Times New Roman" w:hAnsi="Times New Roman"/>
              </w:rPr>
              <w:t>якщо найменшим є значення середньорічного ЕКНТВЕ, то для остаточного розрахунку ЕКПТВЕ використовуються дані, що відповідають середньорічному ЕКНТВЕ,</w:t>
            </w:r>
          </w:p>
          <w:p w:rsidR="00CF2AC1" w:rsidRPr="005A615E" w:rsidRDefault="00CF2AC1" w:rsidP="00CF2AC1">
            <w:pPr>
              <w:ind w:firstLine="216"/>
              <w:jc w:val="both"/>
              <w:rPr>
                <w:rFonts w:ascii="Times New Roman" w:hAnsi="Times New Roman"/>
              </w:rPr>
            </w:pPr>
            <w:r w:rsidRPr="005A615E">
              <w:rPr>
                <w:rFonts w:ascii="Times New Roman" w:hAnsi="Times New Roman"/>
              </w:rPr>
              <w:t>якщо найменшим є значення ЕКПТВЕ, затвердженого НКРЕКП на базовий рік, то для остаточного розрахунку ЕКПТВЕ використовуються дані (із застосованими показниками ефективності базового року), що відповідають ЕКПТВЕ, затвердженому НКРЕКП на базовий рік.</w:t>
            </w:r>
          </w:p>
          <w:p w:rsidR="00CF2AC1" w:rsidRPr="005A615E" w:rsidRDefault="00CF2AC1" w:rsidP="00CF2AC1">
            <w:pPr>
              <w:ind w:firstLine="216"/>
              <w:jc w:val="both"/>
              <w:rPr>
                <w:rFonts w:ascii="Times New Roman" w:hAnsi="Times New Roman"/>
              </w:rPr>
            </w:pPr>
            <w:r w:rsidRPr="005A615E">
              <w:rPr>
                <w:rFonts w:ascii="Times New Roman" w:hAnsi="Times New Roman"/>
              </w:rPr>
              <w:t>Розраховані таким чином ЕКПТВЕ, крім випадків, передбачених цим Положенням, затверджуються НКРЕКП.</w:t>
            </w:r>
          </w:p>
          <w:p w:rsidR="00CF2AC1" w:rsidRPr="005A615E" w:rsidRDefault="00CF2AC1" w:rsidP="00CF2AC1">
            <w:pPr>
              <w:ind w:firstLine="216"/>
              <w:jc w:val="both"/>
              <w:rPr>
                <w:rFonts w:ascii="Times New Roman" w:hAnsi="Times New Roman"/>
              </w:rPr>
            </w:pPr>
            <w:r w:rsidRPr="005A615E">
              <w:rPr>
                <w:rFonts w:ascii="Times New Roman" w:hAnsi="Times New Roman"/>
              </w:rPr>
              <w:t>Для операторів систем розподілу, які не переходять на стимулююче регулювання, ЕКПТВЕ затверджуються на прогнозний період.</w:t>
            </w:r>
          </w:p>
          <w:p w:rsidR="00CF2AC1" w:rsidRPr="005A615E" w:rsidRDefault="00CF2AC1" w:rsidP="00CF2AC1">
            <w:pPr>
              <w:ind w:firstLine="216"/>
              <w:jc w:val="both"/>
              <w:rPr>
                <w:rFonts w:ascii="Times New Roman" w:hAnsi="Times New Roman"/>
                <w:b/>
              </w:rPr>
            </w:pPr>
          </w:p>
          <w:p w:rsidR="00CF2AC1" w:rsidRPr="005A615E" w:rsidRDefault="00CF2AC1" w:rsidP="00CF2AC1">
            <w:pPr>
              <w:ind w:firstLine="216"/>
              <w:jc w:val="both"/>
              <w:rPr>
                <w:rFonts w:ascii="Times New Roman" w:hAnsi="Times New Roman"/>
              </w:rPr>
            </w:pPr>
            <w:r w:rsidRPr="005A615E">
              <w:rPr>
                <w:rFonts w:ascii="Times New Roman" w:hAnsi="Times New Roman"/>
              </w:rPr>
              <w:t>Для операторів систем розподілу, які переходять/перейшли на стимулююче регулювання, розраховані НКРЕКП ЕКПТВЕ для регуляторного періоду в цілому у розрізі років, затверджуються перед початком першого та наступних регуляторних періодів.</w:t>
            </w:r>
          </w:p>
          <w:p w:rsidR="00CF2AC1" w:rsidRPr="005A615E" w:rsidRDefault="00CF2AC1" w:rsidP="00CF2AC1">
            <w:pPr>
              <w:jc w:val="both"/>
              <w:rPr>
                <w:rFonts w:ascii="Times New Roman" w:hAnsi="Times New Roman"/>
              </w:rPr>
            </w:pPr>
            <w:r w:rsidRPr="005A615E">
              <w:rPr>
                <w:rFonts w:ascii="Times New Roman" w:hAnsi="Times New Roman"/>
              </w:rPr>
              <w:t xml:space="preserve">Для операторів систем розподілу, які перейшли на стимулююче регулювання, на другий та наступні регуляторні періоди, при </w:t>
            </w:r>
            <w:r w:rsidRPr="005A615E">
              <w:rPr>
                <w:rFonts w:ascii="Times New Roman" w:hAnsi="Times New Roman"/>
              </w:rPr>
              <w:lastRenderedPageBreak/>
              <w:t>розрахунку ЕКПТВЕ використовуються дані першого регуляторного періоду з урахуванням застосованих до них показників ефективності в регуляторних періодах.</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A452BD" w:rsidRPr="005A615E" w:rsidRDefault="00A452BD"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r w:rsidRPr="005A615E">
              <w:rPr>
                <w:rFonts w:ascii="Times New Roman" w:hAnsi="Times New Roman"/>
                <w:b/>
                <w:sz w:val="24"/>
              </w:rPr>
              <w:t>Абзац відсутній</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r w:rsidRPr="005A615E">
              <w:rPr>
                <w:rFonts w:ascii="Times New Roman" w:hAnsi="Times New Roman"/>
                <w:b/>
                <w:sz w:val="24"/>
              </w:rPr>
              <w:t>Зміна цього абзацу не передбачалась</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tc>
        <w:tc>
          <w:tcPr>
            <w:tcW w:w="5387" w:type="dxa"/>
          </w:tcPr>
          <w:p w:rsidR="00CF2AC1" w:rsidRPr="005A615E" w:rsidRDefault="00CF2AC1" w:rsidP="00CF2AC1">
            <w:pPr>
              <w:jc w:val="both"/>
              <w:rPr>
                <w:rFonts w:ascii="Times New Roman" w:hAnsi="Times New Roman"/>
                <w:b/>
                <w:sz w:val="24"/>
                <w:szCs w:val="24"/>
                <w:u w:val="single"/>
              </w:rPr>
            </w:pPr>
            <w:r w:rsidRPr="005A615E">
              <w:rPr>
                <w:rFonts w:ascii="Times New Roman" w:hAnsi="Times New Roman"/>
                <w:b/>
                <w:sz w:val="24"/>
                <w:szCs w:val="24"/>
                <w:u w:val="single"/>
              </w:rPr>
              <w:lastRenderedPageBreak/>
              <w:t xml:space="preserve">АТ «Миколаївобленерго» (лист </w:t>
            </w:r>
            <w:r w:rsidRPr="005A615E">
              <w:rPr>
                <w:rFonts w:ascii="Times New Roman" w:hAnsi="Times New Roman"/>
                <w:b/>
                <w:sz w:val="24"/>
                <w:szCs w:val="24"/>
                <w:u w:val="single"/>
              </w:rPr>
              <w:br/>
              <w:t>від 17.07.2026 № 01/01-21-4091)</w:t>
            </w:r>
          </w:p>
          <w:p w:rsidR="00CF2AC1" w:rsidRPr="005A615E" w:rsidRDefault="00CF2AC1" w:rsidP="00CF2AC1">
            <w:pPr>
              <w:ind w:firstLine="181"/>
              <w:jc w:val="both"/>
              <w:rPr>
                <w:rFonts w:ascii="Times New Roman" w:hAnsi="Times New Roman"/>
                <w:b/>
                <w:lang w:eastAsia="ru-RU"/>
              </w:rPr>
            </w:pPr>
            <w:r w:rsidRPr="005A615E">
              <w:rPr>
                <w:rFonts w:ascii="Times New Roman" w:hAnsi="Times New Roman"/>
              </w:rPr>
              <w:t xml:space="preserve">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N 5-НКРЕКП-моніторинг-розподіл (місячна) "Звіт про обсяги розподілу електричної енергії", затвердженої </w:t>
            </w:r>
            <w:r w:rsidRPr="005A615E">
              <w:rPr>
                <w:rFonts w:ascii="Times New Roman" w:hAnsi="Times New Roman"/>
              </w:rPr>
              <w:lastRenderedPageBreak/>
              <w:t xml:space="preserve">постановою НКРЕКП від 29.03.2019 N 450 (далі - форма N 5-НКРЕКП-моніторинг-розподіл), та N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N 289 (далі - форма звітності N 1Б-ТВЕ), за три завершені річні періоди (січень - грудень), що передували прогнозному періоду, та розраховується відповідно до глави 2 цього Положення, </w:t>
            </w:r>
            <w:r w:rsidRPr="005A615E">
              <w:rPr>
                <w:rFonts w:ascii="Times New Roman" w:hAnsi="Times New Roman"/>
                <w:b/>
              </w:rPr>
              <w:t>та  у разі значного пошкодження мереж ОСР передбачити можливість використання даних за 2 роки у період воєнного стану.</w:t>
            </w:r>
          </w:p>
          <w:p w:rsidR="00CF2AC1" w:rsidRPr="005A615E" w:rsidRDefault="00CF2AC1" w:rsidP="00CF2AC1">
            <w:pPr>
              <w:pStyle w:val="western"/>
              <w:spacing w:before="0" w:beforeAutospacing="0" w:after="0" w:line="240" w:lineRule="auto"/>
              <w:ind w:firstLine="215"/>
              <w:jc w:val="both"/>
              <w:rPr>
                <w:sz w:val="22"/>
                <w:szCs w:val="22"/>
                <w:lang w:val="uk-UA"/>
              </w:rPr>
            </w:pPr>
            <w:r w:rsidRPr="005A615E">
              <w:rPr>
                <w:sz w:val="22"/>
                <w:szCs w:val="22"/>
                <w:lang w:val="uk-UA"/>
              </w:rPr>
              <w:t xml:space="preserve">Розраховане значення ЕКПТВЕ по 1 та 2 класах напруги, без урахування відповідного показника ефективності, порівнюється із відповідним середньорічним ЕКНТВЕ на </w:t>
            </w:r>
            <w:r w:rsidRPr="005A615E">
              <w:rPr>
                <w:sz w:val="22"/>
                <w:szCs w:val="22"/>
              </w:rPr>
              <w:t>II</w:t>
            </w:r>
            <w:r w:rsidRPr="005A615E">
              <w:rPr>
                <w:sz w:val="22"/>
                <w:szCs w:val="22"/>
                <w:lang w:val="uk-UA"/>
              </w:rPr>
              <w:t xml:space="preserve"> - </w:t>
            </w:r>
            <w:r w:rsidRPr="005A615E">
              <w:rPr>
                <w:sz w:val="22"/>
                <w:szCs w:val="22"/>
              </w:rPr>
              <w:t>IV</w:t>
            </w:r>
            <w:r w:rsidRPr="005A615E">
              <w:rPr>
                <w:sz w:val="22"/>
                <w:szCs w:val="22"/>
                <w:lang w:val="uk-UA"/>
              </w:rPr>
              <w:t xml:space="preserve"> квартали 2017 року та </w:t>
            </w:r>
            <w:r w:rsidRPr="005A615E">
              <w:rPr>
                <w:sz w:val="22"/>
                <w:szCs w:val="22"/>
              </w:rPr>
              <w:t>I</w:t>
            </w:r>
            <w:r w:rsidRPr="005A615E">
              <w:rPr>
                <w:sz w:val="22"/>
                <w:szCs w:val="22"/>
                <w:lang w:val="uk-UA"/>
              </w:rPr>
              <w:t xml:space="preserve"> квартал 2018 року та ЕКПТВЕ, затвердженим НКРЕКП на базовий рік, </w:t>
            </w:r>
            <w:r w:rsidRPr="005A615E">
              <w:rPr>
                <w:b/>
                <w:sz w:val="22"/>
                <w:szCs w:val="22"/>
                <w:lang w:val="uk-UA"/>
              </w:rPr>
              <w:t>за умови, що таке значення не виникло внаслідок форс-мажорних обставин, воєнних дій або аварійних режимів роботи мереж</w:t>
            </w:r>
            <w:r w:rsidRPr="005A615E">
              <w:rPr>
                <w:sz w:val="22"/>
                <w:szCs w:val="22"/>
                <w:lang w:val="uk-UA"/>
              </w:rPr>
              <w:t>.</w:t>
            </w:r>
          </w:p>
          <w:p w:rsidR="00CF2AC1" w:rsidRPr="005A615E" w:rsidRDefault="00CF2AC1" w:rsidP="00CF2AC1">
            <w:pPr>
              <w:pStyle w:val="western"/>
              <w:spacing w:before="0" w:beforeAutospacing="0" w:after="0" w:line="240" w:lineRule="auto"/>
              <w:ind w:firstLine="215"/>
              <w:jc w:val="both"/>
              <w:rPr>
                <w:sz w:val="22"/>
                <w:szCs w:val="22"/>
                <w:lang w:val="uk-UA"/>
              </w:rPr>
            </w:pPr>
            <w:r w:rsidRPr="005A615E">
              <w:rPr>
                <w:sz w:val="22"/>
                <w:szCs w:val="22"/>
                <w:lang w:val="uk-UA"/>
              </w:rPr>
              <w:t>Якщо отримане значення ЕКПТВЕ більше середньорічного ЕКНТВЕ або затвердженого ЕКПТВЕ на базовий рік, то для розрахунку ЕКПТВЕ відповідно до глави 2 цього Положення використовуються дані, що відповідають найменшому із зазначених коефіцієнтів, а саме:</w:t>
            </w:r>
          </w:p>
          <w:p w:rsidR="00CF2AC1" w:rsidRPr="005A615E" w:rsidRDefault="00CF2AC1" w:rsidP="00CF2AC1">
            <w:pPr>
              <w:pStyle w:val="western"/>
              <w:spacing w:before="0" w:beforeAutospacing="0" w:after="0" w:line="240" w:lineRule="auto"/>
              <w:ind w:firstLine="215"/>
              <w:jc w:val="both"/>
              <w:rPr>
                <w:sz w:val="22"/>
                <w:szCs w:val="22"/>
              </w:rPr>
            </w:pPr>
            <w:r w:rsidRPr="005A615E">
              <w:rPr>
                <w:sz w:val="22"/>
                <w:szCs w:val="22"/>
              </w:rPr>
              <w:t>якщо найменшим є значення середньорічного ЕКНТВЕ, то для остаточного розрахунку ЕКПТВЕ використовуються дані, що відповідають середньорічному ЕКНТВЕ,</w:t>
            </w:r>
          </w:p>
          <w:p w:rsidR="00CF2AC1" w:rsidRPr="005A615E" w:rsidRDefault="00CF2AC1" w:rsidP="00CF2AC1">
            <w:pPr>
              <w:pStyle w:val="western"/>
              <w:spacing w:before="0" w:beforeAutospacing="0" w:after="0" w:line="240" w:lineRule="auto"/>
              <w:ind w:firstLine="215"/>
              <w:jc w:val="both"/>
              <w:rPr>
                <w:sz w:val="22"/>
                <w:szCs w:val="22"/>
              </w:rPr>
            </w:pPr>
            <w:r w:rsidRPr="005A615E">
              <w:rPr>
                <w:sz w:val="22"/>
                <w:szCs w:val="22"/>
              </w:rPr>
              <w:t>якщо найменшим є значення ЕКПТВЕ, затвердженого НКРЕКП на базовий рік, то для остаточного розрахунку ЕКПТВЕ використовуються дані (із застосованими показниками ефективності базового року), що відповідають ЕКПТВЕ, затвердженому НКРЕКП на базовий рік.</w:t>
            </w:r>
          </w:p>
          <w:p w:rsidR="00CF2AC1" w:rsidRPr="005A615E" w:rsidRDefault="00CF2AC1" w:rsidP="00CF2AC1">
            <w:pPr>
              <w:pStyle w:val="western"/>
              <w:spacing w:before="0" w:beforeAutospacing="0" w:after="0" w:line="240" w:lineRule="auto"/>
              <w:ind w:firstLine="215"/>
              <w:jc w:val="both"/>
              <w:rPr>
                <w:b/>
                <w:sz w:val="22"/>
                <w:szCs w:val="22"/>
              </w:rPr>
            </w:pPr>
            <w:r w:rsidRPr="005A615E">
              <w:rPr>
                <w:sz w:val="22"/>
                <w:szCs w:val="22"/>
              </w:rPr>
              <w:lastRenderedPageBreak/>
              <w:t>Розраховані таким чином ЕКПТВЕ, крім випадків, передбачених цим Положенням, затверджуються НКРЕКП</w:t>
            </w:r>
            <w:r w:rsidRPr="005A615E">
              <w:rPr>
                <w:sz w:val="22"/>
                <w:szCs w:val="22"/>
                <w:lang w:val="uk-UA"/>
              </w:rPr>
              <w:t xml:space="preserve"> — </w:t>
            </w:r>
            <w:r w:rsidRPr="005A615E">
              <w:rPr>
                <w:b/>
                <w:sz w:val="22"/>
                <w:szCs w:val="22"/>
                <w:lang w:val="uk-UA"/>
              </w:rPr>
              <w:t>не більше 30 календарних днів</w:t>
            </w:r>
            <w:r w:rsidRPr="005A615E">
              <w:rPr>
                <w:b/>
                <w:sz w:val="22"/>
                <w:szCs w:val="22"/>
              </w:rPr>
              <w:t>.</w:t>
            </w: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Воєнні дії суттєво змінили структуру споживання та витрат електричної енергії. Дані попередніх років не відображають фактичний стан мереж ОСР.</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Під час воєнного стану та пошкодження мереж фактичні показники можуть суттєво відхилятися від нормальної роботи ОСР. Використання мінімального коефіцієнта не враховує реальну динаміку втрат електричної енергії та без урахування форс-мажору призводить до економічно необґрунтованого заниження ЕКПТВЕ.</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Відсутність чітких строків створює регуляторну невизначеність та ускладнює фінансове планування ОСР.</w:t>
            </w:r>
          </w:p>
          <w:p w:rsidR="00CF2AC1" w:rsidRPr="005A615E" w:rsidRDefault="00CF2AC1" w:rsidP="00CF2AC1">
            <w:pPr>
              <w:jc w:val="both"/>
              <w:rPr>
                <w:rFonts w:ascii="Times New Roman" w:hAnsi="Times New Roman"/>
              </w:rPr>
            </w:pPr>
          </w:p>
          <w:p w:rsidR="00CF2AC1" w:rsidRPr="005A615E" w:rsidRDefault="00CF2AC1" w:rsidP="00CF2AC1">
            <w:pPr>
              <w:spacing w:after="75" w:line="259" w:lineRule="auto"/>
              <w:ind w:firstLine="240"/>
              <w:jc w:val="both"/>
              <w:rPr>
                <w:rFonts w:ascii="Times New Roman" w:hAnsi="Times New Roman"/>
                <w:b/>
                <w:sz w:val="24"/>
                <w:u w:val="single"/>
              </w:rPr>
            </w:pPr>
            <w:r w:rsidRPr="005A615E">
              <w:rPr>
                <w:rFonts w:ascii="Times New Roman" w:hAnsi="Times New Roman"/>
                <w:b/>
                <w:sz w:val="24"/>
                <w:u w:val="single"/>
              </w:rPr>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«УКРАЇНСЬКІ РОЗПОДІЛЬНІ МЕРЕЖІ» (лист від 27.07.2026 № 27/07/26-2),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p>
          <w:p w:rsidR="00CF2AC1" w:rsidRPr="005A615E" w:rsidRDefault="00CF2AC1" w:rsidP="00CF2AC1">
            <w:pPr>
              <w:ind w:firstLine="215"/>
              <w:jc w:val="both"/>
              <w:rPr>
                <w:rFonts w:ascii="Times New Roman" w:hAnsi="Times New Roman"/>
              </w:rPr>
            </w:pPr>
            <w:r w:rsidRPr="005A615E">
              <w:rPr>
                <w:rFonts w:ascii="Times New Roman" w:hAnsi="Times New Roman"/>
              </w:rPr>
              <w:t xml:space="preserve">1.3. ЕКПТВЕ затверджується НКРЕКП на прогнозний період з урахуванням змін структури </w:t>
            </w:r>
            <w:r w:rsidRPr="005A615E">
              <w:rPr>
                <w:rFonts w:ascii="Times New Roman" w:hAnsi="Times New Roman"/>
              </w:rPr>
              <w:lastRenderedPageBreak/>
              <w:t>балансу електричної енергії, пов'язаних зі зміною правил роботи на ринку електричної енергії, на підставі усереднених даних форм звітності N 5-НКРЕКП-моніторинг-розподіл (місячна) "Звіт про обсяги розподілу електричної енергії", затвердженої постановою НКРЕКП від 29.03.2019 N 450 (далі - форма N 5-НКРЕКП-моніторинг-розподіл), та N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N 289 (далі - форма звітності N 1Б-ТВЕ), за три завершені річні періоди (січень - грудень) та розраховується відповідно до глави 2 цього Положення.</w:t>
            </w:r>
          </w:p>
          <w:p w:rsidR="00CF2AC1" w:rsidRPr="005A615E" w:rsidRDefault="00CF2AC1" w:rsidP="00CF2AC1">
            <w:pPr>
              <w:ind w:firstLine="215"/>
              <w:jc w:val="both"/>
              <w:rPr>
                <w:rFonts w:ascii="Times New Roman" w:hAnsi="Times New Roman"/>
                <w:b/>
              </w:rPr>
            </w:pPr>
            <w:r w:rsidRPr="005A615E">
              <w:rPr>
                <w:rFonts w:ascii="Times New Roman" w:hAnsi="Times New Roman"/>
                <w:b/>
              </w:rPr>
              <w:t xml:space="preserve"> Розрахунок ЕКПТВЕ на третій та наступні регуляторні періоди здійснюється з урахуванням нових усталених післявоєнних режимів роботи мереж, технічного стану мереж та структури споживання.</w:t>
            </w:r>
          </w:p>
          <w:p w:rsidR="00CF2AC1" w:rsidRPr="005A615E" w:rsidRDefault="00CF2AC1" w:rsidP="00CF2AC1">
            <w:pPr>
              <w:ind w:firstLine="215"/>
              <w:jc w:val="both"/>
              <w:rPr>
                <w:rFonts w:ascii="Times New Roman" w:hAnsi="Times New Roman"/>
              </w:rPr>
            </w:pPr>
            <w:r w:rsidRPr="005A615E">
              <w:rPr>
                <w:rFonts w:ascii="Times New Roman" w:hAnsi="Times New Roman"/>
              </w:rPr>
              <w:t xml:space="preserve">Розраховане значення ЕКПТВЕ </w:t>
            </w:r>
            <w:r w:rsidRPr="005A615E">
              <w:rPr>
                <w:rFonts w:ascii="Times New Roman" w:hAnsi="Times New Roman"/>
                <w:b/>
                <w:bCs/>
              </w:rPr>
              <w:t>(для першого та другого регуляторних періодів</w:t>
            </w:r>
            <w:r w:rsidRPr="005A615E">
              <w:rPr>
                <w:rFonts w:ascii="Times New Roman" w:hAnsi="Times New Roman"/>
              </w:rPr>
              <w:t>) по 1 та 2 класах напруги, без урахування відповідного показника ефективності, порівнюється із відповідним середньорічним ЕКНТВЕ на II - IV квартали 2017 року та I квартал 2018 року та ЕКПТВЕ, затвердженим НКРЕКП на базовий рік.</w:t>
            </w:r>
          </w:p>
          <w:p w:rsidR="00CF2AC1" w:rsidRPr="005A615E" w:rsidRDefault="00CF2AC1" w:rsidP="00CF2AC1">
            <w:pPr>
              <w:ind w:firstLine="215"/>
              <w:jc w:val="both"/>
              <w:rPr>
                <w:rFonts w:ascii="Times New Roman" w:hAnsi="Times New Roman"/>
              </w:rPr>
            </w:pPr>
            <w:r w:rsidRPr="005A615E">
              <w:rPr>
                <w:rFonts w:ascii="Times New Roman" w:hAnsi="Times New Roman"/>
              </w:rPr>
              <w:t>Якщо отримане значення ЕКПТВЕ більше середньорічного ЕКНТВЕ або затвердженого ЕКПТВЕ на базовий рік, то для розрахунку ЕКПТВЕ відповідно до глави 2 цього Положення використовуються дані, що відповідають найменшому із зазначених коефіцієнтів, а саме:</w:t>
            </w:r>
          </w:p>
          <w:p w:rsidR="00CF2AC1" w:rsidRPr="005A615E" w:rsidRDefault="00CF2AC1" w:rsidP="00CF2AC1">
            <w:pPr>
              <w:ind w:firstLine="215"/>
              <w:jc w:val="both"/>
              <w:rPr>
                <w:rFonts w:ascii="Times New Roman" w:hAnsi="Times New Roman"/>
              </w:rPr>
            </w:pPr>
            <w:r w:rsidRPr="005A615E">
              <w:rPr>
                <w:rFonts w:ascii="Times New Roman" w:hAnsi="Times New Roman"/>
              </w:rPr>
              <w:t xml:space="preserve">якщо найменшим є значення середньорічного ЕКНТВЕ, то для остаточного розрахунку ЕКПТВЕ </w:t>
            </w:r>
            <w:r w:rsidRPr="005A615E">
              <w:rPr>
                <w:rFonts w:ascii="Times New Roman" w:hAnsi="Times New Roman"/>
              </w:rPr>
              <w:lastRenderedPageBreak/>
              <w:t>використовуються дані, що відповідають середньорічному ЕКНТВЕ,</w:t>
            </w:r>
          </w:p>
          <w:p w:rsidR="00CF2AC1" w:rsidRPr="005A615E" w:rsidRDefault="00CF2AC1" w:rsidP="00CF2AC1">
            <w:pPr>
              <w:ind w:firstLine="215"/>
              <w:jc w:val="both"/>
              <w:rPr>
                <w:rFonts w:ascii="Times New Roman" w:hAnsi="Times New Roman"/>
              </w:rPr>
            </w:pPr>
            <w:r w:rsidRPr="005A615E">
              <w:rPr>
                <w:rFonts w:ascii="Times New Roman" w:hAnsi="Times New Roman"/>
              </w:rPr>
              <w:t>якщо найменшим є значення ЕКПТВЕ, затвердженого НКРЕКП на базовий рік, то для остаточного розрахунку ЕКПТВЕ використовуються дані (із застосованими показниками ефективності базового року), що відповідають ЕКПТВЕ, затвердженому НКРЕКП на базовий рік.</w:t>
            </w:r>
          </w:p>
          <w:p w:rsidR="00CF2AC1" w:rsidRPr="005A615E" w:rsidRDefault="00CF2AC1" w:rsidP="00CF2AC1">
            <w:pPr>
              <w:ind w:firstLine="215"/>
              <w:jc w:val="both"/>
              <w:rPr>
                <w:rFonts w:ascii="Times New Roman" w:hAnsi="Times New Roman"/>
              </w:rPr>
            </w:pPr>
            <w:r w:rsidRPr="005A615E">
              <w:rPr>
                <w:rFonts w:ascii="Times New Roman" w:hAnsi="Times New Roman"/>
              </w:rPr>
              <w:t>Розраховані таким чином ЕКПТВЕ, крім випадків, передбачених цим Положенням, затверджуються НКРЕКП.</w:t>
            </w:r>
          </w:p>
          <w:p w:rsidR="00CF2AC1" w:rsidRPr="005A615E" w:rsidRDefault="00CF2AC1" w:rsidP="00CF2AC1">
            <w:pPr>
              <w:ind w:firstLine="215"/>
              <w:jc w:val="both"/>
              <w:rPr>
                <w:rFonts w:ascii="Times New Roman" w:hAnsi="Times New Roman"/>
              </w:rPr>
            </w:pPr>
            <w:r w:rsidRPr="005A615E">
              <w:rPr>
                <w:rFonts w:ascii="Times New Roman" w:hAnsi="Times New Roman"/>
              </w:rPr>
              <w:t>Для операторів систем розподілу, які не переходять на стимулююче регулювання, ЕКПТВЕ затверджуються на прогнозний період.</w:t>
            </w:r>
          </w:p>
          <w:p w:rsidR="00CF2AC1" w:rsidRPr="005A615E" w:rsidRDefault="00CF2AC1" w:rsidP="00CF2AC1">
            <w:pPr>
              <w:ind w:firstLine="215"/>
              <w:jc w:val="both"/>
              <w:rPr>
                <w:rFonts w:ascii="Times New Roman" w:hAnsi="Times New Roman"/>
                <w:b/>
              </w:rPr>
            </w:pPr>
            <w:r w:rsidRPr="005A615E">
              <w:rPr>
                <w:rFonts w:ascii="Times New Roman" w:hAnsi="Times New Roman"/>
                <w:b/>
              </w:rPr>
              <w:t>Для операторів систем розподілу, які переходять/перейшли на стимулююче регулювання, розраховані НКРЕКП ЕКПТВЕ для регуляторного періоду в цілому у розрізі років, затверджуються перед початком першого та наступних регуляторних періодів.</w:t>
            </w:r>
          </w:p>
          <w:p w:rsidR="00CF2AC1" w:rsidRPr="005A615E" w:rsidRDefault="00CF2AC1" w:rsidP="00CF2AC1">
            <w:pPr>
              <w:ind w:firstLine="215"/>
              <w:jc w:val="both"/>
              <w:rPr>
                <w:rFonts w:ascii="Times New Roman" w:hAnsi="Times New Roman"/>
              </w:rPr>
            </w:pPr>
            <w:r w:rsidRPr="005A615E">
              <w:rPr>
                <w:rFonts w:ascii="Times New Roman" w:hAnsi="Times New Roman"/>
                <w:b/>
              </w:rPr>
              <w:t xml:space="preserve">Для операторів систем розподілу, які перейшли </w:t>
            </w:r>
            <w:r w:rsidRPr="005A615E">
              <w:rPr>
                <w:rFonts w:ascii="Times New Roman" w:hAnsi="Times New Roman"/>
                <w:b/>
                <w:u w:val="single"/>
              </w:rPr>
              <w:t>на другий регуляторний період, при розрахунку ЕКПТВЕ використовуються дані, що застосовувалися для розрахунку ЕКПТВЕ на перший регуляторний період</w:t>
            </w:r>
            <w:r w:rsidRPr="005A615E">
              <w:rPr>
                <w:rFonts w:ascii="Times New Roman" w:hAnsi="Times New Roman"/>
                <w:b/>
              </w:rPr>
              <w:t>, з урахуванням застосованих до них показників ефективності в регуляторних періодах.</w:t>
            </w:r>
          </w:p>
          <w:p w:rsidR="00CF2AC1" w:rsidRPr="005A615E" w:rsidRDefault="00CF2AC1" w:rsidP="00CF2AC1">
            <w:pPr>
              <w:rPr>
                <w:b/>
                <w:i/>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pacing w:after="120"/>
              <w:jc w:val="both"/>
              <w:rPr>
                <w:rFonts w:ascii="Times New Roman" w:hAnsi="Times New Roman"/>
              </w:rPr>
            </w:pPr>
            <w:r w:rsidRPr="005A615E">
              <w:rPr>
                <w:rFonts w:ascii="Times New Roman" w:hAnsi="Times New Roman"/>
              </w:rPr>
              <w:t xml:space="preserve">Пропонується застосовувати зазначений підхід для визначення ЕКПТВЕ на 1 та 2-ій регуляторні періоди. За результатами закінчення воєнних дій, пропонується розраховувати ЕКПТВЕ з урахуванням нових усталених післявоєнних режимів роботи мереж та </w:t>
            </w:r>
            <w:r w:rsidRPr="005A615E">
              <w:rPr>
                <w:rFonts w:ascii="Times New Roman" w:hAnsi="Times New Roman"/>
              </w:rPr>
              <w:lastRenderedPageBreak/>
              <w:t>структури споживання. Також врахувати редакційне уточнення запропонованого НКРЕКП підходу.</w:t>
            </w: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«ЧЕРНІГІВОБЛЕНЕРГО» (лист від 24.07.2026 № 49/9422/01-14)</w:t>
            </w:r>
          </w:p>
          <w:p w:rsidR="00CF2AC1" w:rsidRPr="005A615E" w:rsidRDefault="00CF2AC1" w:rsidP="00CF2AC1">
            <w:pPr>
              <w:jc w:val="both"/>
              <w:rPr>
                <w:rFonts w:ascii="Times New Roman" w:hAnsi="Times New Roman"/>
              </w:rPr>
            </w:pPr>
            <w:r w:rsidRPr="005A615E">
              <w:rPr>
                <w:rFonts w:ascii="Times New Roman" w:hAnsi="Times New Roman"/>
              </w:rPr>
              <w:t xml:space="preserve">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 5-НКРЕКП-моніторинг-розподіл (місячна) «Звіт про обсяги розподілу електричної енергії», затвердженої постановою НКРЕКП від 29.03.2019 № 450 (далі – форма № 5-НКРЕКП-моніторинг-розподіл), та №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 289 (далі – форма звітності №1Б-ТВЕ), за три завершені річні періоди (січень – грудень), що передували прогнозному періоду, та розраховується відповідно до глави 2 цього Положення. </w:t>
            </w:r>
          </w:p>
          <w:p w:rsidR="00CF2AC1" w:rsidRPr="005A615E" w:rsidRDefault="00CF2AC1" w:rsidP="00CF2AC1">
            <w:pPr>
              <w:jc w:val="both"/>
              <w:rPr>
                <w:rFonts w:ascii="Times New Roman" w:hAnsi="Times New Roman"/>
              </w:rPr>
            </w:pPr>
            <w:r w:rsidRPr="005A615E">
              <w:rPr>
                <w:rFonts w:ascii="Times New Roman" w:hAnsi="Times New Roman"/>
                <w:b/>
                <w:bCs/>
              </w:rPr>
              <w:t xml:space="preserve">Для операторів систем розподілу,  які перейшли на стимулююче регулювання, на перший  регуляторний період </w:t>
            </w:r>
            <w:r w:rsidRPr="005A615E">
              <w:rPr>
                <w:rFonts w:ascii="Times New Roman" w:hAnsi="Times New Roman"/>
              </w:rPr>
              <w:t xml:space="preserve">розраховане значення ЕКПТВЕ по 1 та 2 класах напруги, без урахування відповідного показника ефективності, порівнюється із відповідним середньорічним ЕКНТВЕ на II-IV квартали 2017 року та I квартал 2018 року та ЕКПТВЕ, затвердженим НКРЕКП на базовий рік. Якщо отримане значення ЕКПТВЕ більше середньорічного ЕКНТВЕ або ЕКПТВЕ, то для розрахунку ЕКПТВЕ відповідно до глави 2 цього Положення використовуються дані, що відповідають найменшому із зазначених коефіцієнтів, а саме: </w:t>
            </w:r>
          </w:p>
          <w:p w:rsidR="00CF2AC1" w:rsidRPr="005A615E" w:rsidRDefault="00CF2AC1" w:rsidP="00CF2AC1">
            <w:pPr>
              <w:jc w:val="both"/>
              <w:rPr>
                <w:rFonts w:ascii="Times New Roman" w:hAnsi="Times New Roman"/>
              </w:rPr>
            </w:pPr>
            <w:r w:rsidRPr="005A615E">
              <w:rPr>
                <w:rFonts w:ascii="Times New Roman" w:hAnsi="Times New Roman"/>
              </w:rPr>
              <w:lastRenderedPageBreak/>
              <w:t xml:space="preserve">якщо найменшим є значення середньорічного ЕКНТВЕ, то для остаточного розрахунку ЕКПТВЕ використовуються дані, що відповідають середньорічному ЕКНТВЕ, якщо найменшим є значення ЕКПТВЕ, затвердженого НКРЕКП на базовий рік, то для остаточного розрахунку ЕКПТВЕ використовуються дані (із застосованими показниками ефективності базового року), що відповідають ЕКПТВЕ, затвердженому НКРЕКП на базовий рік. </w:t>
            </w:r>
          </w:p>
          <w:p w:rsidR="00CF2AC1" w:rsidRPr="005A615E" w:rsidRDefault="00CF2AC1" w:rsidP="00CF2AC1">
            <w:pPr>
              <w:jc w:val="both"/>
              <w:rPr>
                <w:rFonts w:ascii="Times New Roman" w:hAnsi="Times New Roman"/>
              </w:rPr>
            </w:pPr>
            <w:r w:rsidRPr="005A615E">
              <w:rPr>
                <w:rFonts w:ascii="Times New Roman" w:hAnsi="Times New Roman"/>
              </w:rPr>
              <w:t xml:space="preserve">Розраховані таким чином ЕКПТВЕ, крім випадків, передбачених цим Положенням, затверджуються НКРЕКП. </w:t>
            </w:r>
          </w:p>
          <w:p w:rsidR="00CF2AC1" w:rsidRPr="005A615E" w:rsidRDefault="00CF2AC1" w:rsidP="00CF2AC1">
            <w:pPr>
              <w:jc w:val="both"/>
              <w:rPr>
                <w:rFonts w:ascii="Times New Roman" w:hAnsi="Times New Roman"/>
              </w:rPr>
            </w:pPr>
            <w:r w:rsidRPr="005A615E">
              <w:rPr>
                <w:rFonts w:ascii="Times New Roman" w:hAnsi="Times New Roman"/>
              </w:rPr>
              <w:t>Для операторів систем розподілу, які не переходять на стимулююче регулювання, ЕКПТВЕ затверджуються на прогнозний період.</w:t>
            </w:r>
          </w:p>
          <w:p w:rsidR="00CF2AC1" w:rsidRPr="005A615E" w:rsidRDefault="00CF2AC1" w:rsidP="00CF2AC1">
            <w:pPr>
              <w:keepNext/>
              <w:keepLines/>
              <w:jc w:val="both"/>
              <w:outlineLvl w:val="0"/>
              <w:rPr>
                <w:rFonts w:ascii="Times New Roman" w:hAnsi="Times New Roman"/>
              </w:rPr>
            </w:pPr>
            <w:r w:rsidRPr="005A615E">
              <w:rPr>
                <w:rFonts w:ascii="Times New Roman" w:hAnsi="Times New Roman"/>
              </w:rPr>
              <w:t>Для операторів систем розподілу, які переходять/перейшли на стимулююче регулювання, розраховані НКРЕКП ЕКПТВЕ для регуляторного періоду в цілому у розрізі років, затверджуються перед початком першого та наступних регуляторних періодів.</w:t>
            </w:r>
          </w:p>
          <w:p w:rsidR="00CF2AC1" w:rsidRPr="005A615E" w:rsidRDefault="00CF2AC1" w:rsidP="00CF2AC1">
            <w:pPr>
              <w:spacing w:after="120"/>
              <w:jc w:val="both"/>
              <w:rPr>
                <w:rFonts w:ascii="Times New Roman" w:hAnsi="Times New Roman"/>
              </w:rPr>
            </w:pPr>
            <w:r w:rsidRPr="005A615E">
              <w:rPr>
                <w:rFonts w:ascii="Times New Roman" w:hAnsi="Times New Roman"/>
              </w:rPr>
              <w:t xml:space="preserve"> Для операторів систем розподілу, які перейшли на стимулююче регулювання, на другий та наступні регуляторні періоди, при розрахунку ЕКПТВЕ використовуються дані першого регуляторного періоду з урахуванням застосованих до них показників ефективності в регуляторних періодах.»;</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Для уникнення подвійного тлумачення підходу для розрахунку ЕКПТВЕ.</w:t>
            </w:r>
          </w:p>
          <w:p w:rsidR="00CF2AC1" w:rsidRPr="005A615E" w:rsidRDefault="00CF2AC1" w:rsidP="00CF2AC1">
            <w:pPr>
              <w:rPr>
                <w:rFonts w:ascii="Times New Roman" w:hAnsi="Times New Roman"/>
                <w:b/>
                <w:sz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«Харківобленерго» (лист від 27.07.2026 № 02-34/7102)</w:t>
            </w:r>
          </w:p>
          <w:p w:rsidR="00CF2AC1" w:rsidRPr="005A615E" w:rsidRDefault="00CF2AC1" w:rsidP="00CF2AC1">
            <w:pPr>
              <w:ind w:firstLine="215"/>
              <w:jc w:val="both"/>
              <w:rPr>
                <w:rFonts w:ascii="Times New Roman" w:hAnsi="Times New Roman"/>
              </w:rPr>
            </w:pPr>
            <w:r w:rsidRPr="005A615E">
              <w:rPr>
                <w:rFonts w:ascii="Times New Roman" w:hAnsi="Times New Roman"/>
              </w:rPr>
              <w:t xml:space="preserve">1.3. ЕКПТВЕ затверджується НКРЕКП на прогнозний період з урахуванням змін структури </w:t>
            </w:r>
            <w:r w:rsidRPr="005A615E">
              <w:rPr>
                <w:rFonts w:ascii="Times New Roman" w:hAnsi="Times New Roman"/>
              </w:rPr>
              <w:lastRenderedPageBreak/>
              <w:t>балансу електричної енергії, пов'язаних зі зміною правил роботи на ринку електричної енергії, на підставі усереднених даних форм звітності N 5-НКРЕКП-моніторинг-розподіл (місячна) "Звіт про обсяги розподілу електричної енергії", затвердженої постановою НКРЕКП від 29.03.2019 N 450 (далі - форма N 5-НКРЕКП-моніторинг-розподіл), та N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N 289 (далі - форма звітності N 1Б-ТВЕ), за три завершені річні періоди (січень - грудень) та розраховується відповідно до глави 2 цього Положення.</w:t>
            </w:r>
          </w:p>
          <w:p w:rsidR="00CF2AC1" w:rsidRPr="005A615E" w:rsidRDefault="00CF2AC1" w:rsidP="00CF2AC1">
            <w:pPr>
              <w:ind w:firstLine="216"/>
              <w:jc w:val="both"/>
              <w:rPr>
                <w:rFonts w:ascii="Times New Roman" w:hAnsi="Times New Roman"/>
                <w:b/>
                <w:bCs/>
                <w:i/>
                <w:iCs/>
                <w:strike/>
              </w:rPr>
            </w:pPr>
            <w:r w:rsidRPr="005A615E">
              <w:rPr>
                <w:rFonts w:ascii="Times New Roman" w:hAnsi="Times New Roman"/>
                <w:b/>
                <w:bCs/>
                <w:i/>
                <w:iCs/>
                <w:strike/>
              </w:rPr>
              <w:t>Розраховане значення ЕКПТВЕ по 1 та 2 класах напруги, без урахування відповідного показника ефективності, порівнюється із відповідним середньорічним ЕКНТВЕ на II - IV квартали 2017 року та I квартал 2018 року та ЕКПТВЕ, затвердженим НКРЕКП на базовий рік.</w:t>
            </w:r>
          </w:p>
          <w:p w:rsidR="00CF2AC1" w:rsidRPr="005A615E" w:rsidRDefault="00CF2AC1" w:rsidP="00CF2AC1">
            <w:pPr>
              <w:ind w:firstLine="216"/>
              <w:jc w:val="both"/>
              <w:rPr>
                <w:rFonts w:ascii="Times New Roman" w:hAnsi="Times New Roman"/>
                <w:b/>
                <w:bCs/>
                <w:i/>
                <w:iCs/>
                <w:strike/>
              </w:rPr>
            </w:pPr>
            <w:r w:rsidRPr="005A615E">
              <w:rPr>
                <w:rFonts w:ascii="Times New Roman" w:hAnsi="Times New Roman"/>
                <w:b/>
                <w:bCs/>
                <w:i/>
                <w:iCs/>
                <w:strike/>
              </w:rPr>
              <w:t>Якщо отримане значення ЕКПТВЕ більше середньорічного ЕКНТВЕ або затвердженого ЕКПТВЕ на базовий рік, то для розрахунку ЕКПТВЕ відповідно до глави 2 цього Положення використовуються дані, що відповідають найменшому із зазначених коефіцієнтів, а саме:</w:t>
            </w:r>
          </w:p>
          <w:p w:rsidR="00CF2AC1" w:rsidRPr="005A615E" w:rsidRDefault="00CF2AC1" w:rsidP="00CF2AC1">
            <w:pPr>
              <w:ind w:firstLine="216"/>
              <w:jc w:val="both"/>
              <w:rPr>
                <w:rFonts w:ascii="Times New Roman" w:hAnsi="Times New Roman"/>
                <w:b/>
                <w:i/>
                <w:iCs/>
              </w:rPr>
            </w:pPr>
            <w:r w:rsidRPr="005A615E">
              <w:rPr>
                <w:rFonts w:ascii="Times New Roman" w:hAnsi="Times New Roman"/>
                <w:b/>
                <w:bCs/>
                <w:i/>
                <w:iCs/>
                <w:strike/>
              </w:rPr>
              <w:t xml:space="preserve">якщо найменшим є значення середньорічного ЕКНТВЕ, то для остаточного розрахунку ЕКПТВЕ використовуються дані, що відповідають середньорічному ЕКНТВЕ, якщо найменшим є значення ЕКПТВЕ, затвердженого НКРЕКП на базовий рік, то для остаточного розрахунку ЕКПТВЕ використовуються дані (із застосованими показниками ефективності базового року), що </w:t>
            </w:r>
            <w:r w:rsidRPr="005A615E">
              <w:rPr>
                <w:rFonts w:ascii="Times New Roman" w:hAnsi="Times New Roman"/>
                <w:b/>
                <w:bCs/>
                <w:i/>
                <w:iCs/>
                <w:strike/>
              </w:rPr>
              <w:lastRenderedPageBreak/>
              <w:t xml:space="preserve">відповідають ЕКПТВЕ, затвердженому НКРЕКП на базовий рік. </w:t>
            </w:r>
            <w:r w:rsidRPr="005A615E">
              <w:rPr>
                <w:rFonts w:ascii="Times New Roman" w:hAnsi="Times New Roman"/>
                <w:b/>
                <w:i/>
                <w:iCs/>
              </w:rPr>
              <w:t xml:space="preserve"> </w:t>
            </w:r>
          </w:p>
          <w:p w:rsidR="00CF2AC1" w:rsidRPr="005A615E" w:rsidRDefault="00CF2AC1" w:rsidP="00CF2AC1">
            <w:pPr>
              <w:ind w:firstLine="216"/>
              <w:jc w:val="both"/>
              <w:rPr>
                <w:rFonts w:ascii="Times New Roman" w:hAnsi="Times New Roman"/>
              </w:rPr>
            </w:pPr>
            <w:r w:rsidRPr="005A615E">
              <w:rPr>
                <w:rFonts w:ascii="Times New Roman" w:hAnsi="Times New Roman"/>
              </w:rPr>
              <w:t>Розраховані таким чином ЕКПТВЕ, крім випадків, передбачених цим Положенням, затверджуються НКРЕКП.</w:t>
            </w:r>
          </w:p>
          <w:p w:rsidR="00CF2AC1" w:rsidRPr="005A615E" w:rsidRDefault="00CF2AC1" w:rsidP="00CF2AC1">
            <w:pPr>
              <w:ind w:firstLine="216"/>
              <w:jc w:val="both"/>
              <w:rPr>
                <w:rFonts w:ascii="Times New Roman" w:hAnsi="Times New Roman"/>
              </w:rPr>
            </w:pPr>
            <w:r w:rsidRPr="005A615E">
              <w:rPr>
                <w:rFonts w:ascii="Times New Roman" w:hAnsi="Times New Roman"/>
              </w:rPr>
              <w:t>Для операторів систем розподілу, які не переходять на стимулююче регулювання, ЕКПТВЕ затверджуються на прогнозний період.</w:t>
            </w:r>
          </w:p>
          <w:p w:rsidR="00CF2AC1" w:rsidRPr="005A615E" w:rsidRDefault="00CF2AC1" w:rsidP="00CF2AC1">
            <w:pPr>
              <w:ind w:firstLine="216"/>
              <w:jc w:val="both"/>
              <w:rPr>
                <w:rFonts w:ascii="Times New Roman" w:hAnsi="Times New Roman"/>
              </w:rPr>
            </w:pPr>
            <w:r w:rsidRPr="005A615E">
              <w:rPr>
                <w:rFonts w:ascii="Times New Roman" w:hAnsi="Times New Roman"/>
              </w:rPr>
              <w:t>Для операторів систем розподілу, які переходять/перейшли на стимулююче регулювання, розраховані НКРЕКП ЕКПТВЕ для регуляторного періоду в цілому у розрізі років, затверджуються перед початком першого та наступних регуляторних періодів.</w:t>
            </w:r>
          </w:p>
          <w:p w:rsidR="00CF2AC1" w:rsidRPr="005A615E" w:rsidRDefault="00CF2AC1" w:rsidP="00CF2AC1">
            <w:pPr>
              <w:jc w:val="both"/>
              <w:rPr>
                <w:rFonts w:ascii="Times New Roman" w:hAnsi="Times New Roman"/>
                <w:b/>
              </w:rPr>
            </w:pPr>
            <w:r w:rsidRPr="005A615E">
              <w:rPr>
                <w:rFonts w:ascii="Times New Roman" w:hAnsi="Times New Roman"/>
                <w:b/>
                <w:i/>
                <w:iCs/>
                <w:strike/>
              </w:rPr>
              <w:t>Для операторів систем розподілу, які перейшли на стимулююче регулювання, на другий та наступні регуляторні періоди, при розрахунку ЕКПТВЕ використовуються дані першого регуляторного періоду з урахуванням застосованих до них показників ефективності в регуляторних періодах</w:t>
            </w:r>
            <w:r w:rsidRPr="005A615E">
              <w:rPr>
                <w:rFonts w:ascii="Times New Roman" w:hAnsi="Times New Roman"/>
                <w:b/>
              </w:rPr>
              <w:t xml:space="preserve">. </w:t>
            </w:r>
          </w:p>
          <w:p w:rsidR="00CF2AC1" w:rsidRPr="005A615E" w:rsidRDefault="00CF2AC1" w:rsidP="00CF2AC1">
            <w:pPr>
              <w:rPr>
                <w:b/>
                <w:i/>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pacing w:after="120"/>
              <w:jc w:val="both"/>
              <w:rPr>
                <w:rFonts w:ascii="Times New Roman" w:hAnsi="Times New Roman"/>
                <w:shd w:val="clear" w:color="auto" w:fill="FFFFFF"/>
              </w:rPr>
            </w:pPr>
            <w:r w:rsidRPr="005A615E">
              <w:rPr>
                <w:rFonts w:ascii="Times New Roman" w:hAnsi="Times New Roman"/>
              </w:rPr>
              <w:t xml:space="preserve">Пропонується застосовувати зазначений підхід для визначення ЕКПТВЕ на 1 та 2-ій регуляторні періоди. За результатами закінчення воєнних дій, пропонується розраховувати ЕКПТВЕ з урахуванням нових усталених післявоєнних режимів роботи мереж та структури споживання.    </w:t>
            </w:r>
            <w:r w:rsidRPr="005A615E">
              <w:rPr>
                <w:rFonts w:ascii="Times New Roman" w:hAnsi="Times New Roman"/>
                <w:shd w:val="clear" w:color="auto" w:fill="FFFFFF"/>
              </w:rPr>
              <w:t xml:space="preserve">Воєнні дії суттєво змінили структуру споживання та витрат електричної енергії. Дані попередніх років не відображають фактичний стан мереж ОСР.    Під час воєнного стану та пошкодження мереж фактичні показники можуть суттєво відхилятися від нормальної роботи ОСР. Використання мінімального коефіцієнта не враховує реальну динаміку втрат електричної енергії та без </w:t>
            </w:r>
            <w:r w:rsidRPr="005A615E">
              <w:rPr>
                <w:rFonts w:ascii="Times New Roman" w:hAnsi="Times New Roman"/>
                <w:shd w:val="clear" w:color="auto" w:fill="FFFFFF"/>
              </w:rPr>
              <w:lastRenderedPageBreak/>
              <w:t>урахування форс-мажору призводить до економічно необґрунтованого заниження ЕКПТВЕ.</w:t>
            </w: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«Кіровоградобленерго» (лист від 27.07.2026  № 3919/05/34)</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spacing w:after="120"/>
              <w:ind w:firstLine="216"/>
              <w:jc w:val="both"/>
              <w:rPr>
                <w:rFonts w:ascii="Times New Roman" w:hAnsi="Times New Roman"/>
              </w:rPr>
            </w:pPr>
            <w:r w:rsidRPr="005A615E">
              <w:rPr>
                <w:rFonts w:ascii="Times New Roman" w:hAnsi="Times New Roman"/>
              </w:rPr>
              <w:t>Для операторів систем розподілу, які переходять/перейшли на стимулююче регулювання, розраховані НКРЕКП ЕКПТВЕ для регуляторного періоду в цілому у розрізі років, затверджуються перед початком першого та наступних регуляторних періодів.</w:t>
            </w:r>
          </w:p>
          <w:p w:rsidR="00CF2AC1" w:rsidRPr="005A615E" w:rsidRDefault="00CF2AC1" w:rsidP="00CF2AC1">
            <w:pPr>
              <w:jc w:val="both"/>
              <w:rPr>
                <w:rFonts w:ascii="Times New Roman" w:hAnsi="Times New Roman"/>
              </w:rPr>
            </w:pPr>
            <w:r w:rsidRPr="005A615E">
              <w:rPr>
                <w:rFonts w:ascii="Times New Roman" w:hAnsi="Times New Roman"/>
              </w:rPr>
              <w:t>Для операторів систем розподілу, які перейшли на стимулююче регулювання, на другий та наступні регуляторні періоди, при розрахунку ЕКПТВЕ використовуються дані, що відповідають ЕКПТВЕ, затвердженому НКРЕКП на останній рік першого регуляторного періоду з урахуванням застосованих до них показників ефективності в другому та наступних регуляторних періодах.</w:t>
            </w:r>
          </w:p>
          <w:p w:rsidR="00CF2AC1" w:rsidRPr="005A615E" w:rsidRDefault="00CF2AC1" w:rsidP="00CF2AC1">
            <w:pPr>
              <w:rPr>
                <w:b/>
                <w:i/>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Формулювання «дані першого регуляторного періоду», наведене в абзаці 9 пункту 1.3 проєкту постанови НКРЕКП, є неоднозначним, оскільки з нього незрозуміло, про які саме дані йдеться – про фактичні усереднені дані форм звітності за минулі роки протягом першого регуляторного періоду чи про затверджені коефіцієнти ЕКПТВЕ на роки першого регуляторного періоду. Для усунення ризику подвійного трактування це поняття потребує чіткого визначення.</w:t>
            </w:r>
          </w:p>
          <w:p w:rsidR="00CF2AC1" w:rsidRPr="005A615E" w:rsidRDefault="00CF2AC1" w:rsidP="00CF2AC1">
            <w:pPr>
              <w:jc w:val="both"/>
              <w:rPr>
                <w:rFonts w:ascii="Times New Roman" w:hAnsi="Times New Roman"/>
              </w:rPr>
            </w:pPr>
            <w:r w:rsidRPr="005A615E">
              <w:rPr>
                <w:rFonts w:ascii="Times New Roman" w:hAnsi="Times New Roman"/>
              </w:rPr>
              <w:t xml:space="preserve">Зважаючи на комплексний підхід НКРЕКП до механізму стимулюючого регулювання, разом із внесенням змін постанови НКРЕКП від 27.07.2017 № </w:t>
            </w:r>
            <w:r w:rsidRPr="005A615E">
              <w:rPr>
                <w:rFonts w:ascii="Times New Roman" w:hAnsi="Times New Roman"/>
              </w:rPr>
              <w:lastRenderedPageBreak/>
              <w:t>981 передбачається синхронне внесення змін і до низки інших нормативно-правових актів НКРЕКП (зокрема внесення змін до постанови НКРЕКП від 05.10.2018 № 1175 щодо додаткового врахування 50 % величини сумарного обґрунтованого за результатами заходів контролю обсягу понаднормативних ТВЕ в мережах 1 та 2 класів напруги за рік t-2). Пропозиції щодо застосування величини частки від обсягу понаднормативних ТВЕ та зауваження щодо застосування термінології наведено нижче (в частині обґрунтувань щодо внесення змін до пунктів 5.3 та 7.22 постанови НКРЕКП від 05.10.2018 № 1175).</w:t>
            </w:r>
          </w:p>
          <w:p w:rsidR="00CF2AC1" w:rsidRPr="005A615E" w:rsidRDefault="00CF2AC1" w:rsidP="00CF2AC1">
            <w:pPr>
              <w:jc w:val="both"/>
              <w:rPr>
                <w:rFonts w:ascii="Times New Roman" w:hAnsi="Times New Roman"/>
              </w:rPr>
            </w:pPr>
            <w:r w:rsidRPr="005A615E">
              <w:rPr>
                <w:rFonts w:ascii="Times New Roman" w:hAnsi="Times New Roman"/>
              </w:rPr>
              <w:t xml:space="preserve">З огляду на це вбачається, що у формулюванні «дані першого регуляторного періоду» мова йде не про фактичні усереднені дані форм звітності за минулі роки, а саме про затверджені коефіцієнти ЕКПТВЕ. </w:t>
            </w:r>
          </w:p>
          <w:p w:rsidR="00CF2AC1" w:rsidRPr="005A615E" w:rsidRDefault="00CF2AC1" w:rsidP="00CF2AC1">
            <w:pPr>
              <w:jc w:val="both"/>
              <w:rPr>
                <w:rFonts w:ascii="Times New Roman" w:hAnsi="Times New Roman"/>
              </w:rPr>
            </w:pPr>
            <w:r w:rsidRPr="005A615E">
              <w:rPr>
                <w:rFonts w:ascii="Times New Roman" w:hAnsi="Times New Roman"/>
              </w:rPr>
              <w:t>У запропонованій Товариством редакції  застосовується термінологія, яка вже міститься в чинному Положенні (абзац 5 пункту 1.3: «… використовуються дані, що відповідають ЕКПТВЕ, затвердженому НКРЕКП…»). Це дозволить зберегти єдиний та зрозумілий підхід у межах одного документа.</w:t>
            </w:r>
          </w:p>
          <w:p w:rsidR="00CF2AC1" w:rsidRPr="005A615E" w:rsidRDefault="00CF2AC1" w:rsidP="00CF2AC1">
            <w:pPr>
              <w:jc w:val="both"/>
              <w:rPr>
                <w:rFonts w:ascii="Times New Roman" w:hAnsi="Times New Roman"/>
              </w:rPr>
            </w:pPr>
            <w:r w:rsidRPr="005A615E">
              <w:rPr>
                <w:rFonts w:ascii="Times New Roman" w:hAnsi="Times New Roman"/>
              </w:rPr>
              <w:t>Також слід зазначити, шо базою для розрахунку на другий регуляторний період має слугувати рівень ЕКПТВЕ, досягнутий на останній рік першого регуляторного періоду (в якому вже враховано попередні вимоги щодо зниження втрат). І саме до цього значення мають послідовно застосовуватися нові показники ефективності для наступних років.</w:t>
            </w:r>
          </w:p>
          <w:p w:rsidR="00CF2AC1" w:rsidRPr="005A615E" w:rsidRDefault="00CF2AC1" w:rsidP="00CF2AC1">
            <w:pPr>
              <w:jc w:val="both"/>
              <w:rPr>
                <w:rFonts w:ascii="Times New Roman" w:hAnsi="Times New Roman"/>
                <w:sz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«Прикарпаттяобленерго» (лист </w:t>
            </w:r>
            <w:r w:rsidRPr="005A615E">
              <w:rPr>
                <w:rFonts w:ascii="Times New Roman" w:hAnsi="Times New Roman"/>
                <w:b/>
                <w:sz w:val="24"/>
                <w:u w:val="single"/>
              </w:rPr>
              <w:br/>
              <w:t>від 27.07.2026 № 50012257/12)</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jc w:val="both"/>
              <w:rPr>
                <w:rFonts w:ascii="Times New Roman" w:hAnsi="Times New Roman"/>
              </w:rPr>
            </w:pPr>
            <w:r w:rsidRPr="005A615E">
              <w:rPr>
                <w:rFonts w:ascii="Times New Roman" w:hAnsi="Times New Roman"/>
              </w:rPr>
              <w:lastRenderedPageBreak/>
              <w:t>Для операторів систем розподілу, які перейшли на стимулююче регулювання, на другий та наступні регуляторні періоди, при розрахунку ЕКПТВЕ використовуються затверджені коефіцієнти ЕКПТВЕ, останнього року попереднього  регуляторного періоду, з урахуванням застосованих до них показників ефективності в регуляторних періодах.</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Уточнення з метою уникнення двозначного трактування.</w:t>
            </w:r>
          </w:p>
          <w:p w:rsidR="00CF2AC1" w:rsidRPr="005A615E" w:rsidRDefault="00CF2AC1" w:rsidP="00CF2AC1">
            <w:pPr>
              <w:jc w:val="both"/>
              <w:rPr>
                <w:rFonts w:ascii="Times New Roman" w:hAnsi="Times New Roman"/>
              </w:rPr>
            </w:pPr>
          </w:p>
          <w:p w:rsidR="00CF2AC1" w:rsidRPr="005A615E" w:rsidRDefault="00CF2AC1" w:rsidP="00CF2AC1">
            <w:pPr>
              <w:ind w:firstLine="308"/>
              <w:jc w:val="both"/>
              <w:rPr>
                <w:rFonts w:ascii="Times New Roman" w:hAnsi="Times New Roman"/>
                <w:b/>
                <w:sz w:val="24"/>
                <w:szCs w:val="24"/>
                <w:u w:val="single"/>
              </w:rPr>
            </w:pPr>
            <w:r w:rsidRPr="005A615E">
              <w:rPr>
                <w:rFonts w:ascii="Times New Roman" w:hAnsi="Times New Roman"/>
                <w:b/>
                <w:bCs/>
                <w:sz w:val="24"/>
                <w:szCs w:val="24"/>
                <w:u w:val="single"/>
              </w:rPr>
              <w:t xml:space="preserve">АТ «СУМИОБЛЕНЕРГО» </w:t>
            </w:r>
            <w:r w:rsidRPr="005A615E">
              <w:rPr>
                <w:rFonts w:ascii="Times New Roman" w:hAnsi="Times New Roman"/>
                <w:b/>
                <w:sz w:val="24"/>
                <w:szCs w:val="24"/>
                <w:u w:val="single"/>
              </w:rPr>
              <w:t>(лист від 27.07.2026  № 28/10407)</w:t>
            </w:r>
          </w:p>
          <w:p w:rsidR="00CF2AC1" w:rsidRPr="005A615E" w:rsidRDefault="00CF2AC1" w:rsidP="00CF2AC1">
            <w:pPr>
              <w:ind w:firstLine="308"/>
              <w:jc w:val="both"/>
              <w:rPr>
                <w:rFonts w:ascii="Times New Roman" w:hAnsi="Times New Roman"/>
                <w:sz w:val="24"/>
                <w:szCs w:val="24"/>
              </w:rPr>
            </w:pPr>
            <w:r w:rsidRPr="005A615E">
              <w:rPr>
                <w:rFonts w:ascii="Times New Roman" w:hAnsi="Times New Roman"/>
                <w:sz w:val="24"/>
                <w:szCs w:val="24"/>
              </w:rPr>
              <w:t>…</w:t>
            </w:r>
          </w:p>
          <w:p w:rsidR="00CF2AC1" w:rsidRPr="005A615E" w:rsidRDefault="00CF2AC1" w:rsidP="00CF2AC1">
            <w:pPr>
              <w:ind w:firstLine="308"/>
              <w:jc w:val="both"/>
              <w:rPr>
                <w:rFonts w:ascii="Times New Roman" w:hAnsi="Times New Roman"/>
                <w:sz w:val="24"/>
                <w:szCs w:val="24"/>
              </w:rPr>
            </w:pPr>
            <w:r w:rsidRPr="005A615E">
              <w:rPr>
                <w:rFonts w:ascii="Times New Roman" w:hAnsi="Times New Roman"/>
                <w:sz w:val="24"/>
                <w:szCs w:val="24"/>
              </w:rPr>
              <w:t>Додати абзац</w:t>
            </w:r>
          </w:p>
          <w:p w:rsidR="00CF2AC1" w:rsidRPr="005A615E" w:rsidRDefault="00CF2AC1" w:rsidP="00CF2AC1">
            <w:pPr>
              <w:ind w:right="-2" w:firstLine="376"/>
              <w:jc w:val="both"/>
              <w:rPr>
                <w:rStyle w:val="spanrvts0"/>
                <w:rFonts w:eastAsiaTheme="minorHAnsi"/>
              </w:rPr>
            </w:pPr>
            <w:r w:rsidRPr="005A615E">
              <w:rPr>
                <w:rFonts w:ascii="Times New Roman" w:hAnsi="Times New Roman"/>
              </w:rPr>
              <w:t>Для операторів систем розподілу, перелік яких наведено в  додатку 34 до Порядку встановлення (формування) тарифів, ЕКПТВЕ розраховується та затверджується НКРЕКП щороку.</w:t>
            </w:r>
            <w:r w:rsidRPr="005A615E">
              <w:rPr>
                <w:rStyle w:val="spanrvts0"/>
                <w:rFonts w:eastAsiaTheme="minorHAnsi"/>
              </w:rPr>
              <w:t xml:space="preserve">  </w:t>
            </w:r>
          </w:p>
          <w:p w:rsidR="00CF2AC1" w:rsidRPr="005A615E" w:rsidRDefault="00CF2AC1" w:rsidP="00CF2AC1">
            <w:pPr>
              <w:ind w:firstLine="308"/>
              <w:jc w:val="both"/>
              <w:rPr>
                <w:rFonts w:ascii="Times New Roman" w:hAnsi="Times New Roman"/>
              </w:rPr>
            </w:pPr>
            <w:r w:rsidRPr="005A615E">
              <w:rPr>
                <w:rStyle w:val="spanrvts0"/>
                <w:rFonts w:eastAsiaTheme="minorHAnsi"/>
              </w:rPr>
              <w:t xml:space="preserve">ЕКПТВЕ розраховуються НКРЕКП на прогнозний річний період </w:t>
            </w:r>
            <w:r w:rsidRPr="005A615E">
              <w:rPr>
                <w:rFonts w:ascii="Times New Roman" w:hAnsi="Times New Roman"/>
              </w:rPr>
              <w:t>на підставі фактичних значень за три попередні завершені річні періоди (січень-грудень), згідно даних форм звітності №5-НКРЕКП та 1Б-ТВЕ, без обмеження отриманого значення до рівня базового року та без застосування показника ефективності технологічних витрат електричної енергії. Дану методику розрахунку та затвердження ЕКПТВЕ використовувати на весь період воєнного стану та впродовж 24 місяців після його припинення або скасування.</w:t>
            </w:r>
          </w:p>
          <w:p w:rsidR="00CF2AC1" w:rsidRPr="005A615E" w:rsidRDefault="00CF2AC1" w:rsidP="00CF2AC1">
            <w:pPr>
              <w:ind w:firstLine="308"/>
              <w:jc w:val="both"/>
              <w:rPr>
                <w:rFonts w:ascii="Times New Roman" w:hAnsi="Times New Roman"/>
                <w:b/>
                <w:sz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ind w:firstLine="308"/>
              <w:jc w:val="both"/>
              <w:rPr>
                <w:rFonts w:ascii="Times New Roman" w:hAnsi="Times New Roman"/>
                <w:b/>
                <w:sz w:val="24"/>
              </w:rPr>
            </w:pPr>
            <w:r w:rsidRPr="005A615E">
              <w:rPr>
                <w:rFonts w:ascii="Times New Roman" w:hAnsi="Times New Roman"/>
                <w:b/>
                <w:sz w:val="24"/>
              </w:rPr>
              <w:t>…</w:t>
            </w:r>
          </w:p>
          <w:p w:rsidR="00CF2AC1" w:rsidRPr="005A615E" w:rsidRDefault="00CF2AC1" w:rsidP="00CF2AC1">
            <w:pPr>
              <w:ind w:firstLine="308"/>
              <w:jc w:val="both"/>
              <w:rPr>
                <w:rFonts w:ascii="Times New Roman" w:hAnsi="Times New Roman"/>
              </w:rPr>
            </w:pPr>
            <w:r w:rsidRPr="005A615E">
              <w:rPr>
                <w:rFonts w:ascii="Times New Roman" w:hAnsi="Times New Roman"/>
              </w:rPr>
              <w:lastRenderedPageBreak/>
              <w:t>Для операторів систем розподілу, які перейшли</w:t>
            </w:r>
            <w:r w:rsidRPr="005A615E">
              <w:rPr>
                <w:rFonts w:ascii="Times New Roman" w:hAnsi="Times New Roman"/>
                <w:b/>
              </w:rPr>
              <w:t xml:space="preserve"> на другий регуляторний період, при розрахунку ЕКПТВЕ використовуються дані, що застосовувалися для розрахунку ЕКПТВЕ на перший регуляторний період, </w:t>
            </w:r>
            <w:r w:rsidRPr="005A615E">
              <w:rPr>
                <w:rFonts w:ascii="Times New Roman" w:hAnsi="Times New Roman"/>
              </w:rPr>
              <w:t>з урахуванням застосованих до них показників ефективності в регуляторних періодах.</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pacing w:after="120"/>
              <w:jc w:val="both"/>
              <w:rPr>
                <w:rFonts w:ascii="Times New Roman" w:hAnsi="Times New Roman"/>
              </w:rPr>
            </w:pPr>
            <w:r w:rsidRPr="005A615E">
              <w:rPr>
                <w:rFonts w:ascii="Times New Roman" w:hAnsi="Times New Roman"/>
              </w:rPr>
              <w:t xml:space="preserve">Пропонуємо застосовувати зазначений підхід для визначення ЕКПТВЕ на 1 та 2-ій регуляторні періоди. </w:t>
            </w:r>
          </w:p>
          <w:p w:rsidR="00CF2AC1" w:rsidRPr="005A615E" w:rsidRDefault="00CF2AC1" w:rsidP="00CF2AC1">
            <w:pPr>
              <w:spacing w:after="120"/>
              <w:jc w:val="both"/>
              <w:rPr>
                <w:rFonts w:ascii="Times New Roman" w:hAnsi="Times New Roman"/>
              </w:rPr>
            </w:pPr>
          </w:p>
          <w:p w:rsidR="00A452BD" w:rsidRPr="005A615E" w:rsidRDefault="00A452BD" w:rsidP="00CF2AC1">
            <w:pPr>
              <w:spacing w:after="120"/>
              <w:jc w:val="both"/>
              <w:rPr>
                <w:rFonts w:ascii="Times New Roman" w:hAnsi="Times New Roman"/>
              </w:rPr>
            </w:pPr>
          </w:p>
          <w:p w:rsidR="00A452BD" w:rsidRPr="005A615E" w:rsidRDefault="00A452BD" w:rsidP="00CF2AC1">
            <w:pPr>
              <w:spacing w:after="120"/>
              <w:jc w:val="both"/>
              <w:rPr>
                <w:rFonts w:ascii="Times New Roman" w:hAnsi="Times New Roman"/>
              </w:rPr>
            </w:pPr>
          </w:p>
          <w:p w:rsidR="00A452BD" w:rsidRPr="005A615E" w:rsidRDefault="00A452BD" w:rsidP="00CF2AC1">
            <w:pPr>
              <w:spacing w:after="120"/>
              <w:jc w:val="both"/>
              <w:rPr>
                <w:rFonts w:ascii="Times New Roman" w:hAnsi="Times New Roman"/>
              </w:rPr>
            </w:pPr>
          </w:p>
          <w:p w:rsidR="00A452BD" w:rsidRPr="005A615E" w:rsidRDefault="00A452BD" w:rsidP="00CF2AC1">
            <w:pPr>
              <w:spacing w:after="120"/>
              <w:jc w:val="both"/>
              <w:rPr>
                <w:rFonts w:ascii="Times New Roman" w:hAnsi="Times New Roman"/>
              </w:rPr>
            </w:pPr>
          </w:p>
          <w:p w:rsidR="00A452BD" w:rsidRPr="005A615E" w:rsidRDefault="00A452BD" w:rsidP="00CF2AC1">
            <w:pPr>
              <w:jc w:val="both"/>
              <w:rPr>
                <w:rFonts w:ascii="Times New Roman" w:hAnsi="Times New Roman"/>
                <w:b/>
                <w:u w:val="single"/>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«ВІННИЦЯОБЛЕНЕРГО» (лист від 27.07.2026  № 03.13-18608)</w:t>
            </w:r>
          </w:p>
          <w:p w:rsidR="00CF2AC1" w:rsidRPr="005A615E" w:rsidRDefault="00CF2AC1" w:rsidP="00CF2AC1">
            <w:pPr>
              <w:spacing w:after="120"/>
              <w:ind w:firstLine="216"/>
              <w:jc w:val="both"/>
              <w:rPr>
                <w:rFonts w:ascii="Times New Roman" w:hAnsi="Times New Roman"/>
              </w:rPr>
            </w:pPr>
            <w:r w:rsidRPr="005A615E">
              <w:rPr>
                <w:rFonts w:ascii="Times New Roman" w:hAnsi="Times New Roman"/>
              </w:rPr>
              <w:t xml:space="preserve">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 5-НКРЕКП-моніторинг-розподіл (місячна) «Звіт про обсяги розподілу електричної енергії», затвердженої постановою НКРЕКП від 29.03.2019 № 450 (далі – форма № 5-НКРЕКП-моніторинг-розподіл), та №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 289 (далі – форма звітності № 1Б-ТВЕ), </w:t>
            </w:r>
            <w:r w:rsidRPr="005A615E">
              <w:rPr>
                <w:rFonts w:ascii="Times New Roman" w:hAnsi="Times New Roman"/>
                <w:b/>
              </w:rPr>
              <w:t xml:space="preserve">розрахунків обсягів складової ТВЕ, </w:t>
            </w:r>
            <w:r w:rsidRPr="005A615E">
              <w:rPr>
                <w:rFonts w:ascii="Times New Roman" w:hAnsi="Times New Roman"/>
                <w:b/>
              </w:rPr>
              <w:lastRenderedPageBreak/>
              <w:t>виконаних відповідно до абзацу 7 пункту 1.2 глави 1 цього Положення та дані щодо яких зафіксовані в Актах перевірок НКРЕКП щодо дотримання ліцензіатом вимог законодавства та ліцензійних умов з розподілу електричної енергії</w:t>
            </w:r>
            <w:r w:rsidRPr="005A615E">
              <w:rPr>
                <w:rFonts w:ascii="Times New Roman" w:hAnsi="Times New Roman"/>
              </w:rPr>
              <w:t xml:space="preserve"> за три завершені річні періоди (січень – грудень), що передували прогнозному періоду, та розраховується відповідно до глави 2 цього Положення.</w:t>
            </w:r>
          </w:p>
          <w:p w:rsidR="00CF2AC1" w:rsidRPr="005A615E" w:rsidRDefault="00CF2AC1" w:rsidP="00CF2AC1">
            <w:pPr>
              <w:spacing w:after="120"/>
              <w:ind w:firstLine="216"/>
              <w:jc w:val="both"/>
              <w:rPr>
                <w:rFonts w:ascii="Times New Roman" w:hAnsi="Times New Roman"/>
              </w:rPr>
            </w:pPr>
            <w:r w:rsidRPr="005A615E">
              <w:rPr>
                <w:rFonts w:ascii="Times New Roman" w:hAnsi="Times New Roman"/>
              </w:rPr>
              <w:t>…</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Чинний перелік джерел інформації (форми № 5-НКРЕКП-моніторинг-розподіл та № 1Б-ТВЕ) відображає лише загальні обсяги втрат без можливості виокремлення чинників, що на них вплинули.</w:t>
            </w:r>
          </w:p>
          <w:p w:rsidR="00CF2AC1" w:rsidRPr="005A615E" w:rsidRDefault="00CF2AC1" w:rsidP="00CF2AC1">
            <w:pPr>
              <w:jc w:val="both"/>
              <w:rPr>
                <w:rFonts w:ascii="Times New Roman" w:hAnsi="Times New Roman"/>
              </w:rPr>
            </w:pPr>
            <w:r w:rsidRPr="005A615E">
              <w:rPr>
                <w:rFonts w:ascii="Times New Roman" w:hAnsi="Times New Roman"/>
              </w:rPr>
              <w:t>Доповнення переліку розрахунками спеціалізованих організацій та Актами перевірок НКРЕКП дозволяє впровадити на законодавчому рівні використання показника складової ТВЕ як офіційного джерела даних. Це забезпечує Регулятору можливість приймати рішення на основі верифікованих експертних висновків та фактичних результатів державного контролю, що критично важливо для ідентифікації аномальних втрат, спричинених збройною агресією.</w:t>
            </w:r>
          </w:p>
          <w:p w:rsidR="00CF2AC1" w:rsidRPr="005A615E" w:rsidRDefault="00CF2AC1" w:rsidP="00CF2AC1">
            <w:pPr>
              <w:jc w:val="both"/>
              <w:rPr>
                <w:rFonts w:ascii="Times New Roman" w:hAnsi="Times New Roman"/>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АТ «ХМЕЛЬНИЦЬКОБЛЕНЕРГО» (лист від 27.07.2026 № 4-6209-0201/26)</w:t>
            </w:r>
            <w:r w:rsidRPr="005A615E">
              <w:rPr>
                <w:rFonts w:ascii="Times New Roman" w:eastAsia="Times New Roman" w:hAnsi="Times New Roman"/>
                <w:sz w:val="24"/>
                <w:szCs w:val="24"/>
                <w:lang w:eastAsia="ru-RU"/>
              </w:rPr>
              <w:t xml:space="preserve">   </w:t>
            </w:r>
          </w:p>
          <w:p w:rsidR="00CF2AC1" w:rsidRPr="005A615E" w:rsidRDefault="00CF2AC1" w:rsidP="00CF2AC1">
            <w:pPr>
              <w:spacing w:line="257" w:lineRule="auto"/>
              <w:ind w:firstLine="215"/>
              <w:jc w:val="both"/>
              <w:rPr>
                <w:rFonts w:ascii="Times New Roman" w:hAnsi="Times New Roman" w:cs="Times New Roman"/>
              </w:rPr>
            </w:pPr>
            <w:r w:rsidRPr="005A615E">
              <w:rPr>
                <w:rFonts w:ascii="Times New Roman" w:hAnsi="Times New Roman" w:cs="Times New Roman"/>
              </w:rPr>
              <w:t xml:space="preserve">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N 5-НКРЕКП-моніторинг-розподіл (місячна) "Звіт про обсяги розподілу електричної енергії", затвердженої постановою НКРЕКП від 29.03.2019 N 450 (далі - </w:t>
            </w:r>
            <w:r w:rsidRPr="005A615E">
              <w:rPr>
                <w:rFonts w:ascii="Times New Roman" w:hAnsi="Times New Roman" w:cs="Times New Roman"/>
              </w:rPr>
              <w:lastRenderedPageBreak/>
              <w:t>форма N 5-НКРЕКП-моніторинг-розподіл), та N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N 289 (далі - форма звітності N 1Б-ТВЕ), за три завершені річні періоди (січень - грудень) та розраховується відповідно до глави 2 цього Положення.</w:t>
            </w:r>
          </w:p>
          <w:p w:rsidR="00CF2AC1" w:rsidRPr="005A615E" w:rsidRDefault="00CF2AC1" w:rsidP="00CF2AC1">
            <w:pPr>
              <w:spacing w:line="257" w:lineRule="auto"/>
              <w:ind w:firstLine="215"/>
              <w:jc w:val="both"/>
              <w:rPr>
                <w:rFonts w:ascii="Times New Roman" w:hAnsi="Times New Roman" w:cs="Times New Roman"/>
              </w:rPr>
            </w:pPr>
            <w:r w:rsidRPr="005A615E">
              <w:rPr>
                <w:rFonts w:ascii="Times New Roman" w:hAnsi="Times New Roman" w:cs="Times New Roman"/>
                <w:b/>
              </w:rPr>
              <w:t>Розрахунок ЕКПТВЕ на третій та наступні регуляторні періоди здійснюється з урахуванням нових усталених післявоєнних режимів роботи мереж, технічного стану мереж та структури споживання.</w:t>
            </w:r>
          </w:p>
          <w:p w:rsidR="00CF2AC1" w:rsidRPr="005A615E" w:rsidRDefault="00CF2AC1" w:rsidP="00CF2AC1">
            <w:pPr>
              <w:spacing w:line="257" w:lineRule="auto"/>
              <w:ind w:firstLine="215"/>
              <w:jc w:val="both"/>
              <w:rPr>
                <w:rFonts w:ascii="Times New Roman" w:hAnsi="Times New Roman" w:cs="Times New Roman"/>
              </w:rPr>
            </w:pPr>
            <w:r w:rsidRPr="005A615E">
              <w:rPr>
                <w:rFonts w:ascii="Times New Roman" w:hAnsi="Times New Roman" w:cs="Times New Roman"/>
              </w:rPr>
              <w:t xml:space="preserve">Розраховане значення ЕКПТВЕ </w:t>
            </w:r>
            <w:r w:rsidRPr="005A615E">
              <w:rPr>
                <w:rFonts w:ascii="Times New Roman" w:hAnsi="Times New Roman" w:cs="Times New Roman"/>
                <w:b/>
                <w:bCs/>
              </w:rPr>
              <w:t>(для першого та другого регуляторних періодів</w:t>
            </w:r>
            <w:r w:rsidRPr="005A615E">
              <w:rPr>
                <w:rFonts w:ascii="Times New Roman" w:hAnsi="Times New Roman" w:cs="Times New Roman"/>
              </w:rPr>
              <w:t>) по 1 та 2 класах напруги, без урахування відповідного показника ефективності, порівнюється із відповідним середньорічним ЕКНТВЕ на II - IV квартали 2017 року та I квартал 2018 року та ЕКПТВЕ, затвердженим НКРЕКП на базовий рік.</w:t>
            </w:r>
          </w:p>
          <w:p w:rsidR="00CF2AC1" w:rsidRPr="005A615E" w:rsidRDefault="00CF2AC1" w:rsidP="00CF2AC1">
            <w:pPr>
              <w:spacing w:line="257" w:lineRule="auto"/>
              <w:ind w:firstLine="216"/>
              <w:jc w:val="both"/>
              <w:rPr>
                <w:rFonts w:ascii="Times New Roman" w:hAnsi="Times New Roman" w:cs="Times New Roman"/>
              </w:rPr>
            </w:pPr>
            <w:r w:rsidRPr="005A615E">
              <w:rPr>
                <w:rFonts w:ascii="Times New Roman" w:hAnsi="Times New Roman" w:cs="Times New Roman"/>
              </w:rPr>
              <w:t>…</w:t>
            </w:r>
          </w:p>
          <w:p w:rsidR="00CF2AC1" w:rsidRPr="005A615E" w:rsidRDefault="00CF2AC1" w:rsidP="00CF2AC1">
            <w:pPr>
              <w:spacing w:line="257" w:lineRule="auto"/>
              <w:ind w:firstLine="215"/>
              <w:jc w:val="both"/>
              <w:rPr>
                <w:rFonts w:ascii="Times New Roman" w:hAnsi="Times New Roman" w:cs="Times New Roman"/>
                <w:b/>
              </w:rPr>
            </w:pPr>
            <w:r w:rsidRPr="005A615E">
              <w:rPr>
                <w:rFonts w:ascii="Times New Roman" w:hAnsi="Times New Roman" w:cs="Times New Roman"/>
                <w:b/>
              </w:rPr>
              <w:t>Для операторів систем розподілу, які переходять/перейшли на стимулююче регулювання, розраховані НКРЕКП ЕКПТВЕ для регуляторного періоду в цілому у розрізі років, затверджуються перед початком першого та наступних регуляторних періодів.</w:t>
            </w:r>
          </w:p>
          <w:p w:rsidR="00CF2AC1" w:rsidRPr="005A615E" w:rsidRDefault="00CF2AC1" w:rsidP="00CF2AC1">
            <w:pPr>
              <w:spacing w:line="257" w:lineRule="auto"/>
              <w:jc w:val="both"/>
              <w:rPr>
                <w:rFonts w:ascii="Times New Roman" w:hAnsi="Times New Roman"/>
              </w:rPr>
            </w:pPr>
            <w:r w:rsidRPr="005A615E">
              <w:rPr>
                <w:rFonts w:ascii="Times New Roman" w:hAnsi="Times New Roman" w:cs="Times New Roman"/>
                <w:b/>
              </w:rPr>
              <w:t xml:space="preserve">Для операторів систем розподілу, які перейшли </w:t>
            </w:r>
            <w:r w:rsidRPr="005A615E">
              <w:rPr>
                <w:rFonts w:ascii="Times New Roman" w:hAnsi="Times New Roman" w:cs="Times New Roman"/>
                <w:b/>
                <w:u w:val="single"/>
              </w:rPr>
              <w:t>на другий регуляторний період, при розрахунку ЕКПТВЕ використовуються дані, що застосовувалися для розрахунку ЕКПТВЕ на перший регуляторний період</w:t>
            </w:r>
            <w:r w:rsidRPr="005A615E">
              <w:rPr>
                <w:rFonts w:ascii="Times New Roman" w:hAnsi="Times New Roman" w:cs="Times New Roman"/>
                <w:b/>
              </w:rPr>
              <w:t>, з урахуванням застосованих до них показників ефективності в регуляторних періодах.</w:t>
            </w:r>
          </w:p>
          <w:p w:rsidR="00CF2AC1" w:rsidRPr="005A615E" w:rsidRDefault="00CF2AC1" w:rsidP="00CF2AC1">
            <w:pPr>
              <w:jc w:val="both"/>
              <w:rPr>
                <w:b/>
                <w:i/>
                <w:u w:val="single"/>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spacing w:after="120"/>
              <w:jc w:val="both"/>
              <w:rPr>
                <w:rFonts w:ascii="Times New Roman" w:hAnsi="Times New Roman"/>
              </w:rPr>
            </w:pPr>
            <w:r w:rsidRPr="005A615E">
              <w:rPr>
                <w:rFonts w:ascii="Times New Roman" w:hAnsi="Times New Roman" w:cs="Times New Roman"/>
              </w:rPr>
              <w:t>Пропонується застосовувати зазначений підхід для визначення ЕКПТВЕ на 1 та 2-ій регуляторні періоди. За результатами закінчення воєнних дій, пропонується розраховувати ЕКПТВЕ з урахуванням нових усталених післявоєнних режимів роботи мереж та структури споживання. Також врахувати редакційне уточнення запропонованого НКРЕКП підходу.</w:t>
            </w:r>
          </w:p>
        </w:tc>
        <w:tc>
          <w:tcPr>
            <w:tcW w:w="3969" w:type="dxa"/>
            <w:gridSpan w:val="2"/>
          </w:tcPr>
          <w:p w:rsidR="00A452BD" w:rsidRPr="005A615E" w:rsidRDefault="00A452BD" w:rsidP="00A452BD">
            <w:pPr>
              <w:rPr>
                <w:rFonts w:ascii="Times New Roman" w:hAnsi="Times New Roman"/>
                <w:b/>
                <w:sz w:val="24"/>
              </w:rPr>
            </w:pPr>
            <w:r w:rsidRPr="005A615E">
              <w:rPr>
                <w:rFonts w:ascii="Times New Roman" w:hAnsi="Times New Roman"/>
                <w:b/>
                <w:sz w:val="24"/>
              </w:rPr>
              <w:lastRenderedPageBreak/>
              <w:t>Не враховано</w:t>
            </w:r>
          </w:p>
          <w:p w:rsidR="00A452BD" w:rsidRPr="005A615E" w:rsidRDefault="00A452BD" w:rsidP="00A452BD">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A452BD" w:rsidRPr="005A615E" w:rsidRDefault="00A452BD" w:rsidP="00A452BD">
            <w:pPr>
              <w:jc w:val="both"/>
              <w:rPr>
                <w:rFonts w:ascii="Times New Roman" w:hAnsi="Times New Roman"/>
                <w:b/>
                <w:sz w:val="24"/>
              </w:rPr>
            </w:pPr>
          </w:p>
          <w:p w:rsidR="00A452BD" w:rsidRPr="005A615E" w:rsidRDefault="00A452BD" w:rsidP="00A452BD">
            <w:pPr>
              <w:jc w:val="both"/>
              <w:rPr>
                <w:rFonts w:ascii="Times New Roman" w:hAnsi="Times New Roman"/>
                <w:b/>
                <w:sz w:val="24"/>
              </w:rPr>
            </w:pPr>
            <w:r w:rsidRPr="005A615E">
              <w:rPr>
                <w:rFonts w:ascii="Times New Roman" w:hAnsi="Times New Roman"/>
                <w:b/>
                <w:sz w:val="24"/>
              </w:rPr>
              <w:t xml:space="preserve">Враховано частково </w:t>
            </w:r>
          </w:p>
          <w:p w:rsidR="00A452BD" w:rsidRPr="005A615E" w:rsidRDefault="00A452BD" w:rsidP="00A452BD">
            <w:pPr>
              <w:spacing w:after="120"/>
              <w:ind w:firstLine="216"/>
              <w:jc w:val="both"/>
              <w:rPr>
                <w:rFonts w:ascii="Times New Roman" w:hAnsi="Times New Roman" w:cs="Times New Roman"/>
              </w:rPr>
            </w:pPr>
            <w:r w:rsidRPr="005A615E">
              <w:rPr>
                <w:rFonts w:ascii="Times New Roman" w:hAnsi="Times New Roman" w:cs="Times New Roman"/>
              </w:rPr>
              <w:t>Для операторів систем розподілу, які переходять/перейшли на стимулююче регулювання, розраховані НКРЕКП ЕКПТВЕ для регуляторного періоду в цілому в розрізі років, затверджуються перед початком кожного регуляторного періоду.</w:t>
            </w:r>
          </w:p>
          <w:p w:rsidR="00A452BD" w:rsidRPr="005A615E" w:rsidRDefault="00A452BD" w:rsidP="00A452BD">
            <w:pPr>
              <w:jc w:val="both"/>
              <w:rPr>
                <w:rFonts w:ascii="Times New Roman" w:hAnsi="Times New Roman"/>
                <w:b/>
                <w:sz w:val="24"/>
              </w:rPr>
            </w:pPr>
            <w:r w:rsidRPr="005A615E">
              <w:rPr>
                <w:rFonts w:ascii="Times New Roman" w:hAnsi="Times New Roman" w:cs="Times New Roman"/>
              </w:rPr>
              <w:t xml:space="preserve">Для операторів систем розподілу, які переходять на другий та наступні регуляторні періоди стимулюючого регулювання, розрахунок ЕКПТВЕ на відповідний регуляторний період </w:t>
            </w:r>
            <w:r w:rsidRPr="005A615E">
              <w:rPr>
                <w:rFonts w:ascii="Times New Roman" w:hAnsi="Times New Roman" w:cs="Times New Roman"/>
              </w:rPr>
              <w:lastRenderedPageBreak/>
              <w:t>проводиться відповідно до глави 2 цього Положення з використанням даних, що відповідають ЕКПТВЕ останнього року попереднього регуляторного періоду.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A452BD" w:rsidP="00CF2AC1">
            <w:pPr>
              <w:rPr>
                <w:rFonts w:ascii="Times New Roman" w:hAnsi="Times New Roman"/>
                <w:b/>
                <w:sz w:val="24"/>
              </w:rPr>
            </w:pPr>
            <w:r w:rsidRPr="005A615E">
              <w:rPr>
                <w:rFonts w:ascii="Times New Roman" w:hAnsi="Times New Roman"/>
                <w:b/>
                <w:sz w:val="24"/>
              </w:rPr>
              <w:t>Позиція зазначена вище</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A452BD" w:rsidRPr="005A615E" w:rsidRDefault="00A452BD" w:rsidP="00A452BD">
            <w:pPr>
              <w:rPr>
                <w:rFonts w:ascii="Times New Roman" w:hAnsi="Times New Roman"/>
                <w:b/>
                <w:sz w:val="24"/>
              </w:rPr>
            </w:pPr>
            <w:r w:rsidRPr="005A615E">
              <w:rPr>
                <w:rFonts w:ascii="Times New Roman" w:hAnsi="Times New Roman"/>
                <w:b/>
                <w:sz w:val="24"/>
              </w:rPr>
              <w:t>Не враховано</w:t>
            </w:r>
          </w:p>
          <w:p w:rsidR="00A452BD" w:rsidRPr="005A615E" w:rsidRDefault="00A452BD" w:rsidP="00A452BD">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A452BD" w:rsidRPr="005A615E" w:rsidRDefault="00A452BD" w:rsidP="00A452BD">
            <w:pPr>
              <w:jc w:val="both"/>
              <w:rPr>
                <w:rFonts w:ascii="Times New Roman" w:hAnsi="Times New Roman"/>
                <w:b/>
                <w:sz w:val="24"/>
              </w:rPr>
            </w:pPr>
            <w:r w:rsidRPr="005A615E">
              <w:rPr>
                <w:rFonts w:ascii="Times New Roman" w:hAnsi="Times New Roman"/>
                <w:b/>
                <w:sz w:val="24"/>
              </w:rPr>
              <w:t xml:space="preserve">Враховано частково </w:t>
            </w:r>
          </w:p>
          <w:p w:rsidR="00A452BD" w:rsidRPr="005A615E" w:rsidRDefault="00A452BD" w:rsidP="00A452BD">
            <w:pPr>
              <w:spacing w:after="120"/>
              <w:ind w:firstLine="216"/>
              <w:jc w:val="both"/>
              <w:rPr>
                <w:rFonts w:ascii="Times New Roman" w:hAnsi="Times New Roman" w:cs="Times New Roman"/>
              </w:rPr>
            </w:pPr>
            <w:r w:rsidRPr="005A615E">
              <w:rPr>
                <w:rFonts w:ascii="Times New Roman" w:hAnsi="Times New Roman" w:cs="Times New Roman"/>
              </w:rPr>
              <w:t>Для операторів систем розподілу, які переходять/перейшли на стимулююче регулювання, розраховані НКРЕКП ЕКПТВЕ для регуляторного періоду в цілому в розрізі років, затверджуються перед початком кожного регуляторного періоду.</w:t>
            </w:r>
          </w:p>
          <w:p w:rsidR="00CF2AC1" w:rsidRPr="005A615E" w:rsidRDefault="00A452BD" w:rsidP="00A452BD">
            <w:pPr>
              <w:jc w:val="both"/>
              <w:rPr>
                <w:rFonts w:ascii="Times New Roman" w:hAnsi="Times New Roman"/>
                <w:b/>
                <w:sz w:val="24"/>
              </w:rPr>
            </w:pPr>
            <w:r w:rsidRPr="005A615E">
              <w:rPr>
                <w:rFonts w:ascii="Times New Roman" w:hAnsi="Times New Roman" w:cs="Times New Roman"/>
              </w:rPr>
              <w:t>Для операторів систем розподілу, які переходять на другий та наступні регуляторні періоди стимулюючого регулювання, розрахунок ЕКПТВЕ на відповідний регуляторний період проводиться відповідно до глави 2 цього Положення з використанням даних, що відповідають ЕКПТВЕ останнього року попереднього регуляторного періоду.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A452BD" w:rsidRPr="005A615E" w:rsidRDefault="00A452BD" w:rsidP="00A452BD">
            <w:pPr>
              <w:rPr>
                <w:rFonts w:ascii="Times New Roman" w:hAnsi="Times New Roman"/>
                <w:b/>
                <w:sz w:val="24"/>
              </w:rPr>
            </w:pPr>
            <w:r w:rsidRPr="005A615E">
              <w:rPr>
                <w:rFonts w:ascii="Times New Roman" w:hAnsi="Times New Roman"/>
                <w:b/>
                <w:sz w:val="24"/>
              </w:rPr>
              <w:t>Позиція зазначена вище</w:t>
            </w:r>
          </w:p>
          <w:p w:rsidR="00A452BD" w:rsidRPr="005A615E" w:rsidRDefault="00A452BD" w:rsidP="00A452BD">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A452BD" w:rsidRPr="005A615E" w:rsidRDefault="00A452BD" w:rsidP="00A452BD">
            <w:pPr>
              <w:rPr>
                <w:rFonts w:ascii="Times New Roman" w:hAnsi="Times New Roman"/>
                <w:b/>
                <w:sz w:val="24"/>
              </w:rPr>
            </w:pPr>
            <w:r w:rsidRPr="005A615E">
              <w:rPr>
                <w:rFonts w:ascii="Times New Roman" w:hAnsi="Times New Roman"/>
                <w:b/>
                <w:sz w:val="24"/>
              </w:rPr>
              <w:t>Позиція зазначена вище</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A452BD" w:rsidRPr="005A615E" w:rsidRDefault="00A452BD" w:rsidP="00A452BD">
            <w:pPr>
              <w:jc w:val="both"/>
              <w:rPr>
                <w:rFonts w:ascii="Times New Roman" w:hAnsi="Times New Roman"/>
                <w:b/>
                <w:sz w:val="24"/>
              </w:rPr>
            </w:pPr>
            <w:r w:rsidRPr="005A615E">
              <w:rPr>
                <w:rFonts w:ascii="Times New Roman" w:hAnsi="Times New Roman"/>
                <w:b/>
                <w:sz w:val="24"/>
              </w:rPr>
              <w:t xml:space="preserve">Враховано частково </w:t>
            </w:r>
          </w:p>
          <w:p w:rsidR="00A452BD" w:rsidRPr="005A615E" w:rsidRDefault="00A452BD" w:rsidP="00A452BD">
            <w:pPr>
              <w:spacing w:after="120"/>
              <w:ind w:firstLine="216"/>
              <w:jc w:val="both"/>
              <w:rPr>
                <w:rFonts w:ascii="Times New Roman" w:hAnsi="Times New Roman" w:cs="Times New Roman"/>
              </w:rPr>
            </w:pPr>
            <w:r w:rsidRPr="005A615E">
              <w:rPr>
                <w:rFonts w:ascii="Times New Roman" w:hAnsi="Times New Roman" w:cs="Times New Roman"/>
              </w:rPr>
              <w:lastRenderedPageBreak/>
              <w:t>Для операторів систем розподілу, які переходять/перейшли на стимулююче регулювання, розраховані НКРЕКП ЕКПТВЕ для регуляторного періоду в цілому в розрізі років, затверджуються перед початком кожного регуляторного періоду.</w:t>
            </w:r>
          </w:p>
          <w:p w:rsidR="00A452BD" w:rsidRPr="005A615E" w:rsidRDefault="00A452BD" w:rsidP="00A452BD">
            <w:pPr>
              <w:jc w:val="both"/>
              <w:rPr>
                <w:rFonts w:ascii="Times New Roman" w:hAnsi="Times New Roman"/>
                <w:b/>
                <w:sz w:val="24"/>
              </w:rPr>
            </w:pPr>
            <w:r w:rsidRPr="005A615E">
              <w:rPr>
                <w:rFonts w:ascii="Times New Roman" w:hAnsi="Times New Roman" w:cs="Times New Roman"/>
              </w:rPr>
              <w:t>Для операторів систем розподілу, які переходять на другий та наступні регуляторні періоди стимулюючого регулювання, розрахунок ЕКПТВЕ на відповідний регуляторний період проводиться відповідно до глави 2 цього Положення з використанням даних, що відповідають ЕКПТВЕ останнього року попереднього регуляторного періоду.</w:t>
            </w:r>
          </w:p>
          <w:p w:rsidR="00A452BD" w:rsidRPr="005A615E" w:rsidRDefault="00A452BD" w:rsidP="00A452BD">
            <w:pPr>
              <w:rPr>
                <w:rFonts w:ascii="Times New Roman" w:hAnsi="Times New Roman"/>
                <w:b/>
                <w:sz w:val="24"/>
              </w:rPr>
            </w:pPr>
          </w:p>
          <w:p w:rsidR="00A452BD" w:rsidRPr="005A615E" w:rsidRDefault="00A452BD" w:rsidP="00A452BD">
            <w:pPr>
              <w:rPr>
                <w:rFonts w:ascii="Times New Roman" w:hAnsi="Times New Roman"/>
                <w:b/>
                <w:sz w:val="24"/>
              </w:rPr>
            </w:pPr>
            <w:r w:rsidRPr="005A615E">
              <w:rPr>
                <w:rFonts w:ascii="Times New Roman" w:hAnsi="Times New Roman"/>
                <w:b/>
                <w:sz w:val="24"/>
              </w:rPr>
              <w:t>Не враховано</w:t>
            </w:r>
          </w:p>
          <w:p w:rsidR="00A452BD" w:rsidRPr="005A615E" w:rsidRDefault="00A452BD" w:rsidP="00A452BD">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A452BD" w:rsidRPr="005A615E" w:rsidRDefault="00A452BD" w:rsidP="00A452BD">
            <w:pPr>
              <w:rPr>
                <w:rFonts w:ascii="Times New Roman" w:hAnsi="Times New Roman"/>
                <w:b/>
                <w:sz w:val="24"/>
              </w:rPr>
            </w:pPr>
            <w:r w:rsidRPr="005A615E">
              <w:rPr>
                <w:rFonts w:ascii="Times New Roman" w:hAnsi="Times New Roman"/>
                <w:b/>
                <w:sz w:val="24"/>
              </w:rPr>
              <w:t>Не враховано</w:t>
            </w:r>
          </w:p>
          <w:p w:rsidR="00A452BD" w:rsidRPr="005A615E" w:rsidRDefault="00A452BD" w:rsidP="00A452BD">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ind w:firstLine="180"/>
              <w:jc w:val="both"/>
              <w:rPr>
                <w:rFonts w:ascii="Times New Roman" w:hAnsi="Times New Roman"/>
                <w:b/>
              </w:rPr>
            </w:pPr>
            <w:r w:rsidRPr="005A615E">
              <w:rPr>
                <w:rFonts w:ascii="Times New Roman" w:hAnsi="Times New Roman"/>
                <w:b/>
                <w:sz w:val="24"/>
              </w:rPr>
              <w:lastRenderedPageBreak/>
              <w:t>Зміна даного пункту не передбачалась</w:t>
            </w:r>
          </w:p>
        </w:tc>
        <w:tc>
          <w:tcPr>
            <w:tcW w:w="5387" w:type="dxa"/>
          </w:tcPr>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«ВІННИЦЯОБЛЕНЕРГО» (лист від 27.07.2026  № 03.13-18608)</w:t>
            </w:r>
          </w:p>
          <w:p w:rsidR="00CF2AC1" w:rsidRPr="005A615E" w:rsidRDefault="00CF2AC1" w:rsidP="00CF2AC1">
            <w:pPr>
              <w:ind w:firstLine="419"/>
              <w:jc w:val="both"/>
              <w:rPr>
                <w:rFonts w:ascii="Times New Roman" w:hAnsi="Times New Roman"/>
              </w:rPr>
            </w:pPr>
            <w:r w:rsidRPr="005A615E">
              <w:rPr>
                <w:rFonts w:ascii="Times New Roman" w:hAnsi="Times New Roman"/>
                <w:iCs/>
              </w:rPr>
              <w:t>2.1</w:t>
            </w:r>
            <w:r w:rsidRPr="005A615E">
              <w:rPr>
                <w:rFonts w:ascii="Times New Roman" w:hAnsi="Times New Roman"/>
                <w:i/>
                <w:iCs/>
              </w:rPr>
              <w:t xml:space="preserve"> </w:t>
            </w:r>
            <w:r w:rsidRPr="005A615E">
              <w:rPr>
                <w:rFonts w:ascii="Times New Roman" w:hAnsi="Times New Roman"/>
              </w:rPr>
              <w:t>Для затвердження ЕКПТВЕ, щороку не пізніше01 вересня, оператори систем розподілу подають до НКРЕКП в електронній формі (у форматах Excel, PDF) із накладенням кваліфікованого електронного підпису керівника оператора системи розподілу (або особи, яка виконує його обов’язки) та/або кваліфікованої електронної печатки на офіційні електронні адреси центрального апарату НКРЕКП:</w:t>
            </w:r>
          </w:p>
          <w:p w:rsidR="00CF2AC1" w:rsidRPr="005A615E" w:rsidRDefault="00CF2AC1" w:rsidP="00CF2AC1">
            <w:pPr>
              <w:ind w:firstLine="419"/>
              <w:jc w:val="both"/>
              <w:rPr>
                <w:rFonts w:ascii="Times New Roman" w:hAnsi="Times New Roman"/>
              </w:rPr>
            </w:pPr>
            <w:r w:rsidRPr="005A615E">
              <w:rPr>
                <w:rFonts w:ascii="Times New Roman" w:hAnsi="Times New Roman"/>
              </w:rPr>
              <w:t>форму звітності № 5-НКРЕКП-моніторинг-розподіл за три завершені річні періоди (січень – грудень);</w:t>
            </w:r>
          </w:p>
          <w:p w:rsidR="00CF2AC1" w:rsidRPr="005A615E" w:rsidRDefault="00CF2AC1" w:rsidP="00CF2AC1">
            <w:pPr>
              <w:ind w:firstLine="419"/>
              <w:jc w:val="both"/>
              <w:rPr>
                <w:rFonts w:ascii="Times New Roman" w:hAnsi="Times New Roman"/>
              </w:rPr>
            </w:pPr>
            <w:r w:rsidRPr="005A615E">
              <w:rPr>
                <w:rFonts w:ascii="Times New Roman" w:hAnsi="Times New Roman"/>
              </w:rPr>
              <w:t>форми звітності № 1Б-ТВЕ за три завершені річні періоди (січень – грудень), на базі яких розраховуються ЕКПТВЕ.</w:t>
            </w:r>
          </w:p>
          <w:p w:rsidR="00CF2AC1" w:rsidRPr="005A615E" w:rsidRDefault="00CF2AC1" w:rsidP="00CF2AC1">
            <w:pPr>
              <w:ind w:firstLine="419"/>
              <w:jc w:val="both"/>
              <w:rPr>
                <w:rFonts w:ascii="Times New Roman" w:hAnsi="Times New Roman"/>
                <w:b/>
                <w:bCs/>
              </w:rPr>
            </w:pPr>
            <w:r w:rsidRPr="005A615E">
              <w:rPr>
                <w:rFonts w:ascii="Times New Roman" w:hAnsi="Times New Roman"/>
                <w:b/>
                <w:bCs/>
              </w:rPr>
              <w:t xml:space="preserve">У разі наявності змін у режимах роботи мережі та/або її топології внаслідок збройної агресії, разом із документами, зазначеними в цьому пункті, оператор системи розподілу подає до НКРЕКП розрахунки складової ТВЕ, виконані відповідно до абзацу 7 пункту 1.2 глави 1 цього Положення, та підтвердні матеріали до них (у форматах Excel, Word, PDF) із накладенням кваліфікованого електронного підпису керівника спеціалізованого підприємства / організації, що виконує комплекс </w:t>
            </w:r>
            <w:r w:rsidRPr="005A615E">
              <w:rPr>
                <w:rFonts w:ascii="Times New Roman" w:hAnsi="Times New Roman"/>
                <w:b/>
                <w:bCs/>
              </w:rPr>
              <w:lastRenderedPageBreak/>
              <w:t xml:space="preserve">робіт з розрахунків витрат в електричних мережах оператора системи розподілу (або особи, яка виконує його обов’язки), та/або кваліфікованої електронної печатки на офіційні електронні адреси центрального апарату НКРЕКП. У разі підписання розрахунків у паперовому вигляді, допускається надання сканованої копії оригіналу в електронному вигляді, з подальшим наданням оригіналу розрахунку на фізичну поштову адресу НКРЕКП. </w:t>
            </w:r>
          </w:p>
          <w:p w:rsidR="00CF2AC1" w:rsidRPr="005A615E" w:rsidRDefault="00CF2AC1" w:rsidP="00CF2AC1">
            <w:pPr>
              <w:ind w:firstLine="419"/>
              <w:jc w:val="both"/>
              <w:rPr>
                <w:rFonts w:ascii="Times New Roman" w:hAnsi="Times New Roman"/>
                <w:b/>
                <w:bCs/>
              </w:rPr>
            </w:pPr>
            <w:r w:rsidRPr="005A615E">
              <w:rPr>
                <w:rFonts w:ascii="Times New Roman" w:hAnsi="Times New Roman"/>
                <w:b/>
                <w:bCs/>
              </w:rPr>
              <w:t>Якщо станом на 01 вересня року, що передує прогнозному періоду, заходи державного нагляду (контролю)  не проведені у зв’язку із більш пізньою датою їх здійснення згідно з відповідною Постановою НКРЕКП про затвердження Плану здійснення заходів державного нагляду (контролю), або за їхніми результатами не складено акт перевірки, оператор системи розподілу має право</w:t>
            </w:r>
            <w:r w:rsidRPr="005A615E">
              <w:rPr>
                <w:rFonts w:ascii="Times New Roman" w:hAnsi="Times New Roman"/>
              </w:rPr>
              <w:t xml:space="preserve"> </w:t>
            </w:r>
            <w:r w:rsidRPr="005A615E">
              <w:rPr>
                <w:rFonts w:ascii="Times New Roman" w:hAnsi="Times New Roman"/>
                <w:b/>
                <w:bCs/>
              </w:rPr>
              <w:t xml:space="preserve"> подати розрахунки складової ТВЕ для їхнього попереднього врахування при розрахунку ЕКПТВЕ. У разі якщо за результатами проведеної перевірки заявлені обсяги складової ТВЕ не будуть підтверджені повністю або частково, НКРЕКП переглядає значення ЕКПТВЕ (у яких було враховано цю складову) відповідно до фактичних даних Акта перевірки. </w:t>
            </w:r>
          </w:p>
          <w:p w:rsidR="00CF2AC1" w:rsidRPr="005A615E" w:rsidRDefault="00CF2AC1" w:rsidP="00CF2AC1">
            <w:pPr>
              <w:jc w:val="both"/>
              <w:rPr>
                <w:rFonts w:ascii="Times New Roman" w:hAnsi="Times New Roman"/>
                <w:b/>
                <w:bCs/>
              </w:rPr>
            </w:pPr>
            <w:r w:rsidRPr="005A615E">
              <w:rPr>
                <w:rFonts w:ascii="Times New Roman" w:hAnsi="Times New Roman"/>
                <w:b/>
                <w:bCs/>
              </w:rPr>
              <w:t>Також, для верифікації обсягів складової ТВЕ та їхнього врахування в ЕКПТВЕ оператор системи розподілу має право ініціювати проведення позапланової перевірки НКРЕКП у встановленому законодавством порядку.</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Запропоновані зміни деталізують процедуру подання документів в умовах воєнного стану, що забезпечує </w:t>
            </w:r>
            <w:r w:rsidRPr="005A615E">
              <w:rPr>
                <w:rFonts w:ascii="Times New Roman" w:hAnsi="Times New Roman"/>
              </w:rPr>
              <w:lastRenderedPageBreak/>
              <w:t>практичну реалізацію «адаптивної моделі» розрахунку ЕКПТВЕ.</w:t>
            </w:r>
          </w:p>
          <w:p w:rsidR="00CF2AC1" w:rsidRPr="005A615E" w:rsidRDefault="00CF2AC1" w:rsidP="00CF2AC1">
            <w:pPr>
              <w:jc w:val="both"/>
              <w:rPr>
                <w:rFonts w:ascii="Times New Roman" w:hAnsi="Times New Roman"/>
              </w:rPr>
            </w:pPr>
            <w:r w:rsidRPr="005A615E">
              <w:rPr>
                <w:rFonts w:ascii="Times New Roman" w:hAnsi="Times New Roman"/>
              </w:rPr>
              <w:t>Доповнення пункту нормами щодо термінів перевірок є важливим, оскільки графіки планових перевірок НКРЕКП можуть не збігатися з терміном подання звітності (01 вересня). Надання ОСР права подавати розрахунки до моменту завершення перевірки запобігає штучному заниженню нормативів ТВЕ через бюрократичні затримки.</w:t>
            </w:r>
          </w:p>
          <w:p w:rsidR="00CF2AC1" w:rsidRPr="005A615E" w:rsidRDefault="00CF2AC1" w:rsidP="00CF2AC1">
            <w:pPr>
              <w:jc w:val="both"/>
              <w:rPr>
                <w:rFonts w:ascii="Times New Roman" w:hAnsi="Times New Roman"/>
                <w:b/>
                <w:sz w:val="24"/>
                <w:u w:val="single"/>
              </w:rPr>
            </w:pPr>
            <w:r w:rsidRPr="005A615E">
              <w:rPr>
                <w:rFonts w:ascii="Times New Roman" w:hAnsi="Times New Roman"/>
              </w:rPr>
              <w:t>Водночас встановлюється запобіжний механізм для Регулятора: право на перегляд коефіцієнтів у разі непідтвердження даних перевіркою. Це гарантує достовірність показників та захищає інтереси споживачів від необґрунтованого зростання тарифів. Крім того, можливість ініціювання позапланової перевірки надає ОСР інструмент для оперативного реагування на суттєві зміни в топології мережі, спричинені бойовими діями.</w:t>
            </w:r>
          </w:p>
        </w:tc>
        <w:tc>
          <w:tcPr>
            <w:tcW w:w="3969" w:type="dxa"/>
            <w:gridSpan w:val="2"/>
          </w:tcPr>
          <w:p w:rsidR="00A452BD" w:rsidRPr="005A615E" w:rsidRDefault="00A452BD" w:rsidP="00A452BD">
            <w:pPr>
              <w:rPr>
                <w:rFonts w:ascii="Times New Roman" w:hAnsi="Times New Roman"/>
                <w:b/>
                <w:sz w:val="24"/>
              </w:rPr>
            </w:pPr>
            <w:r w:rsidRPr="005A615E">
              <w:rPr>
                <w:rFonts w:ascii="Times New Roman" w:hAnsi="Times New Roman"/>
                <w:b/>
                <w:sz w:val="24"/>
              </w:rPr>
              <w:lastRenderedPageBreak/>
              <w:t>Не враховано</w:t>
            </w:r>
          </w:p>
          <w:p w:rsidR="00A452BD" w:rsidRPr="005A615E" w:rsidRDefault="00A452BD" w:rsidP="00A452BD">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ind w:firstLine="180"/>
              <w:jc w:val="both"/>
              <w:rPr>
                <w:rFonts w:ascii="Times New Roman" w:hAnsi="Times New Roman"/>
                <w:b/>
              </w:rPr>
            </w:pPr>
            <w:r w:rsidRPr="005A615E">
              <w:rPr>
                <w:rFonts w:ascii="Times New Roman" w:hAnsi="Times New Roman"/>
                <w:b/>
                <w:sz w:val="24"/>
              </w:rPr>
              <w:lastRenderedPageBreak/>
              <w:t>Зміна даного пункту не передбачалась</w:t>
            </w:r>
          </w:p>
        </w:tc>
        <w:tc>
          <w:tcPr>
            <w:tcW w:w="5387" w:type="dxa"/>
          </w:tcPr>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«ВІННИЦЯОБЛЕНЕРГО» (лист від 27.07.2026  № 03.13-18608)</w:t>
            </w:r>
          </w:p>
          <w:p w:rsidR="00CF2AC1" w:rsidRPr="005A615E" w:rsidRDefault="00CF2AC1" w:rsidP="00CF2AC1">
            <w:pPr>
              <w:jc w:val="both"/>
              <w:rPr>
                <w:rFonts w:ascii="Times New Roman" w:hAnsi="Times New Roman"/>
                <w:b/>
                <w:u w:val="single"/>
              </w:rPr>
            </w:pPr>
            <w:r w:rsidRPr="005A615E">
              <w:rPr>
                <w:rFonts w:ascii="Times New Roman" w:hAnsi="Times New Roman"/>
                <w:iCs/>
              </w:rPr>
              <w:t xml:space="preserve">2.2 </w:t>
            </w:r>
            <w:r w:rsidRPr="005A615E">
              <w:rPr>
                <w:rFonts w:ascii="Times New Roman" w:hAnsi="Times New Roman"/>
              </w:rPr>
              <w:t>ЕКПТВЕ розраховуються НКРЕКП на прогнозний період на підставі даних форм звітності № 5-НКРЕКП-моніторинг-розподіл, № 1Б-ТВЕ та розрахованого ЕКНТВЕ на II-IV квартали 2017 року та I квартал 2018 року,</w:t>
            </w:r>
            <w:r w:rsidRPr="005A615E">
              <w:rPr>
                <w:rFonts w:ascii="Times New Roman" w:hAnsi="Times New Roman"/>
                <w:b/>
                <w:bCs/>
              </w:rPr>
              <w:t xml:space="preserve"> а також розрахунків складової ТВЕ, виконаних спеціалізованими підприємствами / організаціями та верифікованих відповідно до цього Положення.»</w:t>
            </w:r>
          </w:p>
          <w:p w:rsidR="00CF2AC1" w:rsidRPr="005A615E" w:rsidRDefault="00CF2AC1" w:rsidP="00CF2AC1">
            <w:pPr>
              <w:jc w:val="both"/>
              <w:rPr>
                <w:rFonts w:ascii="Times New Roman" w:hAnsi="Times New Roman"/>
                <w:b/>
                <w:u w:val="single"/>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Чинний перелік джерел інформації (форми № 5-НКРЕКП-моніторинг-розподіл та № 1Б-ТВЕ) відображає лише загальні обсяги втрат без можливості виокремлення чинників, що на них вплинули.</w:t>
            </w:r>
          </w:p>
          <w:p w:rsidR="00CF2AC1" w:rsidRPr="005A615E" w:rsidRDefault="00CF2AC1" w:rsidP="00CF2AC1">
            <w:pPr>
              <w:jc w:val="both"/>
              <w:rPr>
                <w:rFonts w:ascii="Times New Roman" w:hAnsi="Times New Roman"/>
                <w:b/>
                <w:sz w:val="24"/>
                <w:u w:val="single"/>
              </w:rPr>
            </w:pPr>
            <w:r w:rsidRPr="005A615E">
              <w:rPr>
                <w:rFonts w:ascii="Times New Roman" w:hAnsi="Times New Roman"/>
              </w:rPr>
              <w:lastRenderedPageBreak/>
              <w:t>Доповнення переліку розрахунками спеціалізованих організацій та Актами перевірок НКРЕКП дозволяє впровадити на законодавчому рівні використання показника складової ТВЕ як офіційного джерела даних. Це забезпечує Регулятору можливість приймати рішення на основі верифікованих експертних висновків та фактичних результатів державного контролю, що критично важливо для ідентифікації аномальних втрат, спричинених збройною агресією.</w:t>
            </w:r>
          </w:p>
        </w:tc>
        <w:tc>
          <w:tcPr>
            <w:tcW w:w="3969" w:type="dxa"/>
            <w:gridSpan w:val="2"/>
          </w:tcPr>
          <w:p w:rsidR="0066270F" w:rsidRPr="005A615E" w:rsidRDefault="0066270F" w:rsidP="0066270F">
            <w:pPr>
              <w:rPr>
                <w:rFonts w:ascii="Times New Roman" w:hAnsi="Times New Roman"/>
                <w:b/>
                <w:sz w:val="24"/>
              </w:rPr>
            </w:pPr>
            <w:r w:rsidRPr="005A615E">
              <w:rPr>
                <w:rFonts w:ascii="Times New Roman" w:hAnsi="Times New Roman"/>
                <w:b/>
                <w:sz w:val="24"/>
              </w:rPr>
              <w:lastRenderedPageBreak/>
              <w:t>Не враховано</w:t>
            </w:r>
          </w:p>
          <w:p w:rsidR="0066270F" w:rsidRPr="005A615E" w:rsidRDefault="0066270F" w:rsidP="0066270F">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jc w:val="both"/>
              <w:rPr>
                <w:rFonts w:ascii="Times New Roman" w:hAnsi="Times New Roman"/>
                <w:b/>
                <w:sz w:val="24"/>
              </w:rPr>
            </w:pPr>
          </w:p>
        </w:tc>
      </w:tr>
      <w:tr w:rsidR="00CF2AC1" w:rsidRPr="005A615E" w:rsidTr="00A56FEE">
        <w:tc>
          <w:tcPr>
            <w:tcW w:w="6232" w:type="dxa"/>
          </w:tcPr>
          <w:p w:rsidR="00CF2AC1" w:rsidRPr="005A615E" w:rsidRDefault="00CF2AC1" w:rsidP="00CF2AC1">
            <w:pPr>
              <w:ind w:firstLine="180"/>
              <w:jc w:val="both"/>
              <w:rPr>
                <w:rFonts w:ascii="Times New Roman" w:hAnsi="Times New Roman"/>
              </w:rPr>
            </w:pPr>
            <w:r w:rsidRPr="005A615E">
              <w:rPr>
                <w:rFonts w:ascii="Times New Roman" w:hAnsi="Times New Roman"/>
              </w:rPr>
              <w:t>2.7. ЕКПТВЕ 2 класу напруги (</w:t>
            </w:r>
            <m:oMath>
              <m:sSubSup>
                <m:sSubSupPr>
                  <m:ctrlPr>
                    <w:rPr>
                      <w:rFonts w:ascii="Cambria Math" w:hAnsi="Cambria Math"/>
                      <w:i/>
                      <w:sz w:val="24"/>
                      <w:szCs w:val="24"/>
                    </w:rPr>
                  </m:ctrlPr>
                </m:sSubSupPr>
                <m:e>
                  <m:r>
                    <w:rPr>
                      <w:rFonts w:ascii="Cambria Math" w:hAnsi="Cambria Math"/>
                      <w:lang w:eastAsia="uk-UA"/>
                    </w:rPr>
                    <m:t>К</m:t>
                  </m:r>
                </m:e>
                <m:sub>
                  <m:r>
                    <w:rPr>
                      <w:rFonts w:ascii="Cambria Math" w:hAnsi="Cambria Math"/>
                      <w:lang w:eastAsia="uk-UA"/>
                    </w:rPr>
                    <m:t>П2</m:t>
                  </m:r>
                </m:sub>
                <m:sup>
                  <m:r>
                    <w:rPr>
                      <w:rFonts w:ascii="Cambria Math" w:hAnsi="Cambria Math"/>
                      <w:lang w:val="en-US" w:eastAsia="uk-UA"/>
                    </w:rPr>
                    <m:t>m</m:t>
                  </m:r>
                </m:sup>
              </m:sSubSup>
            </m:oMath>
            <w:r w:rsidRPr="005A615E">
              <w:rPr>
                <w:rFonts w:ascii="Times New Roman" w:hAnsi="Times New Roman"/>
              </w:rPr>
              <w:t>) визначається за формулою</w:t>
            </w:r>
          </w:p>
          <w:p w:rsidR="00CF2AC1" w:rsidRPr="005A615E" w:rsidRDefault="00CF2AC1" w:rsidP="00CF2AC1">
            <w:pPr>
              <w:ind w:firstLine="180"/>
              <w:jc w:val="both"/>
              <w:rPr>
                <w:rFonts w:ascii="Times New Roman" w:hAnsi="Times New Roman"/>
              </w:rPr>
            </w:pPr>
            <w:r w:rsidRPr="005A615E">
              <w:rPr>
                <w:rFonts w:ascii="Times New Roman" w:hAnsi="Times New Roman"/>
              </w:rPr>
              <w:t xml:space="preserve"> </w:t>
            </w:r>
            <w:r w:rsidRPr="005A615E">
              <w:rPr>
                <w:rFonts w:ascii="Times New Roman" w:hAnsi="Times New Roman"/>
              </w:rPr>
              <w:tab/>
            </w:r>
            <w:r w:rsidRPr="005A615E">
              <w:rPr>
                <w:rFonts w:ascii="Times New Roman" w:hAnsi="Times New Roman"/>
                <w:noProof/>
              </w:rPr>
              <w:drawing>
                <wp:inline distT="0" distB="0" distL="0" distR="0" wp14:anchorId="1CB2EAAD" wp14:editId="16E19E21">
                  <wp:extent cx="2638425" cy="600075"/>
                  <wp:effectExtent l="0" t="0" r="9525" b="9525"/>
                  <wp:docPr id="1993780101" name="Рисунок 199378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38425" cy="600075"/>
                          </a:xfrm>
                          <a:prstGeom prst="rect">
                            <a:avLst/>
                          </a:prstGeom>
                          <a:noFill/>
                          <a:ln>
                            <a:noFill/>
                          </a:ln>
                        </pic:spPr>
                      </pic:pic>
                    </a:graphicData>
                  </a:graphic>
                </wp:inline>
              </w:drawing>
            </w:r>
            <w:r w:rsidRPr="005A615E">
              <w:rPr>
                <w:rFonts w:ascii="Times New Roman" w:hAnsi="Times New Roman"/>
              </w:rPr>
              <w:t>,</w:t>
            </w:r>
            <w:r w:rsidRPr="005A615E">
              <w:rPr>
                <w:rFonts w:ascii="Times New Roman" w:hAnsi="Times New Roman"/>
              </w:rPr>
              <w:tab/>
              <w:t>(1)</w:t>
            </w:r>
          </w:p>
          <w:p w:rsidR="00CF2AC1" w:rsidRPr="005A615E" w:rsidRDefault="00CF2AC1" w:rsidP="00CF2AC1">
            <w:pPr>
              <w:ind w:firstLine="180"/>
              <w:jc w:val="both"/>
              <w:rPr>
                <w:rFonts w:ascii="Times New Roman" w:hAnsi="Times New Roman"/>
              </w:rPr>
            </w:pPr>
            <w:r w:rsidRPr="005A615E">
              <w:rPr>
                <w:rFonts w:ascii="Times New Roman" w:hAnsi="Times New Roman"/>
              </w:rPr>
              <w:t xml:space="preserve">де </w:t>
            </w:r>
            <w:r w:rsidRPr="005A615E">
              <w:rPr>
                <w:rFonts w:ascii="Symbol" w:hAnsi="Symbol"/>
                <w:sz w:val="20"/>
                <w:szCs w:val="20"/>
              </w:rPr>
              <w:t></w:t>
            </w:r>
            <w:r w:rsidRPr="005A615E">
              <w:rPr>
                <w:rFonts w:ascii="Times New Roman" w:hAnsi="Times New Roman"/>
              </w:rPr>
              <w:t>Езв2 -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N 5-НКРЕКП-моніторинг-розподіл та N 1Б-ТВЕ, тис. кВт·год;</w:t>
            </w:r>
          </w:p>
          <w:p w:rsidR="00CF2AC1" w:rsidRPr="005A615E" w:rsidRDefault="00CF2AC1" w:rsidP="00CF2AC1">
            <w:pPr>
              <w:ind w:firstLine="180"/>
              <w:jc w:val="both"/>
              <w:rPr>
                <w:rFonts w:ascii="Times New Roman" w:hAnsi="Times New Roman"/>
              </w:rPr>
            </w:pPr>
            <w:r w:rsidRPr="005A615E">
              <w:rPr>
                <w:rFonts w:ascii="Times New Roman" w:hAnsi="Times New Roman"/>
              </w:rPr>
              <w:t>Ес2 -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N 5-НКРЕКП-моніторинг-розподіл та N 1Б-ТВЕ, тис. кВт·год;</w:t>
            </w:r>
          </w:p>
          <w:p w:rsidR="00CF2AC1" w:rsidRPr="005A615E" w:rsidRDefault="00CF2AC1" w:rsidP="00CF2AC1">
            <w:pPr>
              <w:ind w:firstLine="180"/>
              <w:jc w:val="both"/>
              <w:rPr>
                <w:rFonts w:ascii="Times New Roman" w:hAnsi="Times New Roman"/>
                <w:b/>
              </w:rPr>
            </w:pPr>
            <w:r w:rsidRPr="005A615E">
              <w:rPr>
                <w:rFonts w:ascii="Times New Roman" w:hAnsi="Times New Roman"/>
              </w:rPr>
              <w:t xml:space="preserve">ПЕ2тве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  </w:t>
            </w:r>
            <w:r w:rsidRPr="005A615E">
              <w:rPr>
                <w:rFonts w:ascii="Times New Roman" w:hAnsi="Times New Roman"/>
                <w:b/>
              </w:rPr>
              <w:t>на 2027 рік для ліцензіатів, перелік яких наведено в  додатку 34 до Порядку встановлення (формування) тарифів, значення дорівнює 0;</w:t>
            </w:r>
          </w:p>
          <w:p w:rsidR="00CF2AC1" w:rsidRPr="005A615E" w:rsidRDefault="00CF2AC1" w:rsidP="00CF2AC1">
            <w:pPr>
              <w:ind w:firstLine="180"/>
              <w:jc w:val="both"/>
              <w:rPr>
                <w:rFonts w:ascii="Times New Roman" w:hAnsi="Times New Roman"/>
              </w:rPr>
            </w:pPr>
          </w:p>
          <w:p w:rsidR="00CF2AC1" w:rsidRPr="005A615E" w:rsidRDefault="00CF2AC1" w:rsidP="00CF2AC1">
            <w:pPr>
              <w:ind w:firstLine="180"/>
              <w:jc w:val="both"/>
              <w:rPr>
                <w:rFonts w:ascii="Times New Roman" w:hAnsi="Times New Roman"/>
              </w:rPr>
            </w:pPr>
            <w:r w:rsidRPr="005A615E">
              <w:rPr>
                <w:rFonts w:ascii="Times New Roman" w:hAnsi="Times New Roman"/>
              </w:rPr>
              <w:t>m - порядковий номер року з початку нового регуляторного періоду;</w:t>
            </w:r>
          </w:p>
          <w:p w:rsidR="00CF2AC1" w:rsidRPr="005A615E" w:rsidRDefault="00CF2AC1" w:rsidP="00CF2AC1">
            <w:pPr>
              <w:ind w:firstLine="180"/>
              <w:jc w:val="both"/>
              <w:rPr>
                <w:rFonts w:ascii="Times New Roman" w:hAnsi="Times New Roman"/>
              </w:rPr>
            </w:pPr>
            <w:r w:rsidRPr="005A615E">
              <w:rPr>
                <w:rFonts w:ascii="Times New Roman" w:hAnsi="Times New Roman"/>
              </w:rPr>
              <w:t>n - кількість років регуляторного періоду, у яких значення показника ефективності дорівнювало 0;</w:t>
            </w:r>
          </w:p>
          <w:p w:rsidR="00CF2AC1" w:rsidRPr="005A615E" w:rsidRDefault="00CF2AC1" w:rsidP="00CF2AC1">
            <w:pPr>
              <w:jc w:val="both"/>
              <w:rPr>
                <w:rFonts w:ascii="Times New Roman" w:hAnsi="Times New Roman"/>
              </w:rPr>
            </w:pPr>
            <w:r w:rsidRPr="005A615E">
              <w:rPr>
                <w:rFonts w:ascii="Times New Roman" w:hAnsi="Times New Roman"/>
              </w:rPr>
              <w:t>Ев2 -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N 5-НКРЕКП-моніторинг-розподіл, тис. кВт·год.</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r w:rsidRPr="005A615E">
              <w:rPr>
                <w:rFonts w:ascii="Times New Roman" w:hAnsi="Times New Roman"/>
                <w:b/>
                <w:sz w:val="24"/>
              </w:rPr>
              <w:t>Абзаци відсутні</w:t>
            </w:r>
          </w:p>
          <w:p w:rsidR="00CF2AC1" w:rsidRPr="005A615E" w:rsidRDefault="00CF2AC1" w:rsidP="00CF2AC1">
            <w:pPr>
              <w:jc w:val="both"/>
              <w:rPr>
                <w:rFonts w:ascii="Times New Roman" w:hAnsi="Times New Roman"/>
                <w:b/>
                <w:sz w:val="24"/>
              </w:rPr>
            </w:pPr>
          </w:p>
        </w:tc>
        <w:tc>
          <w:tcPr>
            <w:tcW w:w="5387" w:type="dxa"/>
          </w:tcPr>
          <w:p w:rsidR="00CF2AC1" w:rsidRPr="005A615E" w:rsidRDefault="00CF2AC1" w:rsidP="00CF2AC1">
            <w:pPr>
              <w:spacing w:after="75" w:line="259" w:lineRule="auto"/>
              <w:ind w:firstLine="240"/>
              <w:jc w:val="both"/>
              <w:rPr>
                <w:rFonts w:ascii="Times New Roman" w:hAnsi="Times New Roman"/>
                <w:b/>
                <w:sz w:val="24"/>
                <w:u w:val="single"/>
              </w:rPr>
            </w:pPr>
            <w:r w:rsidRPr="005A615E">
              <w:rPr>
                <w:rFonts w:ascii="Times New Roman" w:hAnsi="Times New Roman"/>
                <w:b/>
                <w:sz w:val="24"/>
                <w:u w:val="single"/>
              </w:rPr>
              <w:lastRenderedPageBreak/>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p>
          <w:p w:rsidR="00CF2AC1" w:rsidRPr="005A615E" w:rsidRDefault="00CF2AC1" w:rsidP="00CF2AC1">
            <w:pPr>
              <w:ind w:firstLine="308"/>
              <w:jc w:val="both"/>
              <w:rPr>
                <w:rFonts w:ascii="Times New Roman" w:hAnsi="Times New Roman"/>
              </w:rPr>
            </w:pPr>
            <w:r w:rsidRPr="005A615E">
              <w:rPr>
                <w:rFonts w:ascii="Times New Roman" w:hAnsi="Times New Roman"/>
              </w:rPr>
              <w:t>2.7. ЕКПТВЕ 2 класу напруги (</w:t>
            </w:r>
            <m:oMath>
              <m:sSubSup>
                <m:sSubSupPr>
                  <m:ctrlPr>
                    <w:rPr>
                      <w:rFonts w:ascii="Cambria Math" w:hAnsi="Cambria Math"/>
                      <w:i/>
                      <w:lang w:eastAsia="uk-UA"/>
                    </w:rPr>
                  </m:ctrlPr>
                </m:sSubSupPr>
                <m:e>
                  <m:r>
                    <w:rPr>
                      <w:rFonts w:ascii="Cambria Math" w:hAnsi="Cambria Math"/>
                      <w:lang w:eastAsia="uk-UA"/>
                    </w:rPr>
                    <m:t>К</m:t>
                  </m:r>
                </m:e>
                <m:sub>
                  <m:r>
                    <w:rPr>
                      <w:rFonts w:ascii="Cambria Math" w:hAnsi="Cambria Math"/>
                      <w:lang w:eastAsia="uk-UA"/>
                    </w:rPr>
                    <m:t>П2</m:t>
                  </m:r>
                </m:sub>
                <m:sup>
                  <m:r>
                    <w:rPr>
                      <w:rFonts w:ascii="Cambria Math" w:hAnsi="Cambria Math"/>
                      <w:lang w:val="en-US" w:eastAsia="uk-UA"/>
                    </w:rPr>
                    <m:t>m</m:t>
                  </m:r>
                </m:sup>
              </m:sSubSup>
            </m:oMath>
            <w:r w:rsidRPr="005A615E">
              <w:rPr>
                <w:rFonts w:ascii="Times New Roman" w:hAnsi="Times New Roman"/>
              </w:rPr>
              <w:t>) визначається за формулою</w:t>
            </w:r>
          </w:p>
          <w:p w:rsidR="00CF2AC1" w:rsidRPr="005A615E" w:rsidRDefault="00CF2AC1" w:rsidP="00CF2AC1">
            <w:pPr>
              <w:ind w:firstLine="308"/>
              <w:jc w:val="both"/>
              <w:rPr>
                <w:rFonts w:ascii="Times New Roman" w:hAnsi="Times New Roman"/>
              </w:rPr>
            </w:pPr>
          </w:p>
          <w:p w:rsidR="00CF2AC1" w:rsidRPr="005A615E" w:rsidRDefault="00CF2AC1" w:rsidP="00CF2AC1">
            <w:pPr>
              <w:ind w:firstLine="308"/>
              <w:jc w:val="both"/>
              <w:rPr>
                <w:rFonts w:ascii="Times New Roman" w:hAnsi="Times New Roman"/>
                <w:lang w:val="en-US"/>
              </w:rPr>
            </w:pPr>
            <w:r w:rsidRPr="005A615E">
              <w:rPr>
                <w:rFonts w:ascii="Times New Roman" w:hAnsi="Times New Roman"/>
                <w:noProof/>
              </w:rPr>
              <w:drawing>
                <wp:inline distT="0" distB="0" distL="0" distR="0" wp14:anchorId="687C2310" wp14:editId="7D5A1D29">
                  <wp:extent cx="2247900" cy="507939"/>
                  <wp:effectExtent l="0" t="0" r="0" b="6985"/>
                  <wp:docPr id="1230892415" name="Рисунок 123089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65596" cy="511938"/>
                          </a:xfrm>
                          <a:prstGeom prst="rect">
                            <a:avLst/>
                          </a:prstGeom>
                        </pic:spPr>
                      </pic:pic>
                    </a:graphicData>
                  </a:graphic>
                </wp:inline>
              </w:drawing>
            </w:r>
          </w:p>
          <w:p w:rsidR="00CF2AC1" w:rsidRPr="005A615E" w:rsidRDefault="00CF2AC1" w:rsidP="00CF2AC1">
            <w:pPr>
              <w:ind w:firstLine="308"/>
              <w:jc w:val="both"/>
              <w:rPr>
                <w:rFonts w:ascii="Times New Roman" w:hAnsi="Times New Roman"/>
                <w:b/>
                <w:bCs/>
              </w:rPr>
            </w:pPr>
            <w:r w:rsidRPr="005A615E">
              <w:rPr>
                <w:rFonts w:ascii="Times New Roman" w:hAnsi="Times New Roman"/>
                <w:b/>
                <w:bCs/>
              </w:rPr>
              <w:t>Для першого регуляторного періоду:</w:t>
            </w:r>
          </w:p>
          <w:p w:rsidR="00CF2AC1" w:rsidRPr="005A615E" w:rsidRDefault="00CF2AC1" w:rsidP="00CF2AC1">
            <w:pPr>
              <w:ind w:firstLine="308"/>
              <w:jc w:val="both"/>
              <w:rPr>
                <w:rFonts w:ascii="Times New Roman" w:hAnsi="Times New Roman"/>
              </w:rPr>
            </w:pPr>
            <w:r w:rsidRPr="005A615E">
              <w:rPr>
                <w:rFonts w:ascii="Symbol" w:hAnsi="Symbol"/>
                <w:sz w:val="20"/>
                <w:szCs w:val="20"/>
              </w:rPr>
              <w:lastRenderedPageBreak/>
              <w:t></w:t>
            </w:r>
            <w:r w:rsidRPr="005A615E">
              <w:rPr>
                <w:rFonts w:ascii="Times New Roman" w:hAnsi="Times New Roman"/>
                <w:sz w:val="20"/>
                <w:szCs w:val="20"/>
              </w:rPr>
              <w:t>Езв2</w:t>
            </w:r>
            <w:r w:rsidRPr="005A615E">
              <w:rPr>
                <w:rFonts w:ascii="Times New Roman" w:hAnsi="Times New Roman"/>
              </w:rPr>
              <w:t>-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N 5-НКРЕКП-моніторинг-розподіл та N 1Б-ТВЕ, тис. кВт·год;</w:t>
            </w:r>
          </w:p>
          <w:p w:rsidR="00CF2AC1" w:rsidRPr="005A615E" w:rsidRDefault="00CF2AC1" w:rsidP="00CF2AC1">
            <w:pPr>
              <w:ind w:firstLine="180"/>
              <w:jc w:val="both"/>
              <w:rPr>
                <w:rFonts w:ascii="Times New Roman" w:hAnsi="Times New Roman"/>
              </w:rPr>
            </w:pPr>
            <w:r w:rsidRPr="005A615E">
              <w:rPr>
                <w:rFonts w:ascii="Times New Roman" w:hAnsi="Times New Roman"/>
              </w:rPr>
              <w:t>Ес2 -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N 5-НКРЕКП-моніторинг-розподіл та N 1Б-ТВЕ, тис. кВт·год;</w:t>
            </w:r>
          </w:p>
          <w:p w:rsidR="00CF2AC1" w:rsidRPr="005A615E" w:rsidRDefault="00CF2AC1" w:rsidP="00CF2AC1">
            <w:pPr>
              <w:ind w:firstLine="180"/>
              <w:jc w:val="both"/>
              <w:rPr>
                <w:rFonts w:ascii="Times New Roman" w:hAnsi="Times New Roman"/>
              </w:rPr>
            </w:pPr>
            <w:r w:rsidRPr="005A615E">
              <w:rPr>
                <w:rFonts w:ascii="Times New Roman" w:hAnsi="Times New Roman"/>
              </w:rPr>
              <w:t>ПЕ2</w:t>
            </w:r>
            <w:r w:rsidRPr="005A615E">
              <w:rPr>
                <w:rFonts w:ascii="Times New Roman" w:hAnsi="Times New Roman"/>
                <w:vertAlign w:val="superscript"/>
              </w:rPr>
              <w:t>тве</w:t>
            </w:r>
            <w:r w:rsidRPr="005A615E">
              <w:rPr>
                <w:rFonts w:ascii="Times New Roman" w:hAnsi="Times New Roman"/>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w:t>
            </w:r>
            <w:r w:rsidRPr="005A615E">
              <w:rPr>
                <w:rFonts w:ascii="Times New Roman" w:hAnsi="Times New Roman"/>
                <w:b/>
              </w:rPr>
              <w:t xml:space="preserve"> </w:t>
            </w:r>
            <w:r w:rsidRPr="005A615E">
              <w:rPr>
                <w:rFonts w:ascii="Times New Roman" w:hAnsi="Times New Roman"/>
                <w:b/>
                <w:strike/>
              </w:rPr>
              <w:t>на 2027 рік для ліцензіатів, перелік яких наведено в  додатку 34 до Порядку встановлення (формування) тарифів, значення дорівнює 0;</w:t>
            </w:r>
            <w:r w:rsidRPr="005A615E">
              <w:rPr>
                <w:rFonts w:ascii="Times New Roman" w:hAnsi="Times New Roman"/>
              </w:rPr>
              <w:t>.</w:t>
            </w:r>
          </w:p>
          <w:p w:rsidR="00CF2AC1" w:rsidRPr="005A615E" w:rsidRDefault="00CF2AC1" w:rsidP="00CF2AC1">
            <w:pPr>
              <w:ind w:firstLine="180"/>
              <w:jc w:val="both"/>
              <w:rPr>
                <w:rFonts w:ascii="Times New Roman" w:hAnsi="Times New Roman"/>
              </w:rPr>
            </w:pPr>
          </w:p>
          <w:p w:rsidR="00CF2AC1" w:rsidRPr="005A615E" w:rsidRDefault="00CF2AC1" w:rsidP="00CF2AC1">
            <w:pPr>
              <w:ind w:firstLine="308"/>
              <w:jc w:val="both"/>
              <w:rPr>
                <w:rFonts w:ascii="Times New Roman" w:hAnsi="Times New Roman"/>
                <w:b/>
                <w:bCs/>
              </w:rPr>
            </w:pPr>
            <w:r w:rsidRPr="005A615E">
              <w:rPr>
                <w:rFonts w:ascii="Times New Roman" w:hAnsi="Times New Roman"/>
                <w:b/>
                <w:bCs/>
              </w:rPr>
              <w:t>Для другого регуляторного періоду:</w:t>
            </w:r>
          </w:p>
          <w:p w:rsidR="00CF2AC1" w:rsidRPr="005A615E" w:rsidRDefault="00CF2AC1" w:rsidP="00CF2AC1">
            <w:pPr>
              <w:ind w:firstLine="308"/>
              <w:jc w:val="both"/>
              <w:rPr>
                <w:rFonts w:ascii="Times New Roman" w:hAnsi="Times New Roman"/>
                <w:b/>
                <w:bCs/>
              </w:rPr>
            </w:pPr>
            <w:r w:rsidRPr="005A615E">
              <w:rPr>
                <w:rFonts w:ascii="Symbol" w:hAnsi="Symbol"/>
                <w:b/>
                <w:bCs/>
                <w:sz w:val="20"/>
                <w:szCs w:val="20"/>
              </w:rPr>
              <w:t></w:t>
            </w:r>
            <w:r w:rsidRPr="005A615E">
              <w:rPr>
                <w:rFonts w:ascii="Times New Roman" w:hAnsi="Times New Roman"/>
                <w:b/>
                <w:bCs/>
                <w:sz w:val="20"/>
                <w:szCs w:val="20"/>
              </w:rPr>
              <w:t>Е</w:t>
            </w:r>
            <w:r w:rsidRPr="005A615E">
              <w:rPr>
                <w:rFonts w:ascii="Times New Roman" w:hAnsi="Times New Roman"/>
                <w:b/>
                <w:bCs/>
                <w:sz w:val="20"/>
                <w:szCs w:val="20"/>
                <w:vertAlign w:val="superscript"/>
              </w:rPr>
              <w:t>зв</w:t>
            </w:r>
            <w:r w:rsidRPr="005A615E">
              <w:rPr>
                <w:rFonts w:ascii="Times New Roman" w:hAnsi="Times New Roman"/>
                <w:b/>
                <w:bCs/>
                <w:sz w:val="20"/>
                <w:szCs w:val="20"/>
              </w:rPr>
              <w:t xml:space="preserve">2 </w:t>
            </w:r>
            <w:r w:rsidRPr="005A615E">
              <w:rPr>
                <w:rFonts w:ascii="Times New Roman" w:hAnsi="Times New Roman"/>
                <w:b/>
                <w:bCs/>
              </w:rPr>
              <w:t xml:space="preserve">- середні за три завершені річні періоди (січень - грудень) звітні фактичні витрати електричної енергії на 2 класі напруги відповідно до форм звітності N 5-НКРЕКП-моніторинг-розподіл та N 1Б-ТВЕ, </w:t>
            </w:r>
            <w:r w:rsidRPr="005A615E">
              <w:rPr>
                <w:rFonts w:ascii="Times New Roman" w:hAnsi="Times New Roman"/>
                <w:b/>
                <w:bCs/>
                <w:u w:val="single"/>
              </w:rPr>
              <w:t>що використовувались для розрахунку ЕКПТВЕ на перший регуляторний період</w:t>
            </w:r>
            <w:r w:rsidRPr="005A615E">
              <w:rPr>
                <w:rFonts w:ascii="Times New Roman" w:hAnsi="Times New Roman"/>
                <w:b/>
                <w:bCs/>
              </w:rPr>
              <w:t xml:space="preserve"> тис. кВт·год;</w:t>
            </w:r>
          </w:p>
          <w:p w:rsidR="00CF2AC1" w:rsidRPr="005A615E" w:rsidRDefault="00CF2AC1" w:rsidP="00CF2AC1">
            <w:pPr>
              <w:ind w:firstLine="180"/>
              <w:jc w:val="both"/>
              <w:rPr>
                <w:rFonts w:ascii="Times New Roman" w:hAnsi="Times New Roman"/>
                <w:b/>
                <w:bCs/>
              </w:rPr>
            </w:pPr>
            <w:r w:rsidRPr="005A615E">
              <w:rPr>
                <w:rFonts w:ascii="Times New Roman" w:hAnsi="Times New Roman"/>
                <w:b/>
                <w:bCs/>
              </w:rPr>
              <w:t>Е</w:t>
            </w:r>
            <w:r w:rsidRPr="005A615E">
              <w:rPr>
                <w:rFonts w:ascii="Times New Roman" w:hAnsi="Times New Roman"/>
                <w:b/>
                <w:bCs/>
                <w:vertAlign w:val="superscript"/>
              </w:rPr>
              <w:t>с2</w:t>
            </w:r>
            <w:r w:rsidRPr="005A615E">
              <w:rPr>
                <w:rFonts w:ascii="Times New Roman" w:hAnsi="Times New Roman"/>
                <w:b/>
                <w:bCs/>
              </w:rPr>
              <w:t xml:space="preserve"> - середні за три завершені річні періоди (січень - грудень) обсяги розподілу електричної енергії </w:t>
            </w:r>
            <w:r w:rsidRPr="005A615E">
              <w:rPr>
                <w:rFonts w:ascii="Times New Roman" w:hAnsi="Times New Roman"/>
                <w:b/>
                <w:bCs/>
              </w:rPr>
              <w:lastRenderedPageBreak/>
              <w:t xml:space="preserve">споживачам на 2 класі напруги відповідно до форм звітності N 5-НКРЕКП-моніторинг-розподіл та N 1Б-ТВЕ, </w:t>
            </w:r>
            <w:r w:rsidRPr="005A615E">
              <w:rPr>
                <w:rFonts w:ascii="Times New Roman" w:hAnsi="Times New Roman"/>
                <w:b/>
                <w:bCs/>
                <w:u w:val="single"/>
              </w:rPr>
              <w:t>що використовувались для розрахунку ЕКПТВЕ на перший регуляторний період</w:t>
            </w:r>
            <w:r w:rsidRPr="005A615E">
              <w:rPr>
                <w:rFonts w:ascii="Times New Roman" w:hAnsi="Times New Roman"/>
                <w:b/>
                <w:bCs/>
              </w:rPr>
              <w:t>, тис. кВт·год;</w:t>
            </w:r>
          </w:p>
          <w:p w:rsidR="00CF2AC1" w:rsidRPr="005A615E" w:rsidRDefault="00CF2AC1" w:rsidP="00CF2AC1">
            <w:pPr>
              <w:jc w:val="both"/>
              <w:rPr>
                <w:rFonts w:ascii="Times New Roman" w:hAnsi="Times New Roman"/>
                <w:b/>
                <w:bCs/>
              </w:rPr>
            </w:pPr>
            <w:r w:rsidRPr="005A615E">
              <w:rPr>
                <w:rFonts w:ascii="Times New Roman" w:hAnsi="Times New Roman"/>
                <w:b/>
                <w:bCs/>
              </w:rPr>
              <w:t>ПЕ</w:t>
            </w:r>
            <w:r w:rsidRPr="005A615E">
              <w:rPr>
                <w:rFonts w:ascii="Times New Roman" w:hAnsi="Times New Roman"/>
                <w:b/>
                <w:bCs/>
                <w:vertAlign w:val="superscript"/>
              </w:rPr>
              <w:t>2тве</w:t>
            </w:r>
            <w:r w:rsidRPr="005A615E">
              <w:rPr>
                <w:rFonts w:ascii="Times New Roman" w:hAnsi="Times New Roman"/>
                <w:b/>
                <w:bCs/>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w:t>
            </w:r>
          </w:p>
          <w:p w:rsidR="00CF2AC1" w:rsidRPr="005A615E" w:rsidRDefault="00CF2AC1" w:rsidP="00CF2AC1">
            <w:pPr>
              <w:jc w:val="both"/>
              <w:rPr>
                <w:rFonts w:ascii="Times New Roman" w:hAnsi="Times New Roman"/>
                <w:b/>
                <w:bCs/>
              </w:rPr>
            </w:pPr>
            <w:r w:rsidRPr="005A615E">
              <w:rPr>
                <w:rFonts w:ascii="Times New Roman" w:hAnsi="Times New Roman"/>
                <w:b/>
                <w:bCs/>
              </w:rPr>
              <w:t xml:space="preserve">Якщо оператор системи розподілу не переходить на стимулююче регулювання, то значення дорівнює 1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  </w:t>
            </w:r>
            <w:r w:rsidRPr="005A615E">
              <w:rPr>
                <w:rFonts w:ascii="Times New Roman" w:hAnsi="Times New Roman"/>
                <w:b/>
                <w:bCs/>
                <w:u w:val="single"/>
              </w:rPr>
              <w:t>на 2027 рік та двох років після закінчення воєнного стану для ліцензіатів, перелік яких наведено в  додатку 34 до Порядку встановлення (формування) тарифів, значення дорівнює 0</w:t>
            </w:r>
            <w:r w:rsidRPr="005A615E">
              <w:rPr>
                <w:rFonts w:ascii="Times New Roman" w:hAnsi="Times New Roman"/>
                <w:b/>
                <w:bCs/>
              </w:rPr>
              <w:t>;</w:t>
            </w:r>
          </w:p>
          <w:p w:rsidR="00CF2AC1" w:rsidRPr="005A615E" w:rsidRDefault="00CF2AC1" w:rsidP="00CF2AC1">
            <w:pPr>
              <w:ind w:firstLine="180"/>
              <w:jc w:val="both"/>
              <w:rPr>
                <w:rFonts w:ascii="Times New Roman" w:hAnsi="Times New Roman"/>
              </w:rPr>
            </w:pPr>
            <w:r w:rsidRPr="005A615E">
              <w:rPr>
                <w:rFonts w:ascii="Times New Roman" w:hAnsi="Times New Roman"/>
                <w:b/>
                <w:bCs/>
              </w:rPr>
              <w:t xml:space="preserve">Ев2 </w:t>
            </w:r>
            <w:r w:rsidRPr="005A615E">
              <w:rPr>
                <w:rFonts w:ascii="Times New Roman" w:hAnsi="Times New Roman"/>
                <w:b/>
                <w:bCs/>
                <w:u w:val="single"/>
              </w:rPr>
              <w:t>на другий регуляторний період приймається рівним нулю</w:t>
            </w:r>
            <w:r w:rsidRPr="005A615E">
              <w:rPr>
                <w:rFonts w:ascii="Times New Roman" w:hAnsi="Times New Roman"/>
              </w:rPr>
              <w:t>.</w:t>
            </w:r>
          </w:p>
          <w:p w:rsidR="00CF2AC1" w:rsidRPr="005A615E" w:rsidRDefault="00CF2AC1" w:rsidP="00CF2AC1">
            <w:pPr>
              <w:ind w:firstLine="180"/>
              <w:jc w:val="both"/>
              <w:rPr>
                <w:rFonts w:ascii="Times New Roman" w:hAnsi="Times New Roman"/>
                <w:b/>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Пропонується визначити підхід для 1 та 2 регуляторних періодів.</w:t>
            </w:r>
          </w:p>
          <w:p w:rsidR="00CF2AC1" w:rsidRPr="005A615E" w:rsidRDefault="00CF2AC1" w:rsidP="00CF2AC1">
            <w:pPr>
              <w:ind w:firstLine="216"/>
              <w:jc w:val="both"/>
              <w:rPr>
                <w:rFonts w:ascii="Times New Roman" w:hAnsi="Times New Roman"/>
              </w:rPr>
            </w:pPr>
            <w:r w:rsidRPr="005A615E">
              <w:rPr>
                <w:rFonts w:ascii="Times New Roman" w:hAnsi="Times New Roman"/>
              </w:rPr>
              <w:t>Також пропонується уточнення з урахуванням запропонованого Регулятором підходу щодо визначення ЕКПТВЕ на 2 регуляторний період на базі даних, що застосовувалися для розрахунку 1-го регуляторного періоду.</w:t>
            </w:r>
          </w:p>
          <w:p w:rsidR="00CF2AC1" w:rsidRPr="005A615E" w:rsidRDefault="00CF2AC1" w:rsidP="00CF2AC1">
            <w:pPr>
              <w:ind w:firstLine="216"/>
              <w:jc w:val="both"/>
              <w:rPr>
                <w:rFonts w:ascii="Times New Roman" w:hAnsi="Times New Roman"/>
                <w:shd w:val="clear" w:color="auto" w:fill="FFFFFF"/>
              </w:rPr>
            </w:pPr>
            <w:r w:rsidRPr="005A615E">
              <w:rPr>
                <w:rFonts w:ascii="Times New Roman" w:hAnsi="Times New Roman"/>
              </w:rPr>
              <w:t xml:space="preserve">У зв’язку </w:t>
            </w:r>
            <w:r w:rsidRPr="005A615E">
              <w:rPr>
                <w:rFonts w:ascii="Times New Roman" w:hAnsi="Times New Roman"/>
                <w:bCs/>
              </w:rPr>
              <w:t xml:space="preserve">знищенням/критичними пошкодженнями об’єктів Генерації та електричних мереж, окупацію територій, зміною структури розподілу (внутрішньої міграції населення та підприємств, зупинки </w:t>
            </w:r>
            <w:r w:rsidRPr="005A615E">
              <w:rPr>
                <w:rFonts w:ascii="Times New Roman" w:hAnsi="Times New Roman"/>
                <w:bCs/>
              </w:rPr>
              <w:lastRenderedPageBreak/>
              <w:t>виробництв через довгострокове порушення логістичних шляхів), резерви для зниження ТВЕ для ОСР, що зафіксовані у додатку 34, вичерпані, необхідний час для відновлення роботи енергогенеруючих підприємств та відновлення пошкодженого/зруйнованого енергогосподарства.</w:t>
            </w:r>
          </w:p>
          <w:p w:rsidR="00CF2AC1" w:rsidRPr="005A615E" w:rsidRDefault="00CF2AC1" w:rsidP="00CF2AC1">
            <w:pPr>
              <w:ind w:firstLine="216"/>
              <w:jc w:val="both"/>
              <w:rPr>
                <w:rFonts w:ascii="Times New Roman" w:hAnsi="Times New Roman"/>
              </w:rPr>
            </w:pPr>
            <w:r w:rsidRPr="005A615E">
              <w:rPr>
                <w:rFonts w:ascii="Times New Roman" w:hAnsi="Times New Roman"/>
              </w:rPr>
              <w:t xml:space="preserve">Також, показник Ев2 пропонується визначити на нульовому рівні (обсяги електричної енергії на 2 класі напруги, спожитої споживачами без електропостачальника) </w:t>
            </w:r>
            <w:r w:rsidRPr="005A615E">
              <w:rPr>
                <w:rFonts w:ascii="Times New Roman" w:hAnsi="Times New Roman"/>
                <w:u w:val="single"/>
              </w:rPr>
              <w:t>у зв’язку з відсутністю таких обсягів у 2017-2019рр</w:t>
            </w:r>
            <w:r w:rsidRPr="005A615E">
              <w:rPr>
                <w:rFonts w:ascii="Times New Roman" w:hAnsi="Times New Roman"/>
              </w:rPr>
              <w:t>.</w:t>
            </w:r>
          </w:p>
          <w:p w:rsidR="00CF2AC1" w:rsidRPr="005A615E" w:rsidRDefault="00CF2AC1" w:rsidP="00CF2AC1">
            <w:pPr>
              <w:ind w:firstLine="216"/>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 ПрАТ «Кіровоградобленерго» (лист від 27.07.2026  № 3919/05/34)</w:t>
            </w:r>
          </w:p>
          <w:p w:rsidR="00CF2AC1" w:rsidRPr="005A615E" w:rsidRDefault="00CF2AC1" w:rsidP="00CF2AC1">
            <w:pPr>
              <w:jc w:val="both"/>
              <w:rPr>
                <w:rFonts w:ascii="Times New Roman" w:hAnsi="Times New Roman"/>
                <w:b/>
                <w:sz w:val="24"/>
                <w:u w:val="single"/>
              </w:rPr>
            </w:pPr>
          </w:p>
          <w:p w:rsidR="00CF2AC1" w:rsidRPr="005A615E" w:rsidRDefault="00CF2AC1" w:rsidP="00CF2AC1">
            <w:pPr>
              <w:ind w:firstLine="180"/>
              <w:jc w:val="both"/>
              <w:rPr>
                <w:rFonts w:ascii="Times New Roman" w:hAnsi="Times New Roman"/>
              </w:rPr>
            </w:pPr>
            <w:r w:rsidRPr="005A615E">
              <w:rPr>
                <w:rFonts w:ascii="Times New Roman" w:hAnsi="Times New Roman"/>
              </w:rPr>
              <w:t>2.7. ЕКПТВЕ 2 класу напруги (</w:t>
            </w:r>
            <m:oMath>
              <m:sSubSup>
                <m:sSubSupPr>
                  <m:ctrlPr>
                    <w:rPr>
                      <w:rFonts w:ascii="Cambria Math" w:hAnsi="Cambria Math"/>
                      <w:i/>
                      <w:sz w:val="24"/>
                      <w:szCs w:val="24"/>
                    </w:rPr>
                  </m:ctrlPr>
                </m:sSubSupPr>
                <m:e>
                  <m:r>
                    <w:rPr>
                      <w:rFonts w:ascii="Cambria Math" w:hAnsi="Cambria Math"/>
                      <w:lang w:eastAsia="uk-UA"/>
                    </w:rPr>
                    <m:t>К</m:t>
                  </m:r>
                </m:e>
                <m:sub>
                  <m:r>
                    <w:rPr>
                      <w:rFonts w:ascii="Cambria Math" w:hAnsi="Cambria Math"/>
                      <w:lang w:eastAsia="uk-UA"/>
                    </w:rPr>
                    <m:t>П2</m:t>
                  </m:r>
                </m:sub>
                <m:sup>
                  <m:r>
                    <w:rPr>
                      <w:rFonts w:ascii="Cambria Math" w:hAnsi="Cambria Math"/>
                      <w:lang w:val="en-US" w:eastAsia="uk-UA"/>
                    </w:rPr>
                    <m:t>m</m:t>
                  </m:r>
                </m:sup>
              </m:sSubSup>
            </m:oMath>
            <w:r w:rsidRPr="005A615E">
              <w:rPr>
                <w:rFonts w:ascii="Times New Roman" w:hAnsi="Times New Roman"/>
              </w:rPr>
              <w:t>) визначається за формулою</w:t>
            </w:r>
          </w:p>
          <w:p w:rsidR="00CF2AC1" w:rsidRPr="005A615E" w:rsidRDefault="00CF2AC1" w:rsidP="00CF2AC1">
            <w:pPr>
              <w:ind w:firstLine="180"/>
              <w:jc w:val="both"/>
              <w:rPr>
                <w:rFonts w:ascii="Times New Roman" w:hAnsi="Times New Roman"/>
              </w:rPr>
            </w:pPr>
            <w:r w:rsidRPr="005A615E">
              <w:rPr>
                <w:rFonts w:ascii="Times New Roman" w:hAnsi="Times New Roman"/>
              </w:rPr>
              <w:t xml:space="preserve"> </w:t>
            </w:r>
            <w:r w:rsidRPr="005A615E">
              <w:rPr>
                <w:rFonts w:ascii="Times New Roman" w:hAnsi="Times New Roman"/>
                <w:noProof/>
                <w:lang w:eastAsia="uk-UA"/>
              </w:rPr>
              <w:drawing>
                <wp:inline distT="0" distB="0" distL="0" distR="0" wp14:anchorId="051DB3DF" wp14:editId="5F8A1CCB">
                  <wp:extent cx="2225040" cy="502773"/>
                  <wp:effectExtent l="0" t="0" r="3810" b="0"/>
                  <wp:docPr id="423835328" name="Рисунок 423835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64054" cy="511589"/>
                          </a:xfrm>
                          <a:prstGeom prst="rect">
                            <a:avLst/>
                          </a:prstGeom>
                        </pic:spPr>
                      </pic:pic>
                    </a:graphicData>
                  </a:graphic>
                </wp:inline>
              </w:drawing>
            </w:r>
            <w:r w:rsidRPr="005A615E">
              <w:rPr>
                <w:rFonts w:ascii="Times New Roman" w:hAnsi="Times New Roman"/>
              </w:rPr>
              <w:t>,</w:t>
            </w:r>
            <w:r w:rsidRPr="005A615E">
              <w:rPr>
                <w:rFonts w:ascii="Times New Roman" w:hAnsi="Times New Roman"/>
              </w:rPr>
              <w:tab/>
              <w:t>(1)</w:t>
            </w:r>
          </w:p>
          <w:p w:rsidR="00CF2AC1" w:rsidRPr="005A615E" w:rsidRDefault="00CF2AC1" w:rsidP="00CF2AC1">
            <w:pPr>
              <w:ind w:firstLine="180"/>
              <w:jc w:val="both"/>
              <w:rPr>
                <w:rFonts w:ascii="Times New Roman" w:hAnsi="Times New Roman"/>
              </w:rPr>
            </w:pPr>
            <w:r w:rsidRPr="005A615E">
              <w:rPr>
                <w:rFonts w:ascii="Times New Roman" w:hAnsi="Times New Roman"/>
              </w:rPr>
              <w:t>де …</w:t>
            </w:r>
          </w:p>
          <w:p w:rsidR="00CF2AC1" w:rsidRPr="005A615E" w:rsidRDefault="00CF2AC1" w:rsidP="00CF2AC1">
            <w:pPr>
              <w:ind w:firstLine="180"/>
              <w:jc w:val="both"/>
              <w:rPr>
                <w:rFonts w:ascii="Times New Roman" w:hAnsi="Times New Roman"/>
                <w:b/>
              </w:rPr>
            </w:pPr>
            <w:r w:rsidRPr="005A615E">
              <w:rPr>
                <w:rFonts w:ascii="Times New Roman" w:hAnsi="Times New Roman"/>
              </w:rPr>
              <w:t>ПЕ2тве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  на 2027 рік для ліцензіатів, перелік яких наведено в  додатку 34</w:t>
            </w:r>
            <w:r w:rsidRPr="005A615E">
              <w:rPr>
                <w:rFonts w:ascii="Times New Roman" w:hAnsi="Times New Roman"/>
                <w:b/>
              </w:rPr>
              <w:t xml:space="preserve"> та додатку 35 </w:t>
            </w:r>
            <w:r w:rsidRPr="005A615E">
              <w:rPr>
                <w:rFonts w:ascii="Times New Roman" w:hAnsi="Times New Roman"/>
              </w:rPr>
              <w:t>до Порядку встановлення (формування) тарифів, значення дорівнює 0;</w:t>
            </w:r>
          </w:p>
          <w:p w:rsidR="00CF2AC1" w:rsidRPr="005A615E" w:rsidRDefault="00CF2AC1" w:rsidP="00CF2AC1">
            <w:pPr>
              <w:ind w:firstLine="180"/>
              <w:jc w:val="both"/>
              <w:rPr>
                <w:rFonts w:ascii="Times New Roman" w:hAnsi="Times New Roman"/>
                <w:b/>
                <w:sz w:val="24"/>
                <w:u w:val="single"/>
              </w:rPr>
            </w:pPr>
            <w:r w:rsidRPr="005A615E">
              <w:lastRenderedPageBreak/>
              <w:t>…</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suppressAutoHyphens/>
              <w:ind w:firstLine="226"/>
              <w:jc w:val="both"/>
              <w:rPr>
                <w:rFonts w:ascii="Times New Roman" w:hAnsi="Times New Roman"/>
                <w:lang w:eastAsia="ar-SA"/>
              </w:rPr>
            </w:pPr>
            <w:r w:rsidRPr="005A615E">
              <w:rPr>
                <w:rFonts w:ascii="Times New Roman" w:hAnsi="Times New Roman"/>
                <w:lang w:eastAsia="ar-SA"/>
              </w:rPr>
              <w:t>Внаслідок відсутності в структурі тарифів норми прибутку протягом 2024-2026 років, Товариство мало критично зменшені обсяги фінансування Інвестиційної програми - на 326 млн.грн. у 2024-2026 роках. Застосування обмежувальних економічних заходів у періоді 2023-2025 років призвело до фактичного блокування фінансово-господарської діяльності Товариства. Через це ПрАТ «Рівнеобленерго» був повністю позбавлений фінансової та операційної можливості виконати в повному обсязі заходи Розділу 2 Інвестиційних програм («Зниження технологічних витрат електричної енергії в електричних мережах»), які безпосередньо та виключно спрямовані на технологічне зниження втрат.</w:t>
            </w:r>
          </w:p>
          <w:p w:rsidR="00CF2AC1" w:rsidRPr="005A615E" w:rsidRDefault="00CF2AC1" w:rsidP="00CF2AC1">
            <w:pPr>
              <w:suppressAutoHyphens/>
              <w:ind w:firstLine="226"/>
              <w:jc w:val="both"/>
              <w:rPr>
                <w:rFonts w:ascii="Times New Roman" w:hAnsi="Times New Roman"/>
                <w:lang w:eastAsia="ar-SA"/>
              </w:rPr>
            </w:pPr>
            <w:r w:rsidRPr="005A615E">
              <w:rPr>
                <w:rFonts w:ascii="Times New Roman" w:hAnsi="Times New Roman"/>
                <w:lang w:eastAsia="ar-SA"/>
              </w:rPr>
              <w:t xml:space="preserve">Показники ефективності ТВЕ, закладені в параметрах першого регуляторного періоду, розраховувалися виходячи з умов повноцінного та безперебійного фінансування капітальних витрат. </w:t>
            </w:r>
          </w:p>
          <w:p w:rsidR="00CF2AC1" w:rsidRPr="005A615E" w:rsidRDefault="00CF2AC1" w:rsidP="00CF2AC1">
            <w:pPr>
              <w:suppressAutoHyphens/>
              <w:ind w:firstLine="226"/>
              <w:jc w:val="both"/>
              <w:rPr>
                <w:rFonts w:ascii="Times New Roman" w:hAnsi="Times New Roman"/>
                <w:i/>
                <w:lang w:eastAsia="ar-SA"/>
              </w:rPr>
            </w:pPr>
            <w:r w:rsidRPr="005A615E">
              <w:rPr>
                <w:rFonts w:ascii="Times New Roman" w:hAnsi="Times New Roman"/>
                <w:i/>
                <w:lang w:eastAsia="ar-SA"/>
              </w:rPr>
              <w:t>Примусове зниження втрат для Товариства у 2027 році за відсутності базового фінансування протягом першого регуляторного періоду суперечить принципам економічної обґрунтованості та технічної реалістичності.</w:t>
            </w:r>
          </w:p>
          <w:p w:rsidR="00CF2AC1" w:rsidRPr="005A615E" w:rsidRDefault="00CF2AC1" w:rsidP="00CF2AC1">
            <w:pPr>
              <w:suppressAutoHyphens/>
              <w:ind w:firstLine="226"/>
              <w:jc w:val="both"/>
              <w:rPr>
                <w:rFonts w:ascii="Times New Roman" w:hAnsi="Times New Roman"/>
                <w:b/>
                <w:lang w:eastAsia="ar-SA"/>
              </w:rPr>
            </w:pPr>
            <w:r w:rsidRPr="005A615E">
              <w:rPr>
                <w:rFonts w:ascii="Times New Roman" w:hAnsi="Times New Roman"/>
                <w:lang w:eastAsia="ar-SA"/>
              </w:rPr>
              <w:t xml:space="preserve">Зважаючи на об’єктивні причини неможливості модернізації мереж відносно заявлених в умовах першого регуляторного періоду стимулюючого регулювання </w:t>
            </w:r>
            <w:r w:rsidRPr="005A615E">
              <w:rPr>
                <w:rFonts w:ascii="Times New Roman" w:hAnsi="Times New Roman"/>
                <w:b/>
                <w:lang w:eastAsia="ar-SA"/>
              </w:rPr>
              <w:t>Товариство висловлює прохання зробити виключення для ОСР з Додатку 35 і визначити для них показник ефективності ТВЕ для 1,2 класу напруги на рівні 0 відносних одиниць на 2027 рік.</w:t>
            </w:r>
          </w:p>
          <w:p w:rsidR="00CF2AC1" w:rsidRPr="005A615E" w:rsidRDefault="00CF2AC1" w:rsidP="00CF2AC1">
            <w:pPr>
              <w:suppressAutoHyphens/>
              <w:ind w:firstLine="226"/>
              <w:jc w:val="both"/>
              <w:rPr>
                <w:rFonts w:ascii="Times New Roman" w:hAnsi="Times New Roman"/>
                <w:b/>
                <w:sz w:val="24"/>
              </w:rPr>
            </w:pPr>
          </w:p>
          <w:p w:rsidR="00CF2AC1" w:rsidRPr="005A615E" w:rsidRDefault="00CF2AC1" w:rsidP="00CF2AC1">
            <w:pPr>
              <w:rPr>
                <w:b/>
                <w:i/>
                <w:u w:val="single"/>
              </w:rPr>
            </w:pPr>
            <w:r w:rsidRPr="005A615E">
              <w:rPr>
                <w:b/>
                <w:i/>
                <w:u w:val="single"/>
              </w:rPr>
              <w:t>Обгрунтування</w:t>
            </w:r>
            <w:r w:rsidRPr="005A615E">
              <w:rPr>
                <w:rFonts w:ascii="Times New Roman" w:hAnsi="Times New Roman"/>
                <w:b/>
                <w:sz w:val="24"/>
                <w:u w:val="single"/>
              </w:rPr>
              <w:t xml:space="preserve"> ПрАТ «Кіровоградобленерго»</w:t>
            </w:r>
          </w:p>
          <w:p w:rsidR="00CF2AC1" w:rsidRPr="005A615E" w:rsidRDefault="00CF2AC1" w:rsidP="00CF2AC1">
            <w:pPr>
              <w:ind w:firstLine="216"/>
              <w:jc w:val="both"/>
              <w:rPr>
                <w:rFonts w:ascii="Times New Roman" w:hAnsi="Times New Roman"/>
              </w:rPr>
            </w:pPr>
            <w:r w:rsidRPr="005A615E">
              <w:rPr>
                <w:rFonts w:ascii="Times New Roman" w:hAnsi="Times New Roman"/>
              </w:rPr>
              <w:lastRenderedPageBreak/>
              <w:t>Проєкт змін передбачає затвердження Переліку операторів систем розподілу (Додаток 34 до Порядку формування тарифів), до яких, поряд зі звільненням від коригування необхідного доходу за виконанням цільових показників якості послуг, не застосовуються показники ефективності технологічних витрат електричної енергії. Це означає, що навіть в умовах застосування стимулюючого регулювання НКРЕКП свідомо не вимагає від таких ліцензіатів зниження рівнів ТВЕ, визнаючи об’єктивну неможливість зменшення втрат в умовах воєнного стану. Проте детальний правовий та технічний аналіз складу суб’єктів господарювання, включених до Додатка 34, свідчить про наявність суттєвого регуляторного дисбалансу та нерівних умов для ліцензіатів, які перебувають у тісному технологічному зв’язку.</w:t>
            </w:r>
          </w:p>
          <w:p w:rsidR="00CF2AC1" w:rsidRPr="005A615E" w:rsidRDefault="00CF2AC1" w:rsidP="00CF2AC1">
            <w:pPr>
              <w:ind w:firstLine="216"/>
              <w:jc w:val="both"/>
              <w:rPr>
                <w:rFonts w:ascii="Times New Roman" w:hAnsi="Times New Roman"/>
              </w:rPr>
            </w:pPr>
            <w:r w:rsidRPr="005A615E">
              <w:rPr>
                <w:rFonts w:ascii="Times New Roman" w:hAnsi="Times New Roman"/>
              </w:rPr>
              <w:t xml:space="preserve">​Під час формування зазначеного Переліку Регулятор застосував підхід, який фактично виходить за межі суто Переліку територій, на яких ведуться (велися) бойові дії або тимчасово окупованих російською федерацією, затвердженого наказом Міністерства з питань реінтеграції тимчасово окупованих територій України від 22.12.2022 № 309. До Додатка 34 увійшла низка спеціалізованих та екстериторіальних ліцензіатів, таких як ПрАТ «ПЕЕМ «ЦЕК», АТ «Укрзалізниця», ДП «Регіональні електричні мережі», ДПЕМ ПрАТ «Атомсервіс», ПрАТ «ДТЕК ПЕМ-Енерговугілля» та ТОВ «ДТЕК Високовольтні мережі». Значна частина мереж і господарської діяльності цих підприємств розташована у глибоко тилових регіонах, які формально не належать до зон активних чи можливих бойових дій. Включивши ці компанії до пільгового переліку, НКРЕКП фактично визнала прецедент: негативний воєнний вплив та зростання втрат виникають не лише через прямі </w:t>
            </w:r>
            <w:r w:rsidRPr="005A615E">
              <w:rPr>
                <w:rFonts w:ascii="Times New Roman" w:hAnsi="Times New Roman"/>
              </w:rPr>
              <w:lastRenderedPageBreak/>
              <w:t>руйнування на лінії фронту, а й внаслідок системної вимушеної зміни режимів роботи всієї мережі, живлення критичної інфраструктури та транзитних навантажень.</w:t>
            </w:r>
          </w:p>
          <w:p w:rsidR="00CF2AC1" w:rsidRPr="005A615E" w:rsidRDefault="00CF2AC1" w:rsidP="00CF2AC1">
            <w:pPr>
              <w:ind w:firstLine="216"/>
              <w:jc w:val="both"/>
              <w:rPr>
                <w:rFonts w:ascii="Times New Roman" w:hAnsi="Times New Roman"/>
              </w:rPr>
            </w:pPr>
            <w:r w:rsidRPr="005A615E">
              <w:rPr>
                <w:rFonts w:ascii="Times New Roman" w:hAnsi="Times New Roman"/>
              </w:rPr>
              <w:t>​Специфіка функціонування електричних мереж ПрАТ «Кіровоградобленерго» полягає в тому, що вони розташовані в центрі України й безпосередньо межують та фізично з’єднані з мережами більшості ліцензіатів із Додатка 34, зокрема з АТ «ДТЕК Дніпровські електромережі», АТ «Миколаївобленерго», АТ «ДТЕК Одеські електромережі», ПрАТ «ПЕЕМ «ЦЕК» та АТ «Укрзалізниця». Внаслідок систематичних ракетно-дронових ударів ворога по магістральних об’єктах НЕК «Укренерго» та мережах прифронтових ОСР виникають масові аварійні перетоки. За фізичними законами електротехніки електрична енергія переспрямовується в обхід пошкоджених ділянок – через мережі ПрАТ «Кіровоградобленерго». Це призводить до функціонування мереж Товариства у важких, нетипових та незапланованих режимах транзиту для забезпечення життєдіяльності тих самих суміжних прифронтових регіонів.</w:t>
            </w:r>
          </w:p>
          <w:p w:rsidR="00CF2AC1" w:rsidRPr="005A615E" w:rsidRDefault="00CF2AC1" w:rsidP="00CF2AC1">
            <w:pPr>
              <w:ind w:firstLine="216"/>
              <w:jc w:val="both"/>
              <w:rPr>
                <w:rFonts w:ascii="Times New Roman" w:hAnsi="Times New Roman"/>
              </w:rPr>
            </w:pPr>
            <w:r w:rsidRPr="005A615E">
              <w:rPr>
                <w:rFonts w:ascii="Times New Roman" w:hAnsi="Times New Roman"/>
              </w:rPr>
              <w:t xml:space="preserve">​Таке становище створює явну регуляторну дискримінацію стосовно ПрАТ «Кіровоградобленерго». З одного боку, ОСР із Додатка 34 отримали регуляторне послаблення у вигляді незастосування показників ефективності та відсутності вимог щодо зниження ТВЕ, оскільки Регулятор врахував важкі умови їхньої роботи. З іншого боку, ПрАТ «Кіровоградобленерго», яке приймає на свої мережі вимушені транзитні потоки для підтримки функціонування цих же прифронтових ліцензіатів та цілісності всієї Об’єднаної енергосистеми України, опиняється під подвійним тиском. Додаткові </w:t>
            </w:r>
            <w:r w:rsidRPr="005A615E">
              <w:rPr>
                <w:rFonts w:ascii="Times New Roman" w:hAnsi="Times New Roman"/>
              </w:rPr>
              <w:lastRenderedPageBreak/>
              <w:t>технологічні витрати в мережах Товариства виникають не через неналежну експлуатацію чи відсутність заходів зі зниження втрат, а як безпосередній наслідок бойових дій у суміжних областях та пошкодження магістральної інфраструктури.</w:t>
            </w:r>
          </w:p>
          <w:p w:rsidR="00CF2AC1" w:rsidRPr="005A615E" w:rsidRDefault="00CF2AC1" w:rsidP="00CF2AC1">
            <w:pPr>
              <w:ind w:firstLine="216"/>
              <w:jc w:val="both"/>
              <w:rPr>
                <w:rFonts w:ascii="Times New Roman" w:hAnsi="Times New Roman"/>
              </w:rPr>
            </w:pPr>
            <w:r w:rsidRPr="005A615E">
              <w:rPr>
                <w:rFonts w:ascii="Times New Roman" w:hAnsi="Times New Roman"/>
              </w:rPr>
              <w:t xml:space="preserve">​Застосування Регулятором закритих пільгових списків без врахування суміжних транзитних ОСР позбавляє ПрАТ «Кіровоградобленерго» об’єктивного регуляторного захисту та ставить підприємство у завідомо нерівні економічні умови. </w:t>
            </w:r>
          </w:p>
          <w:p w:rsidR="00CF2AC1" w:rsidRPr="005A615E" w:rsidRDefault="00CF2AC1" w:rsidP="00CF2AC1">
            <w:pPr>
              <w:ind w:firstLine="216"/>
              <w:jc w:val="both"/>
              <w:rPr>
                <w:rFonts w:ascii="Times New Roman" w:hAnsi="Times New Roman"/>
              </w:rPr>
            </w:pPr>
            <w:r w:rsidRPr="005A615E">
              <w:rPr>
                <w:rFonts w:ascii="Times New Roman" w:hAnsi="Times New Roman"/>
              </w:rPr>
              <w:t xml:space="preserve">Зважаючи на єдність технологічного процесу передачі та розподілу електричної енергії, вплив воєнних чинників на зростання ТВЕ в ПрАТ «Кіровоградобленерго» як транзитного ОСР є абсолютно аналогічним за своєю фізико-технічною природою до впливу на мережі підприємств із Додатка 34. </w:t>
            </w:r>
          </w:p>
          <w:p w:rsidR="00CF2AC1" w:rsidRPr="005A615E" w:rsidRDefault="00CF2AC1" w:rsidP="00CF2AC1">
            <w:pPr>
              <w:suppressAutoHyphens/>
              <w:ind w:firstLine="226"/>
              <w:jc w:val="both"/>
              <w:rPr>
                <w:rFonts w:ascii="Times New Roman" w:hAnsi="Times New Roman"/>
              </w:rPr>
            </w:pPr>
            <w:r w:rsidRPr="005A615E">
              <w:rPr>
                <w:rFonts w:ascii="Times New Roman" w:hAnsi="Times New Roman"/>
              </w:rPr>
              <w:t>На підставі цього, на думку Товариства, НКРЕКП має забезпечити рівний та недискримінаційний підхід до всіх учасників ринку, визнавши вимушене транзитне навантаження ПрАТ «Кіровоградобленерго» об’єктивним чинником, який унеможливлює застосування стандартних підходів до  прогнозування ТВЕ без урахування наслідків вимушених перетоків між регіонами.</w:t>
            </w:r>
          </w:p>
          <w:p w:rsidR="00CF2AC1" w:rsidRPr="005A615E" w:rsidRDefault="00CF2AC1" w:rsidP="00CF2AC1">
            <w:pPr>
              <w:suppressAutoHyphens/>
              <w:ind w:firstLine="226"/>
              <w:jc w:val="both"/>
              <w:rPr>
                <w:rFonts w:ascii="Times New Roman" w:hAnsi="Times New Roman"/>
                <w:b/>
                <w:sz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ind w:firstLine="180"/>
              <w:jc w:val="both"/>
              <w:rPr>
                <w:rFonts w:ascii="Times New Roman" w:hAnsi="Times New Roman"/>
              </w:rPr>
            </w:pPr>
            <w:r w:rsidRPr="005A615E">
              <w:rPr>
                <w:rFonts w:ascii="Times New Roman" w:hAnsi="Times New Roman"/>
              </w:rPr>
              <w:t>Для першого регуляторного періоду – залишити без змін</w:t>
            </w:r>
          </w:p>
          <w:p w:rsidR="00CF2AC1" w:rsidRPr="005A615E" w:rsidRDefault="00CF2AC1" w:rsidP="00CF2AC1">
            <w:pPr>
              <w:ind w:firstLine="180"/>
              <w:jc w:val="both"/>
              <w:rPr>
                <w:rFonts w:ascii="Times New Roman" w:hAnsi="Times New Roman"/>
              </w:rPr>
            </w:pPr>
          </w:p>
          <w:p w:rsidR="00CF2AC1" w:rsidRPr="005A615E" w:rsidRDefault="00CF2AC1" w:rsidP="00CF2AC1">
            <w:pPr>
              <w:spacing w:line="259" w:lineRule="auto"/>
              <w:ind w:firstLine="308"/>
              <w:jc w:val="both"/>
              <w:rPr>
                <w:rFonts w:ascii="Times New Roman" w:hAnsi="Times New Roman"/>
                <w:b/>
                <w:bCs/>
              </w:rPr>
            </w:pPr>
            <w:r w:rsidRPr="005A615E">
              <w:rPr>
                <w:rFonts w:ascii="Times New Roman" w:hAnsi="Times New Roman"/>
                <w:b/>
                <w:bCs/>
              </w:rPr>
              <w:t>Для другого регуляторного періоду:</w:t>
            </w:r>
          </w:p>
          <w:p w:rsidR="00CF2AC1" w:rsidRPr="005A615E" w:rsidRDefault="00CF2AC1" w:rsidP="00CF2AC1">
            <w:pPr>
              <w:spacing w:line="259" w:lineRule="auto"/>
              <w:ind w:firstLine="308"/>
              <w:jc w:val="both"/>
              <w:rPr>
                <w:rFonts w:ascii="Times New Roman" w:hAnsi="Times New Roman"/>
                <w:b/>
                <w:bCs/>
              </w:rPr>
            </w:pPr>
            <w:r w:rsidRPr="005A615E">
              <w:rPr>
                <w:rFonts w:ascii="Symbol" w:hAnsi="Symbol"/>
                <w:sz w:val="20"/>
                <w:szCs w:val="20"/>
              </w:rPr>
              <w:t></w:t>
            </w:r>
            <w:r w:rsidRPr="005A615E">
              <w:rPr>
                <w:rFonts w:ascii="Times New Roman" w:hAnsi="Times New Roman"/>
              </w:rPr>
              <w:t>Езв2</w:t>
            </w:r>
            <w:r w:rsidRPr="005A615E">
              <w:rPr>
                <w:rFonts w:ascii="Times New Roman" w:hAnsi="Times New Roman"/>
                <w:b/>
                <w:bCs/>
              </w:rPr>
              <w:t xml:space="preserve">- середні за три завершені річні періоди (січень - грудень) звітні фактичні витрати електричної енергії на 2 класі напруги відповідно до </w:t>
            </w:r>
            <w:r w:rsidRPr="005A615E">
              <w:rPr>
                <w:rFonts w:ascii="Times New Roman" w:hAnsi="Times New Roman"/>
                <w:b/>
                <w:bCs/>
              </w:rPr>
              <w:lastRenderedPageBreak/>
              <w:t xml:space="preserve">форм звітності N 5-НКРЕКП-моніторинг-розподіл та N 1Б-ТВЕ, </w:t>
            </w:r>
            <w:r w:rsidRPr="005A615E">
              <w:rPr>
                <w:rFonts w:ascii="Times New Roman" w:hAnsi="Times New Roman"/>
                <w:b/>
                <w:bCs/>
                <w:u w:val="single"/>
              </w:rPr>
              <w:t>що використовувались для розрахунку ЕКПТВЕ на перший регуляторний період</w:t>
            </w:r>
            <w:r w:rsidRPr="005A615E">
              <w:rPr>
                <w:rFonts w:ascii="Times New Roman" w:hAnsi="Times New Roman"/>
                <w:b/>
                <w:bCs/>
              </w:rPr>
              <w:t xml:space="preserve"> тис. кВт·год;</w:t>
            </w:r>
          </w:p>
          <w:p w:rsidR="00CF2AC1" w:rsidRPr="005A615E" w:rsidRDefault="00CF2AC1" w:rsidP="00CF2AC1">
            <w:pPr>
              <w:spacing w:line="259" w:lineRule="auto"/>
              <w:ind w:firstLine="180"/>
              <w:jc w:val="both"/>
              <w:rPr>
                <w:rFonts w:ascii="Times New Roman" w:hAnsi="Times New Roman"/>
                <w:b/>
                <w:bCs/>
              </w:rPr>
            </w:pPr>
            <w:r w:rsidRPr="005A615E">
              <w:rPr>
                <w:rFonts w:ascii="Times New Roman" w:hAnsi="Times New Roman"/>
                <w:b/>
                <w:bCs/>
              </w:rPr>
              <w:t>Е</w:t>
            </w:r>
            <w:r w:rsidRPr="005A615E">
              <w:rPr>
                <w:rFonts w:ascii="Times New Roman" w:hAnsi="Times New Roman"/>
                <w:b/>
                <w:bCs/>
                <w:vertAlign w:val="superscript"/>
              </w:rPr>
              <w:t>с2</w:t>
            </w:r>
            <w:r w:rsidRPr="005A615E">
              <w:rPr>
                <w:rFonts w:ascii="Times New Roman" w:hAnsi="Times New Roman"/>
                <w:b/>
                <w:bCs/>
              </w:rPr>
              <w:t xml:space="preserve"> - середні за три завершені річні періоди (січень - грудень) обсяги розподілу електричної енергії споживачам на 2 класі напруги відповідно до форм звітності N 5-НКРЕКП-моніторинг-розподіл та N 1Б-ТВЕ, </w:t>
            </w:r>
            <w:r w:rsidRPr="005A615E">
              <w:rPr>
                <w:rFonts w:ascii="Times New Roman" w:hAnsi="Times New Roman"/>
                <w:b/>
                <w:bCs/>
                <w:u w:val="single"/>
              </w:rPr>
              <w:t>що використовувались для розрахунку ЕКПТВЕ на перший регуляторний період</w:t>
            </w:r>
            <w:r w:rsidRPr="005A615E">
              <w:rPr>
                <w:rFonts w:ascii="Times New Roman" w:hAnsi="Times New Roman"/>
                <w:b/>
                <w:bCs/>
              </w:rPr>
              <w:t>, тис. кВт·год;</w:t>
            </w:r>
          </w:p>
          <w:p w:rsidR="00CF2AC1" w:rsidRPr="005A615E" w:rsidRDefault="00CF2AC1" w:rsidP="00CF2AC1">
            <w:pPr>
              <w:spacing w:line="259" w:lineRule="auto"/>
              <w:jc w:val="both"/>
              <w:rPr>
                <w:rFonts w:ascii="Times New Roman" w:hAnsi="Times New Roman"/>
                <w:b/>
                <w:bCs/>
              </w:rPr>
            </w:pPr>
            <w:r w:rsidRPr="005A615E">
              <w:rPr>
                <w:rFonts w:ascii="Times New Roman" w:hAnsi="Times New Roman"/>
                <w:b/>
                <w:bCs/>
              </w:rPr>
              <w:t>ПЕ</w:t>
            </w:r>
            <w:r w:rsidRPr="005A615E">
              <w:rPr>
                <w:rFonts w:ascii="Times New Roman" w:hAnsi="Times New Roman"/>
                <w:b/>
                <w:bCs/>
                <w:vertAlign w:val="superscript"/>
              </w:rPr>
              <w:t>2тве</w:t>
            </w:r>
            <w:r w:rsidRPr="005A615E">
              <w:rPr>
                <w:rFonts w:ascii="Times New Roman" w:hAnsi="Times New Roman"/>
                <w:b/>
                <w:bCs/>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w:t>
            </w:r>
          </w:p>
          <w:p w:rsidR="00CF2AC1" w:rsidRPr="005A615E" w:rsidRDefault="00CF2AC1" w:rsidP="00CF2AC1">
            <w:pPr>
              <w:spacing w:line="259" w:lineRule="auto"/>
              <w:jc w:val="both"/>
              <w:rPr>
                <w:rFonts w:ascii="Times New Roman" w:hAnsi="Times New Roman"/>
                <w:b/>
                <w:bCs/>
              </w:rPr>
            </w:pPr>
            <w:r w:rsidRPr="005A615E">
              <w:rPr>
                <w:rFonts w:ascii="Times New Roman" w:hAnsi="Times New Roman"/>
                <w:b/>
                <w:bCs/>
              </w:rPr>
              <w:t xml:space="preserve">Якщо оператор системи розподілу не переходить на стимулююче регулювання, то значення дорівнює 1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  </w:t>
            </w:r>
            <w:r w:rsidRPr="005A615E">
              <w:rPr>
                <w:rFonts w:ascii="Times New Roman" w:hAnsi="Times New Roman"/>
                <w:b/>
                <w:bCs/>
                <w:u w:val="single"/>
              </w:rPr>
              <w:t>на 2027 рік та двох років після закінчення воєнного стану для ліцензіатів, перелік яких наведено в  додатку 34 до Порядку встановлення (формування) тарифів, значення дорівнює 0</w:t>
            </w:r>
            <w:r w:rsidRPr="005A615E">
              <w:rPr>
                <w:rFonts w:ascii="Times New Roman" w:hAnsi="Times New Roman"/>
                <w:b/>
                <w:bCs/>
              </w:rPr>
              <w:t>;</w:t>
            </w:r>
          </w:p>
          <w:p w:rsidR="00CF2AC1" w:rsidRPr="005A615E" w:rsidRDefault="00CF2AC1" w:rsidP="00CF2AC1">
            <w:pPr>
              <w:ind w:firstLine="180"/>
              <w:jc w:val="both"/>
              <w:rPr>
                <w:rFonts w:ascii="Times New Roman" w:hAnsi="Times New Roman"/>
              </w:rPr>
            </w:pPr>
            <w:r w:rsidRPr="005A615E">
              <w:rPr>
                <w:rFonts w:ascii="Times New Roman" w:hAnsi="Times New Roman"/>
                <w:b/>
                <w:bCs/>
              </w:rPr>
              <w:t xml:space="preserve">Ев2 </w:t>
            </w:r>
            <w:r w:rsidRPr="005A615E">
              <w:rPr>
                <w:rFonts w:ascii="Times New Roman" w:hAnsi="Times New Roman"/>
                <w:b/>
                <w:bCs/>
                <w:u w:val="single"/>
              </w:rPr>
              <w:t>на другий регуляторний період приймається рівним нулю</w:t>
            </w:r>
            <w:r w:rsidRPr="005A615E">
              <w:rPr>
                <w:rFonts w:ascii="Times New Roman" w:hAnsi="Times New Roman"/>
              </w:rPr>
              <w:t>.</w:t>
            </w:r>
          </w:p>
          <w:p w:rsidR="00CF2AC1" w:rsidRPr="005A615E" w:rsidRDefault="00CF2AC1" w:rsidP="00CF2AC1">
            <w:pPr>
              <w:ind w:firstLine="180"/>
              <w:jc w:val="both"/>
              <w:rPr>
                <w:rFonts w:ascii="Times New Roman" w:hAnsi="Times New Roman"/>
              </w:rPr>
            </w:pPr>
          </w:p>
          <w:p w:rsidR="00CF2AC1" w:rsidRPr="005A615E" w:rsidRDefault="00CF2AC1" w:rsidP="00CF2AC1">
            <w:pPr>
              <w:ind w:firstLine="215"/>
              <w:jc w:val="both"/>
              <w:rPr>
                <w:rFonts w:ascii="Times New Roman" w:hAnsi="Times New Roman"/>
                <w:b/>
                <w:sz w:val="24"/>
                <w:u w:val="single"/>
              </w:rPr>
            </w:pPr>
            <w:r w:rsidRPr="005A615E">
              <w:rPr>
                <w:b/>
                <w:i/>
                <w:u w:val="single"/>
              </w:rPr>
              <w:t>Обгрунтування</w:t>
            </w:r>
            <w:r w:rsidRPr="005A615E">
              <w:rPr>
                <w:rFonts w:ascii="Times New Roman" w:hAnsi="Times New Roman"/>
                <w:b/>
                <w:sz w:val="24"/>
                <w:u w:val="single"/>
              </w:rPr>
              <w:t xml:space="preserve"> </w:t>
            </w:r>
          </w:p>
          <w:p w:rsidR="00CF2AC1" w:rsidRPr="005A615E" w:rsidRDefault="00CF2AC1" w:rsidP="00CF2AC1">
            <w:pPr>
              <w:ind w:firstLine="215"/>
              <w:jc w:val="both"/>
              <w:rPr>
                <w:rFonts w:ascii="Times New Roman" w:hAnsi="Times New Roman"/>
              </w:rPr>
            </w:pPr>
            <w:r w:rsidRPr="005A615E">
              <w:rPr>
                <w:rFonts w:ascii="Times New Roman" w:hAnsi="Times New Roman"/>
              </w:rPr>
              <w:t>Пропонується уточнення з урахуванням запропонованого Регулятором підходу щодо визначення ЕКПТВЕ на 2 регуляторний період на базі даних, що застосовувалися для розрахунку 1-го регуляторного періоду.</w:t>
            </w:r>
          </w:p>
          <w:p w:rsidR="00CF2AC1" w:rsidRPr="005A615E" w:rsidRDefault="00CF2AC1" w:rsidP="00CF2AC1">
            <w:pPr>
              <w:ind w:firstLine="215"/>
              <w:jc w:val="both"/>
              <w:rPr>
                <w:rFonts w:ascii="Times New Roman" w:hAnsi="Times New Roman"/>
                <w:b/>
                <w:sz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ind w:firstLine="180"/>
              <w:jc w:val="both"/>
              <w:rPr>
                <w:rFonts w:ascii="Times New Roman" w:hAnsi="Times New Roman"/>
              </w:rPr>
            </w:pPr>
            <w:r w:rsidRPr="005A615E">
              <w:rPr>
                <w:rFonts w:ascii="Times New Roman" w:hAnsi="Times New Roman"/>
              </w:rPr>
              <w:t>2.7. ЕКПТВЕ 2 класу напруги (</w:t>
            </w:r>
            <m:oMath>
              <m:sSubSup>
                <m:sSubSupPr>
                  <m:ctrlPr>
                    <w:rPr>
                      <w:rFonts w:ascii="Cambria Math" w:hAnsi="Cambria Math"/>
                      <w:i/>
                      <w:sz w:val="24"/>
                      <w:szCs w:val="24"/>
                    </w:rPr>
                  </m:ctrlPr>
                </m:sSubSupPr>
                <m:e>
                  <m:r>
                    <w:rPr>
                      <w:rFonts w:ascii="Cambria Math" w:hAnsi="Cambria Math"/>
                      <w:lang w:eastAsia="uk-UA"/>
                    </w:rPr>
                    <m:t>К</m:t>
                  </m:r>
                </m:e>
                <m:sub>
                  <m:r>
                    <w:rPr>
                      <w:rFonts w:ascii="Cambria Math" w:hAnsi="Cambria Math"/>
                      <w:lang w:eastAsia="uk-UA"/>
                    </w:rPr>
                    <m:t>П2</m:t>
                  </m:r>
                </m:sub>
                <m:sup>
                  <m:r>
                    <w:rPr>
                      <w:rFonts w:ascii="Cambria Math" w:hAnsi="Cambria Math"/>
                      <w:lang w:val="en-US" w:eastAsia="uk-UA"/>
                    </w:rPr>
                    <m:t>m</m:t>
                  </m:r>
                </m:sup>
              </m:sSubSup>
            </m:oMath>
            <w:r w:rsidRPr="005A615E">
              <w:rPr>
                <w:rFonts w:ascii="Times New Roman" w:hAnsi="Times New Roman"/>
              </w:rPr>
              <w:t>) визначається за формулою</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ind w:firstLine="34"/>
              <w:jc w:val="both"/>
              <w:rPr>
                <w:rFonts w:ascii="Times New Roman" w:hAnsi="Times New Roman"/>
                <w:b/>
              </w:rPr>
            </w:pPr>
            <w:r w:rsidRPr="005A615E">
              <w:rPr>
                <w:rFonts w:ascii="Times New Roman" w:hAnsi="Times New Roman"/>
              </w:rPr>
              <w:t xml:space="preserve">ПЕ2тве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2023 - 2025 роки значення дорівнює 0, на 2026 рік для ліцензіатів, перелік яких наведено </w:t>
            </w:r>
            <w:r w:rsidRPr="005A615E">
              <w:rPr>
                <w:rFonts w:ascii="Times New Roman" w:hAnsi="Times New Roman"/>
                <w:bCs/>
              </w:rPr>
              <w:t>в додатку 32</w:t>
            </w:r>
            <w:r w:rsidRPr="005A615E">
              <w:rPr>
                <w:rFonts w:ascii="Times New Roman" w:hAnsi="Times New Roman"/>
              </w:rPr>
              <w:t xml:space="preserve"> до Порядку встановлення (формування) тарифів, значення дорівнює 0. </w:t>
            </w:r>
            <w:r w:rsidRPr="005A615E">
              <w:rPr>
                <w:rFonts w:ascii="Times New Roman" w:hAnsi="Times New Roman"/>
                <w:b/>
              </w:rPr>
              <w:t>Для ліцензіатів, перелік яких наведено у додатку 35 до Порядку для періоду воєнного стану та двох років після його закінчення – 0 %);</w:t>
            </w:r>
          </w:p>
          <w:p w:rsidR="00CF2AC1" w:rsidRPr="005A615E" w:rsidRDefault="00CF2AC1" w:rsidP="00CF2AC1">
            <w:pPr>
              <w:ind w:firstLine="34"/>
              <w:jc w:val="both"/>
              <w:rPr>
                <w:rFonts w:ascii="Times New Roman" w:hAnsi="Times New Roman"/>
                <w:b/>
              </w:rPr>
            </w:pPr>
          </w:p>
          <w:p w:rsidR="00CF2AC1" w:rsidRPr="005A615E" w:rsidRDefault="00CF2AC1" w:rsidP="00CF2AC1">
            <w:pPr>
              <w:ind w:firstLine="215"/>
              <w:jc w:val="both"/>
              <w:rPr>
                <w:rFonts w:ascii="Times New Roman" w:hAnsi="Times New Roman"/>
                <w:b/>
                <w:sz w:val="24"/>
                <w:u w:val="single"/>
              </w:rPr>
            </w:pPr>
            <w:r w:rsidRPr="005A615E">
              <w:rPr>
                <w:b/>
                <w:i/>
                <w:u w:val="single"/>
              </w:rPr>
              <w:t>Обгрунтування</w:t>
            </w:r>
            <w:r w:rsidRPr="005A615E">
              <w:rPr>
                <w:rFonts w:ascii="Times New Roman" w:hAnsi="Times New Roman"/>
                <w:b/>
                <w:sz w:val="24"/>
                <w:u w:val="single"/>
              </w:rPr>
              <w:t xml:space="preserve"> </w:t>
            </w:r>
          </w:p>
          <w:p w:rsidR="00CF2AC1" w:rsidRPr="005A615E" w:rsidRDefault="00CF2AC1" w:rsidP="00CF2AC1">
            <w:pPr>
              <w:jc w:val="both"/>
              <w:rPr>
                <w:rFonts w:ascii="Times New Roman" w:hAnsi="Times New Roman"/>
              </w:rPr>
            </w:pPr>
            <w:r w:rsidRPr="005A615E">
              <w:rPr>
                <w:rFonts w:ascii="Times New Roman" w:hAnsi="Times New Roman"/>
              </w:rPr>
              <w:t xml:space="preserve">В формах звітності № 5-НКРЕКП-моніторинг-розподіл та № 1Б-ТВЕ відображено лише загальні обсяги втрат без врахування величини </w:t>
            </w:r>
            <w:r w:rsidRPr="005A615E">
              <w:rPr>
                <w:rFonts w:ascii="Times New Roman" w:hAnsi="Times New Roman"/>
                <w:shd w:val="clear" w:color="auto" w:fill="FFFFFF"/>
              </w:rPr>
              <w:t>перевищення фактичних технологічних витрат електричної енергії в мережах над нормативно-фактичними їх рівнями</w:t>
            </w:r>
            <w:r w:rsidRPr="005A615E">
              <w:rPr>
                <w:rFonts w:ascii="Times New Roman" w:hAnsi="Times New Roman"/>
              </w:rPr>
              <w:t>, пов’язаних з рядом чинників, які не залежать від діяльності ОСР.</w:t>
            </w:r>
          </w:p>
          <w:p w:rsidR="00CF2AC1" w:rsidRPr="005A615E" w:rsidRDefault="00CF2AC1" w:rsidP="00CF2AC1">
            <w:pPr>
              <w:ind w:firstLine="215"/>
              <w:jc w:val="both"/>
              <w:rPr>
                <w:rFonts w:ascii="Times New Roman" w:hAnsi="Times New Roman"/>
              </w:rPr>
            </w:pPr>
            <w:r w:rsidRPr="005A615E">
              <w:rPr>
                <w:rFonts w:ascii="Times New Roman" w:hAnsi="Times New Roman"/>
              </w:rPr>
              <w:t xml:space="preserve">Недофінансування інвестиційної програми, а саме Розділу 2. «Впровадження та розвиток комерційного обліку електричної енергії» АТ «Житомиробленерго» в 2023 році склав 52 141тис.грн., у 2024 році – 50 395 тис.грн., у 2025 році – 55634 тис.грн. Таким чином, постійне обмеження або взагалі відсутність фінансування інвестиційної програми призвело до відсутності очікуваного позитивного ефекту, за </w:t>
            </w:r>
            <w:r w:rsidRPr="005A615E">
              <w:rPr>
                <w:rFonts w:ascii="Times New Roman" w:hAnsi="Times New Roman"/>
              </w:rPr>
              <w:lastRenderedPageBreak/>
              <w:t>результатами якого передбачалося зниження технологічних витрат електричної енергії шляхом впровадження багатофункціональних обліків електричної енергії та підвищення класу точності засобів вимірювальної техніки.</w:t>
            </w:r>
          </w:p>
          <w:p w:rsidR="00CF2AC1" w:rsidRPr="005A615E" w:rsidRDefault="00CF2AC1" w:rsidP="00CF2AC1">
            <w:pPr>
              <w:ind w:firstLine="215"/>
              <w:jc w:val="both"/>
              <w:rPr>
                <w:rFonts w:ascii="Times New Roman" w:hAnsi="Times New Roman"/>
                <w:b/>
                <w:sz w:val="24"/>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«ВІННИЦЯОБЛЕНЕРГО» (лист від 27.07.2026  № 03.13-18608)</w:t>
            </w:r>
          </w:p>
          <w:p w:rsidR="00CF2AC1" w:rsidRPr="005A615E" w:rsidRDefault="00CF2AC1" w:rsidP="00CF2AC1">
            <w:pPr>
              <w:pStyle w:val="aa"/>
              <w:spacing w:before="0" w:beforeAutospacing="0" w:after="0" w:afterAutospacing="0"/>
              <w:ind w:firstLine="352"/>
              <w:jc w:val="both"/>
              <w:rPr>
                <w:sz w:val="22"/>
                <w:lang w:val="uk-UA"/>
              </w:rPr>
            </w:pPr>
            <w:r w:rsidRPr="005A615E">
              <w:rPr>
                <w:sz w:val="22"/>
                <w:lang w:val="uk-UA"/>
              </w:rPr>
              <w:t>2.7 ЕКПТВЕ 2 класу напруги (</w:t>
            </w:r>
            <m:oMath>
              <m:sSubSup>
                <m:sSubSupPr>
                  <m:ctrlPr>
                    <w:rPr>
                      <w:rFonts w:ascii="Cambria Math" w:eastAsia="Calibri" w:hAnsi="Cambria Math"/>
                      <w:i/>
                      <w:sz w:val="22"/>
                      <w:lang w:eastAsia="en-US"/>
                    </w:rPr>
                  </m:ctrlPr>
                </m:sSubSupPr>
                <m:e>
                  <m:r>
                    <w:rPr>
                      <w:rFonts w:ascii="Cambria Math" w:hAnsi="Cambria Math"/>
                      <w:sz w:val="22"/>
                      <w:lang w:val="uk-UA"/>
                    </w:rPr>
                    <m:t>K</m:t>
                  </m:r>
                </m:e>
                <m:sub>
                  <m:r>
                    <w:rPr>
                      <w:rFonts w:ascii="Cambria Math" w:hAnsi="Cambria Math"/>
                      <w:sz w:val="22"/>
                      <w:lang w:val="uk-UA"/>
                    </w:rPr>
                    <m:t>П2</m:t>
                  </m:r>
                </m:sub>
                <m:sup>
                  <m:r>
                    <w:rPr>
                      <w:rFonts w:ascii="Cambria Math" w:hAnsi="Cambria Math"/>
                      <w:sz w:val="22"/>
                      <w:lang w:val="uk-UA"/>
                    </w:rPr>
                    <m:t>m</m:t>
                  </m:r>
                </m:sup>
              </m:sSubSup>
            </m:oMath>
            <w:r w:rsidRPr="005A615E">
              <w:rPr>
                <w:sz w:val="22"/>
                <w:lang w:val="uk-UA"/>
              </w:rPr>
              <w:t>) визначається за формулою</w:t>
            </w:r>
          </w:p>
          <w:p w:rsidR="00CF2AC1" w:rsidRPr="005A615E" w:rsidRDefault="000D13C5" w:rsidP="00CF2AC1">
            <w:pPr>
              <w:ind w:left="2863" w:hanging="2863"/>
              <w:rPr>
                <w:rFonts w:ascii="Times New Roman" w:hAnsi="Times New Roman"/>
                <w:b/>
                <w:bCs/>
                <w:szCs w:val="24"/>
              </w:rPr>
            </w:pPr>
            <m:oMath>
              <m:sSubSup>
                <m:sSubSupPr>
                  <m:ctrlPr>
                    <w:rPr>
                      <w:rFonts w:ascii="Cambria Math" w:hAnsi="Cambria Math"/>
                      <w:i/>
                      <w:szCs w:val="24"/>
                    </w:rPr>
                  </m:ctrlPr>
                </m:sSubSupPr>
                <m:e>
                  <m:r>
                    <w:rPr>
                      <w:rFonts w:ascii="Cambria Math" w:hAnsi="Cambria Math"/>
                      <w:szCs w:val="24"/>
                    </w:rPr>
                    <m:t>K</m:t>
                  </m:r>
                </m:e>
                <m:sub>
                  <m:r>
                    <w:rPr>
                      <w:rFonts w:ascii="Cambria Math" w:hAnsi="Cambria Math"/>
                      <w:szCs w:val="24"/>
                    </w:rPr>
                    <m:t>П2</m:t>
                  </m:r>
                </m:sub>
                <m:sup>
                  <m:r>
                    <w:rPr>
                      <w:rFonts w:ascii="Cambria Math" w:hAnsi="Cambria Math"/>
                      <w:szCs w:val="24"/>
                    </w:rPr>
                    <m:t>m</m:t>
                  </m:r>
                </m:sup>
              </m:sSubSup>
              <m:r>
                <w:rPr>
                  <w:rFonts w:ascii="Cambria Math" w:hAnsi="Cambria Math"/>
                  <w:szCs w:val="24"/>
                </w:rPr>
                <m:t>=</m:t>
              </m:r>
              <m:f>
                <m:fPr>
                  <m:ctrlPr>
                    <w:rPr>
                      <w:rFonts w:ascii="Cambria Math" w:hAnsi="Cambria Math"/>
                      <w:i/>
                      <w:szCs w:val="24"/>
                    </w:rPr>
                  </m:ctrlPr>
                </m:fPr>
                <m:num>
                  <m:r>
                    <w:rPr>
                      <w:rFonts w:ascii="Cambria Math" w:hAnsi="Cambria Math"/>
                      <w:szCs w:val="24"/>
                    </w:rPr>
                    <m:t>Δ</m:t>
                  </m:r>
                  <m:sSub>
                    <m:sSubPr>
                      <m:ctrlPr>
                        <w:rPr>
                          <w:rFonts w:ascii="Cambria Math" w:hAnsi="Cambria Math"/>
                          <w:i/>
                          <w:szCs w:val="24"/>
                        </w:rPr>
                      </m:ctrlPr>
                    </m:sSubPr>
                    <m:e>
                      <m:r>
                        <w:rPr>
                          <w:rFonts w:ascii="Cambria Math" w:hAnsi="Cambria Math"/>
                          <w:szCs w:val="24"/>
                        </w:rPr>
                        <m:t>Е</m:t>
                      </m:r>
                    </m:e>
                    <m:sub>
                      <m:r>
                        <w:rPr>
                          <w:rFonts w:ascii="Cambria Math" w:hAnsi="Cambria Math"/>
                          <w:szCs w:val="24"/>
                        </w:rPr>
                        <m:t>еф2</m:t>
                      </m:r>
                    </m:sub>
                  </m:sSub>
                  <m:r>
                    <w:rPr>
                      <w:rFonts w:ascii="Cambria Math" w:hAnsi="Cambria Math"/>
                      <w:szCs w:val="24"/>
                    </w:rPr>
                    <m:t>+</m:t>
                  </m:r>
                  <m:sSub>
                    <m:sSubPr>
                      <m:ctrlPr>
                        <w:rPr>
                          <w:rFonts w:ascii="Cambria Math" w:hAnsi="Cambria Math"/>
                          <w:szCs w:val="24"/>
                        </w:rPr>
                      </m:ctrlPr>
                    </m:sSubPr>
                    <m:e>
                      <m:r>
                        <w:rPr>
                          <w:rFonts w:ascii="Cambria Math" w:hAnsi="Cambria Math"/>
                          <w:szCs w:val="24"/>
                        </w:rPr>
                        <m:t>Δ</m:t>
                      </m:r>
                      <m:r>
                        <m:rPr>
                          <m:sty m:val="p"/>
                        </m:rPr>
                        <w:rPr>
                          <w:rFonts w:ascii="Cambria Math" w:hAnsi="Cambria Math"/>
                          <w:szCs w:val="24"/>
                        </w:rPr>
                        <m:t>Е</m:t>
                      </m:r>
                    </m:e>
                    <m:sub>
                      <m:r>
                        <w:rPr>
                          <w:rFonts w:ascii="Cambria Math" w:hAnsi="Cambria Math"/>
                          <w:szCs w:val="24"/>
                        </w:rPr>
                        <m:t>wп2</m:t>
                      </m:r>
                    </m:sub>
                  </m:sSub>
                  <m:r>
                    <m:rPr>
                      <m:sty m:val="p"/>
                    </m:rPr>
                    <w:rPr>
                      <w:rFonts w:ascii="Cambria Math" w:hAnsi="Cambria Math"/>
                      <w:szCs w:val="24"/>
                    </w:rPr>
                    <m:t>-</m:t>
                  </m:r>
                  <m:sSub>
                    <m:sSubPr>
                      <m:ctrlPr>
                        <w:rPr>
                          <w:rFonts w:ascii="Cambria Math" w:hAnsi="Cambria Math"/>
                          <w:szCs w:val="24"/>
                        </w:rPr>
                      </m:ctrlPr>
                    </m:sSubPr>
                    <m:e>
                      <m:r>
                        <m:rPr>
                          <m:sty m:val="p"/>
                        </m:rPr>
                        <w:rPr>
                          <w:rFonts w:ascii="Cambria Math" w:hAnsi="Cambria Math"/>
                          <w:szCs w:val="24"/>
                        </w:rPr>
                        <m:t>Е</m:t>
                      </m:r>
                    </m:e>
                    <m:sub>
                      <m:r>
                        <w:rPr>
                          <w:rFonts w:ascii="Cambria Math" w:hAnsi="Cambria Math"/>
                          <w:szCs w:val="24"/>
                        </w:rPr>
                        <m:t>в2</m:t>
                      </m:r>
                    </m:sub>
                  </m:sSub>
                </m:num>
                <m:den>
                  <m:sSub>
                    <m:sSubPr>
                      <m:ctrlPr>
                        <w:rPr>
                          <w:rFonts w:ascii="Cambria Math" w:hAnsi="Cambria Math"/>
                          <w:i/>
                          <w:szCs w:val="24"/>
                        </w:rPr>
                      </m:ctrlPr>
                    </m:sSubPr>
                    <m:e>
                      <m:r>
                        <w:rPr>
                          <w:rFonts w:ascii="Cambria Math" w:hAnsi="Cambria Math"/>
                          <w:szCs w:val="24"/>
                        </w:rPr>
                        <m:t>Е</m:t>
                      </m:r>
                    </m:e>
                    <m:sub>
                      <m:r>
                        <w:rPr>
                          <w:rFonts w:ascii="Cambria Math" w:hAnsi="Cambria Math"/>
                          <w:szCs w:val="24"/>
                        </w:rPr>
                        <m:t>С2</m:t>
                      </m:r>
                    </m:sub>
                  </m:sSub>
                  <m:r>
                    <w:rPr>
                      <w:rFonts w:ascii="Cambria Math" w:hAnsi="Cambria Math"/>
                      <w:szCs w:val="24"/>
                    </w:rPr>
                    <m:t>+Δ</m:t>
                  </m:r>
                  <m:sSub>
                    <m:sSubPr>
                      <m:ctrlPr>
                        <w:rPr>
                          <w:rFonts w:ascii="Cambria Math" w:hAnsi="Cambria Math"/>
                          <w:i/>
                          <w:szCs w:val="24"/>
                        </w:rPr>
                      </m:ctrlPr>
                    </m:sSubPr>
                    <m:e>
                      <m:r>
                        <w:rPr>
                          <w:rFonts w:ascii="Cambria Math" w:hAnsi="Cambria Math"/>
                          <w:szCs w:val="24"/>
                        </w:rPr>
                        <m:t>Е</m:t>
                      </m:r>
                    </m:e>
                    <m:sub>
                      <m:r>
                        <w:rPr>
                          <w:rFonts w:ascii="Cambria Math" w:hAnsi="Cambria Math"/>
                          <w:szCs w:val="24"/>
                        </w:rPr>
                        <m:t>еф2</m:t>
                      </m:r>
                    </m:sub>
                  </m:sSub>
                  <m:r>
                    <m:rPr>
                      <m:sty m:val="p"/>
                    </m:rPr>
                    <w:rPr>
                      <w:rFonts w:ascii="Cambria Math" w:hAnsi="Cambria Math"/>
                      <w:szCs w:val="24"/>
                    </w:rPr>
                    <m:t>+</m:t>
                  </m:r>
                  <m:sSub>
                    <m:sSubPr>
                      <m:ctrlPr>
                        <w:rPr>
                          <w:rFonts w:ascii="Cambria Math" w:hAnsi="Cambria Math"/>
                          <w:szCs w:val="24"/>
                        </w:rPr>
                      </m:ctrlPr>
                    </m:sSubPr>
                    <m:e>
                      <m:r>
                        <w:rPr>
                          <w:rFonts w:ascii="Cambria Math" w:hAnsi="Cambria Math"/>
                          <w:szCs w:val="24"/>
                        </w:rPr>
                        <m:t>Δ</m:t>
                      </m:r>
                      <m:r>
                        <m:rPr>
                          <m:sty m:val="p"/>
                        </m:rPr>
                        <w:rPr>
                          <w:rFonts w:ascii="Cambria Math" w:hAnsi="Cambria Math"/>
                          <w:szCs w:val="24"/>
                        </w:rPr>
                        <m:t>Е</m:t>
                      </m:r>
                    </m:e>
                    <m:sub>
                      <m:r>
                        <w:rPr>
                          <w:rFonts w:ascii="Cambria Math" w:hAnsi="Cambria Math"/>
                          <w:szCs w:val="24"/>
                        </w:rPr>
                        <m:t>wп2</m:t>
                      </m:r>
                    </m:sub>
                  </m:sSub>
                </m:den>
              </m:f>
            </m:oMath>
            <w:r w:rsidR="00CF2AC1" w:rsidRPr="005A615E">
              <w:rPr>
                <w:rFonts w:ascii="Times New Roman" w:hAnsi="Times New Roman"/>
                <w:szCs w:val="24"/>
              </w:rPr>
              <w:t>,</w:t>
            </w:r>
            <w:r w:rsidR="00CF2AC1" w:rsidRPr="005A615E">
              <w:rPr>
                <w:rFonts w:ascii="Times New Roman" w:hAnsi="Times New Roman"/>
                <w:b/>
                <w:bCs/>
                <w:szCs w:val="24"/>
              </w:rPr>
              <w:t xml:space="preserve"> (1)</w:t>
            </w:r>
          </w:p>
          <w:p w:rsidR="00CF2AC1" w:rsidRPr="005A615E" w:rsidRDefault="00CF2AC1" w:rsidP="00CF2AC1">
            <w:pPr>
              <w:pStyle w:val="aa"/>
              <w:spacing w:before="0" w:beforeAutospacing="0" w:after="0" w:afterAutospacing="0"/>
              <w:ind w:firstLine="493"/>
              <w:jc w:val="both"/>
              <w:rPr>
                <w:sz w:val="22"/>
                <w:lang w:val="uk-UA"/>
              </w:rPr>
            </w:pPr>
            <w:r w:rsidRPr="005A615E">
              <w:rPr>
                <w:sz w:val="22"/>
                <w:lang w:val="uk-UA"/>
              </w:rPr>
              <w:t xml:space="preserve">де </w:t>
            </w:r>
            <w:r w:rsidRPr="005A615E">
              <w:rPr>
                <w:b/>
                <w:bCs/>
                <w:sz w:val="22"/>
                <w:lang w:val="uk-UA"/>
              </w:rPr>
              <w:t>ΔЕ</w:t>
            </w:r>
            <w:r w:rsidRPr="005A615E">
              <w:rPr>
                <w:b/>
                <w:bCs/>
                <w:sz w:val="22"/>
                <w:vertAlign w:val="subscript"/>
                <w:lang w:val="uk-UA"/>
              </w:rPr>
              <w:t>еф2</w:t>
            </w:r>
            <w:r w:rsidRPr="005A615E">
              <w:rPr>
                <w:b/>
                <w:bCs/>
                <w:sz w:val="22"/>
                <w:lang w:val="uk-UA"/>
              </w:rPr>
              <w:t xml:space="preserve"> – технологічні витрати електричної енергії на її розподіл електричними мережами на 2 класі напруги, приведені до показника ефективності на 2 класі напруги,</w:t>
            </w:r>
            <w:r w:rsidRPr="005A615E">
              <w:rPr>
                <w:sz w:val="22"/>
                <w:lang w:val="uk-UA"/>
              </w:rPr>
              <w:t xml:space="preserve"> </w:t>
            </w:r>
            <w:r w:rsidRPr="005A615E">
              <w:rPr>
                <w:b/>
                <w:bCs/>
                <w:sz w:val="22"/>
                <w:lang w:val="uk-UA"/>
              </w:rPr>
              <w:t>тис. кВт·год:</w:t>
            </w:r>
            <w:r w:rsidRPr="005A615E">
              <w:rPr>
                <w:sz w:val="22"/>
                <w:lang w:val="uk-UA"/>
              </w:rPr>
              <w:t xml:space="preserve"> </w:t>
            </w:r>
          </w:p>
          <w:p w:rsidR="00CF2AC1" w:rsidRPr="005A615E" w:rsidRDefault="00CF2AC1" w:rsidP="00CF2AC1">
            <w:pPr>
              <w:pStyle w:val="aa"/>
              <w:spacing w:before="0" w:beforeAutospacing="0" w:after="0" w:afterAutospacing="0"/>
              <w:ind w:firstLine="191"/>
              <w:jc w:val="both"/>
              <w:rPr>
                <w:b/>
                <w:bCs/>
                <w:sz w:val="22"/>
                <w:lang w:val="uk-UA"/>
              </w:rPr>
            </w:pPr>
            <m:oMath>
              <m:r>
                <w:rPr>
                  <w:rFonts w:ascii="Cambria Math" w:hAnsi="Cambria Math"/>
                  <w:sz w:val="22"/>
                  <w:lang w:val="uk-UA"/>
                </w:rPr>
                <m:t>Δ</m:t>
              </m:r>
              <m:sSub>
                <m:sSubPr>
                  <m:ctrlPr>
                    <w:rPr>
                      <w:rFonts w:ascii="Cambria Math" w:eastAsia="Calibri" w:hAnsi="Cambria Math"/>
                      <w:i/>
                      <w:sz w:val="22"/>
                      <w:lang w:eastAsia="en-US"/>
                    </w:rPr>
                  </m:ctrlPr>
                </m:sSubPr>
                <m:e>
                  <m:r>
                    <w:rPr>
                      <w:rFonts w:ascii="Cambria Math" w:hAnsi="Cambria Math"/>
                      <w:sz w:val="22"/>
                      <w:lang w:val="uk-UA"/>
                    </w:rPr>
                    <m:t>Е</m:t>
                  </m:r>
                </m:e>
                <m:sub>
                  <m:r>
                    <w:rPr>
                      <w:rFonts w:ascii="Cambria Math" w:hAnsi="Cambria Math"/>
                      <w:sz w:val="22"/>
                      <w:lang w:val="uk-UA"/>
                    </w:rPr>
                    <m:t>еф2</m:t>
                  </m:r>
                </m:sub>
              </m:sSub>
              <m:r>
                <w:rPr>
                  <w:rFonts w:ascii="Cambria Math" w:hAnsi="Cambria Math"/>
                  <w:sz w:val="22"/>
                  <w:lang w:val="uk-UA"/>
                </w:rPr>
                <m:t>=(Δ</m:t>
              </m:r>
              <m:sSub>
                <m:sSubPr>
                  <m:ctrlPr>
                    <w:rPr>
                      <w:rFonts w:ascii="Cambria Math" w:eastAsia="Calibri" w:hAnsi="Cambria Math"/>
                      <w:i/>
                      <w:sz w:val="22"/>
                      <w:lang w:eastAsia="en-US"/>
                    </w:rPr>
                  </m:ctrlPr>
                </m:sSubPr>
                <m:e>
                  <m:r>
                    <w:rPr>
                      <w:rFonts w:ascii="Cambria Math" w:hAnsi="Cambria Math"/>
                      <w:sz w:val="22"/>
                      <w:lang w:val="uk-UA"/>
                    </w:rPr>
                    <m:t>Е</m:t>
                  </m:r>
                </m:e>
                <m:sub>
                  <m:r>
                    <w:rPr>
                      <w:rFonts w:ascii="Cambria Math" w:hAnsi="Cambria Math"/>
                      <w:sz w:val="22"/>
                      <w:lang w:val="uk-UA"/>
                    </w:rPr>
                    <m:t>зв2</m:t>
                  </m:r>
                </m:sub>
              </m:sSub>
              <m:r>
                <w:rPr>
                  <w:rFonts w:ascii="Cambria Math" w:hAnsi="Cambria Math"/>
                  <w:sz w:val="22"/>
                  <w:lang w:val="uk-UA"/>
                </w:rPr>
                <m:t>-</m:t>
              </m:r>
              <m:sSub>
                <m:sSubPr>
                  <m:ctrlPr>
                    <w:rPr>
                      <w:rFonts w:ascii="Cambria Math" w:eastAsia="Calibri" w:hAnsi="Cambria Math"/>
                      <w:sz w:val="22"/>
                      <w:lang w:eastAsia="en-US"/>
                    </w:rPr>
                  </m:ctrlPr>
                </m:sSubPr>
                <m:e>
                  <m:r>
                    <w:rPr>
                      <w:rFonts w:ascii="Cambria Math" w:hAnsi="Cambria Math"/>
                      <w:sz w:val="22"/>
                      <w:lang w:val="uk-UA"/>
                    </w:rPr>
                    <m:t>Δ</m:t>
                  </m:r>
                  <m:r>
                    <m:rPr>
                      <m:sty m:val="p"/>
                    </m:rPr>
                    <w:rPr>
                      <w:rFonts w:ascii="Cambria Math" w:hAnsi="Cambria Math"/>
                      <w:sz w:val="22"/>
                      <w:lang w:val="uk-UA"/>
                    </w:rPr>
                    <m:t>Е</m:t>
                  </m:r>
                </m:e>
                <m:sub>
                  <m:r>
                    <w:rPr>
                      <w:rFonts w:ascii="Cambria Math" w:hAnsi="Cambria Math"/>
                      <w:sz w:val="22"/>
                      <w:lang w:val="uk-UA"/>
                    </w:rPr>
                    <m:t>wф2</m:t>
                  </m:r>
                </m:sub>
              </m:sSub>
              <m:r>
                <w:rPr>
                  <w:rFonts w:ascii="Cambria Math" w:hAnsi="Cambria Math"/>
                  <w:sz w:val="22"/>
                  <w:lang w:val="uk-UA"/>
                </w:rPr>
                <m:t>)⋅(1-</m:t>
              </m:r>
              <m:f>
                <m:fPr>
                  <m:ctrlPr>
                    <w:rPr>
                      <w:rFonts w:ascii="Cambria Math" w:eastAsia="Calibri" w:hAnsi="Cambria Math"/>
                      <w:i/>
                      <w:sz w:val="22"/>
                      <w:lang w:eastAsia="en-US"/>
                    </w:rPr>
                  </m:ctrlPr>
                </m:fPr>
                <m:num>
                  <m:sSub>
                    <m:sSubPr>
                      <m:ctrlPr>
                        <w:rPr>
                          <w:rFonts w:ascii="Cambria Math" w:eastAsia="Calibri" w:hAnsi="Cambria Math"/>
                          <w:i/>
                          <w:sz w:val="22"/>
                          <w:lang w:eastAsia="en-US"/>
                        </w:rPr>
                      </m:ctrlPr>
                    </m:sSubPr>
                    <m:e>
                      <m:r>
                        <w:rPr>
                          <w:rFonts w:ascii="Cambria Math" w:hAnsi="Cambria Math"/>
                          <w:sz w:val="22"/>
                          <w:lang w:val="uk-UA"/>
                        </w:rPr>
                        <m:t>ПЕ</m:t>
                      </m:r>
                    </m:e>
                    <m:sub>
                      <m:r>
                        <w:rPr>
                          <w:rFonts w:ascii="Cambria Math" w:hAnsi="Cambria Math"/>
                          <w:sz w:val="22"/>
                          <w:lang w:val="uk-UA"/>
                        </w:rPr>
                        <m:t>2тве</m:t>
                      </m:r>
                    </m:sub>
                  </m:sSub>
                </m:num>
                <m:den>
                  <m:r>
                    <w:rPr>
                      <w:rFonts w:ascii="Cambria Math" w:hAnsi="Cambria Math"/>
                      <w:sz w:val="22"/>
                      <w:lang w:val="uk-UA"/>
                    </w:rPr>
                    <m:t>100</m:t>
                  </m:r>
                </m:den>
              </m:f>
              <m:sSup>
                <m:sSupPr>
                  <m:ctrlPr>
                    <w:rPr>
                      <w:rFonts w:ascii="Cambria Math" w:eastAsia="Calibri" w:hAnsi="Cambria Math"/>
                      <w:i/>
                      <w:sz w:val="22"/>
                      <w:lang w:eastAsia="en-US"/>
                    </w:rPr>
                  </m:ctrlPr>
                </m:sSupPr>
                <m:e>
                  <m:r>
                    <w:rPr>
                      <w:rFonts w:ascii="Cambria Math" w:hAnsi="Cambria Math"/>
                      <w:sz w:val="22"/>
                      <w:lang w:val="uk-UA"/>
                    </w:rPr>
                    <m:t>)</m:t>
                  </m:r>
                </m:e>
                <m:sup>
                  <m:r>
                    <w:rPr>
                      <w:rFonts w:ascii="Cambria Math" w:hAnsi="Cambria Math"/>
                      <w:sz w:val="22"/>
                      <w:lang w:val="uk-UA"/>
                    </w:rPr>
                    <m:t>m-n</m:t>
                  </m:r>
                </m:sup>
              </m:sSup>
            </m:oMath>
            <w:r w:rsidRPr="005A615E">
              <w:rPr>
                <w:sz w:val="22"/>
                <w:lang w:val="uk-UA"/>
              </w:rPr>
              <w:t xml:space="preserve">, </w:t>
            </w:r>
            <w:r w:rsidRPr="005A615E">
              <w:rPr>
                <w:b/>
                <w:bCs/>
                <w:sz w:val="22"/>
                <w:lang w:val="uk-UA"/>
              </w:rPr>
              <w:t>(2)</w:t>
            </w:r>
          </w:p>
          <w:p w:rsidR="00CF2AC1" w:rsidRPr="005A615E" w:rsidRDefault="00CF2AC1" w:rsidP="00CF2AC1">
            <w:pPr>
              <w:pStyle w:val="aa"/>
              <w:spacing w:before="0" w:beforeAutospacing="0" w:after="0" w:afterAutospacing="0"/>
              <w:ind w:firstLine="493"/>
              <w:jc w:val="both"/>
              <w:rPr>
                <w:sz w:val="22"/>
                <w:lang w:val="uk-UA"/>
              </w:rPr>
            </w:pPr>
            <w:r w:rsidRPr="005A615E">
              <w:rPr>
                <w:sz w:val="22"/>
                <w:lang w:val="uk-UA"/>
              </w:rPr>
              <w:t>де ΔЕ</w:t>
            </w:r>
            <w:r w:rsidRPr="005A615E">
              <w:rPr>
                <w:sz w:val="22"/>
                <w:vertAlign w:val="subscript"/>
                <w:lang w:val="uk-UA"/>
              </w:rPr>
              <w:t>зв2</w:t>
            </w:r>
            <w:r w:rsidRPr="005A615E">
              <w:rPr>
                <w:sz w:val="22"/>
                <w:lang w:val="uk-UA"/>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 5-НКРЕКП-моніторинг-розподіл та № 1Б-ТВЕ, тис. кВт·год;</w:t>
            </w:r>
          </w:p>
          <w:p w:rsidR="00CF2AC1" w:rsidRPr="005A615E" w:rsidRDefault="00CF2AC1" w:rsidP="00CF2AC1">
            <w:pPr>
              <w:pStyle w:val="aa"/>
              <w:spacing w:before="0" w:beforeAutospacing="0" w:after="0" w:afterAutospacing="0"/>
              <w:ind w:firstLine="493"/>
              <w:jc w:val="both"/>
              <w:rPr>
                <w:b/>
                <w:bCs/>
                <w:sz w:val="22"/>
                <w:lang w:val="uk-UA"/>
              </w:rPr>
            </w:pPr>
            <w:r w:rsidRPr="005A615E">
              <w:rPr>
                <w:b/>
                <w:bCs/>
                <w:sz w:val="22"/>
                <w:lang w:val="uk-UA"/>
              </w:rPr>
              <w:t>ΔЕ</w:t>
            </w:r>
            <w:r w:rsidRPr="005A615E">
              <w:rPr>
                <w:b/>
                <w:bCs/>
                <w:sz w:val="22"/>
                <w:vertAlign w:val="subscript"/>
                <w:lang w:val="uk-UA"/>
              </w:rPr>
              <w:t>wф2</w:t>
            </w:r>
            <w:r w:rsidRPr="005A615E">
              <w:rPr>
                <w:b/>
                <w:bCs/>
                <w:sz w:val="22"/>
                <w:lang w:val="uk-UA"/>
              </w:rPr>
              <w:t xml:space="preserve"> – середня величина фактичної складової ТВЕ на 2 класі напруги за три завершені річні періоди (січень – грудень), що передували прогнозному періоду, визначена відповідно до абзацу 7 пункту 1.2 глави 1 цього Положення, тис. кВт·год; </w:t>
            </w:r>
          </w:p>
          <w:p w:rsidR="00CF2AC1" w:rsidRPr="005A615E" w:rsidRDefault="00CF2AC1" w:rsidP="00CF2AC1">
            <w:pPr>
              <w:pStyle w:val="aa"/>
              <w:spacing w:before="0" w:beforeAutospacing="0" w:after="0" w:afterAutospacing="0"/>
              <w:ind w:firstLine="493"/>
              <w:jc w:val="both"/>
              <w:rPr>
                <w:b/>
                <w:bCs/>
                <w:sz w:val="22"/>
                <w:lang w:val="uk-UA"/>
              </w:rPr>
            </w:pPr>
            <w:r w:rsidRPr="005A615E">
              <w:rPr>
                <w:b/>
                <w:bCs/>
                <w:sz w:val="22"/>
                <w:lang w:val="uk-UA"/>
              </w:rPr>
              <w:t>Якщо для розрахунку ЕКПТВЕ використовуються вхідні дані попереднього базового року затвердженого НКРЕКП – середня величина фактичної складової ТВЕ рівна нулю.</w:t>
            </w:r>
          </w:p>
          <w:p w:rsidR="00CF2AC1" w:rsidRPr="005A615E" w:rsidRDefault="000D13C5" w:rsidP="00CF2AC1">
            <w:pPr>
              <w:pStyle w:val="aa"/>
              <w:spacing w:before="0" w:beforeAutospacing="0" w:after="0" w:afterAutospacing="0"/>
              <w:ind w:firstLine="493"/>
              <w:jc w:val="both"/>
              <w:rPr>
                <w:rStyle w:val="a9"/>
                <w:color w:val="auto"/>
                <w:sz w:val="22"/>
              </w:rPr>
            </w:pPr>
            <m:oMath>
              <m:sSub>
                <m:sSubPr>
                  <m:ctrlPr>
                    <w:rPr>
                      <w:rFonts w:ascii="Cambria Math" w:eastAsia="Calibri" w:hAnsi="Cambria Math"/>
                      <w:i/>
                      <w:sz w:val="22"/>
                      <w:lang w:eastAsia="en-US"/>
                    </w:rPr>
                  </m:ctrlPr>
                </m:sSubPr>
                <m:e>
                  <m:r>
                    <w:rPr>
                      <w:rFonts w:ascii="Cambria Math" w:hAnsi="Cambria Math"/>
                      <w:sz w:val="22"/>
                      <w:lang w:val="uk-UA"/>
                    </w:rPr>
                    <m:t>ПЕ</m:t>
                  </m:r>
                </m:e>
                <m:sub>
                  <m:r>
                    <w:rPr>
                      <w:rFonts w:ascii="Cambria Math" w:hAnsi="Cambria Math"/>
                      <w:sz w:val="22"/>
                      <w:lang w:val="uk-UA"/>
                    </w:rPr>
                    <m:t>2тве</m:t>
                  </m:r>
                </m:sub>
              </m:sSub>
            </m:oMath>
            <w:r w:rsidR="00CF2AC1" w:rsidRPr="005A615E">
              <w:rPr>
                <w:sz w:val="22"/>
                <w:lang w:val="uk-UA"/>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w:t>
            </w:r>
            <w:r w:rsidR="00CF2AC1" w:rsidRPr="005A615E">
              <w:rPr>
                <w:sz w:val="22"/>
                <w:lang w:val="uk-UA"/>
              </w:rPr>
              <w:lastRenderedPageBreak/>
              <w:t xml:space="preserve">Якщо оператор системи розподілу не переходить на стимулююче регулювання, то значення дорівнює 1 (на 2023 – 2025 роки значення дорівнює 0, </w:t>
            </w:r>
            <w:hyperlink r:id="rId17" w:tgtFrame="_blank" w:history="1">
              <w:r w:rsidR="00CF2AC1" w:rsidRPr="005A615E">
                <w:rPr>
                  <w:rStyle w:val="a9"/>
                  <w:color w:val="auto"/>
                  <w:sz w:val="22"/>
                  <w:lang w:val="uk-UA"/>
                </w:rPr>
                <w:t xml:space="preserve">на 2026 рік для ліцензіатів, перелік яких наведено в додатку 32 до Порядку встановлення (формування) тарифів, </w:t>
              </w:r>
            </w:hyperlink>
            <w:r w:rsidR="00CF2AC1" w:rsidRPr="005A615E">
              <w:rPr>
                <w:rStyle w:val="a9"/>
                <w:color w:val="auto"/>
                <w:sz w:val="22"/>
                <w:lang w:val="uk-UA"/>
              </w:rPr>
              <w:t xml:space="preserve"> значення дорівнює 0);</w:t>
            </w:r>
          </w:p>
          <w:p w:rsidR="00CF2AC1" w:rsidRPr="005A615E" w:rsidRDefault="00CF2AC1" w:rsidP="00CF2AC1">
            <w:pPr>
              <w:pStyle w:val="aa"/>
              <w:spacing w:before="0" w:beforeAutospacing="0" w:after="0" w:afterAutospacing="0"/>
              <w:ind w:firstLine="493"/>
              <w:jc w:val="both"/>
              <w:rPr>
                <w:sz w:val="22"/>
              </w:rPr>
            </w:pPr>
            <w:r w:rsidRPr="005A615E">
              <w:rPr>
                <w:sz w:val="22"/>
                <w:lang w:val="uk-UA"/>
              </w:rPr>
              <w:t>m – порядковий номер року з початку нового  регуляторного періоду;</w:t>
            </w:r>
          </w:p>
          <w:p w:rsidR="00CF2AC1" w:rsidRPr="005A615E" w:rsidRDefault="00CF2AC1" w:rsidP="00CF2AC1">
            <w:pPr>
              <w:pStyle w:val="aa"/>
              <w:spacing w:before="0" w:beforeAutospacing="0" w:after="0" w:afterAutospacing="0"/>
              <w:ind w:firstLine="493"/>
              <w:jc w:val="both"/>
              <w:rPr>
                <w:b/>
                <w:bCs/>
                <w:sz w:val="22"/>
                <w:lang w:val="uk-UA"/>
              </w:rPr>
            </w:pPr>
            <w:r w:rsidRPr="005A615E">
              <w:rPr>
                <w:sz w:val="22"/>
                <w:lang w:val="uk-UA"/>
              </w:rPr>
              <w:t>n – кількість років регуляторного періоду, у яких значення показника ефективності дорівнювало 0;</w:t>
            </w:r>
          </w:p>
          <w:p w:rsidR="00CF2AC1" w:rsidRPr="005A615E" w:rsidRDefault="00CF2AC1" w:rsidP="00CF2AC1">
            <w:pPr>
              <w:pStyle w:val="aa"/>
              <w:spacing w:before="0" w:beforeAutospacing="0" w:after="0" w:afterAutospacing="0"/>
              <w:ind w:firstLine="493"/>
              <w:jc w:val="both"/>
              <w:rPr>
                <w:b/>
                <w:bCs/>
                <w:sz w:val="22"/>
                <w:lang w:val="uk-UA"/>
              </w:rPr>
            </w:pPr>
            <w:r w:rsidRPr="005A615E">
              <w:rPr>
                <w:b/>
                <w:bCs/>
                <w:sz w:val="22"/>
                <w:lang w:val="uk-UA"/>
              </w:rPr>
              <w:t>ΔЕ</w:t>
            </w:r>
            <w:r w:rsidRPr="005A615E">
              <w:rPr>
                <w:b/>
                <w:bCs/>
                <w:sz w:val="22"/>
                <w:vertAlign w:val="subscript"/>
                <w:lang w:val="uk-UA"/>
              </w:rPr>
              <w:t>wп2</w:t>
            </w:r>
            <w:r w:rsidRPr="005A615E">
              <w:rPr>
                <w:b/>
                <w:bCs/>
                <w:sz w:val="22"/>
                <w:lang w:val="uk-UA"/>
              </w:rPr>
              <w:t xml:space="preserve"> – прогнозовані обсяги складової ТВЕ  на 2 класі напруги. На момент розрахунку та затвердження ЕКПТВЕ на другий регуляторний період значення приймається на рівні середньої величини фактичної складової ТВЕ (ΔЕ</w:t>
            </w:r>
            <w:r w:rsidRPr="005A615E">
              <w:rPr>
                <w:b/>
                <w:bCs/>
                <w:sz w:val="22"/>
                <w:vertAlign w:val="subscript"/>
                <w:lang w:val="uk-UA"/>
              </w:rPr>
              <w:t>wф2</w:t>
            </w:r>
            <w:r w:rsidRPr="005A615E">
              <w:rPr>
                <w:b/>
                <w:bCs/>
                <w:sz w:val="22"/>
                <w:lang w:val="uk-UA"/>
              </w:rPr>
              <w:t>).  При цьому під час здійснення НКРЕКП заходів державного нагляду (контролю) в наступні роки другого регуляторного періоду значення ΔЕ</w:t>
            </w:r>
            <w:r w:rsidRPr="005A615E">
              <w:rPr>
                <w:b/>
                <w:bCs/>
                <w:sz w:val="22"/>
                <w:vertAlign w:val="subscript"/>
                <w:lang w:val="uk-UA"/>
              </w:rPr>
              <w:t xml:space="preserve">wп2 </w:t>
            </w:r>
            <w:r w:rsidRPr="005A615E">
              <w:rPr>
                <w:b/>
                <w:bCs/>
                <w:sz w:val="22"/>
                <w:lang w:val="uk-UA"/>
              </w:rPr>
              <w:t>може бути переглянуто відповідно до глави 3 цього  Положення, тис. кВт·год;</w:t>
            </w:r>
          </w:p>
          <w:p w:rsidR="00CF2AC1" w:rsidRPr="005A615E" w:rsidRDefault="00CF2AC1" w:rsidP="00CF2AC1">
            <w:pPr>
              <w:pStyle w:val="aa"/>
              <w:spacing w:before="0" w:beforeAutospacing="0" w:after="0" w:afterAutospacing="0"/>
              <w:ind w:firstLine="493"/>
              <w:jc w:val="both"/>
              <w:rPr>
                <w:sz w:val="22"/>
                <w:lang w:val="uk-UA"/>
              </w:rPr>
            </w:pPr>
            <w:r w:rsidRPr="005A615E">
              <w:rPr>
                <w:sz w:val="22"/>
                <w:lang w:val="uk-UA"/>
              </w:rPr>
              <w:t>Е</w:t>
            </w:r>
            <w:r w:rsidRPr="005A615E">
              <w:rPr>
                <w:sz w:val="22"/>
                <w:vertAlign w:val="subscript"/>
                <w:lang w:val="uk-UA"/>
              </w:rPr>
              <w:t>с2</w:t>
            </w:r>
            <w:r w:rsidRPr="005A615E">
              <w:rPr>
                <w:sz w:val="22"/>
                <w:lang w:val="uk-UA"/>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 5-НКРЕКП-моніторинг-розподіл та № 1Б-ТВЕ, тис. кВт·год;</w:t>
            </w:r>
          </w:p>
          <w:p w:rsidR="00CF2AC1" w:rsidRPr="005A615E" w:rsidRDefault="00CF2AC1" w:rsidP="00CF2AC1">
            <w:pPr>
              <w:jc w:val="both"/>
              <w:rPr>
                <w:rFonts w:ascii="Times New Roman" w:hAnsi="Times New Roman"/>
                <w:szCs w:val="24"/>
              </w:rPr>
            </w:pPr>
            <w:r w:rsidRPr="005A615E">
              <w:rPr>
                <w:rFonts w:ascii="Times New Roman" w:hAnsi="Times New Roman"/>
                <w:szCs w:val="24"/>
              </w:rPr>
              <w:t xml:space="preserve"> Е</w:t>
            </w:r>
            <w:r w:rsidRPr="005A615E">
              <w:rPr>
                <w:rFonts w:ascii="Times New Roman" w:hAnsi="Times New Roman"/>
                <w:szCs w:val="24"/>
                <w:vertAlign w:val="subscript"/>
              </w:rPr>
              <w:t>в2</w:t>
            </w:r>
            <w:r w:rsidRPr="005A615E">
              <w:rPr>
                <w:rFonts w:ascii="Times New Roman" w:hAnsi="Times New Roman"/>
                <w:szCs w:val="24"/>
              </w:rPr>
              <w:t xml:space="preserve">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 кВт·год.</w:t>
            </w:r>
          </w:p>
          <w:p w:rsidR="00CF2AC1" w:rsidRPr="005A615E" w:rsidRDefault="00CF2AC1" w:rsidP="00CF2AC1">
            <w:pPr>
              <w:jc w:val="both"/>
              <w:rPr>
                <w:rFonts w:ascii="Times New Roman" w:hAnsi="Times New Roman"/>
                <w:b/>
                <w:sz w:val="20"/>
                <w:u w:val="single"/>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szCs w:val="24"/>
              </w:rPr>
            </w:pPr>
            <w:r w:rsidRPr="005A615E">
              <w:rPr>
                <w:rFonts w:ascii="Times New Roman" w:hAnsi="Times New Roman"/>
                <w:szCs w:val="24"/>
              </w:rPr>
              <w:t xml:space="preserve">З метою уникнення громіздкості математичних записів та полегшення візуального сприйняття основних </w:t>
            </w:r>
            <w:r w:rsidRPr="005A615E">
              <w:rPr>
                <w:rFonts w:ascii="Times New Roman" w:hAnsi="Times New Roman"/>
                <w:szCs w:val="24"/>
              </w:rPr>
              <w:lastRenderedPageBreak/>
              <w:t>формул (1) та (3), у розрахунок введено допоміжний показник ΔЕеф («ефективні витрати»). Це суто технічне рішення дозволило винести частину формули, що відповідає за приведення витрат до показника ефективності, в окремий підпункт. Такий підхід робить структуру ЕКПТВЕ прозорою: чітко розділяються базові витрати, що підлягають щорічному зниженню, та аномальні (воєнні) витрати, які мають компенсуватися в повному обсязі.</w:t>
            </w:r>
          </w:p>
          <w:p w:rsidR="00CF2AC1" w:rsidRPr="005A615E" w:rsidRDefault="00CF2AC1" w:rsidP="00CF2AC1">
            <w:pPr>
              <w:jc w:val="both"/>
              <w:rPr>
                <w:rFonts w:ascii="Times New Roman" w:hAnsi="Times New Roman"/>
                <w:szCs w:val="24"/>
              </w:rPr>
            </w:pPr>
            <w:r w:rsidRPr="005A615E">
              <w:rPr>
                <w:rFonts w:ascii="Times New Roman" w:hAnsi="Times New Roman"/>
                <w:szCs w:val="24"/>
              </w:rPr>
              <w:t>Головною зміною є виключення обсягів складової ТВЕ з-під дії показника ефективності. Чинна методика передбачає примусове зниження витрат на певний відсоток щороку. Проте складова ТВЕ (спричинена руйнуваннями, збільшенням обсягів транзитних перетоків в мережі суміжних ліцензіатів, зміною топології та ненормальними режимами роботи мережі) не залежить від господарської діяльності ОСР і не може бути зменшена шляхом впровадження енергоефективних заходів. Застосування ПЕ до складової ТВЕ призводило б до штучного та необґрунтованого заниження нормативів ТВЕ.</w:t>
            </w:r>
          </w:p>
          <w:p w:rsidR="00CF2AC1" w:rsidRPr="005A615E" w:rsidRDefault="00CF2AC1" w:rsidP="00CF2AC1">
            <w:pPr>
              <w:jc w:val="both"/>
              <w:rPr>
                <w:rFonts w:ascii="Times New Roman" w:hAnsi="Times New Roman"/>
                <w:szCs w:val="24"/>
              </w:rPr>
            </w:pPr>
            <w:r w:rsidRPr="005A615E">
              <w:rPr>
                <w:rFonts w:ascii="Times New Roman" w:hAnsi="Times New Roman"/>
                <w:szCs w:val="24"/>
              </w:rPr>
              <w:t>Введення показника ΔЕwп (прогнозна складова ТВЕ) у чисельник та знаменник формул забезпечує відповідність розрахункових коефіцієнтів фактичному балансу електричної енергії. Це дозволяє оператору системи розподілу отримати в структурі тарифу кошти на покриття тих витрат, які фізично виникли внаслідок бойових дій, забезпечуючи фінансову стійкість підприємства для проведення відновлювальних робіт.</w:t>
            </w:r>
          </w:p>
          <w:p w:rsidR="00CF2AC1" w:rsidRPr="005A615E" w:rsidRDefault="00CF2AC1" w:rsidP="00CF2AC1">
            <w:pPr>
              <w:jc w:val="both"/>
              <w:rPr>
                <w:rFonts w:ascii="Times New Roman" w:hAnsi="Times New Roman"/>
                <w:szCs w:val="24"/>
              </w:rPr>
            </w:pPr>
            <w:r w:rsidRPr="005A615E">
              <w:rPr>
                <w:rFonts w:ascii="Times New Roman" w:hAnsi="Times New Roman"/>
                <w:szCs w:val="24"/>
              </w:rPr>
              <w:t xml:space="preserve">Запропонований підхід передбачає, що на момент затвердження ЕКПТВЕ прогнозна величина складової ТВЕ приймається на рівні фактичної за попередні періоди. Водночас передбачено право Регулятора переглядати ці значення в ході заходів державного нагляду (контролю). Це створює запобіжник від </w:t>
            </w:r>
            <w:r w:rsidRPr="005A615E">
              <w:rPr>
                <w:rFonts w:ascii="Times New Roman" w:hAnsi="Times New Roman"/>
                <w:szCs w:val="24"/>
              </w:rPr>
              <w:lastRenderedPageBreak/>
              <w:t>надмірних нарахувань у разі відновлення мереж та повернення до нормальних режимів роботи, збалансовуючи інтереси як ОСР, так і споживачів.</w:t>
            </w:r>
          </w:p>
          <w:p w:rsidR="00CF2AC1" w:rsidRPr="005A615E" w:rsidRDefault="00CF2AC1" w:rsidP="00CF2AC1">
            <w:pPr>
              <w:jc w:val="both"/>
              <w:rPr>
                <w:rFonts w:ascii="Times New Roman" w:hAnsi="Times New Roman"/>
                <w:b/>
                <w:sz w:val="24"/>
              </w:rPr>
            </w:pPr>
            <w:r w:rsidRPr="005A615E">
              <w:rPr>
                <w:rFonts w:ascii="Times New Roman" w:hAnsi="Times New Roman"/>
                <w:szCs w:val="24"/>
              </w:rPr>
              <w:t>Таким чином, зміни до пунктів 2.7 та 2.8 створюють надійну математичну та правову базу для функціонування енергосистеми в кризовий період, зберігаючи при цьому стимулюючу функцію регулювання для цільової складової витрат.</w:t>
            </w:r>
          </w:p>
        </w:tc>
        <w:tc>
          <w:tcPr>
            <w:tcW w:w="3969" w:type="dxa"/>
            <w:gridSpan w:val="2"/>
          </w:tcPr>
          <w:p w:rsidR="00FE4811" w:rsidRPr="005A615E" w:rsidRDefault="00FE4811" w:rsidP="00FE4811">
            <w:pPr>
              <w:rPr>
                <w:rFonts w:ascii="Times New Roman" w:hAnsi="Times New Roman"/>
                <w:b/>
                <w:sz w:val="24"/>
              </w:rPr>
            </w:pPr>
            <w:r w:rsidRPr="005A615E">
              <w:rPr>
                <w:rFonts w:ascii="Times New Roman" w:hAnsi="Times New Roman"/>
                <w:b/>
                <w:sz w:val="24"/>
              </w:rPr>
              <w:lastRenderedPageBreak/>
              <w:t>Не враховано</w:t>
            </w:r>
          </w:p>
          <w:p w:rsidR="00FE4811" w:rsidRPr="005A615E" w:rsidRDefault="00FE4811" w:rsidP="00FE4811">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C91A22" w:rsidRPr="005A615E" w:rsidRDefault="00FE4811" w:rsidP="00C91A22">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c>
          <w:tcPr>
            <w:tcW w:w="6232" w:type="dxa"/>
          </w:tcPr>
          <w:p w:rsidR="00CF2AC1" w:rsidRPr="005A615E" w:rsidRDefault="00CF2AC1" w:rsidP="00CF2AC1">
            <w:pPr>
              <w:spacing w:after="75"/>
              <w:ind w:firstLine="240"/>
              <w:jc w:val="both"/>
              <w:rPr>
                <w:rFonts w:ascii="Times New Roman" w:hAnsi="Times New Roman"/>
              </w:rPr>
            </w:pPr>
            <w:r w:rsidRPr="005A615E">
              <w:rPr>
                <w:rFonts w:ascii="Times New Roman" w:hAnsi="Times New Roman"/>
              </w:rPr>
              <w:lastRenderedPageBreak/>
              <w:t>2.8. ЕКПТВЕ 1 класу напруги (</w:t>
            </w:r>
            <w:r w:rsidRPr="005A615E">
              <w:rPr>
                <w:rFonts w:ascii="Times New Roman" w:hAnsi="Times New Roman"/>
                <w:noProof/>
              </w:rPr>
              <w:drawing>
                <wp:inline distT="0" distB="0" distL="0" distR="0" wp14:anchorId="507F8D15" wp14:editId="485449B4">
                  <wp:extent cx="352425" cy="228600"/>
                  <wp:effectExtent l="0" t="0" r="9525" b="0"/>
                  <wp:docPr id="1993780103" name="Рисунок 199378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sidRPr="005A615E">
              <w:rPr>
                <w:rFonts w:ascii="Times New Roman" w:hAnsi="Times New Roman"/>
              </w:rPr>
              <w:t>) визначається за формулою</w:t>
            </w:r>
          </w:p>
          <w:p w:rsidR="00CF2AC1" w:rsidRPr="005A615E" w:rsidRDefault="00CF2AC1" w:rsidP="00CF2AC1">
            <w:pPr>
              <w:spacing w:after="75"/>
              <w:ind w:firstLine="240"/>
              <w:jc w:val="both"/>
              <w:rPr>
                <w:rFonts w:ascii="Times New Roman" w:hAnsi="Times New Roman"/>
              </w:rPr>
            </w:pPr>
          </w:p>
          <w:tbl>
            <w:tblPr>
              <w:tblW w:w="6077" w:type="dxa"/>
              <w:tblBorders>
                <w:top w:val="single" w:sz="8" w:space="0" w:color="E5E2FF"/>
              </w:tblBorders>
              <w:tblLayout w:type="fixed"/>
              <w:tblLook w:val="04A0" w:firstRow="1" w:lastRow="0" w:firstColumn="1" w:lastColumn="0" w:noHBand="0" w:noVBand="1"/>
            </w:tblPr>
            <w:tblGrid>
              <w:gridCol w:w="5267"/>
              <w:gridCol w:w="236"/>
              <w:gridCol w:w="574"/>
            </w:tblGrid>
            <w:tr w:rsidR="00CF2AC1" w:rsidRPr="005A615E" w:rsidTr="008237EA">
              <w:trPr>
                <w:trHeight w:val="30"/>
              </w:trPr>
              <w:tc>
                <w:tcPr>
                  <w:tcW w:w="5267" w:type="dxa"/>
                  <w:tcBorders>
                    <w:top w:val="single" w:sz="8" w:space="0" w:color="E5E2FF"/>
                    <w:left w:val="nil"/>
                    <w:bottom w:val="nil"/>
                    <w:right w:val="nil"/>
                  </w:tcBorders>
                  <w:vAlign w:val="center"/>
                  <w:hideMark/>
                </w:tcPr>
                <w:p w:rsidR="00CF2AC1" w:rsidRPr="005A615E" w:rsidRDefault="00CF2AC1" w:rsidP="00CF2AC1">
                  <w:pPr>
                    <w:spacing w:after="75"/>
                    <w:jc w:val="both"/>
                    <w:rPr>
                      <w:rFonts w:ascii="Times New Roman" w:hAnsi="Times New Roman"/>
                    </w:rPr>
                  </w:pPr>
                  <w:r w:rsidRPr="005A615E">
                    <w:rPr>
                      <w:rFonts w:ascii="Times New Roman" w:hAnsi="Times New Roman"/>
                      <w:noProof/>
                    </w:rPr>
                    <w:drawing>
                      <wp:inline distT="0" distB="0" distL="0" distR="0" wp14:anchorId="649C4785" wp14:editId="5A709DF2">
                        <wp:extent cx="3143250" cy="389729"/>
                        <wp:effectExtent l="0" t="0" r="0" b="0"/>
                        <wp:docPr id="1993780102" name="Рисунок 199378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1947" cy="397007"/>
                                </a:xfrm>
                                <a:prstGeom prst="rect">
                                  <a:avLst/>
                                </a:prstGeom>
                                <a:noFill/>
                                <a:ln>
                                  <a:noFill/>
                                </a:ln>
                              </pic:spPr>
                            </pic:pic>
                          </a:graphicData>
                        </a:graphic>
                      </wp:inline>
                    </w:drawing>
                  </w:r>
                </w:p>
              </w:tc>
              <w:tc>
                <w:tcPr>
                  <w:tcW w:w="236" w:type="dxa"/>
                  <w:tcBorders>
                    <w:top w:val="single" w:sz="8" w:space="0" w:color="E5E2FF"/>
                    <w:left w:val="nil"/>
                    <w:bottom w:val="nil"/>
                    <w:right w:val="nil"/>
                  </w:tcBorders>
                  <w:vAlign w:val="center"/>
                  <w:hideMark/>
                </w:tcPr>
                <w:p w:rsidR="00CF2AC1" w:rsidRPr="005A615E" w:rsidRDefault="00CF2AC1" w:rsidP="00CF2AC1">
                  <w:pPr>
                    <w:spacing w:after="75"/>
                    <w:jc w:val="both"/>
                    <w:rPr>
                      <w:rFonts w:ascii="Times New Roman" w:hAnsi="Times New Roman"/>
                    </w:rPr>
                  </w:pPr>
                  <w:r w:rsidRPr="005A615E">
                    <w:rPr>
                      <w:rFonts w:ascii="Times New Roman" w:hAnsi="Times New Roman"/>
                    </w:rPr>
                    <w:t>,</w:t>
                  </w:r>
                </w:p>
              </w:tc>
              <w:tc>
                <w:tcPr>
                  <w:tcW w:w="574" w:type="dxa"/>
                  <w:tcBorders>
                    <w:top w:val="single" w:sz="8" w:space="0" w:color="E5E2FF"/>
                    <w:left w:val="nil"/>
                    <w:bottom w:val="nil"/>
                    <w:right w:val="nil"/>
                  </w:tcBorders>
                  <w:vAlign w:val="center"/>
                  <w:hideMark/>
                </w:tcPr>
                <w:p w:rsidR="00CF2AC1" w:rsidRPr="005A615E" w:rsidRDefault="00CF2AC1" w:rsidP="00CF2AC1">
                  <w:pPr>
                    <w:spacing w:after="75"/>
                    <w:jc w:val="both"/>
                    <w:rPr>
                      <w:rFonts w:ascii="Times New Roman" w:hAnsi="Times New Roman"/>
                    </w:rPr>
                  </w:pPr>
                  <w:r w:rsidRPr="005A615E">
                    <w:rPr>
                      <w:rFonts w:ascii="Times New Roman" w:hAnsi="Times New Roman"/>
                    </w:rPr>
                    <w:t>(2)</w:t>
                  </w:r>
                </w:p>
              </w:tc>
            </w:tr>
          </w:tbl>
          <w:p w:rsidR="00CF2AC1" w:rsidRPr="005A615E" w:rsidRDefault="00CF2AC1" w:rsidP="00CF2AC1">
            <w:pPr>
              <w:spacing w:after="75"/>
              <w:ind w:firstLine="240"/>
              <w:jc w:val="both"/>
              <w:rPr>
                <w:rFonts w:ascii="Times New Roman" w:eastAsia="Times New Roman" w:hAnsi="Times New Roman"/>
                <w:lang w:eastAsia="ru-RU"/>
              </w:rPr>
            </w:pPr>
            <w:r w:rsidRPr="005A615E">
              <w:rPr>
                <w:rFonts w:ascii="Times New Roman" w:hAnsi="Times New Roman"/>
              </w:rPr>
              <w:t xml:space="preserve">де </w:t>
            </w:r>
            <w:r w:rsidRPr="005A615E">
              <w:rPr>
                <w:rFonts w:ascii="Times New Roman" w:hAnsi="Times New Roman"/>
              </w:rPr>
              <w:sym w:font="Symbol" w:char="F044"/>
            </w:r>
            <w:r w:rsidRPr="005A615E">
              <w:rPr>
                <w:rFonts w:ascii="Times New Roman" w:hAnsi="Times New Roman"/>
              </w:rPr>
              <w:t>Е</w:t>
            </w:r>
            <w:r w:rsidRPr="005A615E">
              <w:rPr>
                <w:rFonts w:ascii="Times New Roman" w:hAnsi="Times New Roman"/>
                <w:vertAlign w:val="subscript"/>
              </w:rPr>
              <w:t>зв1</w:t>
            </w:r>
            <w:r w:rsidRPr="005A615E">
              <w:rPr>
                <w:rFonts w:ascii="Times New Roman" w:hAnsi="Times New Roman"/>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N 5-НКРЕКП-моніторинг-розподіл та N 1Б-ТВЕ, тис. кВт·год;</w:t>
            </w:r>
          </w:p>
          <w:p w:rsidR="00CF2AC1" w:rsidRPr="005A615E" w:rsidRDefault="00CF2AC1" w:rsidP="00CF2AC1">
            <w:pPr>
              <w:spacing w:after="120"/>
              <w:ind w:firstLine="238"/>
              <w:jc w:val="both"/>
              <w:rPr>
                <w:rFonts w:ascii="Times New Roman" w:hAnsi="Times New Roman"/>
              </w:rPr>
            </w:pPr>
            <w:r w:rsidRPr="005A615E">
              <w:rPr>
                <w:rFonts w:ascii="Times New Roman" w:hAnsi="Times New Roman"/>
              </w:rPr>
              <w:t>ПЕ</w:t>
            </w:r>
            <w:r w:rsidRPr="005A615E">
              <w:rPr>
                <w:rFonts w:ascii="Times New Roman" w:hAnsi="Times New Roman"/>
                <w:vertAlign w:val="subscript"/>
              </w:rPr>
              <w:t>1тве</w:t>
            </w:r>
            <w:r w:rsidRPr="005A615E">
              <w:rPr>
                <w:rFonts w:ascii="Times New Roman" w:hAnsi="Times New Roman"/>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  </w:t>
            </w:r>
            <w:r w:rsidRPr="005A615E">
              <w:rPr>
                <w:rFonts w:ascii="Times New Roman" w:hAnsi="Times New Roman"/>
                <w:b/>
              </w:rPr>
              <w:t>на 2027 рік для ліцензіатів, перелік яких наведено в додатку 34 до Порядку встановлення (формування) тарифів,  значення дорівнює 0;</w:t>
            </w: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Е</w:t>
            </w:r>
            <w:r w:rsidRPr="005A615E">
              <w:rPr>
                <w:rFonts w:ascii="Times New Roman" w:hAnsi="Times New Roman"/>
                <w:vertAlign w:val="subscript"/>
              </w:rPr>
              <w:t>С1</w:t>
            </w:r>
            <w:r w:rsidRPr="005A615E">
              <w:rPr>
                <w:rFonts w:ascii="Times New Roman" w:hAnsi="Times New Roman"/>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N 5-НКРЕКП-моніторинг-розподіл та N 1Б-ТВЕ, тис. кВт·год;</w:t>
            </w:r>
          </w:p>
          <w:p w:rsidR="00CF2AC1" w:rsidRPr="005A615E" w:rsidRDefault="00CF2AC1" w:rsidP="00CF2AC1">
            <w:pPr>
              <w:ind w:firstLine="240"/>
              <w:jc w:val="both"/>
              <w:rPr>
                <w:rFonts w:ascii="Times New Roman" w:hAnsi="Times New Roman"/>
              </w:rPr>
            </w:pPr>
            <w:r w:rsidRPr="005A615E">
              <w:rPr>
                <w:rFonts w:ascii="Times New Roman" w:hAnsi="Times New Roman"/>
              </w:rPr>
              <w:t>Е</w:t>
            </w:r>
            <w:r w:rsidRPr="005A615E">
              <w:rPr>
                <w:rFonts w:ascii="Times New Roman" w:hAnsi="Times New Roman"/>
                <w:vertAlign w:val="subscript"/>
              </w:rPr>
              <w:t>В1</w:t>
            </w:r>
            <w:r w:rsidRPr="005A615E">
              <w:rPr>
                <w:rFonts w:ascii="Times New Roman" w:hAnsi="Times New Roman"/>
              </w:rPr>
              <w:t xml:space="preserve"> - середні за три завершені річні періоди (січень - грудень), що передували прогнозному періоду, обсяги електричної енергії на 1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N 5-НКРЕКП-моніторинг-розподіл тис. кВт·год.</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r w:rsidRPr="005A615E">
              <w:rPr>
                <w:rFonts w:ascii="Times New Roman" w:hAnsi="Times New Roman"/>
                <w:b/>
                <w:sz w:val="24"/>
              </w:rPr>
              <w:t>Абзаци відсутні</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ind w:firstLine="180"/>
              <w:jc w:val="both"/>
              <w:rPr>
                <w:rFonts w:ascii="Times New Roman" w:hAnsi="Times New Roman"/>
                <w:b/>
              </w:rPr>
            </w:pPr>
          </w:p>
          <w:p w:rsidR="00C91A22" w:rsidRPr="005A615E" w:rsidRDefault="00C91A22" w:rsidP="00CF2AC1">
            <w:pPr>
              <w:ind w:firstLine="180"/>
              <w:jc w:val="both"/>
              <w:rPr>
                <w:rFonts w:ascii="Times New Roman" w:hAnsi="Times New Roman"/>
                <w:b/>
              </w:rPr>
            </w:pPr>
          </w:p>
          <w:p w:rsidR="00C91A22" w:rsidRPr="005A615E" w:rsidRDefault="00C91A22" w:rsidP="00CF2AC1">
            <w:pPr>
              <w:ind w:firstLine="180"/>
              <w:jc w:val="both"/>
              <w:rPr>
                <w:rFonts w:ascii="Times New Roman" w:hAnsi="Times New Roman"/>
                <w:b/>
              </w:rPr>
            </w:pPr>
          </w:p>
          <w:p w:rsidR="00C91A22" w:rsidRPr="005A615E" w:rsidRDefault="00C91A22" w:rsidP="00CF2AC1">
            <w:pPr>
              <w:ind w:firstLine="180"/>
              <w:jc w:val="both"/>
              <w:rPr>
                <w:rFonts w:ascii="Times New Roman" w:hAnsi="Times New Roman"/>
                <w:b/>
              </w:rPr>
            </w:pPr>
          </w:p>
          <w:p w:rsidR="00CF2AC1" w:rsidRPr="005A615E" w:rsidRDefault="00CF2AC1" w:rsidP="00CF2AC1">
            <w:pPr>
              <w:ind w:firstLine="180"/>
              <w:jc w:val="both"/>
              <w:rPr>
                <w:rFonts w:ascii="Times New Roman" w:hAnsi="Times New Roman"/>
                <w:b/>
                <w:u w:val="single"/>
              </w:rPr>
            </w:pPr>
            <w:r w:rsidRPr="005A615E">
              <w:rPr>
                <w:rFonts w:ascii="Times New Roman" w:hAnsi="Times New Roman"/>
                <w:b/>
              </w:rPr>
              <w:t>Нові визначення</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rPr>
            </w:pPr>
          </w:p>
          <w:p w:rsidR="00CF2AC1" w:rsidRPr="005A615E" w:rsidRDefault="00CF2AC1" w:rsidP="00CF2AC1">
            <w:pPr>
              <w:ind w:firstLine="240"/>
              <w:jc w:val="both"/>
              <w:rPr>
                <w:rFonts w:ascii="Times New Roman" w:hAnsi="Times New Roman"/>
              </w:rPr>
            </w:pPr>
          </w:p>
          <w:p w:rsidR="00CF2AC1" w:rsidRPr="005A615E" w:rsidRDefault="00CF2AC1" w:rsidP="00CF2AC1">
            <w:pPr>
              <w:ind w:firstLine="240"/>
              <w:jc w:val="both"/>
              <w:rPr>
                <w:rFonts w:ascii="Times New Roman" w:hAnsi="Times New Roman"/>
              </w:rPr>
            </w:pPr>
          </w:p>
          <w:p w:rsidR="00CF2AC1" w:rsidRPr="005A615E" w:rsidRDefault="00CF2AC1" w:rsidP="00CF2AC1">
            <w:pPr>
              <w:ind w:firstLine="240"/>
              <w:jc w:val="both"/>
              <w:rPr>
                <w:rFonts w:ascii="Times New Roman" w:hAnsi="Times New Roman"/>
              </w:rPr>
            </w:pPr>
          </w:p>
          <w:p w:rsidR="00CF2AC1" w:rsidRPr="005A615E" w:rsidRDefault="00CF2AC1" w:rsidP="00CF2AC1">
            <w:pPr>
              <w:ind w:firstLine="240"/>
              <w:jc w:val="both"/>
              <w:rPr>
                <w:rFonts w:ascii="Times New Roman" w:hAnsi="Times New Roman"/>
              </w:rPr>
            </w:pPr>
          </w:p>
          <w:p w:rsidR="00CF2AC1" w:rsidRPr="005A615E" w:rsidRDefault="00CF2AC1" w:rsidP="00CF2AC1">
            <w:pPr>
              <w:ind w:firstLine="180"/>
              <w:jc w:val="both"/>
              <w:rPr>
                <w:rFonts w:ascii="Times New Roman" w:hAnsi="Times New Roman"/>
              </w:rPr>
            </w:pPr>
          </w:p>
        </w:tc>
        <w:tc>
          <w:tcPr>
            <w:tcW w:w="5387" w:type="dxa"/>
          </w:tcPr>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lastRenderedPageBreak/>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2.8. ЕКПТВЕ 1 класу напруги (</w:t>
            </w:r>
            <w:r w:rsidRPr="005A615E">
              <w:rPr>
                <w:rFonts w:ascii="Times New Roman" w:hAnsi="Times New Roman"/>
                <w:noProof/>
              </w:rPr>
              <w:drawing>
                <wp:inline distT="0" distB="0" distL="0" distR="0" wp14:anchorId="2D682495" wp14:editId="0F502F8A">
                  <wp:extent cx="355600" cy="228600"/>
                  <wp:effectExtent l="0" t="0" r="0" b="0"/>
                  <wp:docPr id="271230487" name="Рисунок 271230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5600" cy="228600"/>
                          </a:xfrm>
                          <a:prstGeom prst="rect">
                            <a:avLst/>
                          </a:prstGeom>
                        </pic:spPr>
                      </pic:pic>
                    </a:graphicData>
                  </a:graphic>
                </wp:inline>
              </w:drawing>
            </w:r>
            <w:r w:rsidRPr="005A615E">
              <w:rPr>
                <w:rFonts w:ascii="Times New Roman" w:hAnsi="Times New Roman"/>
              </w:rPr>
              <w:t>) визначається за формулою</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noProof/>
              </w:rPr>
              <w:drawing>
                <wp:inline distT="0" distB="0" distL="0" distR="0" wp14:anchorId="123C7895" wp14:editId="34EAAF7E">
                  <wp:extent cx="2980869" cy="371475"/>
                  <wp:effectExtent l="0" t="0" r="0" b="0"/>
                  <wp:docPr id="423835334" name="Рисунок 423835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03347" cy="386738"/>
                          </a:xfrm>
                          <a:prstGeom prst="rect">
                            <a:avLst/>
                          </a:prstGeom>
                        </pic:spPr>
                      </pic:pic>
                    </a:graphicData>
                  </a:graphic>
                </wp:inline>
              </w:drawing>
            </w:r>
          </w:p>
          <w:p w:rsidR="00CF2AC1" w:rsidRPr="005A615E" w:rsidRDefault="00CF2AC1" w:rsidP="00CF2AC1">
            <w:pPr>
              <w:ind w:firstLine="308"/>
              <w:jc w:val="both"/>
              <w:rPr>
                <w:rFonts w:ascii="Times New Roman" w:hAnsi="Times New Roman"/>
                <w:b/>
                <w:bCs/>
              </w:rPr>
            </w:pPr>
            <w:r w:rsidRPr="005A615E">
              <w:rPr>
                <w:rFonts w:ascii="Times New Roman" w:hAnsi="Times New Roman"/>
                <w:b/>
                <w:bCs/>
              </w:rPr>
              <w:t>Для першого регуляторного періоду:</w:t>
            </w:r>
          </w:p>
          <w:p w:rsidR="00CF2AC1" w:rsidRPr="005A615E" w:rsidRDefault="00CF2AC1" w:rsidP="00CF2AC1">
            <w:pPr>
              <w:ind w:firstLine="308"/>
              <w:jc w:val="both"/>
              <w:rPr>
                <w:rFonts w:ascii="Times New Roman" w:hAnsi="Times New Roman"/>
              </w:rPr>
            </w:pPr>
            <w:r w:rsidRPr="005A615E">
              <w:rPr>
                <w:rFonts w:ascii="Times New Roman" w:hAnsi="Times New Roman"/>
              </w:rPr>
              <w:sym w:font="Symbol" w:char="F044"/>
            </w:r>
            <w:r w:rsidRPr="005A615E">
              <w:rPr>
                <w:rFonts w:ascii="Times New Roman" w:hAnsi="Times New Roman"/>
              </w:rPr>
              <w:t>Е</w:t>
            </w:r>
            <w:r w:rsidRPr="005A615E">
              <w:rPr>
                <w:rFonts w:ascii="Times New Roman" w:hAnsi="Times New Roman"/>
                <w:vertAlign w:val="subscript"/>
              </w:rPr>
              <w:t>зв1</w:t>
            </w:r>
            <w:r w:rsidRPr="005A615E">
              <w:rPr>
                <w:rFonts w:ascii="Times New Roman" w:hAnsi="Times New Roman"/>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w:t>
            </w:r>
            <w:r w:rsidRPr="005A615E">
              <w:rPr>
                <w:rFonts w:ascii="Times New Roman" w:hAnsi="Times New Roman"/>
              </w:rPr>
              <w:lastRenderedPageBreak/>
              <w:t>напруги відповідно до форм звітності N 5-НКРЕКП-моніторинг-розподіл та N 1Б-ТВЕ, тис. кВт·год;</w:t>
            </w:r>
          </w:p>
          <w:p w:rsidR="00CF2AC1" w:rsidRPr="005A615E" w:rsidRDefault="00CF2AC1" w:rsidP="00CF2AC1">
            <w:pPr>
              <w:spacing w:after="120"/>
              <w:ind w:firstLine="238"/>
              <w:jc w:val="both"/>
              <w:rPr>
                <w:rFonts w:ascii="Times New Roman" w:hAnsi="Times New Roman"/>
              </w:rPr>
            </w:pPr>
            <w:r w:rsidRPr="005A615E">
              <w:rPr>
                <w:rFonts w:ascii="Times New Roman" w:hAnsi="Times New Roman"/>
              </w:rPr>
              <w:t>ПЕ</w:t>
            </w:r>
            <w:r w:rsidRPr="005A615E">
              <w:rPr>
                <w:rFonts w:ascii="Times New Roman" w:hAnsi="Times New Roman"/>
                <w:vertAlign w:val="subscript"/>
              </w:rPr>
              <w:t>1тве</w:t>
            </w:r>
            <w:r w:rsidRPr="005A615E">
              <w:rPr>
                <w:rFonts w:ascii="Times New Roman" w:hAnsi="Times New Roman"/>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w:t>
            </w:r>
            <w:r w:rsidRPr="005A615E">
              <w:rPr>
                <w:rFonts w:ascii="Times New Roman" w:hAnsi="Times New Roman"/>
                <w:b/>
              </w:rPr>
              <w:t xml:space="preserve"> </w:t>
            </w:r>
            <w:r w:rsidRPr="005A615E">
              <w:rPr>
                <w:rFonts w:ascii="Times New Roman" w:hAnsi="Times New Roman"/>
                <w:b/>
                <w:strike/>
              </w:rPr>
              <w:t>на 2027 рік для ліцензіатів, перелік яких наведено в додатку 34 до Порядку встановлення (формування) тарифів,  значення дорівнює 0;</w:t>
            </w:r>
          </w:p>
          <w:p w:rsidR="00CF2AC1" w:rsidRPr="005A615E" w:rsidRDefault="00CF2AC1" w:rsidP="00CF2AC1">
            <w:pPr>
              <w:spacing w:after="75"/>
              <w:ind w:firstLine="240"/>
              <w:jc w:val="both"/>
              <w:rPr>
                <w:rFonts w:ascii="Times New Roman" w:eastAsia="Times New Roman" w:hAnsi="Times New Roman"/>
                <w:lang w:eastAsia="ru-RU"/>
              </w:rPr>
            </w:pPr>
            <w:r w:rsidRPr="005A615E">
              <w:rPr>
                <w:rFonts w:ascii="Times New Roman" w:eastAsia="Times New Roman" w:hAnsi="Times New Roman"/>
                <w:lang w:eastAsia="ru-RU"/>
              </w:rPr>
              <w:t>Е</w:t>
            </w:r>
            <w:r w:rsidRPr="005A615E">
              <w:rPr>
                <w:rFonts w:ascii="Times New Roman" w:eastAsia="Times New Roman" w:hAnsi="Times New Roman"/>
                <w:vertAlign w:val="subscript"/>
                <w:lang w:eastAsia="ru-RU"/>
              </w:rPr>
              <w:t>С1</w:t>
            </w:r>
            <w:r w:rsidRPr="005A615E">
              <w:rPr>
                <w:rFonts w:ascii="Times New Roman" w:eastAsia="Times New Roman" w:hAnsi="Times New Roman"/>
                <w:lang w:eastAsia="ru-RU"/>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N 5-НКРЕКП-моніторинг-розподіл та N 1Б-ТВЕ, тис. кВт·год;</w:t>
            </w:r>
          </w:p>
          <w:p w:rsidR="00CF2AC1" w:rsidRPr="005A615E" w:rsidRDefault="00CF2AC1" w:rsidP="00CF2AC1">
            <w:pPr>
              <w:ind w:firstLine="240"/>
              <w:jc w:val="both"/>
              <w:rPr>
                <w:rFonts w:ascii="Times New Roman" w:eastAsia="Times New Roman" w:hAnsi="Times New Roman"/>
                <w:lang w:eastAsia="ru-RU"/>
              </w:rPr>
            </w:pPr>
            <w:r w:rsidRPr="005A615E">
              <w:rPr>
                <w:rFonts w:ascii="Times New Roman" w:eastAsia="Times New Roman" w:hAnsi="Times New Roman"/>
                <w:lang w:eastAsia="ru-RU"/>
              </w:rPr>
              <w:t>Е</w:t>
            </w:r>
            <w:r w:rsidRPr="005A615E">
              <w:rPr>
                <w:rFonts w:ascii="Times New Roman" w:eastAsia="Times New Roman" w:hAnsi="Times New Roman"/>
                <w:vertAlign w:val="subscript"/>
                <w:lang w:eastAsia="ru-RU"/>
              </w:rPr>
              <w:t>В1</w:t>
            </w:r>
            <w:r w:rsidRPr="005A615E">
              <w:rPr>
                <w:rFonts w:ascii="Times New Roman" w:eastAsia="Times New Roman" w:hAnsi="Times New Roman"/>
                <w:lang w:eastAsia="ru-RU"/>
              </w:rPr>
              <w:t xml:space="preserve"> - середні за три завершені річні періоди (січень - грудень), що передували прогнозному періоду, обсяги електричної енергії на 1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N 5-НКРЕКП-моніторинг-розподіл тис. кВт·год.</w:t>
            </w:r>
          </w:p>
          <w:p w:rsidR="00CF2AC1" w:rsidRPr="005A615E" w:rsidRDefault="00CF2AC1" w:rsidP="00CF2AC1">
            <w:pPr>
              <w:ind w:firstLine="308"/>
              <w:jc w:val="both"/>
              <w:rPr>
                <w:rFonts w:ascii="Times New Roman" w:hAnsi="Times New Roman"/>
                <w:b/>
                <w:bCs/>
              </w:rPr>
            </w:pPr>
          </w:p>
          <w:p w:rsidR="00CF2AC1" w:rsidRPr="005A615E" w:rsidRDefault="00CF2AC1" w:rsidP="00CF2AC1">
            <w:pPr>
              <w:ind w:firstLine="308"/>
              <w:jc w:val="both"/>
              <w:rPr>
                <w:rFonts w:ascii="Times New Roman" w:hAnsi="Times New Roman"/>
                <w:b/>
                <w:bCs/>
              </w:rPr>
            </w:pPr>
            <w:r w:rsidRPr="005A615E">
              <w:rPr>
                <w:rFonts w:ascii="Times New Roman" w:hAnsi="Times New Roman"/>
                <w:b/>
                <w:bCs/>
              </w:rPr>
              <w:t>Для другого регуляторного періоду:</w:t>
            </w:r>
          </w:p>
          <w:p w:rsidR="00CF2AC1" w:rsidRPr="005A615E" w:rsidRDefault="00CF2AC1" w:rsidP="00CF2AC1">
            <w:pPr>
              <w:ind w:firstLine="308"/>
              <w:jc w:val="both"/>
              <w:rPr>
                <w:rFonts w:ascii="Times New Roman" w:hAnsi="Times New Roman"/>
                <w:b/>
                <w:bCs/>
              </w:rPr>
            </w:pPr>
            <w:r w:rsidRPr="005A615E">
              <w:rPr>
                <w:rFonts w:ascii="Times New Roman" w:hAnsi="Times New Roman"/>
                <w:b/>
                <w:bCs/>
              </w:rPr>
              <w:t xml:space="preserve">де </w:t>
            </w:r>
            <w:r w:rsidRPr="005A615E">
              <w:rPr>
                <w:rFonts w:ascii="Times New Roman" w:hAnsi="Times New Roman"/>
                <w:b/>
                <w:bCs/>
              </w:rPr>
              <w:sym w:font="Symbol" w:char="F044"/>
            </w:r>
            <w:r w:rsidRPr="005A615E">
              <w:rPr>
                <w:rFonts w:ascii="Times New Roman" w:hAnsi="Times New Roman"/>
                <w:b/>
                <w:bCs/>
              </w:rPr>
              <w:t>Е</w:t>
            </w:r>
            <w:r w:rsidRPr="005A615E">
              <w:rPr>
                <w:rFonts w:ascii="Times New Roman" w:hAnsi="Times New Roman"/>
                <w:b/>
                <w:bCs/>
                <w:vertAlign w:val="subscript"/>
              </w:rPr>
              <w:t>зв1</w:t>
            </w:r>
            <w:r w:rsidRPr="005A615E">
              <w:rPr>
                <w:rFonts w:ascii="Times New Roman" w:hAnsi="Times New Roman"/>
                <w:b/>
                <w:bCs/>
              </w:rPr>
              <w:t xml:space="preserve"> - середні за три завершені річні періоди (січень - грудень) звітні фактичні витрати електричної енергії на 1 класі напруги відповідно до форм звітності N 5-НКРЕКП-моніторинг-розподіл та N 1Б-ТВЕ, </w:t>
            </w:r>
            <w:r w:rsidRPr="005A615E">
              <w:rPr>
                <w:rFonts w:ascii="Times New Roman" w:hAnsi="Times New Roman"/>
                <w:b/>
                <w:bCs/>
                <w:u w:val="single"/>
              </w:rPr>
              <w:t xml:space="preserve">що використовувались для </w:t>
            </w:r>
            <w:r w:rsidRPr="005A615E">
              <w:rPr>
                <w:rFonts w:ascii="Times New Roman" w:hAnsi="Times New Roman"/>
                <w:b/>
                <w:bCs/>
                <w:u w:val="single"/>
              </w:rPr>
              <w:lastRenderedPageBreak/>
              <w:t>розрахунку ЕКПТВЕ на перший регуляторний період</w:t>
            </w:r>
            <w:r w:rsidRPr="005A615E">
              <w:rPr>
                <w:rFonts w:ascii="Times New Roman" w:hAnsi="Times New Roman"/>
                <w:b/>
                <w:bCs/>
              </w:rPr>
              <w:t>, тис. кВт·год;</w:t>
            </w:r>
          </w:p>
          <w:p w:rsidR="00CF2AC1" w:rsidRPr="005A615E" w:rsidRDefault="00CF2AC1" w:rsidP="00CF2AC1">
            <w:pPr>
              <w:jc w:val="both"/>
              <w:rPr>
                <w:rFonts w:ascii="Times New Roman" w:hAnsi="Times New Roman"/>
                <w:b/>
                <w:bCs/>
              </w:rPr>
            </w:pPr>
            <w:r w:rsidRPr="005A615E">
              <w:rPr>
                <w:rFonts w:ascii="Times New Roman" w:hAnsi="Times New Roman"/>
                <w:b/>
                <w:bCs/>
              </w:rPr>
              <w:t>ПЕ</w:t>
            </w:r>
            <w:r w:rsidRPr="005A615E">
              <w:rPr>
                <w:rFonts w:ascii="Times New Roman" w:hAnsi="Times New Roman"/>
                <w:b/>
                <w:bCs/>
                <w:vertAlign w:val="subscript"/>
              </w:rPr>
              <w:t>1тве</w:t>
            </w:r>
            <w:r w:rsidRPr="005A615E">
              <w:rPr>
                <w:rFonts w:ascii="Times New Roman" w:hAnsi="Times New Roman"/>
                <w:b/>
                <w:bCs/>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 </w:t>
            </w:r>
            <w:r w:rsidRPr="005A615E">
              <w:rPr>
                <w:rFonts w:ascii="Times New Roman" w:hAnsi="Times New Roman"/>
                <w:b/>
                <w:bCs/>
                <w:u w:val="single"/>
              </w:rPr>
              <w:t>на 2027 рік та двох років після закінчення воєнного стану  для ліцензіатів, перелік яких наведено в  додатку 34 до Порядку встановлення (формування) тарифів,  значення дорівнює 0)</w:t>
            </w:r>
            <w:r w:rsidRPr="005A615E">
              <w:rPr>
                <w:rFonts w:ascii="Times New Roman" w:hAnsi="Times New Roman"/>
                <w:b/>
                <w:bCs/>
              </w:rPr>
              <w:t xml:space="preserve">; </w:t>
            </w:r>
          </w:p>
          <w:p w:rsidR="00CF2AC1" w:rsidRPr="005A615E" w:rsidRDefault="00CF2AC1" w:rsidP="00CF2AC1">
            <w:pPr>
              <w:jc w:val="both"/>
              <w:rPr>
                <w:rFonts w:ascii="Times New Roman" w:hAnsi="Times New Roman"/>
                <w:b/>
                <w:bCs/>
              </w:rPr>
            </w:pPr>
            <w:r w:rsidRPr="005A615E">
              <w:rPr>
                <w:rFonts w:ascii="Times New Roman" w:hAnsi="Times New Roman"/>
                <w:b/>
                <w:bCs/>
              </w:rPr>
              <w:t>…</w:t>
            </w:r>
          </w:p>
          <w:p w:rsidR="00CF2AC1" w:rsidRPr="005A615E" w:rsidRDefault="00CF2AC1" w:rsidP="00CF2AC1">
            <w:pPr>
              <w:jc w:val="both"/>
              <w:rPr>
                <w:rFonts w:ascii="Times New Roman" w:hAnsi="Times New Roman"/>
                <w:b/>
                <w:bCs/>
              </w:rPr>
            </w:pP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Е</w:t>
            </w:r>
            <w:r w:rsidRPr="005A615E">
              <w:rPr>
                <w:rFonts w:ascii="Times New Roman" w:hAnsi="Times New Roman"/>
                <w:vertAlign w:val="subscript"/>
              </w:rPr>
              <w:t>С1</w:t>
            </w:r>
            <w:r w:rsidRPr="005A615E">
              <w:rPr>
                <w:rFonts w:ascii="Times New Roman" w:hAnsi="Times New Roman"/>
              </w:rPr>
              <w:t xml:space="preserve"> - середні за три завершені річні періоди (січень - грудень) обсяги розподілу електричної енергії споживачам на 1 класі напруги відповідно до форм звітності N 5-НКРЕКП-моніторинг-розподіл та N 1Б-ТВЕ, </w:t>
            </w:r>
            <w:r w:rsidRPr="005A615E">
              <w:rPr>
                <w:rFonts w:ascii="Times New Roman" w:hAnsi="Times New Roman"/>
                <w:b/>
                <w:bCs/>
              </w:rPr>
              <w:t>що використовувались для розрахунку ЕКПТВЕ на перший регуляторний період</w:t>
            </w:r>
            <w:r w:rsidRPr="005A615E">
              <w:rPr>
                <w:rFonts w:ascii="Times New Roman" w:hAnsi="Times New Roman"/>
              </w:rPr>
              <w:t>, тис. кВт·год;</w:t>
            </w:r>
          </w:p>
          <w:p w:rsidR="00CF2AC1" w:rsidRPr="005A615E" w:rsidRDefault="00CF2AC1" w:rsidP="00CF2AC1">
            <w:pPr>
              <w:ind w:firstLine="180"/>
              <w:jc w:val="both"/>
              <w:rPr>
                <w:rFonts w:ascii="Times New Roman" w:hAnsi="Times New Roman"/>
                <w:u w:val="single"/>
              </w:rPr>
            </w:pPr>
            <w:r w:rsidRPr="005A615E">
              <w:rPr>
                <w:rFonts w:ascii="Times New Roman" w:hAnsi="Times New Roman"/>
                <w:b/>
                <w:bCs/>
                <w:u w:val="single"/>
              </w:rPr>
              <w:t>Ев1 на другий регуляторний період приймається рівним нулю</w:t>
            </w:r>
            <w:r w:rsidRPr="005A615E">
              <w:rPr>
                <w:rFonts w:ascii="Times New Roman" w:hAnsi="Times New Roman"/>
                <w:u w:val="single"/>
              </w:rPr>
              <w:t>.</w:t>
            </w:r>
          </w:p>
          <w:p w:rsidR="00CF2AC1" w:rsidRPr="005A615E" w:rsidRDefault="00CF2AC1" w:rsidP="00CF2AC1">
            <w:pPr>
              <w:jc w:val="both"/>
              <w:rPr>
                <w:rFonts w:ascii="Times New Roman" w:hAnsi="Times New Roman"/>
                <w:b/>
                <w:bCs/>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Пропонується визначити підхід для 1 та 2 регуляторних періодів.</w:t>
            </w:r>
          </w:p>
          <w:p w:rsidR="00CF2AC1" w:rsidRPr="005A615E" w:rsidRDefault="00CF2AC1" w:rsidP="00CF2AC1">
            <w:pPr>
              <w:ind w:firstLine="308"/>
              <w:jc w:val="both"/>
              <w:rPr>
                <w:rFonts w:ascii="Times New Roman" w:hAnsi="Times New Roman"/>
              </w:rPr>
            </w:pPr>
            <w:r w:rsidRPr="005A615E">
              <w:rPr>
                <w:rFonts w:ascii="Times New Roman" w:hAnsi="Times New Roman"/>
              </w:rPr>
              <w:t xml:space="preserve">Уточнення з урахуванням запропонованого Регулятором підходу щодо визначення ЕКПТВЕ на 2 </w:t>
            </w:r>
            <w:r w:rsidRPr="005A615E">
              <w:rPr>
                <w:rFonts w:ascii="Times New Roman" w:hAnsi="Times New Roman"/>
              </w:rPr>
              <w:lastRenderedPageBreak/>
              <w:t>регуляторний період на базі даних, що застосовувалися для розрахунку 1-го регуляторного періоду.</w:t>
            </w:r>
          </w:p>
          <w:p w:rsidR="00CF2AC1" w:rsidRPr="005A615E" w:rsidRDefault="00CF2AC1" w:rsidP="00CF2AC1">
            <w:pPr>
              <w:jc w:val="both"/>
              <w:rPr>
                <w:rFonts w:ascii="Times New Roman" w:hAnsi="Times New Roman"/>
                <w:bCs/>
              </w:rPr>
            </w:pPr>
            <w:r w:rsidRPr="005A615E">
              <w:rPr>
                <w:rFonts w:ascii="Times New Roman" w:hAnsi="Times New Roman"/>
              </w:rPr>
              <w:t xml:space="preserve">У зв’язку </w:t>
            </w:r>
            <w:r w:rsidRPr="005A615E">
              <w:rPr>
                <w:rFonts w:ascii="Times New Roman" w:hAnsi="Times New Roman"/>
                <w:bCs/>
              </w:rPr>
              <w:t>знищенням/критичними пошкодженнями об’єктів Генерації та електричних мереж, окупацію територій, зміною структури розподілу (внутрішньої міграції населення та підприємств, зупинки виробництв через довгострокове порушення логістичних шляхів), резерви для зниження ТВЕ для ОСР, що зафіксовані у додатку 34, вичерпані, необхідний час для відновлення роботи енергогенеруючих підприємств та відновлення пошкодженого/зруйнованого енергогосподарства. Пропонуємо</w:t>
            </w:r>
            <w:r w:rsidRPr="005A615E">
              <w:rPr>
                <w:rFonts w:ascii="Times New Roman" w:hAnsi="Times New Roman"/>
                <w:b/>
                <w:bCs/>
              </w:rPr>
              <w:t xml:space="preserve"> ПЕ</w:t>
            </w:r>
            <w:r w:rsidRPr="005A615E">
              <w:rPr>
                <w:rFonts w:ascii="Times New Roman" w:hAnsi="Times New Roman"/>
                <w:b/>
                <w:bCs/>
                <w:vertAlign w:val="superscript"/>
              </w:rPr>
              <w:t xml:space="preserve">1тве </w:t>
            </w:r>
            <w:r w:rsidRPr="005A615E">
              <w:rPr>
                <w:rFonts w:ascii="Times New Roman" w:hAnsi="Times New Roman"/>
                <w:bCs/>
              </w:rPr>
              <w:t xml:space="preserve"> визначити на 2027 рік та двох років після закінчення воєнного стану на нульовому рівні для таких ОСР.</w:t>
            </w:r>
          </w:p>
          <w:p w:rsidR="00CF2AC1" w:rsidRPr="005A615E" w:rsidRDefault="00CF2AC1" w:rsidP="00CF2AC1">
            <w:pPr>
              <w:ind w:firstLine="180"/>
              <w:jc w:val="both"/>
              <w:rPr>
                <w:rFonts w:ascii="Times New Roman" w:hAnsi="Times New Roman"/>
              </w:rPr>
            </w:pPr>
            <w:r w:rsidRPr="005A615E">
              <w:rPr>
                <w:rFonts w:ascii="Times New Roman" w:hAnsi="Times New Roman"/>
              </w:rPr>
              <w:t xml:space="preserve">Враховуючи запропонований Регулятором підхід щодо визначення ЕКПТВЕ на 2 регуляторний період на базі даних, що застосовувалися для розрахунку 1-го регуляторного періоду, пропонується визначити показник Ев1 на нульовому рівні (обсяги електричної енергії на 2 класі напруги, спожитої споживачами без електропостачальника </w:t>
            </w:r>
            <w:r w:rsidRPr="005A615E">
              <w:rPr>
                <w:rFonts w:ascii="Times New Roman" w:hAnsi="Times New Roman"/>
                <w:u w:val="single"/>
              </w:rPr>
              <w:t>у зв’язку з відсутністю таких обсягів у 2017-2019рр</w:t>
            </w:r>
            <w:r w:rsidRPr="005A615E">
              <w:rPr>
                <w:rFonts w:ascii="Times New Roman" w:hAnsi="Times New Roman"/>
              </w:rPr>
              <w:t>).</w:t>
            </w:r>
          </w:p>
          <w:p w:rsidR="00CF2AC1" w:rsidRPr="005A615E" w:rsidRDefault="00CF2AC1" w:rsidP="00CF2AC1">
            <w:pPr>
              <w:ind w:firstLine="180"/>
              <w:jc w:val="both"/>
              <w:rPr>
                <w:rFonts w:ascii="Times New Roman" w:hAnsi="Times New Roman"/>
                <w:b/>
                <w:bCs/>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2.8. ЕКПТВЕ 1 класу напруги (</w:t>
            </w:r>
            <w:r w:rsidRPr="005A615E">
              <w:rPr>
                <w:rFonts w:ascii="Times New Roman" w:hAnsi="Times New Roman"/>
                <w:noProof/>
                <w:lang w:eastAsia="uk-UA"/>
              </w:rPr>
              <w:drawing>
                <wp:inline distT="0" distB="0" distL="0" distR="0" wp14:anchorId="2A5B3391" wp14:editId="07D5FD66">
                  <wp:extent cx="213360" cy="137160"/>
                  <wp:effectExtent l="0" t="0" r="0" b="0"/>
                  <wp:docPr id="423835329" name="Рисунок 423835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8078" cy="140193"/>
                          </a:xfrm>
                          <a:prstGeom prst="rect">
                            <a:avLst/>
                          </a:prstGeom>
                        </pic:spPr>
                      </pic:pic>
                    </a:graphicData>
                  </a:graphic>
                </wp:inline>
              </w:drawing>
            </w:r>
            <w:r w:rsidRPr="005A615E">
              <w:rPr>
                <w:rFonts w:ascii="Times New Roman" w:hAnsi="Times New Roman"/>
              </w:rPr>
              <w:t>) визначається за формулою</w:t>
            </w:r>
          </w:p>
          <w:tbl>
            <w:tblPr>
              <w:tblW w:w="4860" w:type="dxa"/>
              <w:tblCellSpacing w:w="0" w:type="auto"/>
              <w:tblBorders>
                <w:top w:val="single" w:sz="8" w:space="0" w:color="E5E2FF"/>
              </w:tblBorders>
              <w:tblLayout w:type="fixed"/>
              <w:tblLook w:val="04A0" w:firstRow="1" w:lastRow="0" w:firstColumn="1" w:lastColumn="0" w:noHBand="0" w:noVBand="1"/>
            </w:tblPr>
            <w:tblGrid>
              <w:gridCol w:w="3861"/>
              <w:gridCol w:w="425"/>
              <w:gridCol w:w="574"/>
            </w:tblGrid>
            <w:tr w:rsidR="00CF2AC1" w:rsidRPr="005A615E" w:rsidTr="00EE4FB1">
              <w:trPr>
                <w:trHeight w:val="30"/>
                <w:tblCellSpacing w:w="0" w:type="auto"/>
              </w:trPr>
              <w:tc>
                <w:tcPr>
                  <w:tcW w:w="3861" w:type="dxa"/>
                  <w:vAlign w:val="center"/>
                </w:tcPr>
                <w:p w:rsidR="00CF2AC1" w:rsidRPr="005A615E" w:rsidRDefault="00CF2AC1" w:rsidP="00CF2AC1">
                  <w:pPr>
                    <w:spacing w:after="75"/>
                    <w:jc w:val="both"/>
                    <w:rPr>
                      <w:rFonts w:ascii="Times New Roman" w:hAnsi="Times New Roman"/>
                    </w:rPr>
                  </w:pPr>
                  <w:r w:rsidRPr="005A615E">
                    <w:rPr>
                      <w:rFonts w:ascii="Times New Roman" w:hAnsi="Times New Roman"/>
                      <w:noProof/>
                      <w:lang w:eastAsia="uk-UA"/>
                    </w:rPr>
                    <w:drawing>
                      <wp:inline distT="0" distB="0" distL="0" distR="0" wp14:anchorId="3766DC9D" wp14:editId="002A5379">
                        <wp:extent cx="2216540" cy="276225"/>
                        <wp:effectExtent l="0" t="0" r="0" b="0"/>
                        <wp:docPr id="423835330" name="Рисунок 423835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55257" cy="318436"/>
                                </a:xfrm>
                                <a:prstGeom prst="rect">
                                  <a:avLst/>
                                </a:prstGeom>
                              </pic:spPr>
                            </pic:pic>
                          </a:graphicData>
                        </a:graphic>
                      </wp:inline>
                    </w:drawing>
                  </w:r>
                </w:p>
              </w:tc>
              <w:tc>
                <w:tcPr>
                  <w:tcW w:w="425" w:type="dxa"/>
                  <w:vAlign w:val="center"/>
                </w:tcPr>
                <w:p w:rsidR="00CF2AC1" w:rsidRPr="005A615E" w:rsidRDefault="00CF2AC1" w:rsidP="00CF2AC1">
                  <w:pPr>
                    <w:spacing w:after="75"/>
                    <w:jc w:val="both"/>
                    <w:rPr>
                      <w:rFonts w:ascii="Times New Roman" w:hAnsi="Times New Roman"/>
                    </w:rPr>
                  </w:pPr>
                  <w:r w:rsidRPr="005A615E">
                    <w:rPr>
                      <w:rFonts w:ascii="Times New Roman" w:hAnsi="Times New Roman"/>
                    </w:rPr>
                    <w:t>,</w:t>
                  </w:r>
                </w:p>
              </w:tc>
              <w:tc>
                <w:tcPr>
                  <w:tcW w:w="574" w:type="dxa"/>
                  <w:vAlign w:val="center"/>
                </w:tcPr>
                <w:p w:rsidR="00CF2AC1" w:rsidRPr="005A615E" w:rsidRDefault="00CF2AC1" w:rsidP="00CF2AC1">
                  <w:pPr>
                    <w:spacing w:after="75"/>
                    <w:jc w:val="both"/>
                    <w:rPr>
                      <w:rFonts w:ascii="Times New Roman" w:hAnsi="Times New Roman"/>
                    </w:rPr>
                  </w:pPr>
                  <w:r w:rsidRPr="005A615E">
                    <w:rPr>
                      <w:rFonts w:ascii="Times New Roman" w:hAnsi="Times New Roman"/>
                    </w:rPr>
                    <w:t>(2)</w:t>
                  </w:r>
                </w:p>
              </w:tc>
            </w:tr>
          </w:tbl>
          <w:p w:rsidR="00CF2AC1" w:rsidRPr="005A615E" w:rsidRDefault="00CF2AC1" w:rsidP="00CF2AC1">
            <w:pPr>
              <w:spacing w:after="75"/>
              <w:ind w:firstLine="240"/>
              <w:jc w:val="both"/>
              <w:rPr>
                <w:rFonts w:ascii="Times New Roman" w:hAnsi="Times New Roman"/>
              </w:rPr>
            </w:pPr>
            <w:r w:rsidRPr="005A615E">
              <w:rPr>
                <w:rFonts w:ascii="Times New Roman" w:hAnsi="Times New Roman"/>
              </w:rPr>
              <w:t>де …</w:t>
            </w:r>
          </w:p>
          <w:p w:rsidR="00CF2AC1" w:rsidRPr="005A615E" w:rsidRDefault="00CF2AC1" w:rsidP="00CF2AC1">
            <w:pPr>
              <w:spacing w:after="120"/>
              <w:ind w:firstLine="238"/>
              <w:jc w:val="both"/>
              <w:rPr>
                <w:rFonts w:ascii="Times New Roman" w:hAnsi="Times New Roman"/>
                <w:b/>
              </w:rPr>
            </w:pPr>
            <w:r w:rsidRPr="005A615E">
              <w:rPr>
                <w:rFonts w:ascii="Times New Roman" w:hAnsi="Times New Roman"/>
              </w:rPr>
              <w:t>ПЕ</w:t>
            </w:r>
            <w:r w:rsidRPr="005A615E">
              <w:rPr>
                <w:rFonts w:ascii="Times New Roman" w:hAnsi="Times New Roman"/>
                <w:vertAlign w:val="subscript"/>
              </w:rPr>
              <w:t>1тве</w:t>
            </w:r>
            <w:r w:rsidRPr="005A615E">
              <w:rPr>
                <w:rFonts w:ascii="Times New Roman" w:hAnsi="Times New Roman"/>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w:t>
            </w:r>
            <w:r w:rsidRPr="005A615E">
              <w:rPr>
                <w:rFonts w:ascii="Times New Roman" w:hAnsi="Times New Roman"/>
              </w:rPr>
              <w:lastRenderedPageBreak/>
              <w:t>Якщо оператор системи розподілу не переходить на стимулююче регулювання, то значення дорівнює 0,5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  на 2027 рік для ліцензіатів, перелік яких наведено в додатку 34</w:t>
            </w:r>
            <w:r w:rsidRPr="005A615E">
              <w:rPr>
                <w:rFonts w:ascii="Times New Roman" w:hAnsi="Times New Roman"/>
                <w:b/>
              </w:rPr>
              <w:t xml:space="preserve">  та додатку 35 </w:t>
            </w:r>
            <w:r w:rsidRPr="005A615E">
              <w:rPr>
                <w:rFonts w:ascii="Times New Roman" w:hAnsi="Times New Roman"/>
              </w:rPr>
              <w:t>до Порядку встановлення (формування) тарифів,  значення дорівнює 0;</w:t>
            </w:r>
          </w:p>
          <w:p w:rsidR="00CF2AC1" w:rsidRPr="005A615E" w:rsidRDefault="00CF2AC1" w:rsidP="00CF2AC1">
            <w:pPr>
              <w:jc w:val="both"/>
              <w:rPr>
                <w:rFonts w:ascii="Times New Roman" w:hAnsi="Times New Roman"/>
                <w:b/>
                <w:sz w:val="24"/>
                <w:u w:val="single"/>
              </w:rPr>
            </w:pPr>
            <w:r w:rsidRPr="005A615E">
              <w:t>…</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suppressAutoHyphens/>
              <w:ind w:firstLine="226"/>
              <w:jc w:val="both"/>
              <w:rPr>
                <w:rFonts w:ascii="Times New Roman" w:hAnsi="Times New Roman"/>
                <w:lang w:eastAsia="ar-SA"/>
              </w:rPr>
            </w:pPr>
            <w:r w:rsidRPr="005A615E">
              <w:rPr>
                <w:rFonts w:ascii="Times New Roman" w:hAnsi="Times New Roman"/>
                <w:lang w:eastAsia="ar-SA"/>
              </w:rPr>
              <w:t>Внаслідок відсутності в структурі тарифів норми прибутку протягом 2024-2026 років, Товариство мало критично зменшені обсяги фінансування Інвестиційної програми - на 326 млн.грн. у 2024-2026 роках. Застосування обмежувальних економічних заходів у періоді 2023-2025 років призвело до фактичного блокування фінансово-господарської діяльності Товариства. Через це ПрАТ «Рівнеобленерго» був повністю позбавлений фінансової та операційної можливості виконати в повному обсязі заходи Розділу 2 Інвестиційних програм («Зниження технологічних витрат електричної енергії в електричних мережах»), які безпосередньо та виключно спрямовані на технологічне зниження втрат.</w:t>
            </w:r>
          </w:p>
          <w:p w:rsidR="00CF2AC1" w:rsidRPr="005A615E" w:rsidRDefault="00CF2AC1" w:rsidP="00CF2AC1">
            <w:pPr>
              <w:suppressAutoHyphens/>
              <w:ind w:firstLine="226"/>
              <w:jc w:val="both"/>
              <w:rPr>
                <w:rFonts w:ascii="Times New Roman" w:hAnsi="Times New Roman"/>
                <w:lang w:eastAsia="ar-SA"/>
              </w:rPr>
            </w:pPr>
            <w:r w:rsidRPr="005A615E">
              <w:rPr>
                <w:rFonts w:ascii="Times New Roman" w:hAnsi="Times New Roman"/>
                <w:lang w:eastAsia="ar-SA"/>
              </w:rPr>
              <w:t xml:space="preserve">Показники ефективності ТВЕ, закладені в параметрах першого регуляторного періоду, розраховувалися виходячи з умов повноцінного та безперебійного фінансування капітальних витрат. </w:t>
            </w:r>
          </w:p>
          <w:p w:rsidR="00CF2AC1" w:rsidRPr="005A615E" w:rsidRDefault="00CF2AC1" w:rsidP="00CF2AC1">
            <w:pPr>
              <w:suppressAutoHyphens/>
              <w:ind w:firstLine="226"/>
              <w:jc w:val="both"/>
              <w:rPr>
                <w:rFonts w:ascii="Times New Roman" w:hAnsi="Times New Roman"/>
                <w:i/>
                <w:lang w:eastAsia="ar-SA"/>
              </w:rPr>
            </w:pPr>
            <w:r w:rsidRPr="005A615E">
              <w:rPr>
                <w:rFonts w:ascii="Times New Roman" w:hAnsi="Times New Roman"/>
                <w:i/>
                <w:lang w:eastAsia="ar-SA"/>
              </w:rPr>
              <w:t>Примусове зниження втрат для Товариства у 2027 році за відсутності базового фінансування протягом першого регуляторного періоду суперечить принципам економічної обґрунтованості та технічної реалістичності.</w:t>
            </w:r>
          </w:p>
          <w:p w:rsidR="00CF2AC1" w:rsidRPr="005A615E" w:rsidRDefault="00CF2AC1" w:rsidP="00CF2AC1">
            <w:pPr>
              <w:suppressAutoHyphens/>
              <w:ind w:firstLine="226"/>
              <w:jc w:val="both"/>
              <w:rPr>
                <w:rFonts w:ascii="Times New Roman" w:hAnsi="Times New Roman"/>
                <w:b/>
                <w:lang w:eastAsia="ar-SA"/>
              </w:rPr>
            </w:pPr>
            <w:r w:rsidRPr="005A615E">
              <w:rPr>
                <w:rFonts w:ascii="Times New Roman" w:hAnsi="Times New Roman"/>
                <w:lang w:eastAsia="ar-SA"/>
              </w:rPr>
              <w:lastRenderedPageBreak/>
              <w:t xml:space="preserve">Зважаючи на об’єктивні причини неможливості модернізації мереж відносно заявлених в умовах першого регуляторного періоду стимулюючого регулювання </w:t>
            </w:r>
            <w:r w:rsidRPr="005A615E">
              <w:rPr>
                <w:rFonts w:ascii="Times New Roman" w:hAnsi="Times New Roman"/>
                <w:b/>
                <w:lang w:eastAsia="ar-SA"/>
              </w:rPr>
              <w:t>Товариство висловлює прохання зробити виключення для ОСР з Додатку 35 і визначити для них показник ефективності ТВЕ для 1,2 класу напруги на рівні 0 відносних одиниць на 2027 рік.</w:t>
            </w:r>
          </w:p>
          <w:p w:rsidR="00CF2AC1" w:rsidRPr="005A615E" w:rsidRDefault="00CF2AC1" w:rsidP="00CF2AC1">
            <w:pPr>
              <w:suppressAutoHyphens/>
              <w:ind w:firstLine="226"/>
              <w:jc w:val="both"/>
              <w:rPr>
                <w:rFonts w:ascii="Times New Roman" w:hAnsi="Times New Roman"/>
                <w:b/>
                <w:lang w:eastAsia="ar-S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ind w:firstLine="180"/>
              <w:jc w:val="both"/>
              <w:rPr>
                <w:rFonts w:ascii="Times New Roman" w:hAnsi="Times New Roman"/>
              </w:rPr>
            </w:pPr>
            <w:r w:rsidRPr="005A615E">
              <w:rPr>
                <w:rFonts w:ascii="Times New Roman" w:hAnsi="Times New Roman"/>
              </w:rPr>
              <w:t>Для першого регуляторного періоду – залишити без змін</w:t>
            </w:r>
          </w:p>
          <w:p w:rsidR="00CF2AC1" w:rsidRPr="005A615E" w:rsidRDefault="00CF2AC1" w:rsidP="00CF2AC1">
            <w:pPr>
              <w:ind w:firstLine="180"/>
              <w:jc w:val="both"/>
              <w:rPr>
                <w:rFonts w:ascii="Times New Roman" w:hAnsi="Times New Roman"/>
              </w:rPr>
            </w:pPr>
          </w:p>
          <w:p w:rsidR="00CF2AC1" w:rsidRPr="005A615E" w:rsidRDefault="00CF2AC1" w:rsidP="00CF2AC1">
            <w:pPr>
              <w:spacing w:line="259" w:lineRule="auto"/>
              <w:ind w:firstLine="308"/>
              <w:jc w:val="both"/>
              <w:rPr>
                <w:rFonts w:ascii="Times New Roman" w:hAnsi="Times New Roman"/>
                <w:b/>
                <w:bCs/>
              </w:rPr>
            </w:pPr>
            <w:r w:rsidRPr="005A615E">
              <w:rPr>
                <w:rFonts w:ascii="Times New Roman" w:hAnsi="Times New Roman"/>
                <w:b/>
                <w:bCs/>
              </w:rPr>
              <w:t>Для другого регуляторного періоду:</w:t>
            </w:r>
          </w:p>
          <w:p w:rsidR="00CF2AC1" w:rsidRPr="005A615E" w:rsidRDefault="00CF2AC1" w:rsidP="00CF2AC1">
            <w:pPr>
              <w:ind w:firstLine="308"/>
              <w:jc w:val="both"/>
              <w:rPr>
                <w:rFonts w:ascii="Times New Roman" w:hAnsi="Times New Roman"/>
                <w:b/>
                <w:bCs/>
              </w:rPr>
            </w:pPr>
            <w:r w:rsidRPr="005A615E">
              <w:rPr>
                <w:rFonts w:ascii="Times New Roman" w:hAnsi="Times New Roman"/>
                <w:b/>
                <w:bCs/>
              </w:rPr>
              <w:t xml:space="preserve">де </w:t>
            </w:r>
            <w:r w:rsidRPr="005A615E">
              <w:rPr>
                <w:rFonts w:ascii="Times New Roman" w:hAnsi="Times New Roman"/>
                <w:b/>
                <w:bCs/>
              </w:rPr>
              <w:sym w:font="Symbol" w:char="F044"/>
            </w:r>
            <w:r w:rsidRPr="005A615E">
              <w:rPr>
                <w:rFonts w:ascii="Times New Roman" w:hAnsi="Times New Roman"/>
                <w:b/>
                <w:bCs/>
              </w:rPr>
              <w:t>Е</w:t>
            </w:r>
            <w:r w:rsidRPr="005A615E">
              <w:rPr>
                <w:rFonts w:ascii="Times New Roman" w:hAnsi="Times New Roman"/>
                <w:b/>
                <w:bCs/>
                <w:vertAlign w:val="subscript"/>
              </w:rPr>
              <w:t>зв1</w:t>
            </w:r>
            <w:r w:rsidRPr="005A615E">
              <w:rPr>
                <w:rFonts w:ascii="Times New Roman" w:hAnsi="Times New Roman"/>
                <w:b/>
                <w:bCs/>
              </w:rPr>
              <w:t xml:space="preserve"> - середні за три завершені річні періоди (січень - грудень) звітні фактичні витрати електричної енергії на 1 класі напруги відповідно до форм звітності N 5-НКРЕКП-моніторинг-розподіл та N 1Б-ТВЕ, </w:t>
            </w:r>
            <w:r w:rsidRPr="005A615E">
              <w:rPr>
                <w:rFonts w:ascii="Times New Roman" w:hAnsi="Times New Roman"/>
                <w:b/>
                <w:bCs/>
                <w:u w:val="single"/>
              </w:rPr>
              <w:t>що використовувались для розрахунку ЕКПТВЕ на перший регуляторний період</w:t>
            </w:r>
            <w:r w:rsidRPr="005A615E">
              <w:rPr>
                <w:rFonts w:ascii="Times New Roman" w:hAnsi="Times New Roman"/>
                <w:b/>
                <w:bCs/>
              </w:rPr>
              <w:t>, тис. кВт·год;</w:t>
            </w:r>
          </w:p>
          <w:p w:rsidR="00CF2AC1" w:rsidRPr="005A615E" w:rsidRDefault="00CF2AC1" w:rsidP="00CF2AC1">
            <w:pPr>
              <w:shd w:val="clear" w:color="auto" w:fill="FFFFFF"/>
              <w:jc w:val="both"/>
              <w:rPr>
                <w:rFonts w:ascii="Times New Roman" w:eastAsia="Times New Roman" w:hAnsi="Times New Roman"/>
                <w:b/>
                <w:bCs/>
              </w:rPr>
            </w:pPr>
            <w:r w:rsidRPr="005A615E">
              <w:rPr>
                <w:rFonts w:ascii="Times New Roman" w:hAnsi="Times New Roman"/>
                <w:b/>
                <w:bCs/>
              </w:rPr>
              <w:t>ПЕ</w:t>
            </w:r>
            <w:r w:rsidRPr="005A615E">
              <w:rPr>
                <w:rFonts w:ascii="Times New Roman" w:hAnsi="Times New Roman"/>
                <w:b/>
                <w:bCs/>
                <w:vertAlign w:val="subscript"/>
              </w:rPr>
              <w:t>1тве</w:t>
            </w:r>
            <w:r w:rsidRPr="005A615E">
              <w:rPr>
                <w:rFonts w:ascii="Times New Roman" w:hAnsi="Times New Roman"/>
                <w:b/>
                <w:bCs/>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 </w:t>
            </w:r>
            <w:r w:rsidRPr="005A615E">
              <w:rPr>
                <w:rFonts w:ascii="Times New Roman" w:eastAsia="Times New Roman" w:hAnsi="Times New Roman"/>
                <w:b/>
                <w:bCs/>
              </w:rPr>
              <w:t>для 2027-2028 року для всіх ліцензіатів 0 відносних одиниць);</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jc w:val="both"/>
              <w:rPr>
                <w:b/>
                <w:i/>
                <w:u w:val="single"/>
              </w:rPr>
            </w:pPr>
            <w:r w:rsidRPr="005A615E">
              <w:rPr>
                <w:b/>
                <w:i/>
                <w:u w:val="single"/>
              </w:rPr>
              <w:lastRenderedPageBreak/>
              <w:t>Обгрунтування</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Пропонується визначити підхід для 1 та 2 регуляторних періодів.</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2.8. ЕКПТВЕ 1 класу напруги (</w:t>
            </w:r>
            <w:r w:rsidRPr="005A615E">
              <w:rPr>
                <w:rFonts w:ascii="Times New Roman" w:hAnsi="Times New Roman"/>
                <w:noProof/>
              </w:rPr>
              <w:drawing>
                <wp:inline distT="0" distB="0" distL="0" distR="0" wp14:anchorId="72D0F3AA" wp14:editId="5520AF21">
                  <wp:extent cx="352425" cy="228600"/>
                  <wp:effectExtent l="0" t="0" r="9525" b="0"/>
                  <wp:docPr id="792200269" name="Рисунок 792200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sidRPr="005A615E">
              <w:rPr>
                <w:rFonts w:ascii="Times New Roman" w:hAnsi="Times New Roman"/>
              </w:rPr>
              <w:t>) визначається за формулою</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rPr>
              <w:t>ПЕ</w:t>
            </w:r>
            <w:r w:rsidRPr="005A615E">
              <w:rPr>
                <w:rFonts w:ascii="Times New Roman" w:hAnsi="Times New Roman"/>
                <w:vertAlign w:val="subscript"/>
              </w:rPr>
              <w:t>1тве</w:t>
            </w:r>
            <w:r w:rsidRPr="005A615E">
              <w:rPr>
                <w:rFonts w:ascii="Times New Roman" w:hAnsi="Times New Roman"/>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 на 2026 рік для ліцензіатів, перелік яких наведено </w:t>
            </w:r>
            <w:r w:rsidRPr="005A615E">
              <w:rPr>
                <w:rFonts w:ascii="Times New Roman" w:hAnsi="Times New Roman"/>
                <w:bCs/>
              </w:rPr>
              <w:t>в додатку 32</w:t>
            </w:r>
            <w:r w:rsidRPr="005A615E">
              <w:rPr>
                <w:rFonts w:ascii="Times New Roman" w:hAnsi="Times New Roman"/>
                <w:b/>
                <w:bCs/>
              </w:rPr>
              <w:t xml:space="preserve"> </w:t>
            </w:r>
            <w:r w:rsidRPr="005A615E">
              <w:rPr>
                <w:rFonts w:ascii="Times New Roman" w:hAnsi="Times New Roman"/>
              </w:rPr>
              <w:t xml:space="preserve">до Порядку встановлення (формування) тарифів, значення дорівнює 0, </w:t>
            </w:r>
            <w:r w:rsidRPr="005A615E">
              <w:rPr>
                <w:rFonts w:ascii="Times New Roman" w:hAnsi="Times New Roman"/>
                <w:b/>
              </w:rPr>
              <w:t>Для ліцензіатів, перелік яких наведено у додатку 35 до Порядку для періоду воєнного стану та двох років після його закінчення – 0 %);</w:t>
            </w:r>
          </w:p>
          <w:p w:rsidR="00CF2AC1" w:rsidRPr="005A615E" w:rsidRDefault="00CF2AC1" w:rsidP="00CF2AC1">
            <w:pPr>
              <w:ind w:firstLine="215"/>
              <w:jc w:val="both"/>
              <w:rPr>
                <w:rFonts w:ascii="Times New Roman" w:hAnsi="Times New Roman"/>
                <w:b/>
                <w:sz w:val="24"/>
                <w:u w:val="single"/>
              </w:rPr>
            </w:pPr>
            <w:r w:rsidRPr="005A615E">
              <w:rPr>
                <w:b/>
                <w:i/>
                <w:u w:val="single"/>
              </w:rPr>
              <w:t>Обгрунтування</w:t>
            </w:r>
            <w:r w:rsidRPr="005A615E">
              <w:rPr>
                <w:rFonts w:ascii="Times New Roman" w:hAnsi="Times New Roman"/>
                <w:b/>
                <w:sz w:val="24"/>
                <w:u w:val="single"/>
              </w:rPr>
              <w:t xml:space="preserve"> </w:t>
            </w:r>
          </w:p>
          <w:p w:rsidR="00CF2AC1" w:rsidRPr="005A615E" w:rsidRDefault="00CF2AC1" w:rsidP="00CF2AC1">
            <w:pPr>
              <w:jc w:val="both"/>
              <w:rPr>
                <w:rFonts w:ascii="Times New Roman" w:hAnsi="Times New Roman"/>
              </w:rPr>
            </w:pPr>
            <w:r w:rsidRPr="005A615E">
              <w:rPr>
                <w:rFonts w:ascii="Times New Roman" w:hAnsi="Times New Roman"/>
              </w:rPr>
              <w:t xml:space="preserve">В формах звітності № 5-НКРЕКП-моніторинг-розподіл та № 1Б-ТВЕ відображено лише загальні обсяги втрат без врахування величини </w:t>
            </w:r>
            <w:r w:rsidRPr="005A615E">
              <w:rPr>
                <w:rFonts w:ascii="Times New Roman" w:hAnsi="Times New Roman"/>
                <w:shd w:val="clear" w:color="auto" w:fill="FFFFFF"/>
              </w:rPr>
              <w:t>перевищення фактичних технологічних витрат електричної енергії в мережах над нормативно-фактичними їх рівнями</w:t>
            </w:r>
            <w:r w:rsidRPr="005A615E">
              <w:rPr>
                <w:rFonts w:ascii="Times New Roman" w:hAnsi="Times New Roman"/>
              </w:rPr>
              <w:t>, пов’язаних з рядом чинників, які не залежать від діяльності ОСР.</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 xml:space="preserve">Недофінансування інвестиційної програми, а саме Розділу 2. «Впровадження та розвиток комерційного обліку електричної енергії» АТ «Житомиробленерго» в 2023 році склав 52 141тис.грн., у 2024 році – 50 395 тис.грн., у 2025 році – 55634 тис.грн. Таким чином, </w:t>
            </w:r>
            <w:r w:rsidRPr="005A615E">
              <w:rPr>
                <w:rFonts w:ascii="Times New Roman" w:hAnsi="Times New Roman"/>
              </w:rPr>
              <w:lastRenderedPageBreak/>
              <w:t>постійне обмеження або взагалі відсутність фінансування інвестиційної програми призвело до відсутності очікуваного позитивного ефекту, за результатами якого передбачалося зниження технологічних витрат електричної енергії шляхом впровадження багатофункціональних обліків електричної енергії та підвищення класу точності засобів вимірювальної техніки.</w:t>
            </w:r>
          </w:p>
          <w:p w:rsidR="00CF2AC1" w:rsidRPr="005A615E" w:rsidRDefault="00CF2AC1" w:rsidP="00CF2AC1">
            <w:pPr>
              <w:spacing w:after="75"/>
              <w:ind w:firstLine="240"/>
              <w:jc w:val="both"/>
              <w:rPr>
                <w:rFonts w:ascii="Times New Roman" w:hAnsi="Times New Roman"/>
                <w:shd w:val="clear" w:color="auto" w:fill="FFFFFF"/>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«ВІННИЦЯОБЛЕНЕРГО» (лист від 27.07.2026  № 03.13-18608)</w:t>
            </w:r>
          </w:p>
          <w:p w:rsidR="00CF2AC1" w:rsidRPr="005A615E" w:rsidRDefault="00CF2AC1" w:rsidP="00CF2AC1">
            <w:pPr>
              <w:pStyle w:val="aa"/>
              <w:spacing w:before="0" w:beforeAutospacing="0" w:after="0" w:afterAutospacing="0"/>
              <w:ind w:firstLine="328"/>
              <w:jc w:val="both"/>
              <w:rPr>
                <w:sz w:val="22"/>
                <w:szCs w:val="22"/>
                <w:lang w:val="uk-UA"/>
              </w:rPr>
            </w:pPr>
            <w:r w:rsidRPr="005A615E">
              <w:rPr>
                <w:iCs/>
                <w:sz w:val="22"/>
                <w:szCs w:val="22"/>
                <w:lang w:val="uk-UA"/>
              </w:rPr>
              <w:t>2.8</w:t>
            </w:r>
            <w:r w:rsidRPr="005A615E">
              <w:rPr>
                <w:i/>
                <w:iCs/>
                <w:sz w:val="22"/>
                <w:szCs w:val="22"/>
                <w:lang w:val="uk-UA"/>
              </w:rPr>
              <w:t xml:space="preserve"> </w:t>
            </w:r>
            <w:r w:rsidRPr="005A615E">
              <w:rPr>
                <w:sz w:val="22"/>
                <w:szCs w:val="22"/>
                <w:lang w:val="uk-UA"/>
              </w:rPr>
              <w:t>ЕКПТВЕ 1 класу напруги (</w:t>
            </w:r>
            <m:oMath>
              <m:sSubSup>
                <m:sSubSupPr>
                  <m:ctrlPr>
                    <w:rPr>
                      <w:rFonts w:ascii="Cambria Math" w:eastAsia="Calibri" w:hAnsi="Cambria Math"/>
                      <w:i/>
                      <w:sz w:val="22"/>
                      <w:szCs w:val="22"/>
                      <w:lang w:eastAsia="en-US"/>
                    </w:rPr>
                  </m:ctrlPr>
                </m:sSubSupPr>
                <m:e>
                  <m:r>
                    <w:rPr>
                      <w:rFonts w:ascii="Cambria Math" w:hAnsi="Cambria Math"/>
                      <w:sz w:val="22"/>
                      <w:szCs w:val="22"/>
                      <w:lang w:val="uk-UA"/>
                    </w:rPr>
                    <m:t>K</m:t>
                  </m:r>
                </m:e>
                <m:sub>
                  <m:r>
                    <w:rPr>
                      <w:rFonts w:ascii="Cambria Math" w:hAnsi="Cambria Math"/>
                      <w:sz w:val="22"/>
                      <w:szCs w:val="22"/>
                      <w:lang w:val="uk-UA"/>
                    </w:rPr>
                    <m:t>П1</m:t>
                  </m:r>
                </m:sub>
                <m:sup>
                  <m:r>
                    <w:rPr>
                      <w:rFonts w:ascii="Cambria Math" w:hAnsi="Cambria Math"/>
                      <w:sz w:val="22"/>
                      <w:szCs w:val="22"/>
                      <w:lang w:val="uk-UA"/>
                    </w:rPr>
                    <m:t>m</m:t>
                  </m:r>
                </m:sup>
              </m:sSubSup>
            </m:oMath>
            <w:r w:rsidRPr="005A615E">
              <w:rPr>
                <w:sz w:val="22"/>
                <w:szCs w:val="22"/>
                <w:lang w:val="uk-UA"/>
              </w:rPr>
              <w:t>) визначається за формулою</w:t>
            </w:r>
          </w:p>
          <w:p w:rsidR="00CF2AC1" w:rsidRPr="005A615E" w:rsidRDefault="000D13C5" w:rsidP="00CF2AC1">
            <w:pPr>
              <w:pStyle w:val="aa"/>
              <w:spacing w:before="0" w:beforeAutospacing="0" w:after="0" w:afterAutospacing="0"/>
              <w:ind w:left="1416" w:hanging="1388"/>
              <w:rPr>
                <w:sz w:val="22"/>
                <w:szCs w:val="22"/>
                <w:shd w:val="clear" w:color="auto" w:fill="FFFFFF"/>
                <w:lang w:val="uk-UA"/>
              </w:rPr>
            </w:pPr>
            <m:oMath>
              <m:sSubSup>
                <m:sSubSupPr>
                  <m:ctrlPr>
                    <w:rPr>
                      <w:rFonts w:ascii="Cambria Math" w:eastAsia="Calibri" w:hAnsi="Cambria Math"/>
                      <w:i/>
                      <w:sz w:val="22"/>
                      <w:szCs w:val="22"/>
                      <w:lang w:eastAsia="en-US"/>
                    </w:rPr>
                  </m:ctrlPr>
                </m:sSubSupPr>
                <m:e>
                  <m:r>
                    <w:rPr>
                      <w:rFonts w:ascii="Cambria Math" w:hAnsi="Cambria Math"/>
                      <w:sz w:val="22"/>
                      <w:szCs w:val="22"/>
                      <w:lang w:val="uk-UA"/>
                    </w:rPr>
                    <m:t>K</m:t>
                  </m:r>
                </m:e>
                <m:sub>
                  <m:r>
                    <w:rPr>
                      <w:rFonts w:ascii="Cambria Math" w:hAnsi="Cambria Math"/>
                      <w:sz w:val="22"/>
                      <w:szCs w:val="22"/>
                      <w:lang w:val="uk-UA"/>
                    </w:rPr>
                    <m:t>П1</m:t>
                  </m:r>
                </m:sub>
                <m:sup>
                  <m:r>
                    <w:rPr>
                      <w:rFonts w:ascii="Cambria Math" w:hAnsi="Cambria Math"/>
                      <w:sz w:val="22"/>
                      <w:szCs w:val="22"/>
                      <w:lang w:val="uk-UA"/>
                    </w:rPr>
                    <m:t>m</m:t>
                  </m:r>
                </m:sup>
              </m:sSubSup>
              <m:r>
                <w:rPr>
                  <w:rFonts w:ascii="Cambria Math" w:hAnsi="Cambria Math"/>
                  <w:sz w:val="22"/>
                  <w:szCs w:val="22"/>
                  <w:lang w:val="uk-UA"/>
                </w:rPr>
                <m:t>=</m:t>
              </m:r>
              <m:f>
                <m:fPr>
                  <m:ctrlPr>
                    <w:rPr>
                      <w:rFonts w:ascii="Cambria Math" w:eastAsia="Calibri" w:hAnsi="Cambria Math"/>
                      <w:i/>
                      <w:sz w:val="22"/>
                      <w:szCs w:val="22"/>
                      <w:lang w:eastAsia="en-US"/>
                    </w:rPr>
                  </m:ctrlPr>
                </m:fPr>
                <m:num>
                  <m:r>
                    <w:rPr>
                      <w:rFonts w:ascii="Cambria Math" w:hAnsi="Cambria Math"/>
                      <w:sz w:val="22"/>
                      <w:szCs w:val="22"/>
                      <w:lang w:val="uk-UA"/>
                    </w:rPr>
                    <m:t>Δ</m:t>
                  </m:r>
                  <m:sSub>
                    <m:sSubPr>
                      <m:ctrlPr>
                        <w:rPr>
                          <w:rFonts w:ascii="Cambria Math" w:eastAsia="Calibri" w:hAnsi="Cambria Math"/>
                          <w:i/>
                          <w:sz w:val="22"/>
                          <w:szCs w:val="22"/>
                          <w:lang w:eastAsia="en-US"/>
                        </w:rPr>
                      </m:ctrlPr>
                    </m:sSubPr>
                    <m:e>
                      <m:r>
                        <w:rPr>
                          <w:rFonts w:ascii="Cambria Math" w:hAnsi="Cambria Math"/>
                          <w:sz w:val="22"/>
                          <w:szCs w:val="22"/>
                          <w:lang w:val="uk-UA"/>
                        </w:rPr>
                        <m:t>Е</m:t>
                      </m:r>
                    </m:e>
                    <m:sub>
                      <m:r>
                        <w:rPr>
                          <w:rFonts w:ascii="Cambria Math" w:hAnsi="Cambria Math"/>
                          <w:sz w:val="22"/>
                          <w:szCs w:val="22"/>
                          <w:lang w:val="uk-UA"/>
                        </w:rPr>
                        <m:t>еф1</m:t>
                      </m:r>
                    </m:sub>
                  </m:sSub>
                  <m:r>
                    <m:rPr>
                      <m:sty m:val="p"/>
                    </m:rPr>
                    <w:rPr>
                      <w:rFonts w:ascii="Cambria Math" w:hAnsi="Cambria Math" w:cs="Calibri"/>
                      <w:sz w:val="22"/>
                      <w:szCs w:val="22"/>
                      <w:lang w:val="uk-UA"/>
                    </w:rPr>
                    <m:t>+</m:t>
                  </m:r>
                  <m:sSub>
                    <m:sSubPr>
                      <m:ctrlPr>
                        <w:rPr>
                          <w:rFonts w:ascii="Cambria Math" w:eastAsia="Calibri" w:hAnsi="Cambria Math" w:cs="Calibri"/>
                          <w:sz w:val="22"/>
                          <w:szCs w:val="22"/>
                          <w:lang w:eastAsia="en-US"/>
                        </w:rPr>
                      </m:ctrlPr>
                    </m:sSubPr>
                    <m:e>
                      <m:r>
                        <w:rPr>
                          <w:rFonts w:ascii="Cambria Math" w:hAnsi="Cambria Math" w:cs="Calibri"/>
                          <w:sz w:val="22"/>
                          <w:szCs w:val="22"/>
                          <w:lang w:val="uk-UA"/>
                        </w:rPr>
                        <m:t>Δ</m:t>
                      </m:r>
                      <m:r>
                        <m:rPr>
                          <m:sty m:val="p"/>
                        </m:rPr>
                        <w:rPr>
                          <w:rFonts w:ascii="Cambria Math" w:hAnsi="Cambria Math" w:cs="Calibri"/>
                          <w:sz w:val="22"/>
                          <w:szCs w:val="22"/>
                          <w:lang w:val="uk-UA"/>
                        </w:rPr>
                        <m:t>Е</m:t>
                      </m:r>
                    </m:e>
                    <m:sub>
                      <m:r>
                        <w:rPr>
                          <w:rFonts w:ascii="Cambria Math" w:hAnsi="Cambria Math" w:cs="Calibri"/>
                          <w:sz w:val="22"/>
                          <w:szCs w:val="22"/>
                          <w:lang w:val="uk-UA"/>
                        </w:rPr>
                        <m:t>wп1</m:t>
                      </m:r>
                    </m:sub>
                  </m:sSub>
                  <m:r>
                    <w:rPr>
                      <w:rFonts w:ascii="Cambria Math" w:hAnsi="Cambria Math"/>
                      <w:sz w:val="22"/>
                      <w:szCs w:val="22"/>
                      <w:lang w:val="uk-UA"/>
                    </w:rPr>
                    <m:t>-</m:t>
                  </m:r>
                  <m:sSub>
                    <m:sSubPr>
                      <m:ctrlPr>
                        <w:rPr>
                          <w:rFonts w:ascii="Cambria Math" w:eastAsia="Calibri" w:hAnsi="Cambria Math"/>
                          <w:i/>
                          <w:sz w:val="22"/>
                          <w:szCs w:val="22"/>
                          <w:lang w:eastAsia="en-US"/>
                        </w:rPr>
                      </m:ctrlPr>
                    </m:sSubPr>
                    <m:e>
                      <m:r>
                        <w:rPr>
                          <w:rFonts w:ascii="Cambria Math" w:hAnsi="Cambria Math"/>
                          <w:sz w:val="22"/>
                          <w:szCs w:val="22"/>
                          <w:lang w:val="uk-UA"/>
                        </w:rPr>
                        <m:t>Е</m:t>
                      </m:r>
                    </m:e>
                    <m:sub>
                      <m:r>
                        <w:rPr>
                          <w:rFonts w:ascii="Cambria Math" w:hAnsi="Cambria Math"/>
                          <w:sz w:val="22"/>
                          <w:szCs w:val="22"/>
                          <w:lang w:val="uk-UA"/>
                        </w:rPr>
                        <m:t>в1</m:t>
                      </m:r>
                    </m:sub>
                  </m:sSub>
                </m:num>
                <m:den>
                  <m:sSub>
                    <m:sSubPr>
                      <m:ctrlPr>
                        <w:rPr>
                          <w:rFonts w:ascii="Cambria Math" w:eastAsia="Calibri" w:hAnsi="Cambria Math"/>
                          <w:i/>
                          <w:sz w:val="22"/>
                          <w:szCs w:val="22"/>
                          <w:lang w:eastAsia="en-US"/>
                        </w:rPr>
                      </m:ctrlPr>
                    </m:sSubPr>
                    <m:e>
                      <m:r>
                        <w:rPr>
                          <w:rFonts w:ascii="Cambria Math" w:hAnsi="Cambria Math"/>
                          <w:sz w:val="22"/>
                          <w:szCs w:val="22"/>
                          <w:lang w:val="uk-UA"/>
                        </w:rPr>
                        <m:t>Е</m:t>
                      </m:r>
                    </m:e>
                    <m:sub>
                      <m:r>
                        <w:rPr>
                          <w:rFonts w:ascii="Cambria Math" w:hAnsi="Cambria Math"/>
                          <w:sz w:val="22"/>
                          <w:szCs w:val="22"/>
                          <w:lang w:val="uk-UA"/>
                        </w:rPr>
                        <m:t>С1</m:t>
                      </m:r>
                    </m:sub>
                  </m:sSub>
                  <m:r>
                    <w:rPr>
                      <w:rFonts w:ascii="Cambria Math" w:hAnsi="Cambria Math"/>
                      <w:sz w:val="22"/>
                      <w:szCs w:val="22"/>
                      <w:lang w:val="uk-UA"/>
                    </w:rPr>
                    <m:t>+Δ</m:t>
                  </m:r>
                  <m:sSub>
                    <m:sSubPr>
                      <m:ctrlPr>
                        <w:rPr>
                          <w:rFonts w:ascii="Cambria Math" w:eastAsia="Calibri" w:hAnsi="Cambria Math"/>
                          <w:i/>
                          <w:sz w:val="22"/>
                          <w:szCs w:val="22"/>
                          <w:lang w:eastAsia="en-US"/>
                        </w:rPr>
                      </m:ctrlPr>
                    </m:sSubPr>
                    <m:e>
                      <m:r>
                        <w:rPr>
                          <w:rFonts w:ascii="Cambria Math" w:hAnsi="Cambria Math"/>
                          <w:sz w:val="22"/>
                          <w:szCs w:val="22"/>
                          <w:lang w:val="uk-UA"/>
                        </w:rPr>
                        <m:t>Е</m:t>
                      </m:r>
                    </m:e>
                    <m:sub>
                      <m:r>
                        <w:rPr>
                          <w:rFonts w:ascii="Cambria Math" w:hAnsi="Cambria Math"/>
                          <w:sz w:val="22"/>
                          <w:szCs w:val="22"/>
                          <w:lang w:val="uk-UA"/>
                        </w:rPr>
                        <m:t>еф1</m:t>
                      </m:r>
                    </m:sub>
                  </m:sSub>
                  <m:r>
                    <w:rPr>
                      <w:rFonts w:ascii="Cambria Math" w:hAnsi="Cambria Math"/>
                      <w:sz w:val="22"/>
                      <w:szCs w:val="22"/>
                      <w:lang w:val="uk-UA"/>
                    </w:rPr>
                    <m:t>+</m:t>
                  </m:r>
                  <m:sSub>
                    <m:sSubPr>
                      <m:ctrlPr>
                        <w:rPr>
                          <w:rFonts w:ascii="Cambria Math" w:eastAsia="Calibri" w:hAnsi="Cambria Math" w:cs="Calibri"/>
                          <w:sz w:val="22"/>
                          <w:szCs w:val="22"/>
                          <w:lang w:eastAsia="en-US"/>
                        </w:rPr>
                      </m:ctrlPr>
                    </m:sSubPr>
                    <m:e>
                      <m:r>
                        <w:rPr>
                          <w:rFonts w:ascii="Cambria Math" w:hAnsi="Cambria Math" w:cs="Calibri"/>
                          <w:sz w:val="22"/>
                          <w:szCs w:val="22"/>
                          <w:lang w:val="uk-UA"/>
                        </w:rPr>
                        <m:t>Δ</m:t>
                      </m:r>
                      <m:r>
                        <m:rPr>
                          <m:sty m:val="p"/>
                        </m:rPr>
                        <w:rPr>
                          <w:rFonts w:ascii="Cambria Math" w:hAnsi="Cambria Math" w:cs="Calibri"/>
                          <w:sz w:val="22"/>
                          <w:szCs w:val="22"/>
                          <w:lang w:val="uk-UA"/>
                        </w:rPr>
                        <m:t>Е</m:t>
                      </m:r>
                    </m:e>
                    <m:sub>
                      <m:r>
                        <w:rPr>
                          <w:rFonts w:ascii="Cambria Math" w:hAnsi="Cambria Math" w:cs="Calibri"/>
                          <w:sz w:val="22"/>
                          <w:szCs w:val="22"/>
                          <w:lang w:val="uk-UA"/>
                        </w:rPr>
                        <m:t>wп1</m:t>
                      </m:r>
                    </m:sub>
                  </m:sSub>
                  <m:r>
                    <w:rPr>
                      <w:rFonts w:ascii="Cambria Math" w:hAnsi="Cambria Math" w:cs="Calibri"/>
                      <w:sz w:val="22"/>
                      <w:szCs w:val="22"/>
                      <w:lang w:val="uk-UA"/>
                    </w:rPr>
                    <m:t>+</m:t>
                  </m:r>
                  <m:sSub>
                    <m:sSubPr>
                      <m:ctrlPr>
                        <w:rPr>
                          <w:rFonts w:ascii="Cambria Math" w:eastAsia="Calibri" w:hAnsi="Cambria Math"/>
                          <w:i/>
                          <w:sz w:val="22"/>
                          <w:szCs w:val="22"/>
                          <w:lang w:eastAsia="en-US"/>
                        </w:rPr>
                      </m:ctrlPr>
                    </m:sSubPr>
                    <m:e>
                      <m:r>
                        <w:rPr>
                          <w:rFonts w:ascii="Cambria Math" w:hAnsi="Cambria Math"/>
                          <w:sz w:val="22"/>
                          <w:szCs w:val="22"/>
                          <w:lang w:val="uk-UA"/>
                        </w:rPr>
                        <m:t>Е</m:t>
                      </m:r>
                    </m:e>
                    <m:sub>
                      <m:r>
                        <w:rPr>
                          <w:rFonts w:ascii="Cambria Math" w:hAnsi="Cambria Math"/>
                          <w:sz w:val="22"/>
                          <w:szCs w:val="22"/>
                          <w:lang w:val="uk-UA"/>
                        </w:rPr>
                        <m:t>С2</m:t>
                      </m:r>
                    </m:sub>
                  </m:sSub>
                  <m:r>
                    <w:rPr>
                      <w:rFonts w:ascii="Cambria Math" w:hAnsi="Cambria Math"/>
                      <w:sz w:val="22"/>
                      <w:szCs w:val="22"/>
                      <w:lang w:val="uk-UA"/>
                    </w:rPr>
                    <m:t>+Δ</m:t>
                  </m:r>
                  <m:sSub>
                    <m:sSubPr>
                      <m:ctrlPr>
                        <w:rPr>
                          <w:rFonts w:ascii="Cambria Math" w:eastAsia="Calibri" w:hAnsi="Cambria Math"/>
                          <w:i/>
                          <w:sz w:val="22"/>
                          <w:szCs w:val="22"/>
                          <w:lang w:eastAsia="en-US"/>
                        </w:rPr>
                      </m:ctrlPr>
                    </m:sSubPr>
                    <m:e>
                      <m:r>
                        <w:rPr>
                          <w:rFonts w:ascii="Cambria Math" w:hAnsi="Cambria Math"/>
                          <w:sz w:val="22"/>
                          <w:szCs w:val="22"/>
                          <w:lang w:val="uk-UA"/>
                        </w:rPr>
                        <m:t>Е</m:t>
                      </m:r>
                    </m:e>
                    <m:sub>
                      <m:r>
                        <w:rPr>
                          <w:rFonts w:ascii="Cambria Math" w:hAnsi="Cambria Math"/>
                          <w:sz w:val="22"/>
                          <w:szCs w:val="22"/>
                          <w:lang w:val="uk-UA"/>
                        </w:rPr>
                        <m:t>еф2</m:t>
                      </m:r>
                    </m:sub>
                  </m:sSub>
                  <m:r>
                    <w:rPr>
                      <w:rFonts w:ascii="Cambria Math" w:hAnsi="Cambria Math"/>
                      <w:sz w:val="22"/>
                      <w:szCs w:val="22"/>
                      <w:lang w:val="uk-UA"/>
                    </w:rPr>
                    <m:t>+</m:t>
                  </m:r>
                  <m:sSub>
                    <m:sSubPr>
                      <m:ctrlPr>
                        <w:rPr>
                          <w:rFonts w:ascii="Cambria Math" w:eastAsia="Calibri" w:hAnsi="Cambria Math" w:cs="Calibri"/>
                          <w:sz w:val="22"/>
                          <w:szCs w:val="22"/>
                          <w:lang w:eastAsia="en-US"/>
                        </w:rPr>
                      </m:ctrlPr>
                    </m:sSubPr>
                    <m:e>
                      <m:r>
                        <w:rPr>
                          <w:rFonts w:ascii="Cambria Math" w:hAnsi="Cambria Math" w:cs="Calibri"/>
                          <w:sz w:val="22"/>
                          <w:szCs w:val="22"/>
                          <w:lang w:val="uk-UA"/>
                        </w:rPr>
                        <m:t>Δ</m:t>
                      </m:r>
                      <m:r>
                        <m:rPr>
                          <m:sty m:val="p"/>
                        </m:rPr>
                        <w:rPr>
                          <w:rFonts w:ascii="Cambria Math" w:hAnsi="Cambria Math" w:cs="Calibri"/>
                          <w:sz w:val="22"/>
                          <w:szCs w:val="22"/>
                          <w:lang w:val="uk-UA"/>
                        </w:rPr>
                        <m:t>Е</m:t>
                      </m:r>
                    </m:e>
                    <m:sub>
                      <m:r>
                        <w:rPr>
                          <w:rFonts w:ascii="Cambria Math" w:hAnsi="Cambria Math" w:cs="Calibri"/>
                          <w:sz w:val="22"/>
                          <w:szCs w:val="22"/>
                          <w:lang w:val="uk-UA"/>
                        </w:rPr>
                        <m:t>wп2</m:t>
                      </m:r>
                    </m:sub>
                  </m:sSub>
                </m:den>
              </m:f>
            </m:oMath>
            <w:r w:rsidR="00CF2AC1" w:rsidRPr="005A615E">
              <w:rPr>
                <w:sz w:val="22"/>
                <w:szCs w:val="22"/>
                <w:shd w:val="clear" w:color="auto" w:fill="FFFFFF"/>
                <w:lang w:val="uk-UA"/>
              </w:rPr>
              <w:t xml:space="preserve">, </w:t>
            </w:r>
            <w:r w:rsidR="00CF2AC1" w:rsidRPr="005A615E">
              <w:rPr>
                <w:b/>
                <w:bCs/>
                <w:sz w:val="22"/>
                <w:szCs w:val="22"/>
                <w:shd w:val="clear" w:color="auto" w:fill="FFFFFF"/>
                <w:lang w:val="uk-UA"/>
              </w:rPr>
              <w:t>(3)</w:t>
            </w:r>
          </w:p>
          <w:p w:rsidR="00CF2AC1" w:rsidRPr="005A615E" w:rsidRDefault="00CF2AC1" w:rsidP="00CF2AC1">
            <w:pPr>
              <w:pStyle w:val="aa"/>
              <w:spacing w:before="0" w:beforeAutospacing="0" w:after="0" w:afterAutospacing="0"/>
              <w:ind w:firstLine="493"/>
              <w:jc w:val="both"/>
              <w:rPr>
                <w:sz w:val="22"/>
                <w:szCs w:val="22"/>
                <w:lang w:val="uk-UA"/>
              </w:rPr>
            </w:pPr>
            <w:r w:rsidRPr="005A615E">
              <w:rPr>
                <w:sz w:val="22"/>
                <w:szCs w:val="22"/>
                <w:lang w:val="uk-UA"/>
              </w:rPr>
              <w:t xml:space="preserve">де </w:t>
            </w:r>
            <w:r w:rsidRPr="005A615E">
              <w:rPr>
                <w:b/>
                <w:bCs/>
                <w:sz w:val="22"/>
                <w:szCs w:val="22"/>
                <w:lang w:val="uk-UA"/>
              </w:rPr>
              <w:t>ΔЕ</w:t>
            </w:r>
            <w:r w:rsidRPr="005A615E">
              <w:rPr>
                <w:b/>
                <w:bCs/>
                <w:sz w:val="22"/>
                <w:szCs w:val="22"/>
                <w:vertAlign w:val="subscript"/>
                <w:lang w:val="uk-UA"/>
              </w:rPr>
              <w:t>еф1</w:t>
            </w:r>
            <w:r w:rsidRPr="005A615E">
              <w:rPr>
                <w:b/>
                <w:bCs/>
                <w:sz w:val="22"/>
                <w:szCs w:val="22"/>
                <w:lang w:val="uk-UA"/>
              </w:rPr>
              <w:t xml:space="preserve"> – технологічні витрати електричної енергії на її розподіл електричними мережами на 1 класі напруги, приведені до показника ефективності на 1 класі напруги,</w:t>
            </w:r>
            <w:r w:rsidRPr="005A615E">
              <w:rPr>
                <w:sz w:val="22"/>
                <w:szCs w:val="22"/>
                <w:lang w:val="uk-UA"/>
              </w:rPr>
              <w:t xml:space="preserve"> </w:t>
            </w:r>
            <w:r w:rsidRPr="005A615E">
              <w:rPr>
                <w:b/>
                <w:bCs/>
                <w:sz w:val="22"/>
                <w:szCs w:val="22"/>
                <w:lang w:val="uk-UA"/>
              </w:rPr>
              <w:t>тис. кВт·год:</w:t>
            </w:r>
            <w:r w:rsidRPr="005A615E">
              <w:rPr>
                <w:sz w:val="22"/>
                <w:szCs w:val="22"/>
                <w:lang w:val="uk-UA"/>
              </w:rPr>
              <w:t xml:space="preserve"> </w:t>
            </w:r>
          </w:p>
          <w:p w:rsidR="00CF2AC1" w:rsidRPr="005A615E" w:rsidRDefault="00CF2AC1" w:rsidP="00CF2AC1">
            <w:pPr>
              <w:pStyle w:val="aa"/>
              <w:spacing w:before="0" w:beforeAutospacing="0" w:after="0" w:afterAutospacing="0"/>
              <w:ind w:firstLine="191"/>
              <w:jc w:val="both"/>
              <w:rPr>
                <w:b/>
                <w:bCs/>
                <w:sz w:val="22"/>
                <w:szCs w:val="22"/>
                <w:lang w:val="uk-UA"/>
              </w:rPr>
            </w:pPr>
            <m:oMath>
              <m:r>
                <w:rPr>
                  <w:rFonts w:ascii="Cambria Math" w:hAnsi="Cambria Math" w:cs="Calibri"/>
                  <w:sz w:val="22"/>
                  <w:szCs w:val="22"/>
                  <w:lang w:val="uk-UA"/>
                </w:rPr>
                <m:t>Δ</m:t>
              </m:r>
              <m:sSub>
                <m:sSubPr>
                  <m:ctrlPr>
                    <w:rPr>
                      <w:rFonts w:ascii="Cambria Math" w:eastAsia="Calibri" w:hAnsi="Cambria Math" w:cs="Calibri"/>
                      <w:i/>
                      <w:sz w:val="22"/>
                      <w:szCs w:val="22"/>
                      <w:lang w:eastAsia="en-US"/>
                    </w:rPr>
                  </m:ctrlPr>
                </m:sSubPr>
                <m:e>
                  <m:r>
                    <w:rPr>
                      <w:rFonts w:ascii="Cambria Math" w:hAnsi="Cambria Math" w:cs="Calibri"/>
                      <w:sz w:val="22"/>
                      <w:szCs w:val="22"/>
                      <w:lang w:val="uk-UA"/>
                    </w:rPr>
                    <m:t>Е</m:t>
                  </m:r>
                </m:e>
                <m:sub>
                  <m:r>
                    <w:rPr>
                      <w:rFonts w:ascii="Cambria Math" w:hAnsi="Cambria Math" w:cs="Calibri"/>
                      <w:sz w:val="22"/>
                      <w:szCs w:val="22"/>
                      <w:lang w:val="uk-UA"/>
                    </w:rPr>
                    <m:t>еф1</m:t>
                  </m:r>
                </m:sub>
              </m:sSub>
              <m:r>
                <w:rPr>
                  <w:rFonts w:ascii="Cambria Math" w:hAnsi="Cambria Math" w:cs="Calibri"/>
                  <w:sz w:val="22"/>
                  <w:szCs w:val="22"/>
                  <w:lang w:val="uk-UA"/>
                </w:rPr>
                <m:t>=(Δ</m:t>
              </m:r>
              <m:sSub>
                <m:sSubPr>
                  <m:ctrlPr>
                    <w:rPr>
                      <w:rFonts w:ascii="Cambria Math" w:eastAsia="Calibri" w:hAnsi="Cambria Math" w:cs="Calibri"/>
                      <w:i/>
                      <w:sz w:val="22"/>
                      <w:szCs w:val="22"/>
                      <w:lang w:eastAsia="en-US"/>
                    </w:rPr>
                  </m:ctrlPr>
                </m:sSubPr>
                <m:e>
                  <m:r>
                    <w:rPr>
                      <w:rFonts w:ascii="Cambria Math" w:hAnsi="Cambria Math" w:cs="Calibri"/>
                      <w:sz w:val="22"/>
                      <w:szCs w:val="22"/>
                      <w:lang w:val="uk-UA"/>
                    </w:rPr>
                    <m:t>Е</m:t>
                  </m:r>
                </m:e>
                <m:sub>
                  <m:r>
                    <w:rPr>
                      <w:rFonts w:ascii="Cambria Math" w:hAnsi="Cambria Math" w:cs="Calibri"/>
                      <w:sz w:val="22"/>
                      <w:szCs w:val="22"/>
                      <w:lang w:val="uk-UA"/>
                    </w:rPr>
                    <m:t>зв1</m:t>
                  </m:r>
                </m:sub>
              </m:sSub>
              <m:r>
                <w:rPr>
                  <w:rFonts w:ascii="Cambria Math" w:hAnsi="Cambria Math" w:cs="Calibri"/>
                  <w:sz w:val="22"/>
                  <w:szCs w:val="22"/>
                  <w:lang w:val="uk-UA"/>
                </w:rPr>
                <m:t>-</m:t>
              </m:r>
              <m:sSub>
                <m:sSubPr>
                  <m:ctrlPr>
                    <w:rPr>
                      <w:rFonts w:ascii="Cambria Math" w:eastAsia="Calibri" w:hAnsi="Cambria Math" w:cs="Calibri"/>
                      <w:sz w:val="22"/>
                      <w:szCs w:val="22"/>
                      <w:lang w:eastAsia="en-US"/>
                    </w:rPr>
                  </m:ctrlPr>
                </m:sSubPr>
                <m:e>
                  <m:r>
                    <w:rPr>
                      <w:rFonts w:ascii="Cambria Math" w:hAnsi="Cambria Math" w:cs="Calibri"/>
                      <w:sz w:val="22"/>
                      <w:szCs w:val="22"/>
                      <w:lang w:val="uk-UA"/>
                    </w:rPr>
                    <m:t>Δ</m:t>
                  </m:r>
                  <m:r>
                    <m:rPr>
                      <m:sty m:val="p"/>
                    </m:rPr>
                    <w:rPr>
                      <w:rFonts w:ascii="Cambria Math" w:hAnsi="Cambria Math" w:cs="Calibri"/>
                      <w:sz w:val="22"/>
                      <w:szCs w:val="22"/>
                      <w:lang w:val="uk-UA"/>
                    </w:rPr>
                    <m:t>Е</m:t>
                  </m:r>
                </m:e>
                <m:sub>
                  <m:r>
                    <w:rPr>
                      <w:rFonts w:ascii="Cambria Math" w:hAnsi="Cambria Math" w:cs="Calibri"/>
                      <w:sz w:val="22"/>
                      <w:szCs w:val="22"/>
                      <w:lang w:val="uk-UA"/>
                    </w:rPr>
                    <m:t>wф1</m:t>
                  </m:r>
                </m:sub>
              </m:sSub>
              <m:r>
                <w:rPr>
                  <w:rFonts w:ascii="Cambria Math" w:hAnsi="Cambria Math" w:cs="Calibri"/>
                  <w:sz w:val="22"/>
                  <w:szCs w:val="22"/>
                  <w:lang w:val="uk-UA"/>
                </w:rPr>
                <m:t>)⋅(1-</m:t>
              </m:r>
              <m:f>
                <m:fPr>
                  <m:ctrlPr>
                    <w:rPr>
                      <w:rFonts w:ascii="Cambria Math" w:eastAsia="Calibri" w:hAnsi="Cambria Math" w:cs="Calibri"/>
                      <w:i/>
                      <w:sz w:val="22"/>
                      <w:szCs w:val="22"/>
                      <w:lang w:eastAsia="en-US"/>
                    </w:rPr>
                  </m:ctrlPr>
                </m:fPr>
                <m:num>
                  <m:sSub>
                    <m:sSubPr>
                      <m:ctrlPr>
                        <w:rPr>
                          <w:rFonts w:ascii="Cambria Math" w:eastAsia="Calibri" w:hAnsi="Cambria Math" w:cs="Calibri"/>
                          <w:i/>
                          <w:sz w:val="22"/>
                          <w:szCs w:val="22"/>
                          <w:lang w:eastAsia="en-US"/>
                        </w:rPr>
                      </m:ctrlPr>
                    </m:sSubPr>
                    <m:e>
                      <m:r>
                        <w:rPr>
                          <w:rFonts w:ascii="Cambria Math" w:hAnsi="Cambria Math" w:cs="Calibri"/>
                          <w:sz w:val="22"/>
                          <w:szCs w:val="22"/>
                          <w:lang w:val="uk-UA"/>
                        </w:rPr>
                        <m:t>ПЕ</m:t>
                      </m:r>
                    </m:e>
                    <m:sub>
                      <m:r>
                        <w:rPr>
                          <w:rFonts w:ascii="Cambria Math" w:hAnsi="Cambria Math" w:cs="Calibri"/>
                          <w:sz w:val="22"/>
                          <w:szCs w:val="22"/>
                          <w:lang w:val="uk-UA"/>
                        </w:rPr>
                        <m:t>1тве</m:t>
                      </m:r>
                    </m:sub>
                  </m:sSub>
                </m:num>
                <m:den>
                  <m:r>
                    <w:rPr>
                      <w:rFonts w:ascii="Cambria Math" w:hAnsi="Cambria Math" w:cs="Calibri"/>
                      <w:sz w:val="22"/>
                      <w:szCs w:val="22"/>
                      <w:lang w:val="uk-UA"/>
                    </w:rPr>
                    <m:t>100</m:t>
                  </m:r>
                </m:den>
              </m:f>
              <m:sSup>
                <m:sSupPr>
                  <m:ctrlPr>
                    <w:rPr>
                      <w:rFonts w:ascii="Cambria Math" w:eastAsia="Calibri" w:hAnsi="Cambria Math" w:cs="Calibri"/>
                      <w:i/>
                      <w:sz w:val="22"/>
                      <w:szCs w:val="22"/>
                      <w:lang w:eastAsia="en-US"/>
                    </w:rPr>
                  </m:ctrlPr>
                </m:sSupPr>
                <m:e>
                  <m:r>
                    <w:rPr>
                      <w:rFonts w:ascii="Cambria Math" w:hAnsi="Cambria Math" w:cs="Calibri"/>
                      <w:sz w:val="22"/>
                      <w:szCs w:val="22"/>
                      <w:lang w:val="uk-UA"/>
                    </w:rPr>
                    <m:t>)</m:t>
                  </m:r>
                </m:e>
                <m:sup>
                  <m:r>
                    <w:rPr>
                      <w:rFonts w:ascii="Cambria Math" w:hAnsi="Cambria Math" w:cs="Calibri"/>
                      <w:sz w:val="22"/>
                      <w:szCs w:val="22"/>
                      <w:lang w:val="uk-UA"/>
                    </w:rPr>
                    <m:t>m-n</m:t>
                  </m:r>
                </m:sup>
              </m:sSup>
            </m:oMath>
            <w:r w:rsidRPr="005A615E">
              <w:rPr>
                <w:sz w:val="22"/>
                <w:szCs w:val="22"/>
                <w:lang w:val="uk-UA"/>
              </w:rPr>
              <w:t xml:space="preserve">, </w:t>
            </w:r>
            <w:r w:rsidRPr="005A615E">
              <w:rPr>
                <w:b/>
                <w:bCs/>
                <w:sz w:val="22"/>
                <w:szCs w:val="22"/>
                <w:lang w:val="uk-UA"/>
              </w:rPr>
              <w:t>(4)</w:t>
            </w:r>
          </w:p>
          <w:p w:rsidR="00CF2AC1" w:rsidRPr="005A615E" w:rsidRDefault="00CF2AC1" w:rsidP="00CF2AC1">
            <w:pPr>
              <w:pStyle w:val="aa"/>
              <w:spacing w:before="0" w:beforeAutospacing="0" w:after="0" w:afterAutospacing="0"/>
              <w:ind w:firstLine="493"/>
              <w:jc w:val="both"/>
              <w:rPr>
                <w:sz w:val="22"/>
                <w:szCs w:val="22"/>
                <w:lang w:val="uk-UA"/>
              </w:rPr>
            </w:pPr>
            <w:r w:rsidRPr="005A615E">
              <w:rPr>
                <w:sz w:val="22"/>
                <w:szCs w:val="22"/>
                <w:lang w:val="uk-UA"/>
              </w:rPr>
              <w:t>де ΔЕ</w:t>
            </w:r>
            <w:r w:rsidRPr="005A615E">
              <w:rPr>
                <w:sz w:val="22"/>
                <w:szCs w:val="22"/>
                <w:vertAlign w:val="subscript"/>
                <w:lang w:val="uk-UA"/>
              </w:rPr>
              <w:t>зв1</w:t>
            </w:r>
            <w:r w:rsidRPr="005A615E">
              <w:rPr>
                <w:sz w:val="22"/>
                <w:szCs w:val="22"/>
                <w:lang w:val="uk-UA"/>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 5-НКРЕКП-моніторинг-розподіл та № 1Б-ТВЕ, тис. кВт·год;</w:t>
            </w:r>
          </w:p>
          <w:p w:rsidR="00CF2AC1" w:rsidRPr="005A615E" w:rsidRDefault="00CF2AC1" w:rsidP="00CF2AC1">
            <w:pPr>
              <w:pStyle w:val="aa"/>
              <w:spacing w:before="0" w:beforeAutospacing="0" w:after="0" w:afterAutospacing="0"/>
              <w:ind w:firstLine="493"/>
              <w:jc w:val="both"/>
              <w:rPr>
                <w:b/>
                <w:bCs/>
                <w:sz w:val="22"/>
                <w:szCs w:val="22"/>
                <w:lang w:val="uk-UA"/>
              </w:rPr>
            </w:pPr>
            <w:r w:rsidRPr="005A615E">
              <w:rPr>
                <w:b/>
                <w:bCs/>
                <w:sz w:val="22"/>
                <w:szCs w:val="22"/>
                <w:lang w:val="uk-UA"/>
              </w:rPr>
              <w:t>ΔЕ</w:t>
            </w:r>
            <w:r w:rsidRPr="005A615E">
              <w:rPr>
                <w:b/>
                <w:bCs/>
                <w:sz w:val="22"/>
                <w:szCs w:val="22"/>
                <w:vertAlign w:val="subscript"/>
                <w:lang w:val="uk-UA"/>
              </w:rPr>
              <w:t>wф1</w:t>
            </w:r>
            <w:r w:rsidRPr="005A615E">
              <w:rPr>
                <w:b/>
                <w:bCs/>
                <w:sz w:val="22"/>
                <w:szCs w:val="22"/>
                <w:lang w:val="uk-UA"/>
              </w:rPr>
              <w:t xml:space="preserve"> – середня величина фактичної складової ТВЕ на 1 класі напруги за три завершені річні періоди (січень – грудень), що передували прогнозному періоду, визначена  відповідно до абзацу 7 пункту 1.2 глави 1 цього Положення, тис. кВт·год;</w:t>
            </w:r>
          </w:p>
          <w:p w:rsidR="00CF2AC1" w:rsidRPr="005A615E" w:rsidRDefault="00CF2AC1" w:rsidP="00CF2AC1">
            <w:pPr>
              <w:pStyle w:val="aa"/>
              <w:spacing w:before="0" w:beforeAutospacing="0" w:after="0" w:afterAutospacing="0"/>
              <w:ind w:firstLine="493"/>
              <w:jc w:val="both"/>
              <w:rPr>
                <w:b/>
                <w:bCs/>
                <w:sz w:val="22"/>
                <w:szCs w:val="22"/>
                <w:lang w:val="uk-UA"/>
              </w:rPr>
            </w:pPr>
            <w:r w:rsidRPr="005A615E">
              <w:rPr>
                <w:b/>
                <w:bCs/>
                <w:sz w:val="22"/>
                <w:szCs w:val="22"/>
                <w:lang w:val="uk-UA"/>
              </w:rPr>
              <w:t>Якщо для розрахунку ЕКПТВЕ використовуються вхідні дані попереднього базового року затвердженого НКРЕКП – середня величина фактичної складової ТВЕ рівна нулю.</w:t>
            </w:r>
          </w:p>
          <w:p w:rsidR="00CF2AC1" w:rsidRPr="005A615E" w:rsidRDefault="000D13C5" w:rsidP="00CF2AC1">
            <w:pPr>
              <w:pStyle w:val="aa"/>
              <w:spacing w:before="0" w:beforeAutospacing="0" w:after="0" w:afterAutospacing="0"/>
              <w:ind w:firstLine="493"/>
              <w:jc w:val="both"/>
              <w:rPr>
                <w:rStyle w:val="a9"/>
                <w:color w:val="auto"/>
                <w:sz w:val="22"/>
                <w:szCs w:val="22"/>
              </w:rPr>
            </w:pPr>
            <m:oMath>
              <m:sSub>
                <m:sSubPr>
                  <m:ctrlPr>
                    <w:rPr>
                      <w:rFonts w:ascii="Cambria Math" w:eastAsia="Calibri" w:hAnsi="Cambria Math"/>
                      <w:i/>
                      <w:sz w:val="22"/>
                      <w:szCs w:val="22"/>
                      <w:lang w:eastAsia="en-US"/>
                    </w:rPr>
                  </m:ctrlPr>
                </m:sSubPr>
                <m:e>
                  <m:r>
                    <w:rPr>
                      <w:rFonts w:ascii="Cambria Math" w:hAnsi="Cambria Math"/>
                      <w:sz w:val="22"/>
                      <w:szCs w:val="22"/>
                      <w:lang w:val="uk-UA"/>
                    </w:rPr>
                    <m:t>ПЕ</m:t>
                  </m:r>
                </m:e>
                <m:sub>
                  <m:r>
                    <w:rPr>
                      <w:rFonts w:ascii="Cambria Math" w:hAnsi="Cambria Math"/>
                      <w:sz w:val="22"/>
                      <w:szCs w:val="22"/>
                      <w:lang w:val="uk-UA"/>
                    </w:rPr>
                    <m:t>1тве</m:t>
                  </m:r>
                </m:sub>
              </m:sSub>
            </m:oMath>
            <w:r w:rsidR="00CF2AC1" w:rsidRPr="005A615E">
              <w:rPr>
                <w:sz w:val="22"/>
                <w:szCs w:val="22"/>
                <w:lang w:val="uk-UA"/>
              </w:rPr>
              <w:t xml:space="preserve">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 </w:t>
            </w:r>
            <w:hyperlink r:id="rId20" w:tgtFrame="_blank" w:history="1">
              <w:r w:rsidR="00CF2AC1" w:rsidRPr="005A615E">
                <w:rPr>
                  <w:rStyle w:val="a9"/>
                  <w:color w:val="auto"/>
                  <w:sz w:val="22"/>
                  <w:szCs w:val="22"/>
                  <w:lang w:val="uk-UA"/>
                </w:rPr>
                <w:t xml:space="preserve">на 2026 рік для ліцензіатів, перелік яких наведено в додатку 32 до Порядку встановлення (формування) тарифів, </w:t>
              </w:r>
            </w:hyperlink>
            <w:r w:rsidR="00CF2AC1" w:rsidRPr="005A615E">
              <w:rPr>
                <w:rStyle w:val="a9"/>
                <w:color w:val="auto"/>
                <w:sz w:val="22"/>
                <w:szCs w:val="22"/>
                <w:lang w:val="uk-UA"/>
              </w:rPr>
              <w:t xml:space="preserve"> значення дорівнює 0);</w:t>
            </w:r>
          </w:p>
          <w:p w:rsidR="00CF2AC1" w:rsidRPr="005A615E" w:rsidRDefault="00CF2AC1" w:rsidP="00CF2AC1">
            <w:pPr>
              <w:pStyle w:val="aa"/>
              <w:spacing w:before="0" w:beforeAutospacing="0" w:after="0" w:afterAutospacing="0"/>
              <w:ind w:firstLine="493"/>
              <w:jc w:val="both"/>
              <w:rPr>
                <w:b/>
                <w:bCs/>
                <w:sz w:val="22"/>
                <w:szCs w:val="22"/>
              </w:rPr>
            </w:pPr>
            <w:r w:rsidRPr="005A615E">
              <w:rPr>
                <w:b/>
                <w:bCs/>
                <w:sz w:val="22"/>
                <w:szCs w:val="22"/>
                <w:lang w:val="uk-UA"/>
              </w:rPr>
              <w:t>ΔЕ</w:t>
            </w:r>
            <w:r w:rsidRPr="005A615E">
              <w:rPr>
                <w:b/>
                <w:bCs/>
                <w:sz w:val="22"/>
                <w:szCs w:val="22"/>
                <w:vertAlign w:val="subscript"/>
                <w:lang w:val="uk-UA"/>
              </w:rPr>
              <w:t>wп1</w:t>
            </w:r>
            <w:r w:rsidRPr="005A615E">
              <w:rPr>
                <w:b/>
                <w:bCs/>
                <w:sz w:val="22"/>
                <w:szCs w:val="22"/>
                <w:lang w:val="uk-UA"/>
              </w:rPr>
              <w:t xml:space="preserve"> – прогнозовані обсяги складової ТВЕ  на 1 класі напруги. На момент розрахунку та затвердження ЕКПТВЕ на другий регуляторний період значення приймається на рівні середньої величини фактичної складової ТВЕ (ΔЕ</w:t>
            </w:r>
            <w:r w:rsidRPr="005A615E">
              <w:rPr>
                <w:b/>
                <w:bCs/>
                <w:sz w:val="22"/>
                <w:szCs w:val="22"/>
                <w:vertAlign w:val="subscript"/>
                <w:lang w:val="uk-UA"/>
              </w:rPr>
              <w:t>wф1</w:t>
            </w:r>
            <w:r w:rsidRPr="005A615E">
              <w:rPr>
                <w:b/>
                <w:bCs/>
                <w:sz w:val="22"/>
                <w:szCs w:val="22"/>
                <w:lang w:val="uk-UA"/>
              </w:rPr>
              <w:t>).  При цьому під час здійснення НКРЕКП заходів державного нагляду (контролю) в наступні роки другого регуляторного періоду значення ΔЕ</w:t>
            </w:r>
            <w:r w:rsidRPr="005A615E">
              <w:rPr>
                <w:b/>
                <w:bCs/>
                <w:sz w:val="22"/>
                <w:szCs w:val="22"/>
                <w:vertAlign w:val="subscript"/>
                <w:lang w:val="uk-UA"/>
              </w:rPr>
              <w:t xml:space="preserve">wп1 </w:t>
            </w:r>
            <w:r w:rsidRPr="005A615E">
              <w:rPr>
                <w:b/>
                <w:bCs/>
                <w:sz w:val="22"/>
                <w:szCs w:val="22"/>
                <w:lang w:val="uk-UA"/>
              </w:rPr>
              <w:t>може бути переглянуто відповідно до глави 3 цього Положення, тис. кВт·год;</w:t>
            </w:r>
          </w:p>
          <w:p w:rsidR="00CF2AC1" w:rsidRPr="005A615E" w:rsidRDefault="00CF2AC1" w:rsidP="00CF2AC1">
            <w:pPr>
              <w:pStyle w:val="aa"/>
              <w:spacing w:before="0" w:beforeAutospacing="0" w:after="0" w:afterAutospacing="0"/>
              <w:ind w:firstLine="493"/>
              <w:jc w:val="both"/>
              <w:rPr>
                <w:sz w:val="22"/>
                <w:szCs w:val="22"/>
                <w:lang w:val="uk-UA"/>
              </w:rPr>
            </w:pPr>
            <w:r w:rsidRPr="005A615E">
              <w:rPr>
                <w:sz w:val="22"/>
                <w:szCs w:val="22"/>
                <w:lang w:val="uk-UA"/>
              </w:rPr>
              <w:t>Е</w:t>
            </w:r>
            <w:r w:rsidRPr="005A615E">
              <w:rPr>
                <w:sz w:val="22"/>
                <w:szCs w:val="22"/>
                <w:vertAlign w:val="subscript"/>
                <w:lang w:val="uk-UA"/>
              </w:rPr>
              <w:t>с1</w:t>
            </w:r>
            <w:r w:rsidRPr="005A615E">
              <w:rPr>
                <w:sz w:val="22"/>
                <w:szCs w:val="22"/>
                <w:lang w:val="uk-UA"/>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 5-НКРЕКП-моніторинг-розподіл та № 1Б-ТВЕ, тис. кВт·год;</w:t>
            </w:r>
          </w:p>
          <w:p w:rsidR="00CF2AC1" w:rsidRPr="005A615E" w:rsidRDefault="00CF2AC1" w:rsidP="00CF2AC1">
            <w:pPr>
              <w:ind w:firstLine="418"/>
              <w:jc w:val="both"/>
              <w:rPr>
                <w:rFonts w:ascii="Times New Roman" w:hAnsi="Times New Roman"/>
              </w:rPr>
            </w:pPr>
            <w:r w:rsidRPr="005A615E">
              <w:rPr>
                <w:rFonts w:ascii="Times New Roman" w:hAnsi="Times New Roman"/>
              </w:rPr>
              <w:t xml:space="preserve"> Е</w:t>
            </w:r>
            <w:r w:rsidRPr="005A615E">
              <w:rPr>
                <w:rFonts w:ascii="Times New Roman" w:hAnsi="Times New Roman"/>
                <w:vertAlign w:val="subscript"/>
              </w:rPr>
              <w:t>в1</w:t>
            </w:r>
            <w:r w:rsidRPr="005A615E">
              <w:rPr>
                <w:rFonts w:ascii="Times New Roman" w:hAnsi="Times New Roman"/>
              </w:rPr>
              <w:t xml:space="preserve"> – середні за три завершені річні періоди (січень – грудень), що передували прогнозному періоду, обсяги електричної енергії на 1 класі напруги, спожитої споживачами без електропостачальника або після дати, зазначеної електропостачальником у вимозі про відключення відповідно до форми звітності № 5-НКРЕКП-моніторинг-розподіл, тис. кВт·год.</w:t>
            </w:r>
          </w:p>
          <w:p w:rsidR="00CF2AC1" w:rsidRPr="005A615E" w:rsidRDefault="00CF2AC1" w:rsidP="00CF2AC1">
            <w:pPr>
              <w:ind w:firstLine="418"/>
              <w:jc w:val="both"/>
              <w:rPr>
                <w:rFonts w:ascii="Times New Roman" w:hAnsi="Times New Roman"/>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szCs w:val="24"/>
              </w:rPr>
            </w:pPr>
            <w:r w:rsidRPr="005A615E">
              <w:rPr>
                <w:rFonts w:ascii="Times New Roman" w:hAnsi="Times New Roman"/>
                <w:szCs w:val="24"/>
              </w:rPr>
              <w:t xml:space="preserve">З метою уникнення громіздкості математичних записів та полегшення візуального сприйняття основних </w:t>
            </w:r>
            <w:r w:rsidRPr="005A615E">
              <w:rPr>
                <w:rFonts w:ascii="Times New Roman" w:hAnsi="Times New Roman"/>
                <w:szCs w:val="24"/>
              </w:rPr>
              <w:lastRenderedPageBreak/>
              <w:t>формул (1) та (3), у розрахунок введено допоміжний показник ΔЕеф («ефективні витрати»). Це суто технічне рішення дозволило винести частину формули, що відповідає за приведення витрат до показника ефективності, в окремий підпункт. Такий підхід робить структуру ЕКПТВЕ прозорою: чітко розділяються базові витрати, що підлягають щорічному зниженню, та аномальні (воєнні) витрати, які мають компенсуватися в повному обсязі.</w:t>
            </w:r>
          </w:p>
          <w:p w:rsidR="00CF2AC1" w:rsidRPr="005A615E" w:rsidRDefault="00CF2AC1" w:rsidP="00CF2AC1">
            <w:pPr>
              <w:jc w:val="both"/>
              <w:rPr>
                <w:rFonts w:ascii="Times New Roman" w:hAnsi="Times New Roman"/>
                <w:szCs w:val="24"/>
              </w:rPr>
            </w:pPr>
            <w:r w:rsidRPr="005A615E">
              <w:rPr>
                <w:rFonts w:ascii="Times New Roman" w:hAnsi="Times New Roman"/>
                <w:szCs w:val="24"/>
              </w:rPr>
              <w:t>Головною зміною є виключення обсягів складової ТВЕ з-під дії показника ефективності. Чинна методика передбачає примусове зниження витрат на певний відсоток щороку. Проте складова ТВЕ (спричинена руйнуваннями, збільшенням обсягів транзитних перетоків в мережі суміжних ліцензіатів, зміною топології та ненормальними режимами роботи мережі) не залежить від господарської діяльності ОСР і не може бути зменшена шляхом впровадження енергоефективних заходів. Застосування ПЕ до складової ТВЕ призводило б до штучного та необґрунтованого заниження нормативів ТВЕ.</w:t>
            </w:r>
          </w:p>
          <w:p w:rsidR="00CF2AC1" w:rsidRPr="005A615E" w:rsidRDefault="00CF2AC1" w:rsidP="00CF2AC1">
            <w:pPr>
              <w:jc w:val="both"/>
              <w:rPr>
                <w:rFonts w:ascii="Times New Roman" w:hAnsi="Times New Roman"/>
                <w:szCs w:val="24"/>
              </w:rPr>
            </w:pPr>
            <w:r w:rsidRPr="005A615E">
              <w:rPr>
                <w:rFonts w:ascii="Times New Roman" w:hAnsi="Times New Roman"/>
                <w:szCs w:val="24"/>
              </w:rPr>
              <w:t>Введення показника ΔЕwп (прогнозна складова ТВЕ) у чисельник та знаменник формул забезпечує відповідність розрахункових коефіцієнтів фактичному балансу електричної енергії. Це дозволяє оператору системи розподілу отримати в структурі тарифу кошти на покриття тих витрат, які фізично виникли внаслідок бойових дій, забезпечуючи фінансову стійкість підприємства для проведення відновлювальних робіт.</w:t>
            </w:r>
          </w:p>
          <w:p w:rsidR="00CF2AC1" w:rsidRPr="005A615E" w:rsidRDefault="00CF2AC1" w:rsidP="00CF2AC1">
            <w:pPr>
              <w:jc w:val="both"/>
              <w:rPr>
                <w:rFonts w:ascii="Times New Roman" w:hAnsi="Times New Roman"/>
                <w:szCs w:val="24"/>
              </w:rPr>
            </w:pPr>
            <w:r w:rsidRPr="005A615E">
              <w:rPr>
                <w:rFonts w:ascii="Times New Roman" w:hAnsi="Times New Roman"/>
                <w:szCs w:val="24"/>
              </w:rPr>
              <w:t xml:space="preserve">Запропонований підхід передбачає, що на момент затвердження ЕКПТВЕ прогнозна величина складової ТВЕ приймається на рівні фактичної за попередні періоди. Водночас передбачено право Регулятора переглядати ці значення в ході заходів державного нагляду (контролю). Це створює запобіжник від </w:t>
            </w:r>
            <w:r w:rsidRPr="005A615E">
              <w:rPr>
                <w:rFonts w:ascii="Times New Roman" w:hAnsi="Times New Roman"/>
                <w:szCs w:val="24"/>
              </w:rPr>
              <w:lastRenderedPageBreak/>
              <w:t>надмірних нарахувань у разі відновлення мереж та повернення до нормальних режимів роботи, збалансовуючи інтереси як ОСР, так і споживачів.</w:t>
            </w:r>
          </w:p>
          <w:p w:rsidR="00CF2AC1" w:rsidRPr="005A615E" w:rsidRDefault="00CF2AC1" w:rsidP="00CF2AC1">
            <w:pPr>
              <w:ind w:firstLine="418"/>
              <w:jc w:val="both"/>
              <w:rPr>
                <w:rFonts w:ascii="Times New Roman" w:hAnsi="Times New Roman"/>
                <w:shd w:val="clear" w:color="auto" w:fill="FFFFFF"/>
              </w:rPr>
            </w:pPr>
            <w:r w:rsidRPr="005A615E">
              <w:rPr>
                <w:rFonts w:ascii="Times New Roman" w:hAnsi="Times New Roman"/>
                <w:szCs w:val="24"/>
              </w:rPr>
              <w:t>Таким чином, зміни до пунктів 2.7 та 2.8 створюють надійну математичну та правову базу для функціонування енергосистеми в кризовий період, зберігаючи при цьому стимулюючу функцію регулювання для цільової складової витрат.</w:t>
            </w:r>
          </w:p>
        </w:tc>
        <w:tc>
          <w:tcPr>
            <w:tcW w:w="3969" w:type="dxa"/>
            <w:gridSpan w:val="2"/>
          </w:tcPr>
          <w:p w:rsidR="00C91A22" w:rsidRPr="005A615E" w:rsidRDefault="00C91A22" w:rsidP="00C91A22">
            <w:pPr>
              <w:rPr>
                <w:rFonts w:ascii="Times New Roman" w:hAnsi="Times New Roman"/>
                <w:b/>
                <w:sz w:val="24"/>
              </w:rPr>
            </w:pPr>
            <w:r w:rsidRPr="005A615E">
              <w:rPr>
                <w:rFonts w:ascii="Times New Roman" w:hAnsi="Times New Roman"/>
                <w:b/>
                <w:sz w:val="24"/>
              </w:rPr>
              <w:lastRenderedPageBreak/>
              <w:t>Не враховано</w:t>
            </w:r>
          </w:p>
          <w:p w:rsidR="00C91A22" w:rsidRPr="005A615E" w:rsidRDefault="00C91A22" w:rsidP="00C91A22">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CF2AC1" w:rsidRPr="005A615E" w:rsidRDefault="00C91A22" w:rsidP="00C91A22">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p w:rsidR="00CF2AC1" w:rsidRPr="005A615E" w:rsidRDefault="00CF2AC1" w:rsidP="00CF2AC1">
            <w:pPr>
              <w:spacing w:after="75"/>
              <w:ind w:firstLine="240"/>
              <w:jc w:val="both"/>
              <w:rPr>
                <w:rFonts w:ascii="Times New Roman" w:hAnsi="Times New Roman"/>
                <w:b/>
                <w:sz w:val="24"/>
              </w:rPr>
            </w:pPr>
          </w:p>
        </w:tc>
      </w:tr>
      <w:tr w:rsidR="00CF2AC1" w:rsidRPr="005A615E" w:rsidTr="00A56FEE">
        <w:tc>
          <w:tcPr>
            <w:tcW w:w="6232" w:type="dxa"/>
          </w:tcPr>
          <w:p w:rsidR="00CF2AC1" w:rsidRPr="005A615E" w:rsidRDefault="00CF2AC1" w:rsidP="00CF2AC1">
            <w:pPr>
              <w:jc w:val="both"/>
              <w:rPr>
                <w:rFonts w:ascii="Times New Roman" w:hAnsi="Times New Roman"/>
                <w:b/>
                <w:u w:val="single"/>
              </w:rPr>
            </w:pPr>
            <w:r w:rsidRPr="005A615E">
              <w:rPr>
                <w:rFonts w:ascii="Times New Roman" w:hAnsi="Times New Roman"/>
                <w:b/>
                <w:sz w:val="24"/>
              </w:rPr>
              <w:lastRenderedPageBreak/>
              <w:t>Зміна даного пункту не передбачалась</w:t>
            </w:r>
          </w:p>
          <w:p w:rsidR="00CF2AC1" w:rsidRPr="005A615E" w:rsidRDefault="00CF2AC1" w:rsidP="00CF2AC1">
            <w:pPr>
              <w:spacing w:after="75"/>
              <w:ind w:firstLine="240"/>
              <w:jc w:val="both"/>
              <w:rPr>
                <w:rFonts w:ascii="Times New Roman" w:hAnsi="Times New Roman"/>
              </w:rPr>
            </w:pPr>
          </w:p>
        </w:tc>
        <w:tc>
          <w:tcPr>
            <w:tcW w:w="5387" w:type="dxa"/>
          </w:tcPr>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«ВІННИЦЯОБЛЕНЕРГО» (лист від 27.07.2026  № 03.13-18608)</w:t>
            </w:r>
          </w:p>
          <w:p w:rsidR="00CF2AC1" w:rsidRPr="005A615E" w:rsidRDefault="00CF2AC1" w:rsidP="00CF2AC1">
            <w:pPr>
              <w:spacing w:line="254" w:lineRule="auto"/>
              <w:ind w:firstLine="240"/>
              <w:jc w:val="both"/>
              <w:rPr>
                <w:rFonts w:ascii="Times New Roman" w:hAnsi="Times New Roman"/>
              </w:rPr>
            </w:pPr>
            <w:r w:rsidRPr="005A615E">
              <w:rPr>
                <w:rFonts w:ascii="Times New Roman" w:hAnsi="Times New Roman"/>
              </w:rPr>
              <w:t>3.2. ЕКПТВЕ можуть переглядатися за ініціативою НКРЕКП у разі зміни нормативно-правових актів та/або виявлення, за результатами проведення заходів державного нагляду (контролю), порушень оператором системи розподілу вимог законодавства, що регулює функціювання ринку електричної енергії та ліцензійних умов з розподілу електричної енергії.</w:t>
            </w:r>
          </w:p>
          <w:p w:rsidR="00CF2AC1" w:rsidRPr="005A615E" w:rsidRDefault="00CF2AC1" w:rsidP="00CF2AC1">
            <w:pPr>
              <w:jc w:val="both"/>
              <w:rPr>
                <w:rFonts w:ascii="Times New Roman" w:hAnsi="Times New Roman"/>
                <w:b/>
                <w:bCs/>
              </w:rPr>
            </w:pPr>
            <w:r w:rsidRPr="005A615E">
              <w:rPr>
                <w:rFonts w:ascii="Times New Roman" w:hAnsi="Times New Roman"/>
                <w:b/>
                <w:bCs/>
              </w:rPr>
              <w:t>Якщо за результатами здійснення заходу державного нагляду (контролю) за відповідний рік (m–1) встановлено відхилення фактичної складової технологічних витрат електричної енергії ΔЕwф(m–1) на відповідному класі напруги від прогнозованої величини ΔЕwп, використаної під час розрахунку та затвердження ЕКПТВЕ як середньої величини за три роки, НКРЕКП під час перегляду ЕКПТВЕ на наступні періоди може здійснити коригування прогнозної складової ТВЕ у бік її зменшення або збільшення з урахуванням фактично підтверджених величин, об’єктивних змін режимів роботи електричних мереж, впливу воєнних дій та інших факторів, що вплинули на величину технологічних витрат електричної енергії»</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Оскільки розрахунок ЕКПТВЕ на прогнозний період базується на середніх показниках минулих трьох років, </w:t>
            </w:r>
            <w:r w:rsidRPr="005A615E">
              <w:rPr>
                <w:rFonts w:ascii="Times New Roman" w:hAnsi="Times New Roman"/>
              </w:rPr>
              <w:lastRenderedPageBreak/>
              <w:t>існує ймовірність, що фактичні втрати в конкретному році будуть нижчими через відновлення мереж, зміну конфігурації енергосистеми або деокупацію територій. Ця норма гарантує, що тарифний обсяг коштів буде відповідати реальним фізичним витратам, не допускаючи отримання ОСР необґрунтованої вигоди від надлишкового включення складової ТВЕ.</w:t>
            </w:r>
          </w:p>
          <w:p w:rsidR="00CF2AC1" w:rsidRPr="005A615E" w:rsidRDefault="00CF2AC1" w:rsidP="00CF2AC1">
            <w:pPr>
              <w:jc w:val="both"/>
              <w:rPr>
                <w:rFonts w:ascii="Times New Roman" w:hAnsi="Times New Roman"/>
                <w:b/>
                <w:sz w:val="24"/>
                <w:u w:val="single"/>
              </w:rPr>
            </w:pPr>
            <w:r w:rsidRPr="005A615E">
              <w:rPr>
                <w:rFonts w:ascii="Times New Roman" w:hAnsi="Times New Roman"/>
              </w:rPr>
              <w:t>Механізм дозволяє НКРЕКП здійснювати ретроспективне коригування. Це виступає гарантією для споживачів та держави, що кошти, закладені в тариф на покриття аномальних втрат, використовуються виключно за призначенням. Якщо ризики війни в конкретному вузлі мережі зменшилися, норматив має бути оперативно переглянутий у бік зменшення.</w:t>
            </w:r>
          </w:p>
        </w:tc>
        <w:tc>
          <w:tcPr>
            <w:tcW w:w="3969" w:type="dxa"/>
            <w:gridSpan w:val="2"/>
          </w:tcPr>
          <w:p w:rsidR="00C91A22" w:rsidRPr="005A615E" w:rsidRDefault="00C91A22" w:rsidP="00C91A22">
            <w:pPr>
              <w:rPr>
                <w:rFonts w:ascii="Times New Roman" w:hAnsi="Times New Roman"/>
                <w:b/>
                <w:sz w:val="24"/>
              </w:rPr>
            </w:pPr>
            <w:r w:rsidRPr="005A615E">
              <w:rPr>
                <w:rFonts w:ascii="Times New Roman" w:hAnsi="Times New Roman"/>
                <w:b/>
                <w:sz w:val="24"/>
              </w:rPr>
              <w:lastRenderedPageBreak/>
              <w:t>Не враховано</w:t>
            </w:r>
          </w:p>
          <w:p w:rsidR="00C91A22" w:rsidRPr="005A615E" w:rsidRDefault="00C91A22" w:rsidP="00C91A22">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C91A22" w:rsidRPr="005A615E" w:rsidRDefault="00C91A22" w:rsidP="00C91A22">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spacing w:after="75"/>
              <w:ind w:firstLine="240"/>
              <w:jc w:val="both"/>
              <w:rPr>
                <w:rFonts w:ascii="Times New Roman" w:hAnsi="Times New Roman"/>
                <w:b/>
                <w:sz w:val="24"/>
              </w:rPr>
            </w:pPr>
          </w:p>
        </w:tc>
      </w:tr>
      <w:tr w:rsidR="00CF2AC1" w:rsidRPr="005A615E" w:rsidTr="00A56FEE">
        <w:tc>
          <w:tcPr>
            <w:tcW w:w="11625" w:type="dxa"/>
            <w:gridSpan w:val="3"/>
          </w:tcPr>
          <w:p w:rsidR="00CF2AC1" w:rsidRPr="005A615E" w:rsidRDefault="00CF2AC1" w:rsidP="00CF2AC1">
            <w:pPr>
              <w:rPr>
                <w:rFonts w:ascii="Times New Roman" w:hAnsi="Times New Roman"/>
                <w:b/>
                <w:sz w:val="24"/>
              </w:rPr>
            </w:pPr>
            <w:r w:rsidRPr="005A615E">
              <w:rPr>
                <w:rFonts w:ascii="Times New Roman" w:hAnsi="Times New Roman"/>
                <w:b/>
                <w:sz w:val="24"/>
              </w:rPr>
              <w:t>Загальне зауваження</w:t>
            </w:r>
          </w:p>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t>ГО «Перша енергетична рада» (лист від 20.07.2026 № 28/01)</w:t>
            </w:r>
          </w:p>
          <w:p w:rsidR="00CF2AC1" w:rsidRPr="005A615E" w:rsidRDefault="00CF2AC1" w:rsidP="00CF2AC1">
            <w:pPr>
              <w:jc w:val="both"/>
              <w:rPr>
                <w:rFonts w:ascii="Times New Roman" w:hAnsi="Times New Roman"/>
              </w:rPr>
            </w:pPr>
            <w:r w:rsidRPr="005A615E">
              <w:rPr>
                <w:rFonts w:ascii="Times New Roman" w:hAnsi="Times New Roman"/>
              </w:rPr>
              <w:t xml:space="preserve">Закон України «Про ринок електричної енергії» передбачає повноваження Регулятора тільки на встановлення економічних коефіцієнтів </w:t>
            </w:r>
            <w:r w:rsidRPr="005A615E">
              <w:rPr>
                <w:rFonts w:ascii="Times New Roman" w:hAnsi="Times New Roman"/>
                <w:u w:val="single"/>
              </w:rPr>
              <w:t>нормативних</w:t>
            </w:r>
            <w:r w:rsidRPr="005A615E">
              <w:rPr>
                <w:rFonts w:ascii="Times New Roman" w:hAnsi="Times New Roman"/>
              </w:rPr>
              <w:t xml:space="preserve"> технологічних витрат електричної енергії (ТВЕ) в електричних мережах (пп.7) п.3 статті 6).</w:t>
            </w:r>
          </w:p>
          <w:p w:rsidR="00CF2AC1" w:rsidRPr="005A615E" w:rsidRDefault="00CF2AC1" w:rsidP="00CF2AC1">
            <w:pPr>
              <w:rPr>
                <w:rFonts w:ascii="Times New Roman" w:hAnsi="Times New Roman"/>
                <w:b/>
                <w:sz w:val="24"/>
                <w:u w:val="single"/>
              </w:rPr>
            </w:pPr>
            <w:r w:rsidRPr="005A615E">
              <w:rPr>
                <w:rFonts w:ascii="Times New Roman" w:hAnsi="Times New Roman"/>
              </w:rPr>
              <w:t xml:space="preserve">У зв’язку з цим використання економічних коефіцієнтів </w:t>
            </w:r>
            <w:r w:rsidRPr="005A615E">
              <w:rPr>
                <w:rFonts w:ascii="Times New Roman" w:hAnsi="Times New Roman"/>
                <w:u w:val="single"/>
              </w:rPr>
              <w:t>прогнозованих ТВЕ</w:t>
            </w:r>
            <w:r w:rsidRPr="005A615E">
              <w:rPr>
                <w:rFonts w:ascii="Times New Roman" w:hAnsi="Times New Roman"/>
              </w:rPr>
              <w:t xml:space="preserve"> в тарифоутворенні вбачається таким, що </w:t>
            </w:r>
            <w:r w:rsidRPr="005A615E">
              <w:rPr>
                <w:rFonts w:ascii="Times New Roman" w:hAnsi="Times New Roman"/>
                <w:bCs/>
              </w:rPr>
              <w:t>не відповідає Закону.</w:t>
            </w:r>
          </w:p>
          <w:p w:rsidR="00CF2AC1" w:rsidRPr="005A615E" w:rsidRDefault="00CF2AC1" w:rsidP="00CF2AC1">
            <w:pPr>
              <w:rPr>
                <w:rFonts w:ascii="Times New Roman" w:hAnsi="Times New Roman"/>
                <w:b/>
                <w:sz w:val="24"/>
              </w:rPr>
            </w:pPr>
          </w:p>
        </w:tc>
        <w:tc>
          <w:tcPr>
            <w:tcW w:w="3963" w:type="dxa"/>
          </w:tcPr>
          <w:p w:rsidR="00C91A22" w:rsidRPr="005A615E" w:rsidRDefault="00C91A22" w:rsidP="00C91A22">
            <w:pPr>
              <w:rPr>
                <w:rFonts w:ascii="Times New Roman" w:hAnsi="Times New Roman"/>
                <w:b/>
                <w:sz w:val="24"/>
              </w:rPr>
            </w:pPr>
            <w:r w:rsidRPr="005A615E">
              <w:rPr>
                <w:rFonts w:ascii="Times New Roman" w:hAnsi="Times New Roman"/>
                <w:b/>
                <w:sz w:val="24"/>
              </w:rPr>
              <w:t>Не враховано</w:t>
            </w:r>
          </w:p>
          <w:p w:rsidR="00C91A22" w:rsidRPr="005A615E" w:rsidRDefault="00C91A22" w:rsidP="00C91A22">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C91A22" w:rsidRPr="005A615E" w:rsidRDefault="00C91A22" w:rsidP="00C91A22">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p>
        </w:tc>
      </w:tr>
      <w:tr w:rsidR="00CF2AC1" w:rsidRPr="005A615E" w:rsidTr="00A56FEE">
        <w:tc>
          <w:tcPr>
            <w:tcW w:w="15588" w:type="dxa"/>
            <w:gridSpan w:val="4"/>
          </w:tcPr>
          <w:p w:rsidR="00CF2AC1" w:rsidRPr="005A615E" w:rsidRDefault="00CF2AC1" w:rsidP="00CF2AC1">
            <w:pPr>
              <w:jc w:val="center"/>
              <w:rPr>
                <w:rFonts w:ascii="Times New Roman" w:hAnsi="Times New Roman"/>
                <w:b/>
                <w:sz w:val="28"/>
              </w:rPr>
            </w:pPr>
            <w:r w:rsidRPr="005A615E">
              <w:rPr>
                <w:rFonts w:ascii="Times New Roman" w:hAnsi="Times New Roman"/>
                <w:b/>
                <w:sz w:val="28"/>
              </w:rPr>
              <w:t>Постанова НКРЕКП від 05.10.2018 № 1175 «Про затвердження Порядку встановлення (формування) тарифів на послуги з розподілу електричної енергії»</w:t>
            </w:r>
          </w:p>
        </w:tc>
      </w:tr>
      <w:tr w:rsidR="00902057" w:rsidRPr="005A615E" w:rsidTr="00A56FEE">
        <w:trPr>
          <w:trHeight w:val="285"/>
        </w:trPr>
        <w:tc>
          <w:tcPr>
            <w:tcW w:w="6232" w:type="dxa"/>
            <w:shd w:val="clear" w:color="auto" w:fill="auto"/>
          </w:tcPr>
          <w:p w:rsidR="00902057" w:rsidRPr="005A615E" w:rsidRDefault="00A05BEB" w:rsidP="00CF2AC1">
            <w:pPr>
              <w:outlineLvl w:val="2"/>
              <w:rPr>
                <w:rFonts w:ascii="Times New Roman" w:hAnsi="Times New Roman"/>
                <w:b/>
                <w:bCs/>
                <w:i/>
              </w:rPr>
            </w:pPr>
            <w:r w:rsidRPr="005A615E">
              <w:rPr>
                <w:rFonts w:ascii="Times New Roman" w:hAnsi="Times New Roman"/>
                <w:b/>
                <w:bCs/>
                <w:i/>
              </w:rPr>
              <w:t>Зміна визначення не пропонувалась</w:t>
            </w:r>
          </w:p>
        </w:tc>
        <w:tc>
          <w:tcPr>
            <w:tcW w:w="5387" w:type="dxa"/>
          </w:tcPr>
          <w:p w:rsidR="00A05BEB" w:rsidRPr="005A615E" w:rsidRDefault="00A05BEB" w:rsidP="00A05BEB">
            <w:pPr>
              <w:jc w:val="both"/>
              <w:outlineLvl w:val="2"/>
              <w:rPr>
                <w:rFonts w:ascii="Times New Roman" w:hAnsi="Times New Roman"/>
                <w:b/>
                <w:bCs/>
                <w:u w:val="single"/>
              </w:rPr>
            </w:pPr>
            <w:r w:rsidRPr="005A615E">
              <w:rPr>
                <w:rFonts w:ascii="Times New Roman" w:hAnsi="Times New Roman"/>
                <w:b/>
                <w:bCs/>
                <w:u w:val="single"/>
              </w:rPr>
              <w:t>НКРЕКП</w:t>
            </w:r>
          </w:p>
          <w:p w:rsidR="00A05BEB" w:rsidRPr="005A615E" w:rsidRDefault="00A05BEB" w:rsidP="00A05BEB">
            <w:pPr>
              <w:jc w:val="both"/>
              <w:outlineLvl w:val="2"/>
              <w:rPr>
                <w:rFonts w:ascii="Times New Roman" w:hAnsi="Times New Roman"/>
                <w:bCs/>
              </w:rPr>
            </w:pPr>
            <w:r w:rsidRPr="005A615E">
              <w:rPr>
                <w:rFonts w:ascii="Times New Roman" w:hAnsi="Times New Roman"/>
                <w:bCs/>
              </w:rPr>
              <w:t>1. Загальні положення</w:t>
            </w:r>
          </w:p>
          <w:p w:rsidR="00A05BEB" w:rsidRPr="005A615E" w:rsidRDefault="00A05BEB" w:rsidP="00A05BEB">
            <w:pPr>
              <w:jc w:val="both"/>
              <w:outlineLvl w:val="2"/>
              <w:rPr>
                <w:rFonts w:ascii="Times New Roman" w:hAnsi="Times New Roman"/>
                <w:bCs/>
              </w:rPr>
            </w:pPr>
            <w:r w:rsidRPr="005A615E">
              <w:rPr>
                <w:rFonts w:ascii="Times New Roman" w:hAnsi="Times New Roman"/>
                <w:bCs/>
              </w:rPr>
              <w:t>1.2. У цьому Порядку терміни вживаються в таких значеннях:</w:t>
            </w:r>
          </w:p>
          <w:p w:rsidR="00902057" w:rsidRPr="005A615E" w:rsidRDefault="00A05BEB" w:rsidP="00A05BEB">
            <w:pPr>
              <w:jc w:val="both"/>
              <w:rPr>
                <w:rFonts w:ascii="Times New Roman" w:hAnsi="Times New Roman"/>
              </w:rPr>
            </w:pPr>
            <w:r w:rsidRPr="005A615E">
              <w:rPr>
                <w:rFonts w:ascii="Times New Roman" w:hAnsi="Times New Roman"/>
              </w:rPr>
              <w:t xml:space="preserve">активи, віднесені до категорії 1 - активи, створені після переходу на стимулююче регулювання, у межах виконаних заходів схваленої інвестиційної програми за рахунок схвалених джерел фінансування: амортизація, прибуток (обов'язкові реінвестиції), прибуток </w:t>
            </w:r>
            <w:r w:rsidRPr="005A615E">
              <w:rPr>
                <w:rFonts w:ascii="Times New Roman" w:hAnsi="Times New Roman"/>
              </w:rPr>
              <w:lastRenderedPageBreak/>
              <w:t>(додаткові реінвестиції), власні кошти (крім коштів, які визначені як обов'язкове джерело інвестиційної програми, відповідно до Порядку розроблення та подання на затвердження планів розвитку систем розподілу та інвестиційних програм операторів систем розподілу, затвердженого постановою НКРЕКП від 04 вересня 2018 року N 955 (далі - Порядок формування інвестиційних програм)), залучені кошти, які згідно з договорами потребують повернення, зекономлені кошти при здійсненні операційної діяльності та/або виконанні інвестиційної програми;</w:t>
            </w:r>
          </w:p>
          <w:p w:rsidR="00A05BEB" w:rsidRPr="005A615E" w:rsidRDefault="00A05BEB" w:rsidP="00A05BEB">
            <w:pPr>
              <w:jc w:val="both"/>
              <w:rPr>
                <w:rFonts w:ascii="Times New Roman" w:hAnsi="Times New Roman"/>
              </w:rPr>
            </w:pPr>
            <w:r w:rsidRPr="005A615E">
              <w:rPr>
                <w:rFonts w:ascii="Times New Roman" w:hAnsi="Times New Roman"/>
              </w:rPr>
              <w:t>…</w:t>
            </w:r>
          </w:p>
        </w:tc>
        <w:tc>
          <w:tcPr>
            <w:tcW w:w="3969" w:type="dxa"/>
            <w:gridSpan w:val="2"/>
          </w:tcPr>
          <w:p w:rsidR="00902057" w:rsidRPr="005A615E" w:rsidRDefault="00A05BEB" w:rsidP="00FB759B">
            <w:pPr>
              <w:rPr>
                <w:rFonts w:ascii="Times New Roman" w:hAnsi="Times New Roman"/>
                <w:b/>
                <w:sz w:val="24"/>
              </w:rPr>
            </w:pPr>
            <w:r w:rsidRPr="005A615E">
              <w:rPr>
                <w:rFonts w:ascii="Times New Roman" w:hAnsi="Times New Roman"/>
                <w:b/>
                <w:sz w:val="24"/>
              </w:rPr>
              <w:lastRenderedPageBreak/>
              <w:t xml:space="preserve">Враховано редакцію </w:t>
            </w:r>
          </w:p>
          <w:p w:rsidR="00A05BEB" w:rsidRPr="005A615E" w:rsidRDefault="00A05BEB" w:rsidP="00A05BEB">
            <w:pPr>
              <w:jc w:val="both"/>
              <w:outlineLvl w:val="2"/>
              <w:rPr>
                <w:rFonts w:ascii="Times New Roman" w:hAnsi="Times New Roman"/>
                <w:bCs/>
              </w:rPr>
            </w:pPr>
            <w:r w:rsidRPr="005A615E">
              <w:rPr>
                <w:rFonts w:ascii="Times New Roman" w:hAnsi="Times New Roman"/>
                <w:bCs/>
              </w:rPr>
              <w:t>1. Загальні положення</w:t>
            </w:r>
          </w:p>
          <w:p w:rsidR="00A05BEB" w:rsidRPr="005A615E" w:rsidRDefault="00A05BEB" w:rsidP="00A05BEB">
            <w:pPr>
              <w:jc w:val="both"/>
              <w:outlineLvl w:val="2"/>
              <w:rPr>
                <w:rFonts w:ascii="Times New Roman" w:hAnsi="Times New Roman"/>
                <w:bCs/>
              </w:rPr>
            </w:pPr>
            <w:r w:rsidRPr="005A615E">
              <w:rPr>
                <w:rFonts w:ascii="Times New Roman" w:hAnsi="Times New Roman"/>
                <w:bCs/>
              </w:rPr>
              <w:t>1.2. У цьому Порядку терміни вживаються в таких значеннях:</w:t>
            </w:r>
          </w:p>
          <w:p w:rsidR="00A05BEB" w:rsidRPr="005A615E" w:rsidRDefault="00A05BEB" w:rsidP="00A05BEB">
            <w:pPr>
              <w:jc w:val="both"/>
              <w:rPr>
                <w:rFonts w:ascii="Times New Roman" w:hAnsi="Times New Roman"/>
              </w:rPr>
            </w:pPr>
            <w:r w:rsidRPr="005A615E">
              <w:rPr>
                <w:rFonts w:ascii="Times New Roman" w:hAnsi="Times New Roman"/>
              </w:rPr>
              <w:t xml:space="preserve">активи, віднесені до категорії 1 - активи, створені після переходу на стимулююче регулювання, у межах виконаних заходів схваленої інвестиційної програми за рахунок схвалених джерел </w:t>
            </w:r>
            <w:r w:rsidRPr="005A615E">
              <w:rPr>
                <w:rFonts w:ascii="Times New Roman" w:hAnsi="Times New Roman"/>
              </w:rPr>
              <w:lastRenderedPageBreak/>
              <w:t>фінансування: амортизація, прибуток (обов'язкові реінвестиції), прибуток (додаткові реінвестиції), власні кошти (крім коштів, які визначені як обов'язкове джерело інвестиційної програми,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постановою НКРЕКП від 04 вересня 2018 року N 955 (далі - Порядок формування інвестиційних програм)), залучені кошти, які згідно з договорами потребують повернення, зекономлені кошти при здійсненні операційної діяльності та/або виконанні інвестиційної програми;</w:t>
            </w:r>
          </w:p>
          <w:p w:rsidR="00A05BEB" w:rsidRPr="005A615E" w:rsidRDefault="00A05BEB" w:rsidP="00A05BEB">
            <w:pPr>
              <w:jc w:val="both"/>
              <w:rPr>
                <w:rFonts w:ascii="Times New Roman" w:hAnsi="Times New Roman"/>
                <w:sz w:val="24"/>
              </w:rPr>
            </w:pPr>
            <w:r w:rsidRPr="005A615E">
              <w:rPr>
                <w:rFonts w:ascii="Times New Roman" w:hAnsi="Times New Roman"/>
                <w:sz w:val="24"/>
              </w:rPr>
              <w:t>…</w:t>
            </w:r>
          </w:p>
        </w:tc>
      </w:tr>
      <w:tr w:rsidR="00CF2AC1" w:rsidRPr="005A615E" w:rsidTr="00A56FEE">
        <w:trPr>
          <w:trHeight w:val="285"/>
        </w:trPr>
        <w:tc>
          <w:tcPr>
            <w:tcW w:w="6232" w:type="dxa"/>
            <w:shd w:val="clear" w:color="auto" w:fill="auto"/>
          </w:tcPr>
          <w:p w:rsidR="00CF2AC1" w:rsidRPr="005A615E" w:rsidRDefault="00CF2AC1" w:rsidP="00CF2AC1">
            <w:pPr>
              <w:outlineLvl w:val="2"/>
              <w:rPr>
                <w:rFonts w:ascii="Times New Roman" w:hAnsi="Times New Roman"/>
                <w:bCs/>
              </w:rPr>
            </w:pPr>
            <w:r w:rsidRPr="005A615E">
              <w:rPr>
                <w:rFonts w:ascii="Times New Roman" w:hAnsi="Times New Roman"/>
                <w:bCs/>
              </w:rPr>
              <w:lastRenderedPageBreak/>
              <w:t>1. Загальні положення</w:t>
            </w:r>
          </w:p>
          <w:p w:rsidR="00CF2AC1" w:rsidRPr="005A615E" w:rsidRDefault="00CF2AC1" w:rsidP="00CF2AC1">
            <w:pPr>
              <w:outlineLvl w:val="2"/>
              <w:rPr>
                <w:rFonts w:ascii="Times New Roman" w:hAnsi="Times New Roman"/>
                <w:bCs/>
              </w:rPr>
            </w:pPr>
            <w:r w:rsidRPr="005A615E">
              <w:rPr>
                <w:rFonts w:ascii="Times New Roman" w:hAnsi="Times New Roman"/>
                <w:bCs/>
              </w:rPr>
              <w:t>1.2. У цьому Порядку терміни вживаються в таких значеннях:</w:t>
            </w:r>
          </w:p>
          <w:p w:rsidR="00CF2AC1" w:rsidRPr="005A615E" w:rsidRDefault="00CF2AC1" w:rsidP="00CF2AC1">
            <w:pPr>
              <w:jc w:val="both"/>
              <w:outlineLvl w:val="2"/>
              <w:rPr>
                <w:rFonts w:ascii="Times New Roman" w:hAnsi="Times New Roman"/>
                <w:bCs/>
                <w:lang w:eastAsia="ru-RU"/>
              </w:rPr>
            </w:pPr>
            <w:r w:rsidRPr="005A615E">
              <w:rPr>
                <w:rFonts w:ascii="Times New Roman" w:hAnsi="Times New Roman"/>
                <w:bCs/>
              </w:rPr>
              <w:t>…</w:t>
            </w:r>
          </w:p>
          <w:p w:rsidR="00CF2AC1" w:rsidRPr="005A615E" w:rsidRDefault="00CF2AC1" w:rsidP="00CF2AC1">
            <w:pPr>
              <w:pStyle w:val="3"/>
              <w:shd w:val="clear" w:color="auto" w:fill="FFFFFF"/>
              <w:spacing w:before="0"/>
              <w:ind w:firstLine="181"/>
              <w:jc w:val="both"/>
              <w:outlineLvl w:val="2"/>
              <w:rPr>
                <w:rFonts w:ascii="Times New Roman" w:hAnsi="Times New Roman"/>
                <w:b w:val="0"/>
                <w:sz w:val="24"/>
                <w:szCs w:val="24"/>
                <w:shd w:val="clear" w:color="auto" w:fill="FFFFFF"/>
              </w:rPr>
            </w:pPr>
            <w:r w:rsidRPr="005A615E">
              <w:rPr>
                <w:rFonts w:ascii="Times New Roman" w:hAnsi="Times New Roman"/>
                <w:b w:val="0"/>
                <w:sz w:val="24"/>
                <w:szCs w:val="24"/>
                <w:shd w:val="clear" w:color="auto" w:fill="FFFFFF"/>
              </w:rPr>
              <w:t>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Крім того, до категорії 3 відносяться активи, створені у період дії в Україні воєнного стану в рамках:</w:t>
            </w:r>
          </w:p>
          <w:p w:rsidR="00CF2AC1" w:rsidRPr="005A615E" w:rsidRDefault="00CF2AC1" w:rsidP="00CF2AC1">
            <w:pPr>
              <w:pStyle w:val="3"/>
              <w:shd w:val="clear" w:color="auto" w:fill="FFFFFF"/>
              <w:spacing w:before="0"/>
              <w:ind w:firstLine="181"/>
              <w:jc w:val="both"/>
              <w:outlineLvl w:val="2"/>
              <w:rPr>
                <w:rFonts w:ascii="Times New Roman" w:hAnsi="Times New Roman"/>
                <w:b w:val="0"/>
                <w:sz w:val="24"/>
                <w:szCs w:val="24"/>
                <w:shd w:val="clear" w:color="auto" w:fill="FFFFFF"/>
              </w:rPr>
            </w:pPr>
            <w:r w:rsidRPr="005A615E">
              <w:rPr>
                <w:rFonts w:ascii="Times New Roman" w:hAnsi="Times New Roman"/>
                <w:b w:val="0"/>
                <w:sz w:val="24"/>
                <w:szCs w:val="24"/>
                <w:shd w:val="clear" w:color="auto" w:fill="FFFFFF"/>
              </w:rPr>
              <w:t xml:space="preserve">робіт з відновлення об’єктів електричних мереж, а саме силове обладнання підстанцій напругою вище 20 кВ, </w:t>
            </w:r>
            <w:r w:rsidRPr="005A615E">
              <w:rPr>
                <w:rFonts w:ascii="Times New Roman" w:hAnsi="Times New Roman"/>
                <w:b w:val="0"/>
                <w:sz w:val="24"/>
                <w:szCs w:val="24"/>
                <w:shd w:val="clear" w:color="auto" w:fill="FFFFFF"/>
              </w:rPr>
              <w:lastRenderedPageBreak/>
              <w:t>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Для таких активів, створених у період з 24 лютого 2022 року по 31 грудня 2024 року, що не були враховані у тарифах, датою їх введення є 31 грудня 2024 року (за умови одночасного виведення пошкоджених активів із регуляторної бази активів, датою виведення яких є 31 грудня 2024 року);</w:t>
            </w:r>
          </w:p>
          <w:p w:rsidR="00CF2AC1" w:rsidRPr="005A615E" w:rsidRDefault="00CF2AC1" w:rsidP="00CF2AC1">
            <w:pPr>
              <w:pStyle w:val="3"/>
              <w:shd w:val="clear" w:color="auto" w:fill="FFFFFF"/>
              <w:spacing w:before="0"/>
              <w:ind w:firstLine="181"/>
              <w:jc w:val="both"/>
              <w:outlineLvl w:val="2"/>
              <w:rPr>
                <w:rFonts w:ascii="Times New Roman" w:hAnsi="Times New Roman"/>
                <w:b w:val="0"/>
                <w:sz w:val="24"/>
                <w:szCs w:val="24"/>
                <w:shd w:val="clear" w:color="auto" w:fill="FFFFFF"/>
              </w:rPr>
            </w:pPr>
            <w:r w:rsidRPr="005A615E">
              <w:rPr>
                <w:rFonts w:ascii="Times New Roman" w:hAnsi="Times New Roman"/>
                <w:b w:val="0"/>
                <w:sz w:val="24"/>
                <w:szCs w:val="24"/>
                <w:shd w:val="clear" w:color="auto" w:fill="FFFFFF"/>
              </w:rPr>
              <w:t>робіт з виконання  супутніх заходів, відповідно до постанови Кабінету Міністрів України від 07 лютого 2025 року № 142, витрати на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розподілу електричної енергії, – статті «Коригування доходу (витрат);</w:t>
            </w:r>
          </w:p>
          <w:p w:rsidR="00CF2AC1" w:rsidRPr="005A615E" w:rsidRDefault="00CF2AC1" w:rsidP="00CF2AC1">
            <w:pPr>
              <w:spacing w:after="75"/>
              <w:ind w:firstLine="240"/>
              <w:jc w:val="both"/>
              <w:rPr>
                <w:rFonts w:ascii="Times New Roman" w:hAnsi="Times New Roman"/>
              </w:rPr>
            </w:pPr>
          </w:p>
        </w:tc>
        <w:tc>
          <w:tcPr>
            <w:tcW w:w="5387" w:type="dxa"/>
          </w:tcPr>
          <w:p w:rsidR="00CF2AC1" w:rsidRPr="005A615E" w:rsidRDefault="00CF2AC1" w:rsidP="00CF2AC1">
            <w:pPr>
              <w:jc w:val="both"/>
              <w:rPr>
                <w:rFonts w:ascii="Times New Roman" w:hAnsi="Times New Roman"/>
                <w:b/>
                <w:u w:val="single"/>
              </w:rPr>
            </w:pPr>
            <w:r w:rsidRPr="005A615E">
              <w:rPr>
                <w:rFonts w:ascii="Times New Roman" w:hAnsi="Times New Roman"/>
                <w:b/>
                <w:u w:val="single"/>
              </w:rPr>
              <w:lastRenderedPageBreak/>
              <w:t>АТ «ЧЕРНІВЦІОБЛЕНЕРГО» (лист від 24.07.2026  № 19/1-02/3604)</w:t>
            </w:r>
          </w:p>
          <w:p w:rsidR="00CF2AC1" w:rsidRPr="005A615E" w:rsidRDefault="00CF2AC1" w:rsidP="00CF2AC1">
            <w:pPr>
              <w:outlineLvl w:val="2"/>
              <w:rPr>
                <w:rFonts w:ascii="Times New Roman" w:hAnsi="Times New Roman"/>
              </w:rPr>
            </w:pPr>
            <w:r w:rsidRPr="005A615E">
              <w:rPr>
                <w:rFonts w:ascii="Times New Roman" w:hAnsi="Times New Roman"/>
              </w:rPr>
              <w:t>1. Загальні положення</w:t>
            </w:r>
          </w:p>
          <w:p w:rsidR="00CF2AC1" w:rsidRPr="005A615E" w:rsidRDefault="00CF2AC1" w:rsidP="00CF2AC1">
            <w:pPr>
              <w:outlineLvl w:val="2"/>
              <w:rPr>
                <w:rFonts w:ascii="Times New Roman" w:hAnsi="Times New Roman"/>
              </w:rPr>
            </w:pPr>
            <w:r w:rsidRPr="005A615E">
              <w:rPr>
                <w:rFonts w:ascii="Times New Roman" w:hAnsi="Times New Roman"/>
              </w:rPr>
              <w:t>1.2. У цьому Порядку терміни вживаються в таких значеннях:</w:t>
            </w:r>
          </w:p>
          <w:p w:rsidR="00CF2AC1" w:rsidRPr="005A615E" w:rsidRDefault="00CF2AC1" w:rsidP="00CF2AC1">
            <w:pPr>
              <w:jc w:val="both"/>
              <w:outlineLvl w:val="2"/>
              <w:rPr>
                <w:rFonts w:ascii="Times New Roman" w:hAnsi="Times New Roman"/>
                <w:lang w:eastAsia="ru-RU"/>
              </w:rPr>
            </w:pPr>
            <w:r w:rsidRPr="005A615E">
              <w:rPr>
                <w:rFonts w:ascii="Times New Roman" w:hAnsi="Times New Roman"/>
              </w:rPr>
              <w:t>…</w:t>
            </w:r>
          </w:p>
          <w:p w:rsidR="00CF2AC1" w:rsidRPr="005A615E" w:rsidRDefault="00CF2AC1" w:rsidP="00CF2AC1">
            <w:pPr>
              <w:pStyle w:val="3"/>
              <w:shd w:val="clear" w:color="auto" w:fill="FFFFFF"/>
              <w:spacing w:before="0"/>
              <w:ind w:firstLine="181"/>
              <w:jc w:val="both"/>
              <w:outlineLvl w:val="2"/>
              <w:rPr>
                <w:rFonts w:ascii="Times New Roman" w:hAnsi="Times New Roman"/>
                <w:b w:val="0"/>
                <w:bCs w:val="0"/>
                <w:sz w:val="22"/>
                <w:szCs w:val="22"/>
                <w:shd w:val="clear" w:color="auto" w:fill="FFFFFF"/>
              </w:rPr>
            </w:pPr>
            <w:r w:rsidRPr="005A615E">
              <w:rPr>
                <w:rFonts w:ascii="Times New Roman" w:hAnsi="Times New Roman"/>
                <w:b w:val="0"/>
                <w:bCs w:val="0"/>
                <w:sz w:val="22"/>
                <w:szCs w:val="22"/>
                <w:shd w:val="clear" w:color="auto" w:fill="FFFFFF"/>
              </w:rPr>
              <w:t xml:space="preserve">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Крім того, до категорії 3 відносяться активи, створені у період дії в Україні воєнного стану в рамках: робіт з </w:t>
            </w:r>
            <w:r w:rsidRPr="005A615E">
              <w:rPr>
                <w:rFonts w:ascii="Times New Roman" w:hAnsi="Times New Roman"/>
                <w:b w:val="0"/>
                <w:bCs w:val="0"/>
                <w:sz w:val="22"/>
                <w:szCs w:val="22"/>
                <w:shd w:val="clear" w:color="auto" w:fill="FFFFFF"/>
              </w:rPr>
              <w:lastRenderedPageBreak/>
              <w:t xml:space="preserve">відновлення об’єктів електричних мереж, </w:t>
            </w:r>
            <w:r w:rsidRPr="005A615E">
              <w:rPr>
                <w:rFonts w:ascii="Times New Roman" w:hAnsi="Times New Roman"/>
                <w:i/>
                <w:iCs/>
                <w:sz w:val="22"/>
                <w:szCs w:val="22"/>
                <w:shd w:val="clear" w:color="auto" w:fill="FFFFFF"/>
              </w:rPr>
              <w:t xml:space="preserve">а саме </w:t>
            </w:r>
            <w:r w:rsidRPr="005A615E">
              <w:rPr>
                <w:rFonts w:ascii="Times New Roman" w:hAnsi="Times New Roman"/>
                <w:i/>
                <w:iCs/>
                <w:sz w:val="22"/>
                <w:szCs w:val="22"/>
              </w:rPr>
              <w:t>силове обладнання підстанцій, трансформаторних підстанцій, розподільчих пунктів та інших об'єктів електричних мереж 0,4 кВ, 6 кВ, 10 кВ, 35 кВ та вище</w:t>
            </w:r>
            <w:r w:rsidRPr="005A615E">
              <w:rPr>
                <w:rFonts w:ascii="Times New Roman" w:hAnsi="Times New Roman"/>
                <w:sz w:val="22"/>
                <w:szCs w:val="22"/>
                <w:shd w:val="clear" w:color="auto" w:fill="FFFFFF"/>
              </w:rPr>
              <w:t>,</w:t>
            </w:r>
            <w:r w:rsidRPr="005A615E">
              <w:rPr>
                <w:rFonts w:ascii="Times New Roman" w:hAnsi="Times New Roman"/>
                <w:b w:val="0"/>
                <w:bCs w:val="0"/>
                <w:sz w:val="22"/>
                <w:szCs w:val="22"/>
                <w:shd w:val="clear" w:color="auto" w:fill="FFFFFF"/>
              </w:rPr>
              <w:t xml:space="preserve">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Для таких активів, створених у період з 24 лютого 2022 року по 31 грудня 2024 року, що не були враховані у тарифах, датою їх введення є 31 грудня 2024 року (за умови одночасного виведення пошкоджених активів із регуляторної бази активів, датою виведення яких є 31 грудня 2024 року);</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робіт з виконання  супутніх заходів, відповідно до постанови Кабінету Міністрів України від 07 лютого 2025 року № 142, витрати на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розподілу електричної енергії, – статті «Коригування доходу (витрат);</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АТ «Чернівціобленерго» пропонуємо уточнити зазначене положення, оскільки руйнувань та пошкоджень внаслідок бойових дій зазнає не лише силове обладнання підстанцій напругою вище 20 кВ, а й значна кількість об'єктів системи розподілу нижчих класів напруги, зокрема трансформаторні підстанції 6(10)/0,4 кВ, комплектні трансформаторні підстанції, силові трансформатори, комутаційне обладнання, розподільчі пристрої та інше обладнання мереж 0,4 кВ та 6(10) кВ.</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lastRenderedPageBreak/>
              <w:t>ПрАТ «Кіровоградобленерго» (лист від 27.07.2026  № 3919/05/34)</w:t>
            </w:r>
          </w:p>
          <w:p w:rsidR="00CF2AC1" w:rsidRPr="005A615E" w:rsidRDefault="00CF2AC1" w:rsidP="00CF2AC1">
            <w:pPr>
              <w:outlineLvl w:val="2"/>
              <w:rPr>
                <w:rFonts w:ascii="Times New Roman" w:hAnsi="Times New Roman"/>
                <w:bCs/>
              </w:rPr>
            </w:pPr>
            <w:r w:rsidRPr="005A615E">
              <w:rPr>
                <w:rFonts w:ascii="Times New Roman" w:hAnsi="Times New Roman"/>
                <w:bCs/>
              </w:rPr>
              <w:t>1.2. У цьому Порядку терміни вживаються в таких значеннях:</w:t>
            </w:r>
          </w:p>
          <w:p w:rsidR="00CF2AC1" w:rsidRPr="005A615E" w:rsidRDefault="00CF2AC1" w:rsidP="00CF2AC1">
            <w:pPr>
              <w:jc w:val="both"/>
              <w:outlineLvl w:val="2"/>
              <w:rPr>
                <w:rFonts w:ascii="Times New Roman" w:hAnsi="Times New Roman"/>
                <w:bCs/>
              </w:rPr>
            </w:pPr>
            <w:r w:rsidRPr="005A615E">
              <w:rPr>
                <w:rFonts w:ascii="Times New Roman" w:hAnsi="Times New Roman"/>
                <w:bCs/>
              </w:rPr>
              <w:t>...</w:t>
            </w:r>
          </w:p>
          <w:p w:rsidR="00CF2AC1" w:rsidRPr="005A615E" w:rsidRDefault="00CF2AC1" w:rsidP="00CF2AC1">
            <w:pPr>
              <w:pStyle w:val="3"/>
              <w:shd w:val="clear" w:color="auto" w:fill="FFFFFF"/>
              <w:spacing w:before="0"/>
              <w:ind w:firstLine="181"/>
              <w:jc w:val="both"/>
              <w:outlineLvl w:val="2"/>
              <w:rPr>
                <w:rFonts w:ascii="Times New Roman" w:hAnsi="Times New Roman"/>
                <w:b w:val="0"/>
                <w:sz w:val="24"/>
                <w:szCs w:val="24"/>
                <w:shd w:val="clear" w:color="auto" w:fill="FFFFFF"/>
              </w:rPr>
            </w:pPr>
            <w:r w:rsidRPr="005A615E">
              <w:rPr>
                <w:rFonts w:ascii="Times New Roman" w:hAnsi="Times New Roman"/>
                <w:b w:val="0"/>
                <w:sz w:val="24"/>
                <w:szCs w:val="24"/>
                <w:shd w:val="clear" w:color="auto" w:fill="FFFFFF"/>
              </w:rPr>
              <w:t>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Крім того, до категорії 3 відносяться активи, створені у період дії в Україні воєнного стану в рамках:</w:t>
            </w:r>
          </w:p>
          <w:p w:rsidR="00CF2AC1" w:rsidRPr="005A615E" w:rsidRDefault="00CF2AC1" w:rsidP="00CF2AC1">
            <w:pPr>
              <w:pStyle w:val="3"/>
              <w:shd w:val="clear" w:color="auto" w:fill="FFFFFF"/>
              <w:spacing w:before="0"/>
              <w:ind w:firstLine="181"/>
              <w:jc w:val="both"/>
              <w:outlineLvl w:val="2"/>
              <w:rPr>
                <w:rFonts w:ascii="Times New Roman" w:hAnsi="Times New Roman"/>
                <w:b w:val="0"/>
                <w:sz w:val="24"/>
                <w:szCs w:val="24"/>
                <w:shd w:val="clear" w:color="auto" w:fill="FFFFFF"/>
              </w:rPr>
            </w:pPr>
            <w:r w:rsidRPr="005A615E">
              <w:rPr>
                <w:rFonts w:ascii="Times New Roman" w:hAnsi="Times New Roman"/>
                <w:b w:val="0"/>
                <w:sz w:val="24"/>
                <w:szCs w:val="24"/>
                <w:shd w:val="clear" w:color="auto" w:fill="FFFFFF"/>
              </w:rPr>
              <w:t xml:space="preserve">робіт з відновлення об’єктів електричних мереж, а саме силове обладнання підстанцій напругою вище </w:t>
            </w:r>
            <w:r w:rsidRPr="005A615E">
              <w:rPr>
                <w:rFonts w:ascii="Times New Roman" w:hAnsi="Times New Roman"/>
                <w:b w:val="0"/>
                <w:bCs w:val="0"/>
                <w:sz w:val="24"/>
                <w:szCs w:val="24"/>
                <w:shd w:val="clear" w:color="auto" w:fill="FFFFFF"/>
              </w:rPr>
              <w:t>6 кВ, та повітряні та кабельні лінії напругою вище 6 кВ</w:t>
            </w:r>
            <w:r w:rsidRPr="005A615E">
              <w:rPr>
                <w:rFonts w:ascii="Times New Roman" w:hAnsi="Times New Roman"/>
                <w:b w:val="0"/>
                <w:sz w:val="24"/>
                <w:szCs w:val="24"/>
                <w:shd w:val="clear" w:color="auto" w:fill="FFFFFF"/>
              </w:rPr>
              <w:t xml:space="preserve"> ,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Для таких активів, створених у період з 24 лютого 2022 року по 31 грудня 2024 року, що не були враховані у тарифах, датою їх введення є 31 грудня 2024 року (за умови одночасного виведення пошкоджених активів із </w:t>
            </w:r>
            <w:r w:rsidRPr="005A615E">
              <w:rPr>
                <w:rFonts w:ascii="Times New Roman" w:hAnsi="Times New Roman"/>
                <w:b w:val="0"/>
                <w:sz w:val="24"/>
                <w:szCs w:val="24"/>
                <w:shd w:val="clear" w:color="auto" w:fill="FFFFFF"/>
              </w:rPr>
              <w:lastRenderedPageBreak/>
              <w:t>регуляторної бази активів, датою виведення яких є 31 грудня 2024 року);</w:t>
            </w:r>
          </w:p>
          <w:p w:rsidR="00CF2AC1" w:rsidRPr="005A615E" w:rsidRDefault="00CF2AC1" w:rsidP="00CF2AC1">
            <w:pPr>
              <w:pStyle w:val="3"/>
              <w:shd w:val="clear" w:color="auto" w:fill="FFFFFF"/>
              <w:spacing w:before="0"/>
              <w:ind w:firstLine="181"/>
              <w:jc w:val="both"/>
              <w:outlineLvl w:val="2"/>
              <w:rPr>
                <w:rFonts w:ascii="Times New Roman" w:hAnsi="Times New Roman"/>
                <w:b w:val="0"/>
                <w:sz w:val="24"/>
                <w:szCs w:val="24"/>
                <w:shd w:val="clear" w:color="auto" w:fill="FFFFFF"/>
              </w:rPr>
            </w:pPr>
            <w:r w:rsidRPr="005A615E">
              <w:rPr>
                <w:rFonts w:ascii="Times New Roman" w:hAnsi="Times New Roman"/>
                <w:b w:val="0"/>
                <w:sz w:val="24"/>
                <w:szCs w:val="24"/>
                <w:shd w:val="clear" w:color="auto" w:fill="FFFFFF"/>
              </w:rPr>
              <w:t>робіт з виконання  супутніх заходів, відповідно до постанови Кабінету Міністрів України від 07 лютого 2025 року № 142, витрати на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розподілу електричної енергії, – статті «Коригування доходу (витрат);</w:t>
            </w:r>
          </w:p>
          <w:p w:rsidR="00CF2AC1" w:rsidRPr="005A615E" w:rsidRDefault="00CF2AC1" w:rsidP="00CF2AC1">
            <w:pPr>
              <w:rPr>
                <w:lang w:eastAsia="ru-RU"/>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При повному або значному руйнуванні енергооб'єкта внаслідок бойових дій його пряме відновлення ("як було") інколи є економічно невиправданим, або неможливим за рахунок ОСР1 оскільки власником зруйнованого об’єкта є інший власник ОСР2, або у зруйнований енергооб’єкту знаходився у приватній власності, а від нього заживлені споживачі ОСР1. Набагато ефективнішим рішенням для швидкого та надійного відновлення електропостачання є реконфігурація мережі — будівництво нової ділянки повітряної чи кабельної лінії (ПЛ/КЛ) 6-10 кВ для приєднання знеструмлених споживачів до інших існуючих вузлів живлення. Це об'єктивно призводить до створення нового активу (лінії), який поточна редакція НКРЕКП не враховує.</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Зі статистики ПрАТ «Кіровоградобленерго», основний масив пошкоджень у мережах внаслідок бойових дій припадає саме на розподільні мережі 6-10 кВ. Обмеження переліку створених активів лише напругою «вище 20 кВ» та виключно «обладнанням підстанцій» штучно залишає поза регуляторною базою левову частку критично важливих робіт ОСР.</w:t>
            </w:r>
          </w:p>
          <w:p w:rsidR="00FB759B" w:rsidRPr="005A615E" w:rsidRDefault="00CF2AC1" w:rsidP="00FB759B">
            <w:pPr>
              <w:jc w:val="both"/>
              <w:rPr>
                <w:rFonts w:ascii="Times New Roman" w:hAnsi="Times New Roman"/>
                <w:shd w:val="clear" w:color="auto" w:fill="FFFFFF"/>
              </w:rPr>
            </w:pPr>
            <w:r w:rsidRPr="005A615E">
              <w:rPr>
                <w:rFonts w:ascii="Times New Roman" w:hAnsi="Times New Roman"/>
                <w:shd w:val="clear" w:color="auto" w:fill="FFFFFF"/>
              </w:rPr>
              <w:lastRenderedPageBreak/>
              <w:t>Відновлення живлення населених пунктів неможливе без лінійної інфраструктури. Побудова нових ПЛ та КЛ (від 6 кВ) замість зруйнованих об'єктів є повноцінним капітальним будівництвом (створенням активу), яке має бути визнане в рамках стимулюючого тарифоутворення.</w:t>
            </w:r>
          </w:p>
          <w:p w:rsidR="00FB759B" w:rsidRPr="005A615E" w:rsidRDefault="00FB759B" w:rsidP="00FB759B">
            <w:pPr>
              <w:jc w:val="both"/>
              <w:rPr>
                <w:rFonts w:ascii="Times New Roman" w:hAnsi="Times New Roman"/>
                <w:shd w:val="clear" w:color="auto" w:fill="FFFFFF"/>
              </w:rPr>
            </w:pPr>
          </w:p>
          <w:p w:rsidR="00FB759B" w:rsidRPr="005A615E" w:rsidRDefault="00D707A8" w:rsidP="00FB759B">
            <w:pPr>
              <w:jc w:val="both"/>
              <w:rPr>
                <w:rFonts w:ascii="Times New Roman" w:hAnsi="Times New Roman"/>
                <w:b/>
                <w:u w:val="single"/>
                <w:shd w:val="clear" w:color="auto" w:fill="FFFFFF"/>
              </w:rPr>
            </w:pPr>
            <w:r w:rsidRPr="005A615E">
              <w:rPr>
                <w:rFonts w:ascii="Times New Roman" w:hAnsi="Times New Roman"/>
                <w:b/>
                <w:u w:val="single"/>
                <w:shd w:val="clear" w:color="auto" w:fill="FFFFFF"/>
              </w:rPr>
              <w:t xml:space="preserve">Пропозиція </w:t>
            </w:r>
            <w:r w:rsidR="00FB759B" w:rsidRPr="005A615E">
              <w:rPr>
                <w:rFonts w:ascii="Times New Roman" w:hAnsi="Times New Roman"/>
                <w:b/>
                <w:u w:val="single"/>
                <w:shd w:val="clear" w:color="auto" w:fill="FFFFFF"/>
              </w:rPr>
              <w:t>НКРЕКП</w:t>
            </w:r>
          </w:p>
          <w:p w:rsidR="00FB759B" w:rsidRPr="005A615E" w:rsidRDefault="00FB759B" w:rsidP="00FB759B">
            <w:pPr>
              <w:jc w:val="both"/>
              <w:rPr>
                <w:rFonts w:ascii="Times New Roman" w:hAnsi="Times New Roman"/>
                <w:b/>
                <w:u w:val="single"/>
              </w:rPr>
            </w:pPr>
            <w:r w:rsidRPr="005A615E">
              <w:rPr>
                <w:rFonts w:ascii="Times New Roman" w:hAnsi="Times New Roman"/>
                <w:b/>
                <w:u w:val="single"/>
              </w:rPr>
              <w:t xml:space="preserve"> </w:t>
            </w:r>
          </w:p>
          <w:p w:rsidR="00FB759B" w:rsidRPr="005A615E" w:rsidRDefault="00FB759B" w:rsidP="00FB759B">
            <w:pPr>
              <w:pStyle w:val="3"/>
              <w:shd w:val="clear" w:color="auto" w:fill="FFFFFF"/>
              <w:spacing w:before="0"/>
              <w:ind w:firstLine="181"/>
              <w:jc w:val="both"/>
              <w:outlineLvl w:val="2"/>
              <w:rPr>
                <w:rFonts w:ascii="Times New Roman" w:hAnsi="Times New Roman"/>
                <w:b w:val="0"/>
                <w:strike/>
                <w:sz w:val="24"/>
                <w:szCs w:val="24"/>
                <w:shd w:val="clear" w:color="auto" w:fill="FFFFFF"/>
              </w:rPr>
            </w:pPr>
            <w:r w:rsidRPr="005A615E">
              <w:rPr>
                <w:rFonts w:ascii="Times New Roman" w:hAnsi="Times New Roman"/>
                <w:b w:val="0"/>
                <w:strike/>
                <w:sz w:val="24"/>
                <w:szCs w:val="24"/>
                <w:shd w:val="clear" w:color="auto" w:fill="FFFFFF"/>
              </w:rPr>
              <w:t>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Крім того, до категорії 3 відносяться активи, створені у період дії в Україні воєнного стану в рамках:</w:t>
            </w:r>
          </w:p>
          <w:p w:rsidR="00FB759B" w:rsidRPr="005A615E" w:rsidRDefault="00FB759B" w:rsidP="00FB759B">
            <w:pPr>
              <w:pStyle w:val="3"/>
              <w:shd w:val="clear" w:color="auto" w:fill="FFFFFF"/>
              <w:spacing w:before="0"/>
              <w:ind w:firstLine="181"/>
              <w:jc w:val="both"/>
              <w:outlineLvl w:val="2"/>
              <w:rPr>
                <w:rFonts w:ascii="Times New Roman" w:hAnsi="Times New Roman"/>
                <w:b w:val="0"/>
                <w:strike/>
                <w:sz w:val="24"/>
                <w:szCs w:val="24"/>
                <w:shd w:val="clear" w:color="auto" w:fill="FFFFFF"/>
              </w:rPr>
            </w:pPr>
            <w:r w:rsidRPr="005A615E">
              <w:rPr>
                <w:rFonts w:ascii="Times New Roman" w:hAnsi="Times New Roman"/>
                <w:b w:val="0"/>
                <w:strike/>
                <w:sz w:val="24"/>
                <w:szCs w:val="24"/>
                <w:shd w:val="clear" w:color="auto" w:fill="FFFFFF"/>
              </w:rPr>
              <w:t xml:space="preserve">робіт з відновлення об’єктів електричних мереж, а саме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Для таких активів, створених у період з 24 лютого 2022 року по 31 грудня 2024 року, що не були враховані у тарифах, датою їх </w:t>
            </w:r>
            <w:r w:rsidRPr="005A615E">
              <w:rPr>
                <w:rFonts w:ascii="Times New Roman" w:hAnsi="Times New Roman"/>
                <w:b w:val="0"/>
                <w:strike/>
                <w:sz w:val="24"/>
                <w:szCs w:val="24"/>
                <w:shd w:val="clear" w:color="auto" w:fill="FFFFFF"/>
              </w:rPr>
              <w:lastRenderedPageBreak/>
              <w:t>введення є 31 грудня 2024 року (за умови одночасного виведення пошкоджених активів із регуляторної бази активів, датою виведення яких є 31 грудня 2024 року);</w:t>
            </w:r>
          </w:p>
          <w:p w:rsidR="00FB759B" w:rsidRPr="005A615E" w:rsidRDefault="00FB759B" w:rsidP="00FB759B">
            <w:pPr>
              <w:pStyle w:val="3"/>
              <w:shd w:val="clear" w:color="auto" w:fill="FFFFFF"/>
              <w:spacing w:before="0"/>
              <w:ind w:firstLine="181"/>
              <w:jc w:val="both"/>
              <w:outlineLvl w:val="2"/>
              <w:rPr>
                <w:rFonts w:ascii="Times New Roman" w:hAnsi="Times New Roman"/>
                <w:b w:val="0"/>
                <w:strike/>
                <w:sz w:val="24"/>
                <w:szCs w:val="24"/>
                <w:shd w:val="clear" w:color="auto" w:fill="FFFFFF"/>
              </w:rPr>
            </w:pPr>
            <w:r w:rsidRPr="005A615E">
              <w:rPr>
                <w:rFonts w:ascii="Times New Roman" w:hAnsi="Times New Roman"/>
                <w:b w:val="0"/>
                <w:strike/>
                <w:sz w:val="24"/>
                <w:szCs w:val="24"/>
                <w:shd w:val="clear" w:color="auto" w:fill="FFFFFF"/>
              </w:rPr>
              <w:t>робіт з виконання  супутніх заходів, відповідно до постанови Кабінету Міністрів України від 07 лютого 2025 року № 142, витрати на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розподілу електричної енергії, – статті «Коригування доходу (витрат);</w:t>
            </w:r>
          </w:p>
          <w:p w:rsidR="00FB759B" w:rsidRPr="005A615E" w:rsidRDefault="00FB759B" w:rsidP="00FB759B">
            <w:pPr>
              <w:jc w:val="both"/>
              <w:rPr>
                <w:rFonts w:ascii="Times New Roman" w:hAnsi="Times New Roman"/>
                <w:b/>
                <w:u w:val="single"/>
                <w:lang w:val="ru-RU"/>
              </w:rPr>
            </w:pPr>
            <w:r w:rsidRPr="005A615E">
              <w:rPr>
                <w:rFonts w:ascii="Times New Roman" w:hAnsi="Times New Roman"/>
                <w:b/>
                <w:u w:val="single"/>
                <w:lang w:val="ru-RU"/>
              </w:rPr>
              <w:t xml:space="preserve">НКРЕКП залишити існуючу редакцію </w:t>
            </w:r>
            <w:r w:rsidRPr="005A615E">
              <w:rPr>
                <w:rFonts w:ascii="Times New Roman" w:eastAsia="Times New Roman" w:hAnsi="Times New Roman" w:cs="Times New Roman"/>
                <w:b/>
                <w:sz w:val="24"/>
                <w:szCs w:val="24"/>
                <w:shd w:val="clear" w:color="auto" w:fill="FFFFFF"/>
                <w:lang w:eastAsia="ru-RU"/>
              </w:rPr>
              <w:t>категорії 3 та доповнити визначення в постанові 899</w:t>
            </w:r>
          </w:p>
          <w:p w:rsidR="00CF2AC1" w:rsidRPr="005A615E" w:rsidRDefault="00FB759B" w:rsidP="00FB759B">
            <w:pPr>
              <w:spacing w:line="240" w:lineRule="auto"/>
              <w:jc w:val="both"/>
              <w:outlineLvl w:val="2"/>
              <w:rPr>
                <w:rFonts w:ascii="Times New Roman" w:hAnsi="Times New Roman"/>
                <w:b/>
                <w:sz w:val="24"/>
                <w:u w:val="single"/>
              </w:rPr>
            </w:pPr>
            <w:r w:rsidRPr="005A615E">
              <w:rPr>
                <w:rFonts w:ascii="Times New Roman" w:eastAsia="Times New Roman" w:hAnsi="Times New Roman" w:cs="Times New Roman"/>
                <w:b/>
                <w:sz w:val="24"/>
                <w:szCs w:val="24"/>
                <w:shd w:val="clear" w:color="auto" w:fill="FFFFFF"/>
                <w:lang w:eastAsia="ru-RU"/>
              </w:rPr>
              <w:t xml:space="preserve">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Крім того, до категорії 3 відносяться активи, створені у період дії в Україні воєнного стану в рамках робіт з відновлення об’єктів електричних мереж, а саме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w:t>
            </w:r>
            <w:r w:rsidRPr="005A615E">
              <w:rPr>
                <w:rFonts w:ascii="Times New Roman" w:eastAsia="Times New Roman" w:hAnsi="Times New Roman" w:cs="Times New Roman"/>
                <w:b/>
                <w:sz w:val="24"/>
                <w:szCs w:val="24"/>
                <w:shd w:val="clear" w:color="auto" w:fill="FFFFFF"/>
                <w:lang w:eastAsia="ru-RU"/>
              </w:rPr>
              <w:lastRenderedPageBreak/>
              <w:t>їх складових внаслідок бойових дій, у період дії в Україні воєнного стану, затвердженого постановою НКРЕКП від 20 квітня 2022 року № 386. Для таких активів, створених у період з 24.02.2022 по 31.12.2024, що не були враховані у тарифах, датою їх введення є 31.12.2024 (за умови одночасного виведення пошкоджених активів із регуляторної бази активів, датою виведення яких є 31.12.2024);</w:t>
            </w:r>
          </w:p>
        </w:tc>
        <w:tc>
          <w:tcPr>
            <w:tcW w:w="3969" w:type="dxa"/>
            <w:gridSpan w:val="2"/>
          </w:tcPr>
          <w:p w:rsidR="00FB759B" w:rsidRPr="005A615E" w:rsidRDefault="00FB759B" w:rsidP="00FB759B">
            <w:pPr>
              <w:rPr>
                <w:rFonts w:ascii="Times New Roman" w:hAnsi="Times New Roman"/>
                <w:b/>
                <w:sz w:val="24"/>
              </w:rPr>
            </w:pPr>
            <w:r w:rsidRPr="005A615E">
              <w:rPr>
                <w:rFonts w:ascii="Times New Roman" w:hAnsi="Times New Roman"/>
                <w:b/>
                <w:sz w:val="24"/>
              </w:rPr>
              <w:lastRenderedPageBreak/>
              <w:t>Не враховано</w:t>
            </w:r>
          </w:p>
          <w:p w:rsidR="00FB759B" w:rsidRPr="005A615E" w:rsidRDefault="00FB759B" w:rsidP="00FB759B">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FB759B" w:rsidRPr="005A615E" w:rsidRDefault="00FB759B" w:rsidP="00FB759B">
            <w:pPr>
              <w:rPr>
                <w:rFonts w:ascii="Times New Roman" w:hAnsi="Times New Roman"/>
                <w:b/>
                <w:sz w:val="24"/>
              </w:rPr>
            </w:pPr>
            <w:r w:rsidRPr="005A615E">
              <w:rPr>
                <w:rFonts w:ascii="Times New Roman" w:hAnsi="Times New Roman"/>
                <w:b/>
                <w:sz w:val="24"/>
              </w:rPr>
              <w:t>Недостатньо обгрунтова позиція</w:t>
            </w: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FB759B" w:rsidRPr="005A615E" w:rsidRDefault="00FB759B" w:rsidP="00FB759B">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rPr>
          <w:trHeight w:val="285"/>
        </w:trPr>
        <w:tc>
          <w:tcPr>
            <w:tcW w:w="6232" w:type="dxa"/>
            <w:shd w:val="clear" w:color="auto" w:fill="auto"/>
          </w:tcPr>
          <w:p w:rsidR="00CF2AC1" w:rsidRPr="005A615E" w:rsidRDefault="00CF2AC1" w:rsidP="00CF2AC1">
            <w:pPr>
              <w:spacing w:after="75"/>
              <w:ind w:firstLine="240"/>
              <w:jc w:val="both"/>
              <w:rPr>
                <w:rFonts w:ascii="Times New Roman" w:hAnsi="Times New Roman"/>
              </w:rPr>
            </w:pPr>
            <w:r w:rsidRPr="005A615E">
              <w:rPr>
                <w:rFonts w:ascii="Times New Roman" w:hAnsi="Times New Roman"/>
              </w:rPr>
              <w:lastRenderedPageBreak/>
              <w:t>2. Вимоги до оформлення заяви та документів, що додаються до неї</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w:t>
            </w:r>
          </w:p>
          <w:p w:rsidR="00CF2AC1" w:rsidRPr="005A615E" w:rsidRDefault="00CF2AC1" w:rsidP="00CF2AC1">
            <w:pPr>
              <w:spacing w:after="75"/>
              <w:ind w:firstLine="240"/>
              <w:jc w:val="both"/>
              <w:rPr>
                <w:rFonts w:ascii="Times New Roman" w:hAnsi="Times New Roman"/>
                <w:sz w:val="24"/>
              </w:rPr>
            </w:pPr>
            <w:r w:rsidRPr="005A615E">
              <w:rPr>
                <w:rFonts w:ascii="Times New Roman" w:hAnsi="Times New Roman"/>
              </w:rPr>
              <w:t>10) розрахунок коригування необхідного доходу відповідно до даних виконання цільового завдання щодо досягнення показників комерційної якості надання послуг за рік t-2 (за формою, наведеною в додатку 36 до цього Порядку для другого регуляторного періоду);</w:t>
            </w:r>
          </w:p>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w:t>
            </w:r>
          </w:p>
        </w:tc>
        <w:tc>
          <w:tcPr>
            <w:tcW w:w="5387" w:type="dxa"/>
          </w:tcPr>
          <w:p w:rsidR="00CF2AC1" w:rsidRPr="005A615E" w:rsidRDefault="00CF2AC1" w:rsidP="00CF2AC1">
            <w:pPr>
              <w:spacing w:after="75" w:line="259" w:lineRule="auto"/>
              <w:ind w:firstLine="240"/>
              <w:jc w:val="both"/>
              <w:rPr>
                <w:rFonts w:ascii="Times New Roman" w:hAnsi="Times New Roman"/>
                <w:b/>
                <w:sz w:val="24"/>
                <w:u w:val="single"/>
              </w:rPr>
            </w:pPr>
            <w:r w:rsidRPr="005A615E">
              <w:rPr>
                <w:rFonts w:ascii="Times New Roman" w:hAnsi="Times New Roman"/>
                <w:b/>
                <w:sz w:val="24"/>
                <w:u w:val="single"/>
              </w:rPr>
              <w:t xml:space="preserve">ГО «Перша енергетична рада» (лист </w:t>
            </w:r>
            <w:r w:rsidRPr="005A615E">
              <w:rPr>
                <w:rFonts w:ascii="Times New Roman" w:hAnsi="Times New Roman"/>
                <w:b/>
                <w:sz w:val="24"/>
                <w:u w:val="single"/>
              </w:rPr>
              <w:br/>
              <w:t xml:space="preserve">від 20.07.2026 № 28/01), 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«ЧЕРНІВЦІОБЛЕНЕРГО» (лист від 24.07.2026  № 19/1-02/3604),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 «Прикарпаттяобленерго» (лист </w:t>
            </w:r>
            <w:r w:rsidRPr="005A615E">
              <w:rPr>
                <w:rFonts w:ascii="Times New Roman" w:hAnsi="Times New Roman"/>
                <w:b/>
                <w:sz w:val="24"/>
                <w:u w:val="single"/>
              </w:rPr>
              <w:br/>
              <w:t xml:space="preserve">від 27.07.2026 № 50012257/12), ПрАТ «Львівобленерго» (лист </w:t>
            </w:r>
            <w:r w:rsidRPr="005A615E">
              <w:rPr>
                <w:rFonts w:ascii="Times New Roman" w:hAnsi="Times New Roman"/>
                <w:b/>
                <w:sz w:val="24"/>
                <w:u w:val="single"/>
              </w:rPr>
              <w:br/>
              <w:t xml:space="preserve">від 27.07.2026 № 122-07-5357), АТ «ХМЕЛЬНИЦЬКОБЛЕНЕРГО» (лист від 27.07.2026 № 4-6209-0201/26), АТ </w:t>
            </w:r>
            <w:r w:rsidRPr="005A615E">
              <w:rPr>
                <w:rFonts w:ascii="Times New Roman" w:hAnsi="Times New Roman"/>
                <w:b/>
                <w:sz w:val="24"/>
                <w:u w:val="single"/>
              </w:rPr>
              <w:lastRenderedPageBreak/>
              <w:t>«ЧЕРКАСИОБЛЕНЕРГО»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 Вимоги до оформлення заяви та документів, що додаються до неї</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w:t>
            </w:r>
          </w:p>
          <w:p w:rsidR="00CF2AC1" w:rsidRPr="005A615E" w:rsidRDefault="00CF2AC1" w:rsidP="00CF2AC1">
            <w:pPr>
              <w:spacing w:after="75"/>
              <w:ind w:firstLine="240"/>
              <w:jc w:val="both"/>
              <w:rPr>
                <w:rFonts w:ascii="Times New Roman" w:hAnsi="Times New Roman"/>
                <w:strike/>
              </w:rPr>
            </w:pPr>
            <w:r w:rsidRPr="005A615E">
              <w:rPr>
                <w:rFonts w:ascii="Times New Roman" w:hAnsi="Times New Roman"/>
                <w:strike/>
              </w:rPr>
              <w:t>10) розрахунок коригування необхідного доходу відповідно до даних виконання цільового завдання щодо досягнення показників комерційної якості надання послуг за рік t-2 (за формою, наведеною в додатку 36 до цього Порядку для другого регуляторного періоду);</w:t>
            </w:r>
          </w:p>
          <w:p w:rsidR="00CF2AC1" w:rsidRPr="005A615E" w:rsidRDefault="00CF2AC1" w:rsidP="00CF2AC1">
            <w:pPr>
              <w:spacing w:after="75"/>
              <w:ind w:firstLine="240"/>
              <w:jc w:val="both"/>
              <w:rPr>
                <w:rFonts w:ascii="Times New Roman" w:hAnsi="Times New Roman"/>
                <w:sz w:val="24"/>
              </w:rPr>
            </w:pPr>
            <w:r w:rsidRPr="005A615E">
              <w:rPr>
                <w:rFonts w:ascii="Times New Roman" w:hAnsi="Times New Roman"/>
                <w:sz w:val="24"/>
              </w:rPr>
              <w:t>…</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Запровадження цільових показників комерційної якості послуг наразі вбачається недоречним:</w:t>
            </w:r>
          </w:p>
          <w:p w:rsidR="00CF2AC1" w:rsidRPr="005A615E" w:rsidRDefault="00CF2AC1" w:rsidP="00CF2AC1">
            <w:pPr>
              <w:jc w:val="both"/>
              <w:rPr>
                <w:rFonts w:ascii="Times New Roman" w:hAnsi="Times New Roman"/>
              </w:rPr>
            </w:pPr>
            <w:r w:rsidRPr="005A615E">
              <w:rPr>
                <w:rFonts w:ascii="Times New Roman" w:hAnsi="Times New Roman"/>
              </w:rPr>
              <w:t xml:space="preserve"> - більшість з показників не входить до  переліку чинних показників якості послуг, </w:t>
            </w:r>
          </w:p>
          <w:p w:rsidR="00CF2AC1" w:rsidRPr="005A615E" w:rsidRDefault="00CF2AC1" w:rsidP="00CF2AC1">
            <w:pPr>
              <w:jc w:val="both"/>
              <w:rPr>
                <w:rFonts w:ascii="Times New Roman" w:hAnsi="Times New Roman"/>
              </w:rPr>
            </w:pPr>
            <w:r w:rsidRPr="005A615E">
              <w:rPr>
                <w:rFonts w:ascii="Times New Roman" w:hAnsi="Times New Roman"/>
              </w:rPr>
              <w:t xml:space="preserve"> - по двох показниках ОСР виплачують індивідуальні компенсації споживачам. Крім того, за порушення показників якості послуг на ОСР Регулятором накладаються штрафні санкції, відповідно матимуть місце подвійні/потрійні фінансові санкції на ОСР за одні й ті самі порушення,</w:t>
            </w:r>
          </w:p>
          <w:p w:rsidR="00CF2AC1" w:rsidRPr="005A615E" w:rsidRDefault="00CF2AC1" w:rsidP="00CF2AC1">
            <w:pPr>
              <w:jc w:val="both"/>
              <w:rPr>
                <w:rFonts w:ascii="Times New Roman" w:hAnsi="Times New Roman"/>
              </w:rPr>
            </w:pPr>
            <w:r w:rsidRPr="005A615E">
              <w:rPr>
                <w:rFonts w:ascii="Times New Roman" w:hAnsi="Times New Roman"/>
              </w:rPr>
              <w:t xml:space="preserve"> - досяжність більшості з цільових показників є сумнівною, особливо в умовах військового стану і за відсутності можливості залучення нових інвестицій.</w:t>
            </w:r>
          </w:p>
          <w:p w:rsidR="00CF2AC1" w:rsidRPr="005A615E" w:rsidRDefault="00CF2AC1" w:rsidP="00CF2AC1">
            <w:pPr>
              <w:jc w:val="both"/>
              <w:rPr>
                <w:rFonts w:ascii="Times New Roman" w:hAnsi="Times New Roman"/>
                <w:b/>
                <w:i/>
                <w:u w:val="single"/>
              </w:rPr>
            </w:pPr>
          </w:p>
          <w:p w:rsidR="00CF2AC1" w:rsidRPr="005A615E" w:rsidRDefault="00CF2AC1" w:rsidP="00CF2AC1">
            <w:pPr>
              <w:jc w:val="both"/>
              <w:rPr>
                <w:rFonts w:ascii="Times New Roman" w:hAnsi="Times New Roman"/>
                <w:b/>
                <w:sz w:val="24"/>
              </w:rPr>
            </w:pPr>
            <w:r w:rsidRPr="005A615E">
              <w:rPr>
                <w:rFonts w:ascii="Times New Roman" w:hAnsi="Times New Roman"/>
                <w:b/>
                <w:i/>
              </w:rPr>
              <w:t xml:space="preserve">Обгрунтування </w:t>
            </w:r>
            <w:r w:rsidRPr="005A615E">
              <w:rPr>
                <w:rFonts w:ascii="Times New Roman" w:hAnsi="Times New Roman"/>
                <w:b/>
                <w:sz w:val="24"/>
              </w:rPr>
              <w:t xml:space="preserve">ДТЕК, АТ «ЧЕРНІВЦІОБЛЕНЕРГО», АТ </w:t>
            </w:r>
            <w:r w:rsidRPr="005A615E">
              <w:rPr>
                <w:rFonts w:ascii="Times New Roman" w:hAnsi="Times New Roman"/>
                <w:b/>
                <w:sz w:val="24"/>
              </w:rPr>
              <w:lastRenderedPageBreak/>
              <w:t>«ТЕРНОПІЛЬОБЛЕНЕРГО», Громадська спілка «Розумні електромережі України», АТ «УКРАЇНСЬКІ РОЗПОДІЛЬНІ МЕРЕЖІ»,</w:t>
            </w:r>
            <w:r w:rsidRPr="005A615E">
              <w:t xml:space="preserve"> </w:t>
            </w:r>
            <w:r w:rsidRPr="005A615E">
              <w:rPr>
                <w:rFonts w:ascii="Times New Roman" w:hAnsi="Times New Roman"/>
                <w:b/>
                <w:sz w:val="24"/>
              </w:rPr>
              <w:t>АТ «Прикарпаттяобленерго»,</w:t>
            </w:r>
            <w:r w:rsidRPr="005A615E">
              <w:t xml:space="preserve"> </w:t>
            </w:r>
            <w:r w:rsidRPr="005A615E">
              <w:rPr>
                <w:rFonts w:ascii="Times New Roman" w:hAnsi="Times New Roman"/>
                <w:b/>
                <w:sz w:val="24"/>
              </w:rPr>
              <w:t xml:space="preserve">АТ «ХМЕЛЬНИЦЬКОБЛЕНЕРГО» </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 xml:space="preserve">Пропонується розділ 2 залишити в діючій редакції та не подавати додатки 36 та 37 – розрахунки  </w:t>
            </w:r>
            <w:r w:rsidRPr="005A615E">
              <w:rPr>
                <w:rFonts w:ascii="Times New Roman" w:hAnsi="Times New Roman"/>
                <w:bCs/>
              </w:rPr>
              <w:t xml:space="preserve">коригування необхідного доходу відповідно до даних виконання цільового завдання щодо досягнення показників комерційної якості надання послуг та проведення контрольних оглядів засобів комерційного обліку електричної енергії споживачів. В пропозиціях до п.5.20 </w:t>
            </w:r>
            <w:r w:rsidRPr="005A615E">
              <w:rPr>
                <w:rFonts w:ascii="Times New Roman" w:hAnsi="Times New Roman"/>
                <w:bCs/>
                <w:shd w:val="clear" w:color="auto" w:fill="FFFFFF"/>
              </w:rPr>
              <w:t xml:space="preserve"> </w:t>
            </w:r>
            <w:r w:rsidRPr="005A615E">
              <w:rPr>
                <w:rFonts w:ascii="Times New Roman" w:hAnsi="Times New Roman"/>
                <w:shd w:val="clear" w:color="auto" w:fill="FFFFFF"/>
              </w:rPr>
              <w:t>запропоновано виключити ці показники у зв’язку з тим, що вони  регулюються іншими постановами НКРЕКП. За недостовірність або порушення  передбачені штрафні санкції.</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Додаткова фіксація показників якості у нормативних документах інших документах НКРЕКП призведе до подвоєння штрафів за однакові порушення.</w:t>
            </w:r>
          </w:p>
        </w:tc>
        <w:tc>
          <w:tcPr>
            <w:tcW w:w="3969" w:type="dxa"/>
            <w:gridSpan w:val="2"/>
          </w:tcPr>
          <w:p w:rsidR="00FB759B" w:rsidRPr="005A615E" w:rsidRDefault="00FB759B" w:rsidP="00FB759B">
            <w:pPr>
              <w:rPr>
                <w:rFonts w:ascii="Times New Roman" w:hAnsi="Times New Roman"/>
                <w:b/>
                <w:sz w:val="24"/>
              </w:rPr>
            </w:pPr>
            <w:r w:rsidRPr="005A615E">
              <w:rPr>
                <w:rFonts w:ascii="Times New Roman" w:hAnsi="Times New Roman"/>
                <w:b/>
                <w:sz w:val="24"/>
              </w:rPr>
              <w:lastRenderedPageBreak/>
              <w:t>Не враховано</w:t>
            </w:r>
          </w:p>
          <w:p w:rsidR="00FB759B" w:rsidRPr="005A615E" w:rsidRDefault="00FB759B" w:rsidP="00FB759B">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FB759B" w:rsidRPr="005A615E" w:rsidRDefault="00FB759B" w:rsidP="00FB759B">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rPr>
          <w:trHeight w:val="285"/>
        </w:trPr>
        <w:tc>
          <w:tcPr>
            <w:tcW w:w="6232" w:type="dxa"/>
            <w:shd w:val="clear" w:color="auto" w:fill="auto"/>
          </w:tcPr>
          <w:p w:rsidR="00CF2AC1" w:rsidRPr="005A615E" w:rsidRDefault="00CF2AC1" w:rsidP="00CF2AC1">
            <w:pPr>
              <w:spacing w:after="75"/>
              <w:ind w:firstLine="240"/>
              <w:jc w:val="both"/>
              <w:rPr>
                <w:rFonts w:ascii="Times New Roman" w:hAnsi="Times New Roman"/>
              </w:rPr>
            </w:pPr>
            <w:r w:rsidRPr="005A615E">
              <w:rPr>
                <w:rFonts w:ascii="Times New Roman" w:hAnsi="Times New Roman"/>
              </w:rPr>
              <w:lastRenderedPageBreak/>
              <w:t>2. Вимоги до оформлення заяви та документів, що додаються до неї</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b/>
              </w:rPr>
              <w:t>13)</w:t>
            </w:r>
            <w:r w:rsidRPr="005A615E">
              <w:rPr>
                <w:rFonts w:ascii="Times New Roman" w:hAnsi="Times New Roman"/>
              </w:rPr>
              <w:t xml:space="preserve"> реєстри регуляторної бази активів, яка створена на дату переходу до стимулюючого регулювання (РБА</w:t>
            </w:r>
            <w:r w:rsidRPr="005A615E">
              <w:rPr>
                <w:rFonts w:ascii="Times New Roman" w:hAnsi="Times New Roman"/>
                <w:vertAlign w:val="subscript"/>
              </w:rPr>
              <w:t>0</w:t>
            </w:r>
            <w:r w:rsidRPr="005A615E">
              <w:rPr>
                <w:rFonts w:ascii="Times New Roman" w:hAnsi="Times New Roman"/>
              </w:rPr>
              <w:t>), та регуляторної бази активів, яка створена після переходу на стимулююче регулювання (РБА</w:t>
            </w:r>
            <w:r w:rsidRPr="005A615E">
              <w:rPr>
                <w:rFonts w:ascii="Times New Roman" w:hAnsi="Times New Roman"/>
                <w:vertAlign w:val="subscript"/>
              </w:rPr>
              <w:t>нов</w:t>
            </w:r>
            <w:r w:rsidRPr="005A615E">
              <w:rPr>
                <w:rFonts w:ascii="Times New Roman" w:hAnsi="Times New Roman"/>
              </w:rPr>
              <w:t xml:space="preserve">) за </w:t>
            </w:r>
            <w:r w:rsidRPr="005A615E">
              <w:rPr>
                <w:rFonts w:ascii="Times New Roman" w:hAnsi="Times New Roman"/>
              </w:rPr>
              <w:br/>
              <w:t>8 місяців базового року, відповідно до Порядку визначення регуляторної бази активів (в електронній формі) (за формою, наведеною в Порядку визначення регуляторної бази активів);</w:t>
            </w:r>
          </w:p>
          <w:p w:rsidR="00CF2AC1" w:rsidRPr="005A615E" w:rsidRDefault="00CF2AC1" w:rsidP="00CF2AC1">
            <w:pPr>
              <w:spacing w:after="75"/>
              <w:ind w:firstLine="240"/>
              <w:jc w:val="both"/>
              <w:rPr>
                <w:rFonts w:ascii="Times New Roman" w:hAnsi="Times New Roman"/>
              </w:rPr>
            </w:pP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lastRenderedPageBreak/>
              <w:t>Зміна пункту не передбачалась, лише зміна номеру пункту</w:t>
            </w:r>
          </w:p>
          <w:p w:rsidR="00CF2AC1" w:rsidRPr="005A615E" w:rsidRDefault="00CF2AC1" w:rsidP="00CF2AC1">
            <w:pPr>
              <w:spacing w:after="75"/>
              <w:ind w:firstLine="240"/>
              <w:jc w:val="both"/>
              <w:rPr>
                <w:rFonts w:ascii="Times New Roman" w:hAnsi="Times New Roman"/>
              </w:rPr>
            </w:pPr>
          </w:p>
        </w:tc>
        <w:tc>
          <w:tcPr>
            <w:tcW w:w="5387" w:type="dxa"/>
          </w:tcPr>
          <w:p w:rsidR="00CF2AC1" w:rsidRPr="005A615E" w:rsidRDefault="00CF2AC1" w:rsidP="00CF2AC1">
            <w:pPr>
              <w:jc w:val="both"/>
              <w:rPr>
                <w:rFonts w:ascii="Times New Roman" w:hAnsi="Times New Roman"/>
                <w:b/>
                <w:u w:val="single"/>
              </w:rPr>
            </w:pPr>
            <w:r w:rsidRPr="005A615E">
              <w:rPr>
                <w:rFonts w:ascii="Times New Roman" w:hAnsi="Times New Roman"/>
                <w:b/>
                <w:u w:val="single"/>
              </w:rPr>
              <w:lastRenderedPageBreak/>
              <w:t>АТ «ВІННИЦЯОБЛЕНЕРГО» (лист від 27.07.2026  № 03.13-18608)</w:t>
            </w:r>
          </w:p>
          <w:p w:rsidR="00CF2AC1" w:rsidRPr="005A615E" w:rsidRDefault="00CF2AC1" w:rsidP="00CF2AC1">
            <w:pPr>
              <w:spacing w:after="75" w:line="254" w:lineRule="auto"/>
              <w:ind w:firstLine="240"/>
              <w:jc w:val="both"/>
              <w:rPr>
                <w:rFonts w:ascii="Times New Roman" w:hAnsi="Times New Roman"/>
              </w:rPr>
            </w:pPr>
            <w:r w:rsidRPr="005A615E">
              <w:rPr>
                <w:rFonts w:ascii="Times New Roman" w:eastAsia="Times New Roman" w:hAnsi="Times New Roman"/>
                <w:b/>
                <w:lang w:eastAsia="ru-RU"/>
              </w:rPr>
              <w:t>2. Вимоги до оформлення заяви та документів, що додаються до неї</w:t>
            </w:r>
          </w:p>
          <w:p w:rsidR="00CF2AC1" w:rsidRPr="005A615E" w:rsidRDefault="00CF2AC1" w:rsidP="00CF2AC1">
            <w:pPr>
              <w:spacing w:after="75" w:line="254" w:lineRule="auto"/>
              <w:ind w:firstLine="240"/>
              <w:jc w:val="both"/>
              <w:rPr>
                <w:rFonts w:ascii="Times New Roman" w:hAnsi="Times New Roman"/>
              </w:rPr>
            </w:pPr>
            <w:r w:rsidRPr="005A615E">
              <w:rPr>
                <w:rFonts w:ascii="Times New Roman" w:hAnsi="Times New Roman"/>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rsidR="00CF2AC1" w:rsidRPr="005A615E" w:rsidRDefault="00CF2AC1" w:rsidP="00CF2AC1">
            <w:pPr>
              <w:spacing w:after="75" w:line="254" w:lineRule="auto"/>
              <w:jc w:val="both"/>
              <w:rPr>
                <w:rFonts w:ascii="Times New Roman" w:hAnsi="Times New Roman"/>
              </w:rPr>
            </w:pPr>
            <w:r w:rsidRPr="005A615E">
              <w:rPr>
                <w:rFonts w:ascii="Times New Roman" w:hAnsi="Times New Roman"/>
              </w:rPr>
              <w:t>…</w:t>
            </w:r>
          </w:p>
          <w:p w:rsidR="00CF2AC1" w:rsidRPr="005A615E" w:rsidRDefault="00CF2AC1" w:rsidP="00CF2AC1">
            <w:pPr>
              <w:spacing w:after="75" w:line="254" w:lineRule="auto"/>
              <w:ind w:firstLine="240"/>
              <w:jc w:val="both"/>
              <w:rPr>
                <w:rFonts w:ascii="Times New Roman" w:hAnsi="Times New Roman"/>
              </w:rPr>
            </w:pPr>
            <w:r w:rsidRPr="005A615E">
              <w:rPr>
                <w:rFonts w:ascii="Times New Roman" w:hAnsi="Times New Roman"/>
              </w:rPr>
              <w:t xml:space="preserve">13) реєстри регуляторної бази активів, яка створена на дату переходу до стимулюючого регулювання (РБА0), та регуляторної бази активів, яка створена після переходу на стимулююче регулювання (РБАнов) за </w:t>
            </w:r>
            <w:r w:rsidRPr="005A615E">
              <w:rPr>
                <w:rFonts w:ascii="Times New Roman" w:hAnsi="Times New Roman"/>
                <w:b/>
              </w:rPr>
              <w:t>6 місяців базового року</w:t>
            </w:r>
            <w:r w:rsidRPr="005A615E">
              <w:rPr>
                <w:rFonts w:ascii="Times New Roman" w:hAnsi="Times New Roman"/>
              </w:rPr>
              <w:t xml:space="preserve">, відповідно до Порядку визначення регуляторної бази активів (в електронній </w:t>
            </w:r>
            <w:r w:rsidRPr="005A615E">
              <w:rPr>
                <w:rFonts w:ascii="Times New Roman" w:hAnsi="Times New Roman"/>
              </w:rPr>
              <w:lastRenderedPageBreak/>
              <w:t>формі) (за формою, наведеною в Порядку визначення регуляторної бази активів);</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b/>
                <w:sz w:val="24"/>
                <w:u w:val="single"/>
              </w:rPr>
            </w:pPr>
            <w:r w:rsidRPr="005A615E">
              <w:rPr>
                <w:rFonts w:ascii="Times New Roman" w:hAnsi="Times New Roman"/>
              </w:rPr>
              <w:t xml:space="preserve">Відповідно до пункту 4.4 постанови НКРЕ від 11.07.2013 №899 ліцензіат зобов’язаний подати реєстри РБА за 9 місяців звітного року. Саме ці реєстри є базою для розрахунку тарифів на послуги з розподілу електроенергії. </w:t>
            </w:r>
            <w:r w:rsidRPr="005A615E">
              <w:rPr>
                <w:rFonts w:ascii="Times New Roman" w:eastAsia="Times New Roman" w:hAnsi="Times New Roman"/>
                <w:lang w:eastAsia="uk-UA"/>
              </w:rPr>
              <w:t xml:space="preserve"> Подання додаткових реєстрів за 8 місяців є надлишковим адміністративним навантаженням. </w:t>
            </w:r>
            <w:r w:rsidRPr="005A615E">
              <w:rPr>
                <w:rFonts w:ascii="Times New Roman" w:hAnsi="Times New Roman"/>
              </w:rPr>
              <w:t>Достатньо надати реєстри активів за 6 місяців базового року, оскільки даний період є звітним і дані за 6 місяців відображаються в формі 2-НКРЕКП.</w:t>
            </w:r>
          </w:p>
        </w:tc>
        <w:tc>
          <w:tcPr>
            <w:tcW w:w="3969" w:type="dxa"/>
            <w:gridSpan w:val="2"/>
          </w:tcPr>
          <w:p w:rsidR="00FB759B" w:rsidRPr="005A615E" w:rsidRDefault="00FB759B" w:rsidP="00FB759B">
            <w:pPr>
              <w:rPr>
                <w:rFonts w:ascii="Times New Roman" w:hAnsi="Times New Roman"/>
                <w:b/>
                <w:sz w:val="24"/>
              </w:rPr>
            </w:pPr>
            <w:r w:rsidRPr="005A615E">
              <w:rPr>
                <w:rFonts w:ascii="Times New Roman" w:hAnsi="Times New Roman"/>
                <w:b/>
                <w:sz w:val="24"/>
              </w:rPr>
              <w:lastRenderedPageBreak/>
              <w:t>Не враховано</w:t>
            </w:r>
          </w:p>
          <w:p w:rsidR="00FB759B" w:rsidRPr="005A615E" w:rsidRDefault="00FB759B" w:rsidP="00FB759B">
            <w:pPr>
              <w:rPr>
                <w:rFonts w:ascii="Times New Roman" w:hAnsi="Times New Roman"/>
                <w:b/>
                <w:sz w:val="24"/>
              </w:rPr>
            </w:pPr>
            <w:r w:rsidRPr="005A615E">
              <w:rPr>
                <w:rFonts w:ascii="Times New Roman" w:hAnsi="Times New Roman"/>
                <w:b/>
                <w:sz w:val="24"/>
              </w:rPr>
              <w:t>Недостатньо обгрунтова позиція</w:t>
            </w:r>
          </w:p>
          <w:p w:rsidR="00523D6C" w:rsidRPr="005A615E" w:rsidRDefault="00523D6C" w:rsidP="00CF2AC1">
            <w:pPr>
              <w:jc w:val="both"/>
              <w:rPr>
                <w:rFonts w:ascii="Times New Roman" w:hAnsi="Times New Roman"/>
                <w:b/>
                <w:sz w:val="24"/>
              </w:rPr>
            </w:pPr>
          </w:p>
        </w:tc>
      </w:tr>
      <w:tr w:rsidR="00CF2AC1" w:rsidRPr="005A615E" w:rsidTr="00A56FEE">
        <w:trPr>
          <w:trHeight w:val="285"/>
        </w:trPr>
        <w:tc>
          <w:tcPr>
            <w:tcW w:w="6232" w:type="dxa"/>
            <w:shd w:val="clear" w:color="auto" w:fill="auto"/>
          </w:tcPr>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 Вимоги до оформлення заяви та документів, що додаються до неї</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spacing w:after="150"/>
              <w:ind w:firstLine="180"/>
              <w:jc w:val="both"/>
              <w:rPr>
                <w:rFonts w:ascii="Times New Roman" w:hAnsi="Times New Roman"/>
                <w:lang w:eastAsia="uk-UA"/>
              </w:rPr>
            </w:pPr>
            <w:r w:rsidRPr="005A615E">
              <w:rPr>
                <w:rFonts w:ascii="Times New Roman" w:hAnsi="Times New Roman"/>
              </w:rPr>
              <w:t>14) Розрахунок проведення контрольних оглядів засобів комерційного обліку електричної енергії споживачів  за рік t-2 (за формою, наведеною в додатку 37 до цього Порядку).</w:t>
            </w:r>
          </w:p>
        </w:tc>
        <w:tc>
          <w:tcPr>
            <w:tcW w:w="5387" w:type="dxa"/>
          </w:tcPr>
          <w:p w:rsidR="00CF2AC1" w:rsidRPr="005A615E" w:rsidRDefault="00CF2AC1" w:rsidP="00CF2AC1">
            <w:pPr>
              <w:spacing w:after="75" w:line="259" w:lineRule="auto"/>
              <w:ind w:firstLine="240"/>
              <w:jc w:val="both"/>
              <w:rPr>
                <w:rFonts w:ascii="Times New Roman" w:hAnsi="Times New Roman"/>
                <w:b/>
                <w:sz w:val="24"/>
                <w:u w:val="single"/>
              </w:rPr>
            </w:pPr>
            <w:r w:rsidRPr="005A615E">
              <w:rPr>
                <w:rFonts w:ascii="Times New Roman" w:hAnsi="Times New Roman"/>
                <w:b/>
                <w:sz w:val="24"/>
                <w:u w:val="single"/>
              </w:rPr>
              <w:t xml:space="preserve">ГО «Перша енергетична рада» (лист </w:t>
            </w:r>
            <w:r w:rsidRPr="005A615E">
              <w:rPr>
                <w:rFonts w:ascii="Times New Roman" w:hAnsi="Times New Roman"/>
                <w:b/>
                <w:sz w:val="24"/>
                <w:u w:val="single"/>
              </w:rPr>
              <w:br/>
              <w:t xml:space="preserve">від 20.07.2026 № 28/01), 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«ЧЕРНІВЦІОБЛЕНЕРГО» (лист від 24.07.2026  № 19/1-02/3604),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 «Прикарпаттяобленерго» (лист </w:t>
            </w:r>
            <w:r w:rsidRPr="005A615E">
              <w:rPr>
                <w:rFonts w:ascii="Times New Roman" w:hAnsi="Times New Roman"/>
                <w:b/>
                <w:sz w:val="24"/>
                <w:u w:val="single"/>
              </w:rPr>
              <w:br/>
              <w:t xml:space="preserve">від 27.07.2026 № 50012257/12), ПрАТ «Львівобленерго» (лист </w:t>
            </w:r>
            <w:r w:rsidRPr="005A615E">
              <w:rPr>
                <w:rFonts w:ascii="Times New Roman" w:hAnsi="Times New Roman"/>
                <w:b/>
                <w:sz w:val="24"/>
                <w:u w:val="single"/>
              </w:rPr>
              <w:br/>
              <w:t xml:space="preserve">від 27.07.2026 № 122-07-5357), АТ </w:t>
            </w:r>
            <w:r w:rsidRPr="005A615E">
              <w:rPr>
                <w:rFonts w:ascii="Times New Roman" w:hAnsi="Times New Roman"/>
                <w:b/>
                <w:sz w:val="24"/>
                <w:u w:val="single"/>
              </w:rPr>
              <w:lastRenderedPageBreak/>
              <w:t>«ХМЕЛЬНИЦЬКОБЛЕНЕРГО»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 Вимоги до оформлення заяви та документів, що додаються до неї</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w:t>
            </w:r>
          </w:p>
          <w:p w:rsidR="00CF2AC1" w:rsidRPr="005A615E" w:rsidRDefault="00CF2AC1" w:rsidP="00CF2AC1">
            <w:pPr>
              <w:jc w:val="both"/>
              <w:rPr>
                <w:rFonts w:ascii="Times New Roman" w:hAnsi="Times New Roman"/>
                <w:strike/>
              </w:rPr>
            </w:pPr>
            <w:r w:rsidRPr="005A615E">
              <w:rPr>
                <w:rFonts w:ascii="Times New Roman" w:hAnsi="Times New Roman"/>
                <w:strike/>
              </w:rPr>
              <w:t>14) Розрахунок проведення контрольних оглядів засобів комерційного обліку електричної енергії споживачів  за рік t-2 (за формою, наведеною в додатку 37 до цього Порядку).</w:t>
            </w:r>
          </w:p>
          <w:p w:rsidR="00CF2AC1" w:rsidRPr="005A615E" w:rsidRDefault="00CF2AC1" w:rsidP="00CF2AC1">
            <w:pPr>
              <w:jc w:val="both"/>
              <w:rPr>
                <w:rFonts w:ascii="Times New Roman" w:hAnsi="Times New Roman"/>
                <w:strike/>
              </w:rPr>
            </w:pP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Запровадження цільових показників комерційної якості послуг наразі вбачається недоречним:</w:t>
            </w:r>
          </w:p>
          <w:p w:rsidR="00CF2AC1" w:rsidRPr="005A615E" w:rsidRDefault="00CF2AC1" w:rsidP="00CF2AC1">
            <w:pPr>
              <w:jc w:val="both"/>
              <w:rPr>
                <w:rFonts w:ascii="Times New Roman" w:hAnsi="Times New Roman"/>
              </w:rPr>
            </w:pPr>
            <w:r w:rsidRPr="005A615E">
              <w:rPr>
                <w:rFonts w:ascii="Times New Roman" w:hAnsi="Times New Roman"/>
              </w:rPr>
              <w:t xml:space="preserve"> - більшість з показників не входить до  переліку чинних показників якості послуг, </w:t>
            </w:r>
          </w:p>
          <w:p w:rsidR="00CF2AC1" w:rsidRPr="005A615E" w:rsidRDefault="00CF2AC1" w:rsidP="00CF2AC1">
            <w:pPr>
              <w:jc w:val="both"/>
              <w:rPr>
                <w:rFonts w:ascii="Times New Roman" w:hAnsi="Times New Roman"/>
              </w:rPr>
            </w:pPr>
            <w:r w:rsidRPr="005A615E">
              <w:rPr>
                <w:rFonts w:ascii="Times New Roman" w:hAnsi="Times New Roman"/>
              </w:rPr>
              <w:t xml:space="preserve"> - по двох показниках ОСР виплачують індивідуальні компенсації споживачам. Крім того, за порушення показників якості послуг на ОСР Регулятором накладаються штрафні санкції, відповідно матимуть місце подвійні/потрійні фінансові санкції на ОСР за одні й ті самі порушення,</w:t>
            </w:r>
          </w:p>
          <w:p w:rsidR="00CF2AC1" w:rsidRPr="005A615E" w:rsidRDefault="00CF2AC1" w:rsidP="00CF2AC1">
            <w:pPr>
              <w:jc w:val="both"/>
              <w:rPr>
                <w:rFonts w:ascii="Times New Roman" w:hAnsi="Times New Roman"/>
              </w:rPr>
            </w:pPr>
            <w:r w:rsidRPr="005A615E">
              <w:rPr>
                <w:rFonts w:ascii="Times New Roman" w:hAnsi="Times New Roman"/>
              </w:rPr>
              <w:t xml:space="preserve"> - досяжність більшості з цільових показників є сумнівною, особливо в умовах військового стану і за відсутності можливості залучення нових інвестицій.</w:t>
            </w:r>
          </w:p>
          <w:p w:rsidR="00CF2AC1" w:rsidRPr="005A615E" w:rsidRDefault="00CF2AC1" w:rsidP="00CF2AC1">
            <w:pPr>
              <w:spacing w:after="75"/>
              <w:ind w:firstLine="240"/>
              <w:jc w:val="both"/>
              <w:rPr>
                <w:rFonts w:ascii="Times New Roman" w:hAnsi="Times New Roman"/>
                <w:b/>
                <w:i/>
              </w:rPr>
            </w:pPr>
            <w:r w:rsidRPr="005A615E">
              <w:rPr>
                <w:rFonts w:ascii="Times New Roman" w:hAnsi="Times New Roman"/>
                <w:b/>
                <w:i/>
              </w:rPr>
              <w:t>Обгрунтування</w:t>
            </w:r>
            <w:r w:rsidRPr="005A615E">
              <w:rPr>
                <w:rFonts w:ascii="Times New Roman" w:hAnsi="Times New Roman"/>
                <w:b/>
                <w:sz w:val="24"/>
              </w:rPr>
              <w:t xml:space="preserve"> ДТЕК, АТ «ЧЕРНІВЦІОБЛЕНЕРГО»,</w:t>
            </w:r>
            <w:r w:rsidRPr="005A615E">
              <w:t xml:space="preserve"> </w:t>
            </w:r>
            <w:r w:rsidRPr="005A615E">
              <w:rPr>
                <w:rFonts w:ascii="Times New Roman" w:hAnsi="Times New Roman"/>
                <w:b/>
                <w:sz w:val="24"/>
              </w:rPr>
              <w:t>АТ «ТЕРНОПІЛЬОБЛЕНЕРГО»,</w:t>
            </w:r>
            <w:r w:rsidRPr="005A615E">
              <w:t xml:space="preserve"> </w:t>
            </w:r>
            <w:r w:rsidRPr="005A615E">
              <w:rPr>
                <w:rFonts w:ascii="Times New Roman" w:hAnsi="Times New Roman"/>
                <w:b/>
                <w:sz w:val="24"/>
              </w:rPr>
              <w:t xml:space="preserve">Громадська </w:t>
            </w:r>
            <w:r w:rsidRPr="005A615E">
              <w:rPr>
                <w:rFonts w:ascii="Times New Roman" w:hAnsi="Times New Roman"/>
                <w:b/>
                <w:sz w:val="24"/>
              </w:rPr>
              <w:lastRenderedPageBreak/>
              <w:t>спілка «Розумні електромережі України»,</w:t>
            </w:r>
            <w:r w:rsidRPr="005A615E">
              <w:t xml:space="preserve"> </w:t>
            </w:r>
            <w:r w:rsidRPr="005A615E">
              <w:rPr>
                <w:rFonts w:ascii="Times New Roman" w:hAnsi="Times New Roman"/>
                <w:b/>
                <w:sz w:val="24"/>
              </w:rPr>
              <w:t>АТ «УКРАЇНСЬКІ РОЗПОДІЛЬНІ МЕРЕЖІ»,</w:t>
            </w:r>
            <w:r w:rsidRPr="005A615E">
              <w:t xml:space="preserve"> </w:t>
            </w:r>
            <w:r w:rsidRPr="005A615E">
              <w:rPr>
                <w:rFonts w:ascii="Times New Roman" w:hAnsi="Times New Roman"/>
                <w:b/>
                <w:sz w:val="24"/>
              </w:rPr>
              <w:t>АТ «Прикарпаттяобленерго»,</w:t>
            </w:r>
            <w:r w:rsidRPr="005A615E">
              <w:t xml:space="preserve"> </w:t>
            </w:r>
            <w:r w:rsidRPr="005A615E">
              <w:rPr>
                <w:rFonts w:ascii="Times New Roman" w:hAnsi="Times New Roman"/>
                <w:b/>
                <w:sz w:val="24"/>
              </w:rPr>
              <w:t xml:space="preserve">АТ «ХМЕЛЬНИЦЬКОБЛЕНЕРГО» </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 xml:space="preserve">Пропонується розділ 2 залишити в діючій редакції та не подавати додатки 36 та 37 – розрахунки  </w:t>
            </w:r>
            <w:r w:rsidRPr="005A615E">
              <w:rPr>
                <w:rFonts w:ascii="Times New Roman" w:hAnsi="Times New Roman"/>
                <w:bCs/>
              </w:rPr>
              <w:t xml:space="preserve">коригування необхідного доходу відповідно до даних виконання цільового завдання щодо досягнення показників комерційної якості надання послуг та проведення контрольних оглядів засобів комерційного обліку електричної енергії споживачів. В пропозиціях до п.5.20 </w:t>
            </w:r>
            <w:r w:rsidRPr="005A615E">
              <w:rPr>
                <w:rFonts w:ascii="Times New Roman" w:hAnsi="Times New Roman"/>
                <w:shd w:val="clear" w:color="auto" w:fill="FFFFFF"/>
              </w:rPr>
              <w:t>запропоновано виключити ці показники у зв’язку з тим, що вони  регулюються іншими постановами НКРЕКП. За недостовірність або порушення  передбачені штрафні санкції.</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Додаткова фіксація показників якості у нормативних документах інших документах НКРЕКП призведе до подвоєння штрафів за однакові порушення.</w:t>
            </w:r>
          </w:p>
          <w:p w:rsidR="00CF2AC1" w:rsidRPr="005A615E" w:rsidRDefault="00CF2AC1" w:rsidP="00CF2AC1">
            <w:pPr>
              <w:jc w:val="both"/>
              <w:rPr>
                <w:rFonts w:ascii="Times New Roman" w:hAnsi="Times New Roman"/>
                <w:shd w:val="clear" w:color="auto" w:fill="FFFFFF"/>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i/>
                <w:u w:val="single"/>
              </w:rPr>
              <w:t>Обгрунтування</w:t>
            </w:r>
            <w:r w:rsidRPr="005A615E">
              <w:rPr>
                <w:rFonts w:ascii="Times New Roman" w:hAnsi="Times New Roman"/>
                <w:b/>
                <w:sz w:val="24"/>
                <w:u w:val="single"/>
              </w:rPr>
              <w:t xml:space="preserve"> ПрАТ «Львівобленерго» </w:t>
            </w:r>
          </w:p>
          <w:p w:rsidR="00CF2AC1" w:rsidRPr="005A615E" w:rsidRDefault="00CF2AC1" w:rsidP="00CF2AC1">
            <w:pPr>
              <w:shd w:val="clear" w:color="auto" w:fill="FFFFFF"/>
              <w:ind w:firstLine="450"/>
              <w:jc w:val="both"/>
              <w:rPr>
                <w:rFonts w:ascii="Times New Roman" w:hAnsi="Times New Roman"/>
                <w:lang w:eastAsia="uk-UA"/>
              </w:rPr>
            </w:pPr>
            <w:r w:rsidRPr="005A615E">
              <w:rPr>
                <w:rFonts w:ascii="Times New Roman" w:hAnsi="Times New Roman"/>
              </w:rPr>
              <w:t xml:space="preserve">Пропонуємо </w:t>
            </w:r>
            <w:r w:rsidRPr="005A615E">
              <w:rPr>
                <w:rFonts w:ascii="Times New Roman" w:hAnsi="Times New Roman"/>
                <w:b/>
              </w:rPr>
              <w:t>не вводити</w:t>
            </w:r>
            <w:r w:rsidRPr="005A615E">
              <w:rPr>
                <w:rFonts w:ascii="Times New Roman" w:hAnsi="Times New Roman"/>
              </w:rPr>
              <w:t xml:space="preserve"> цільові показники комерційної якості послуг в частині  проведення контрольних оглядів вузлів обліку електричної енергії,</w:t>
            </w:r>
          </w:p>
          <w:p w:rsidR="00CF2AC1" w:rsidRPr="005A615E" w:rsidRDefault="00CF2AC1" w:rsidP="00CF2AC1">
            <w:pPr>
              <w:ind w:firstLine="433"/>
              <w:jc w:val="both"/>
              <w:rPr>
                <w:rFonts w:ascii="Times New Roman" w:hAnsi="Times New Roman"/>
              </w:rPr>
            </w:pPr>
            <w:r w:rsidRPr="005A615E">
              <w:rPr>
                <w:rFonts w:ascii="Times New Roman" w:hAnsi="Times New Roman"/>
              </w:rPr>
              <w:t xml:space="preserve">Згідно п. 6.5.2 Кодексу комерційного обліку електричної енергії (далі – ККОЕ), контрольний огляд вузлів обліку та схем їх підключення у споживачів проводиться у присутності споживача або іншої особи, що допустила представників оператора системи на об'єкт (територію) споживача для проведення перевірки (за умови посвідчення цієї особи). </w:t>
            </w:r>
          </w:p>
          <w:p w:rsidR="00CF2AC1" w:rsidRPr="005A615E" w:rsidRDefault="00CF2AC1" w:rsidP="00CF2AC1">
            <w:pPr>
              <w:ind w:firstLine="433"/>
              <w:jc w:val="both"/>
            </w:pPr>
            <w:r w:rsidRPr="005A615E">
              <w:rPr>
                <w:rFonts w:ascii="Times New Roman" w:hAnsi="Times New Roman"/>
              </w:rPr>
              <w:t xml:space="preserve">Пунктом 6.2.6 ККОЕ передбачено завчасне повідомлення та узгодження зі споживачем дати наступного візиту (для побутових споживачів передбачено період узгодження дати візиту до 2 розрахункових періодів). Відповідно, у випадку </w:t>
            </w:r>
            <w:r w:rsidRPr="005A615E">
              <w:rPr>
                <w:rFonts w:ascii="Times New Roman" w:hAnsi="Times New Roman"/>
              </w:rPr>
              <w:lastRenderedPageBreak/>
              <w:t xml:space="preserve">ненадання споживачем своєчасного доступу до вузла обліку для ОСР існує великий  ризик невчасного виконання контрольного огляду </w:t>
            </w:r>
            <w:r w:rsidRPr="005A615E">
              <w:rPr>
                <w:rFonts w:ascii="Times New Roman" w:hAnsi="Times New Roman"/>
                <w:b/>
              </w:rPr>
              <w:t>не з вини ОСР</w:t>
            </w:r>
            <w:r w:rsidRPr="005A615E">
              <w:rPr>
                <w:rFonts w:ascii="Times New Roman" w:hAnsi="Times New Roman"/>
              </w:rPr>
              <w:t xml:space="preserve">, та відповідно застосування до ОСР заходів матеріального впливу </w:t>
            </w:r>
            <w:r w:rsidRPr="005A615E">
              <w:rPr>
                <w:rFonts w:ascii="Times New Roman" w:hAnsi="Times New Roman"/>
                <w:b/>
              </w:rPr>
              <w:t>без вини ОСР</w:t>
            </w:r>
            <w:r w:rsidRPr="005A615E">
              <w:rPr>
                <w:rFonts w:ascii="Times New Roman" w:hAnsi="Times New Roman"/>
              </w:rPr>
              <w:t xml:space="preserve">. </w:t>
            </w:r>
          </w:p>
          <w:p w:rsidR="00CF2AC1" w:rsidRPr="005A615E" w:rsidRDefault="00CF2AC1" w:rsidP="00CF2AC1">
            <w:pPr>
              <w:ind w:firstLine="433"/>
              <w:jc w:val="both"/>
              <w:rPr>
                <w:rFonts w:ascii="Times New Roman" w:hAnsi="Times New Roman"/>
              </w:rPr>
            </w:pPr>
            <w:r w:rsidRPr="005A615E">
              <w:rPr>
                <w:rFonts w:ascii="Times New Roman" w:hAnsi="Times New Roman"/>
              </w:rPr>
              <w:t>Виконання робіт з контрольного огляду засобів обліку є необхідним у першу чергу для ОСР, оскільки виконання таких робіт дає змогу ОСР виявляти та усувати комерційну складову витрат електричної енергії (виявляти факти втручання у роботу електролічильників, виявляти непрацюючі чи пошкоджені електролічильники, виявляти приховані споживачами занижені показники лічильників, тощо).</w:t>
            </w:r>
          </w:p>
          <w:p w:rsidR="00CF2AC1" w:rsidRPr="005A615E" w:rsidRDefault="00CF2AC1" w:rsidP="00CF2AC1">
            <w:pPr>
              <w:jc w:val="both"/>
              <w:rPr>
                <w:rFonts w:ascii="Times New Roman" w:hAnsi="Times New Roman"/>
                <w:b/>
                <w:sz w:val="24"/>
                <w:u w:val="single"/>
              </w:rPr>
            </w:pPr>
            <w:r w:rsidRPr="005A615E">
              <w:rPr>
                <w:rFonts w:ascii="Times New Roman" w:hAnsi="Times New Roman"/>
              </w:rPr>
              <w:t xml:space="preserve">Невиконання чи невчасне виконання ОСР робіт з контрольного огляду засобів обліку жодним чином </w:t>
            </w:r>
            <w:r w:rsidRPr="005A615E">
              <w:rPr>
                <w:rFonts w:ascii="Times New Roman" w:hAnsi="Times New Roman"/>
                <w:b/>
              </w:rPr>
              <w:t>не порушує права споживача</w:t>
            </w:r>
          </w:p>
        </w:tc>
        <w:tc>
          <w:tcPr>
            <w:tcW w:w="3969" w:type="dxa"/>
            <w:gridSpan w:val="2"/>
          </w:tcPr>
          <w:p w:rsidR="00CF2AC1" w:rsidRPr="005A615E" w:rsidRDefault="00CF2AC1" w:rsidP="00CF2AC1">
            <w:pPr>
              <w:shd w:val="clear" w:color="auto" w:fill="FFFFFF"/>
              <w:jc w:val="both"/>
              <w:rPr>
                <w:rFonts w:ascii="Times New Roman" w:hAnsi="Times New Roman"/>
                <w:sz w:val="24"/>
              </w:rPr>
            </w:pPr>
            <w:r w:rsidRPr="005A615E">
              <w:rPr>
                <w:rFonts w:ascii="Times New Roman" w:hAnsi="Times New Roman"/>
                <w:sz w:val="24"/>
              </w:rPr>
              <w:lastRenderedPageBreak/>
              <w:t>Обговорення</w:t>
            </w:r>
          </w:p>
          <w:p w:rsidR="00CF2AC1" w:rsidRPr="005A615E" w:rsidRDefault="00CF2AC1" w:rsidP="00CF2AC1">
            <w:pPr>
              <w:rPr>
                <w:rFonts w:ascii="Times New Roman" w:hAnsi="Times New Roman"/>
                <w:b/>
                <w:sz w:val="24"/>
              </w:rPr>
            </w:pPr>
          </w:p>
        </w:tc>
      </w:tr>
      <w:tr w:rsidR="00CF2AC1" w:rsidRPr="005A615E" w:rsidTr="00A56FEE">
        <w:trPr>
          <w:trHeight w:val="285"/>
        </w:trPr>
        <w:tc>
          <w:tcPr>
            <w:tcW w:w="6232" w:type="dxa"/>
            <w:shd w:val="clear" w:color="auto" w:fill="auto"/>
          </w:tcPr>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lastRenderedPageBreak/>
              <w:t>5.1. Розрахунок прогнозованого необхідного доходу від здійснення діяльності з розподілу електричної енергії здійснюється щороку до початку кожного року регуляторного періоду на цей та всі наступні роки цього регуляторного періоду з урахуванням:</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1) встановлених НКРЕКП параметрів регулювання, що мають довгостроковий строк дії, які  є незмінними протягом першого регуляторного періоду (крім випадків зміни параметрів, що є необхідним в умовах воєнного стану):</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визначена на дату переходу до стимулюючого регулювання;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загального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індивідуального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цільових показників якості послуг;</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lastRenderedPageBreak/>
              <w:t>коефіцієнта поправки на зміну кількості умовних одиниць обладнання;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параметра коригування необхідного доходу за недотримання цільових показників якості послуг;</w:t>
            </w:r>
          </w:p>
          <w:p w:rsidR="00CF2AC1" w:rsidRPr="005A615E" w:rsidRDefault="00CF2AC1" w:rsidP="00CF2AC1">
            <w:pPr>
              <w:shd w:val="clear" w:color="auto" w:fill="FFFFFF"/>
              <w:ind w:firstLine="180"/>
              <w:jc w:val="both"/>
              <w:rPr>
                <w:rFonts w:ascii="Times New Roman" w:hAnsi="Times New Roman"/>
                <w:sz w:val="18"/>
                <w:lang w:eastAsia="uk-UA"/>
              </w:rPr>
            </w:pPr>
          </w:p>
          <w:p w:rsidR="00CF2AC1" w:rsidRPr="005A615E" w:rsidRDefault="00CF2AC1" w:rsidP="00CF2AC1">
            <w:pPr>
              <w:shd w:val="clear" w:color="auto" w:fill="FFFFFF"/>
              <w:ind w:firstLine="173"/>
              <w:jc w:val="both"/>
              <w:rPr>
                <w:rFonts w:ascii="Times New Roman" w:hAnsi="Times New Roman"/>
                <w:lang w:eastAsia="uk-UA"/>
              </w:rPr>
            </w:pPr>
            <w:r w:rsidRPr="005A615E">
              <w:rPr>
                <w:rFonts w:ascii="Times New Roman" w:hAnsi="Times New Roman"/>
                <w:lang w:eastAsia="uk-UA"/>
              </w:rPr>
              <w:t>…</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lastRenderedPageBreak/>
              <w:t xml:space="preserve">ГО «Перша енергетична рада» (лист </w:t>
            </w:r>
            <w:r w:rsidRPr="005A615E">
              <w:rPr>
                <w:rFonts w:ascii="Times New Roman" w:hAnsi="Times New Roman"/>
                <w:b/>
                <w:sz w:val="24"/>
                <w:u w:val="single"/>
              </w:rPr>
              <w:br/>
              <w:t>від 20.07.2026 № 28/01)</w:t>
            </w:r>
          </w:p>
          <w:p w:rsidR="00CF2AC1" w:rsidRPr="005A615E" w:rsidRDefault="00CF2AC1" w:rsidP="00CF2AC1">
            <w:pPr>
              <w:shd w:val="clear" w:color="auto" w:fill="FFFFFF"/>
              <w:spacing w:after="150"/>
              <w:ind w:firstLine="180"/>
              <w:jc w:val="both"/>
              <w:rPr>
                <w:rFonts w:ascii="Times New Roman" w:hAnsi="Times New Roman"/>
                <w:lang w:eastAsia="uk-UA"/>
              </w:rPr>
            </w:pPr>
            <w:r w:rsidRPr="005A615E">
              <w:rPr>
                <w:rFonts w:ascii="Times New Roman" w:hAnsi="Times New Roman"/>
                <w:lang w:eastAsia="uk-UA"/>
              </w:rPr>
              <w:t>5.1. Розрахунок прогнозованого необхідного доходу від здійснення діяльності з розподілу електричної енергії здійснюється щороку до початку кожного року регуляторного періоду на цей та всі наступні роки цього регуляторного періоду з урахуванням:</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 xml:space="preserve">1) встановлених НКРЕКП параметрів регулювання, що мають довгостроковий строк дії, які  є незмінними протягом </w:t>
            </w:r>
            <w:r w:rsidRPr="005A615E">
              <w:rPr>
                <w:rFonts w:ascii="Times New Roman" w:hAnsi="Times New Roman"/>
                <w:bCs/>
                <w:lang w:eastAsia="uk-UA"/>
              </w:rPr>
              <w:t>цього</w:t>
            </w:r>
            <w:r w:rsidRPr="005A615E">
              <w:rPr>
                <w:rFonts w:ascii="Times New Roman" w:hAnsi="Times New Roman"/>
                <w:lang w:eastAsia="uk-UA"/>
              </w:rPr>
              <w:t xml:space="preserve"> регуляторного періоду (крім випадків зміни параметрів, що є необхідним в умовах воєнного стану):</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визначена на дату переходу до стимулюючого регулювання;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lastRenderedPageBreak/>
              <w:t>загального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індивідуального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цільових показників якості послуг;</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коефіцієнта поправки на зміну кількості умовних одиниць обладнання;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параметра коригування необхідного доходу за недотримання цільових показників якості послуг;</w:t>
            </w:r>
          </w:p>
          <w:p w:rsidR="00CF2AC1" w:rsidRPr="005A615E" w:rsidRDefault="00CF2AC1" w:rsidP="00CF2AC1">
            <w:pPr>
              <w:shd w:val="clear" w:color="auto" w:fill="FFFFFF"/>
              <w:ind w:firstLine="180"/>
              <w:jc w:val="both"/>
              <w:rPr>
                <w:rFonts w:ascii="Times New Roman" w:hAnsi="Times New Roman"/>
                <w:lang w:eastAsia="uk-UA"/>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b/>
                <w:sz w:val="24"/>
                <w:u w:val="single"/>
              </w:rPr>
            </w:pPr>
            <w:r w:rsidRPr="005A615E">
              <w:rPr>
                <w:rFonts w:ascii="Times New Roman" w:hAnsi="Times New Roman"/>
              </w:rPr>
              <w:t>При розрахунку необхідного доходу за кожний регуляторний період мають враховуватись параметри регулювання встановлені для цього регуляторного періоду.</w:t>
            </w:r>
          </w:p>
        </w:tc>
        <w:tc>
          <w:tcPr>
            <w:tcW w:w="3969" w:type="dxa"/>
            <w:gridSpan w:val="2"/>
          </w:tcPr>
          <w:p w:rsidR="00FB759B" w:rsidRPr="005A615E" w:rsidRDefault="00FB759B" w:rsidP="00FB759B">
            <w:pPr>
              <w:rPr>
                <w:rFonts w:ascii="Times New Roman" w:hAnsi="Times New Roman"/>
                <w:b/>
                <w:sz w:val="24"/>
              </w:rPr>
            </w:pPr>
            <w:r w:rsidRPr="005A615E">
              <w:rPr>
                <w:rFonts w:ascii="Times New Roman" w:hAnsi="Times New Roman"/>
                <w:b/>
                <w:sz w:val="24"/>
              </w:rPr>
              <w:lastRenderedPageBreak/>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widowControl w:val="0"/>
              <w:spacing w:line="257" w:lineRule="auto"/>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rPr>
          <w:trHeight w:val="285"/>
        </w:trPr>
        <w:tc>
          <w:tcPr>
            <w:tcW w:w="6232" w:type="dxa"/>
            <w:shd w:val="clear" w:color="auto" w:fill="auto"/>
          </w:tcPr>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5.1. Розрахунок прогнозованого необхідного доходу від здійснення діяльності з розподілу електричної енергії здійснюється щороку до початку кожного року регуляторного періоду на цей та всі наступні роки цього регуляторного періоду з урахуванням:</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2) встановлених НКРЕКП параметрів регулювання, що мають довгостроковий строк дії, починаючи з другого регуляторного періоду:</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визначена на дату переходу до стимулюючого регулювання;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загального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індивідуального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цільових показників якості послуг;</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цільових показників комерційної якості послуг;</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lastRenderedPageBreak/>
              <w:t>коефіцієнта поправки на зміну кількості умовних одиниць обладнання;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параметра коригування необхідного доходу за недотримання цільових показників якості послуг;</w:t>
            </w:r>
          </w:p>
          <w:p w:rsidR="00CF2AC1" w:rsidRPr="005A615E" w:rsidRDefault="00CF2AC1" w:rsidP="00CF2AC1">
            <w:pPr>
              <w:shd w:val="clear" w:color="auto" w:fill="FFFFFF"/>
              <w:ind w:firstLine="180"/>
              <w:jc w:val="both"/>
              <w:rPr>
                <w:rFonts w:ascii="Times New Roman" w:hAnsi="Times New Roman"/>
                <w:lang w:eastAsia="ru-RU"/>
              </w:rPr>
            </w:pPr>
            <w:r w:rsidRPr="005A615E">
              <w:rPr>
                <w:rFonts w:ascii="Times New Roman" w:hAnsi="Times New Roman"/>
                <w:lang w:eastAsia="uk-UA"/>
              </w:rPr>
              <w:t>параметрів коригування необхідного доходу за недотримання цільових значень показників комерційної якості надання послуг;</w:t>
            </w: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lang w:eastAsia="uk-UA"/>
              </w:rPr>
              <w:t>…</w:t>
            </w:r>
          </w:p>
        </w:tc>
        <w:tc>
          <w:tcPr>
            <w:tcW w:w="5387" w:type="dxa"/>
          </w:tcPr>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lastRenderedPageBreak/>
              <w:t xml:space="preserve">ГО «Перша енергетична рада» (лист </w:t>
            </w:r>
            <w:r w:rsidRPr="005A615E">
              <w:rPr>
                <w:rFonts w:ascii="Times New Roman" w:hAnsi="Times New Roman"/>
                <w:b/>
                <w:sz w:val="24"/>
                <w:u w:val="single"/>
              </w:rPr>
              <w:br/>
              <w:t>від 20.07.2026 № 28/01), АТ «Харківобленерго» (лист від 27.07.2026 № 02-34/7102), АТ«ХМЕЛЬНИЦЬКОБЛЕНЕРГО»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jc w:val="both"/>
              <w:rPr>
                <w:rFonts w:ascii="Times New Roman" w:hAnsi="Times New Roman"/>
                <w:b/>
                <w:sz w:val="24"/>
                <w:u w:val="single"/>
              </w:rPr>
            </w:pPr>
          </w:p>
          <w:p w:rsidR="00CF2AC1" w:rsidRPr="005A615E" w:rsidRDefault="00CF2AC1" w:rsidP="00CF2AC1">
            <w:pPr>
              <w:shd w:val="clear" w:color="auto" w:fill="FFFFFF"/>
              <w:ind w:firstLine="181"/>
              <w:jc w:val="both"/>
              <w:rPr>
                <w:rFonts w:ascii="Times New Roman" w:hAnsi="Times New Roman"/>
                <w:lang w:eastAsia="uk-UA"/>
              </w:rPr>
            </w:pPr>
            <w:r w:rsidRPr="005A615E">
              <w:rPr>
                <w:rFonts w:ascii="Times New Roman" w:hAnsi="Times New Roman"/>
                <w:lang w:eastAsia="uk-UA"/>
              </w:rPr>
              <w:t>5.1. Розрахунок прогнозованого необхідного доходу від здійснення діяльності з розподілу електричної енергії здійснюється щороку до початку кожного року регуляторного періоду на цей та всі наступні роки цього регуляторного періоду з урахуванням:</w:t>
            </w:r>
          </w:p>
          <w:p w:rsidR="00CF2AC1" w:rsidRPr="005A615E" w:rsidRDefault="00CF2AC1" w:rsidP="00CF2AC1">
            <w:pPr>
              <w:shd w:val="clear" w:color="auto" w:fill="FFFFFF"/>
              <w:ind w:firstLine="181"/>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ind w:firstLine="181"/>
              <w:jc w:val="both"/>
              <w:rPr>
                <w:rFonts w:ascii="Times New Roman" w:hAnsi="Times New Roman"/>
                <w:lang w:eastAsia="uk-UA"/>
              </w:rPr>
            </w:pPr>
            <w:r w:rsidRPr="005A615E">
              <w:rPr>
                <w:rFonts w:ascii="Times New Roman" w:hAnsi="Times New Roman"/>
                <w:lang w:eastAsia="uk-UA"/>
              </w:rPr>
              <w:t>2) встановлених НКРЕКП параметрів регулювання, що мають довгостроковий строк дії, починаючи з другого регуляторного періоду:</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lastRenderedPageBreak/>
              <w:t>регуляторної норми доходу для регуляторної бази активів, яка визначена на дату переходу до стимулюючого регулювання;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загального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індивідуального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цільових показників якості послуг;</w:t>
            </w:r>
          </w:p>
          <w:p w:rsidR="00CF2AC1" w:rsidRPr="005A615E" w:rsidRDefault="00CF2AC1" w:rsidP="00CF2AC1">
            <w:pPr>
              <w:shd w:val="clear" w:color="auto" w:fill="FFFFFF"/>
              <w:ind w:firstLine="180"/>
              <w:jc w:val="both"/>
              <w:rPr>
                <w:rFonts w:ascii="Times New Roman" w:hAnsi="Times New Roman"/>
                <w:strike/>
                <w:lang w:eastAsia="uk-UA"/>
              </w:rPr>
            </w:pPr>
            <w:r w:rsidRPr="005A615E">
              <w:rPr>
                <w:rFonts w:ascii="Times New Roman" w:hAnsi="Times New Roman"/>
                <w:strike/>
                <w:lang w:eastAsia="uk-UA"/>
              </w:rPr>
              <w:t>цільових показників комерційної якості послуг;</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коефіцієнта поправки на зміну кількості умовних одиниць обладнання;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параметра коригування необхідного доходу за недотримання цільових показників якості послуг;</w:t>
            </w:r>
          </w:p>
          <w:p w:rsidR="00CF2AC1" w:rsidRPr="005A615E" w:rsidRDefault="00CF2AC1" w:rsidP="00CF2AC1">
            <w:pPr>
              <w:shd w:val="clear" w:color="auto" w:fill="FFFFFF"/>
              <w:ind w:firstLine="180"/>
              <w:jc w:val="both"/>
              <w:rPr>
                <w:rFonts w:ascii="Times New Roman" w:hAnsi="Times New Roman"/>
                <w:strike/>
                <w:lang w:eastAsia="ru-RU"/>
              </w:rPr>
            </w:pPr>
            <w:r w:rsidRPr="005A615E">
              <w:rPr>
                <w:rFonts w:ascii="Times New Roman" w:hAnsi="Times New Roman"/>
                <w:strike/>
                <w:lang w:eastAsia="uk-UA"/>
              </w:rPr>
              <w:t>параметрів коригування необхідного доходу за недотримання цільових значень показників комерційної якості надання послуг;</w:t>
            </w:r>
          </w:p>
          <w:p w:rsidR="00CF2AC1" w:rsidRPr="005A615E" w:rsidRDefault="00CF2AC1" w:rsidP="00CF2AC1">
            <w:pPr>
              <w:jc w:val="both"/>
              <w:rPr>
                <w:rFonts w:ascii="Times New Roman" w:hAnsi="Times New Roman"/>
                <w:b/>
                <w:sz w:val="24"/>
                <w:u w:val="single"/>
              </w:rPr>
            </w:pPr>
            <w:r w:rsidRPr="005A615E">
              <w:rPr>
                <w:lang w:eastAsia="uk-UA"/>
              </w:rPr>
              <w:t>…</w:t>
            </w: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Запровадження цільових показників якості послуг наразі вбачається недоречним:</w:t>
            </w:r>
          </w:p>
          <w:p w:rsidR="00CF2AC1" w:rsidRPr="005A615E" w:rsidRDefault="00CF2AC1" w:rsidP="00CF2AC1">
            <w:pPr>
              <w:jc w:val="both"/>
              <w:rPr>
                <w:rFonts w:ascii="Times New Roman" w:hAnsi="Times New Roman"/>
              </w:rPr>
            </w:pPr>
            <w:r w:rsidRPr="005A615E">
              <w:rPr>
                <w:rFonts w:ascii="Times New Roman" w:hAnsi="Times New Roman"/>
              </w:rPr>
              <w:t xml:space="preserve"> - більшість з показників не входить до  переліку чинних показників якості послуг; </w:t>
            </w:r>
          </w:p>
          <w:p w:rsidR="00CF2AC1" w:rsidRPr="005A615E" w:rsidRDefault="00CF2AC1" w:rsidP="00CF2AC1">
            <w:pPr>
              <w:jc w:val="both"/>
              <w:rPr>
                <w:rFonts w:ascii="Times New Roman" w:hAnsi="Times New Roman"/>
              </w:rPr>
            </w:pPr>
            <w:r w:rsidRPr="005A615E">
              <w:rPr>
                <w:rFonts w:ascii="Times New Roman" w:hAnsi="Times New Roman"/>
              </w:rPr>
              <w:t xml:space="preserve"> - по двох показниках ОСР виплачують індивідуальні компенсації споживачам. Крім того, за порушення показників якості послуг на ОСР Регулятором накладаються штрафні санкції, відповідно матимуть місце подвійні/ потрійні фінансові санкції на ОСР за одні й ті самі порушення;</w:t>
            </w:r>
          </w:p>
          <w:p w:rsidR="00CF2AC1" w:rsidRPr="005A615E" w:rsidRDefault="00CF2AC1" w:rsidP="00CF2AC1">
            <w:pPr>
              <w:jc w:val="both"/>
              <w:rPr>
                <w:rFonts w:ascii="Times New Roman" w:hAnsi="Times New Roman"/>
              </w:rPr>
            </w:pPr>
            <w:r w:rsidRPr="005A615E">
              <w:rPr>
                <w:rFonts w:ascii="Times New Roman" w:hAnsi="Times New Roman"/>
              </w:rPr>
              <w:t xml:space="preserve"> - досяжність більшості з цільових показників є сумнівною, особливо в умовах військового стану і за відсутності можливості залучення нових інвестицій.</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«УКРАЇНСЬКІ РОЗПОДІЛЬНІ МЕРЕЖІ» (лист від 27.07.2026 № 27/07/26-2), АТ «Прикарпаттяобленерго» (лист </w:t>
            </w:r>
            <w:r w:rsidRPr="005A615E">
              <w:rPr>
                <w:rFonts w:ascii="Times New Roman" w:hAnsi="Times New Roman"/>
                <w:b/>
                <w:sz w:val="24"/>
                <w:u w:val="single"/>
              </w:rPr>
              <w:br/>
              <w:t>від 27.07.2026 № 50012257/12)</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2) встановлених НКРЕКП параметрів регулювання, що мають довгостроковий строк дії, починаючи з другого регуляторного періоду:</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визначена на дату переходу до стимулюючого регулювання;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загального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b/>
                <w:u w:val="single"/>
                <w:lang w:eastAsia="uk-UA"/>
              </w:rPr>
            </w:pPr>
            <w:r w:rsidRPr="005A615E">
              <w:rPr>
                <w:rFonts w:ascii="Times New Roman" w:hAnsi="Times New Roman"/>
                <w:lang w:eastAsia="uk-UA"/>
              </w:rPr>
              <w:t xml:space="preserve">індивідуального показника ефективності для контрольованих операційних витрат </w:t>
            </w:r>
            <w:r w:rsidRPr="005A615E">
              <w:rPr>
                <w:rFonts w:ascii="Times New Roman" w:hAnsi="Times New Roman"/>
                <w:b/>
                <w:u w:val="single"/>
                <w:lang w:eastAsia="uk-UA"/>
              </w:rPr>
              <w:t xml:space="preserve">(з третього року другого регуляторного періоду після проведення бенчмарку) </w:t>
            </w:r>
          </w:p>
          <w:p w:rsidR="00CF2AC1" w:rsidRPr="005A615E" w:rsidRDefault="00CF2AC1" w:rsidP="00CF2AC1">
            <w:pPr>
              <w:shd w:val="clear" w:color="auto" w:fill="FFFFFF"/>
              <w:ind w:firstLine="181"/>
              <w:jc w:val="both"/>
              <w:rPr>
                <w:rFonts w:ascii="Times New Roman" w:hAnsi="Times New Roman"/>
                <w:lang w:eastAsia="uk-UA"/>
              </w:rPr>
            </w:pPr>
            <w:r w:rsidRPr="005A615E">
              <w:rPr>
                <w:rFonts w:ascii="Times New Roman" w:hAnsi="Times New Roman"/>
                <w:lang w:eastAsia="uk-UA"/>
              </w:rPr>
              <w:t>цільових показників якості послуг;</w:t>
            </w:r>
          </w:p>
          <w:p w:rsidR="00CF2AC1" w:rsidRPr="005A615E" w:rsidRDefault="00CF2AC1" w:rsidP="00CF2AC1">
            <w:pPr>
              <w:shd w:val="clear" w:color="auto" w:fill="FFFFFF"/>
              <w:ind w:firstLine="180"/>
              <w:jc w:val="both"/>
              <w:rPr>
                <w:rFonts w:ascii="Times New Roman" w:hAnsi="Times New Roman"/>
                <w:strike/>
                <w:lang w:eastAsia="uk-UA"/>
              </w:rPr>
            </w:pPr>
            <w:r w:rsidRPr="005A615E">
              <w:rPr>
                <w:rFonts w:ascii="Times New Roman" w:hAnsi="Times New Roman"/>
                <w:strike/>
                <w:lang w:eastAsia="uk-UA"/>
              </w:rPr>
              <w:t>цільових показників комерційної якості послуг;</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коефіцієнта поправки на зміну кількості умовних одиниць обладнання;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параметра коригування необхідного доходу за недотримання цільових показників якості послуг;</w:t>
            </w:r>
          </w:p>
          <w:p w:rsidR="00CF2AC1" w:rsidRPr="005A615E" w:rsidRDefault="00CF2AC1" w:rsidP="00CF2AC1">
            <w:pPr>
              <w:shd w:val="clear" w:color="auto" w:fill="FFFFFF"/>
              <w:ind w:firstLine="180"/>
              <w:jc w:val="both"/>
              <w:rPr>
                <w:rFonts w:ascii="Times New Roman" w:hAnsi="Times New Roman"/>
                <w:strike/>
                <w:lang w:eastAsia="uk-UA"/>
              </w:rPr>
            </w:pPr>
            <w:r w:rsidRPr="005A615E">
              <w:rPr>
                <w:rFonts w:ascii="Times New Roman" w:hAnsi="Times New Roman"/>
                <w:strike/>
                <w:lang w:eastAsia="uk-UA"/>
              </w:rPr>
              <w:t>параметрів коригування необхідного доходу за недотримання цільових значень показників комерційної якості надання послуг;</w:t>
            </w:r>
          </w:p>
          <w:p w:rsidR="00CF2AC1" w:rsidRPr="005A615E" w:rsidRDefault="00CF2AC1" w:rsidP="00CF2AC1">
            <w:pPr>
              <w:rPr>
                <w:b/>
                <w:i/>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b/>
                <w:lang w:eastAsia="uk-UA"/>
              </w:rPr>
            </w:pPr>
            <w:r w:rsidRPr="005A615E">
              <w:rPr>
                <w:rFonts w:ascii="Times New Roman" w:hAnsi="Times New Roman"/>
                <w:b/>
                <w:lang w:eastAsia="uk-UA"/>
              </w:rPr>
              <w:t xml:space="preserve">Пропонується вилучити </w:t>
            </w:r>
            <w:r w:rsidRPr="005A615E">
              <w:rPr>
                <w:rFonts w:ascii="Times New Roman" w:hAnsi="Times New Roman"/>
              </w:rPr>
              <w:t xml:space="preserve">в зв’язку з  пропозицією до проекту постанови № 1009 не вводити додаткові </w:t>
            </w:r>
            <w:r w:rsidRPr="005A615E">
              <w:rPr>
                <w:rFonts w:ascii="Times New Roman" w:hAnsi="Times New Roman"/>
                <w:bCs/>
              </w:rPr>
              <w:t xml:space="preserve"> цільові показники комерційної якості послуг</w:t>
            </w:r>
            <w:r w:rsidRPr="005A615E">
              <w:rPr>
                <w:rFonts w:ascii="Times New Roman" w:hAnsi="Times New Roman"/>
              </w:rPr>
              <w:t xml:space="preserve">, оскільки їх виконання та штрафні санкції за недотримання і виплата компенсацій споживачам </w:t>
            </w:r>
            <w:r w:rsidRPr="005A615E">
              <w:rPr>
                <w:rFonts w:ascii="Times New Roman" w:hAnsi="Times New Roman"/>
                <w:shd w:val="clear" w:color="auto" w:fill="FFFFFF"/>
              </w:rPr>
              <w:t>регулюються іншими постановами НКРЕКП.</w:t>
            </w:r>
          </w:p>
          <w:p w:rsidR="00CF2AC1" w:rsidRPr="005A615E" w:rsidRDefault="00CF2AC1" w:rsidP="00CF2AC1">
            <w:pPr>
              <w:shd w:val="clear" w:color="auto" w:fill="FFFFFF"/>
              <w:ind w:firstLine="180"/>
              <w:jc w:val="both"/>
              <w:rPr>
                <w:rFonts w:ascii="Times New Roman" w:hAnsi="Times New Roman"/>
                <w:strike/>
                <w:lang w:eastAsia="ru-RU"/>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5.1. Розрахунок прогнозованого необхідного доходу від здійснення діяльності з розподілу електричної енергії здійснюється щороку до початку кожного року регуляторного періоду на цей та всі наступні роки цього регуляторного періоду з урахуванням:</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2) встановлених НКРЕКП параметрів регулювання, що мають довгостроковий строк дії, починаючи з другого регуляторного періоду:</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визначена на дату переходу до стимулюючого регулювання;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загального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індивідуального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цільових показників якості послуг;</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цільових показників комерційної якості послуг;</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коефіцієнта поправки на зміну кількості умовних одиниць обладнання;</w:t>
            </w:r>
          </w:p>
          <w:p w:rsidR="00CF2AC1" w:rsidRPr="005A615E" w:rsidRDefault="00CF2AC1" w:rsidP="00CF2AC1">
            <w:pPr>
              <w:shd w:val="clear" w:color="auto" w:fill="FFFFFF"/>
              <w:ind w:firstLine="180"/>
              <w:jc w:val="both"/>
              <w:rPr>
                <w:rFonts w:ascii="Times New Roman" w:hAnsi="Times New Roman"/>
                <w:b/>
                <w:strike/>
                <w:lang w:eastAsia="uk-UA"/>
              </w:rPr>
            </w:pPr>
            <w:r w:rsidRPr="005A615E">
              <w:rPr>
                <w:rFonts w:ascii="Times New Roman" w:hAnsi="Times New Roman"/>
                <w:b/>
                <w:strike/>
                <w:lang w:eastAsia="uk-UA"/>
              </w:rPr>
              <w:t>параметра коригування необхідного доходу за недотримання цільових показників якості послуг;</w:t>
            </w:r>
          </w:p>
          <w:p w:rsidR="00CF2AC1" w:rsidRPr="005A615E" w:rsidRDefault="00CF2AC1" w:rsidP="00CF2AC1">
            <w:pPr>
              <w:shd w:val="clear" w:color="auto" w:fill="FFFFFF"/>
              <w:ind w:firstLine="180"/>
              <w:jc w:val="both"/>
              <w:rPr>
                <w:rFonts w:ascii="Times New Roman" w:hAnsi="Times New Roman"/>
              </w:rPr>
            </w:pPr>
            <w:r w:rsidRPr="005A615E">
              <w:rPr>
                <w:rFonts w:ascii="Times New Roman" w:hAnsi="Times New Roman"/>
                <w:lang w:eastAsia="uk-UA"/>
              </w:rPr>
              <w:t>параметрів коригування необхідного доходу за недотримання цільових значень показників комерційної якості надання послуг;</w:t>
            </w:r>
          </w:p>
          <w:p w:rsidR="00CF2AC1" w:rsidRPr="005A615E" w:rsidRDefault="00CF2AC1" w:rsidP="00CF2AC1">
            <w:pPr>
              <w:jc w:val="both"/>
              <w:rPr>
                <w:rFonts w:ascii="Times New Roman" w:hAnsi="Times New Roman"/>
                <w:b/>
                <w:sz w:val="24"/>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uppressAutoHyphens/>
              <w:ind w:firstLine="510"/>
              <w:jc w:val="both"/>
              <w:rPr>
                <w:rFonts w:ascii="Times New Roman" w:hAnsi="Times New Roman"/>
                <w:b/>
                <w:u w:val="single"/>
              </w:rPr>
            </w:pPr>
            <w:r w:rsidRPr="005A615E">
              <w:rPr>
                <w:rFonts w:ascii="Times New Roman" w:hAnsi="Times New Roman"/>
                <w:lang w:eastAsia="ar-SA"/>
              </w:rPr>
              <w:t xml:space="preserve">Зазначаємо, що у відповідності до постанови НКРЕКП від </w:t>
            </w:r>
            <w:r w:rsidRPr="005A615E">
              <w:rPr>
                <w:rFonts w:ascii="Times New Roman" w:hAnsi="Times New Roman"/>
                <w:b/>
                <w:bCs/>
                <w:shd w:val="clear" w:color="auto" w:fill="FFFFFF"/>
              </w:rPr>
              <w:t>12.06.2018  № 375 п.2.5 Розділу 2 вже</w:t>
            </w:r>
            <w:r w:rsidRPr="005A615E">
              <w:rPr>
                <w:rFonts w:ascii="Times New Roman" w:hAnsi="Times New Roman"/>
              </w:rPr>
              <w:t xml:space="preserve"> передбачено дієвий механізм фінансової відповідальності Ліцензіата</w:t>
            </w:r>
            <w:r w:rsidRPr="005A615E">
              <w:rPr>
                <w:rFonts w:ascii="Times New Roman" w:hAnsi="Times New Roman"/>
                <w:b/>
                <w:bCs/>
                <w:shd w:val="clear" w:color="auto" w:fill="FFFFFF"/>
              </w:rPr>
              <w:t xml:space="preserve"> за неотримання термінів </w:t>
            </w:r>
            <w:r w:rsidRPr="005A615E">
              <w:rPr>
                <w:rFonts w:ascii="Times New Roman" w:hAnsi="Times New Roman"/>
              </w:rPr>
              <w:t xml:space="preserve">усунення причин недотримання показників якості електричної енергії. Притягнення Ліцензіата ОСР до відповідальності за недотримання термінів усунення причин незадовільної якості напруги двічі є неправомірним та таким, що не відповідає принципу правової визначеності та заборони </w:t>
            </w:r>
            <w:r w:rsidRPr="005A615E">
              <w:rPr>
                <w:rFonts w:ascii="Times New Roman" w:hAnsi="Times New Roman"/>
                <w:b/>
                <w:u w:val="single"/>
              </w:rPr>
              <w:t xml:space="preserve">подвійної відповідальності за одне й те саме порушення. </w:t>
            </w:r>
          </w:p>
          <w:p w:rsidR="00CF2AC1" w:rsidRPr="005A615E" w:rsidRDefault="00CF2AC1" w:rsidP="00CF2AC1">
            <w:pPr>
              <w:suppressAutoHyphens/>
              <w:jc w:val="both"/>
              <w:rPr>
                <w:rFonts w:ascii="Times New Roman" w:hAnsi="Times New Roman"/>
              </w:rPr>
            </w:pPr>
            <w:r w:rsidRPr="005A615E">
              <w:rPr>
                <w:rFonts w:ascii="Times New Roman" w:hAnsi="Times New Roman"/>
              </w:rPr>
              <w:t>Вимога щодо застосування повторних санкцій є необґрунтованою, оскільки фінансова відповідальність Ліцензіата перед споживачем вже врегульована нормами Постанови.</w:t>
            </w:r>
          </w:p>
          <w:p w:rsidR="00CF2AC1" w:rsidRPr="005A615E" w:rsidRDefault="00CF2AC1" w:rsidP="00CF2AC1">
            <w:pPr>
              <w:suppressAutoHyphens/>
              <w:jc w:val="both"/>
              <w:rPr>
                <w:rFonts w:ascii="Times New Roman" w:hAnsi="Times New Roman"/>
                <w:strike/>
                <w:lang w:eastAsia="ru-RU"/>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5.1. Розрахунок прогнозованого необхідного доходу від здійснення діяльності з розподілу електричної енергії здійснюється щороку до початку кожного року регуляторного періоду на цей та всі наступні роки цього регуляторного періоду з урахуванням:</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2) встановлених НКРЕКП параметрів регулювання, що мають довгостроковий строк дії, починаючи з другого регуляторного періоду:</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визначена на дату переходу до стимулюючого регулювання;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загального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індивідуального показника ефективності для контрольованих операційних витрат;</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цільових показників якості послуг;</w:t>
            </w:r>
          </w:p>
          <w:p w:rsidR="00CF2AC1" w:rsidRPr="005A615E" w:rsidRDefault="00CF2AC1" w:rsidP="00CF2AC1">
            <w:pPr>
              <w:shd w:val="clear" w:color="auto" w:fill="FFFFFF"/>
              <w:ind w:firstLine="180"/>
              <w:jc w:val="both"/>
              <w:rPr>
                <w:rFonts w:ascii="Times New Roman" w:hAnsi="Times New Roman"/>
                <w:b/>
                <w:strike/>
                <w:lang w:eastAsia="uk-UA"/>
              </w:rPr>
            </w:pPr>
            <w:r w:rsidRPr="005A615E">
              <w:rPr>
                <w:rFonts w:ascii="Times New Roman" w:hAnsi="Times New Roman"/>
                <w:b/>
                <w:strike/>
                <w:lang w:eastAsia="uk-UA"/>
              </w:rPr>
              <w:t>цільових показників комерційної якості послуг;</w:t>
            </w:r>
          </w:p>
          <w:p w:rsidR="00CF2AC1" w:rsidRPr="005A615E" w:rsidRDefault="00CF2AC1" w:rsidP="00CF2AC1">
            <w:pPr>
              <w:shd w:val="clear" w:color="auto" w:fill="FFFFFF"/>
              <w:ind w:firstLine="180"/>
              <w:jc w:val="both"/>
              <w:rPr>
                <w:rFonts w:ascii="Times New Roman" w:hAnsi="Times New Roman"/>
                <w:b/>
                <w:strike/>
                <w:lang w:eastAsia="uk-UA"/>
              </w:rPr>
            </w:pPr>
            <w:r w:rsidRPr="005A615E">
              <w:rPr>
                <w:rFonts w:ascii="Times New Roman" w:hAnsi="Times New Roman"/>
                <w:b/>
                <w:strike/>
                <w:lang w:eastAsia="uk-UA"/>
              </w:rPr>
              <w:t>коефіцієнта поправки на зміну кількості умовних одиниць обладнання;</w:t>
            </w:r>
          </w:p>
          <w:p w:rsidR="00CF2AC1" w:rsidRPr="005A615E" w:rsidRDefault="00CF2AC1" w:rsidP="00CF2AC1">
            <w:pPr>
              <w:shd w:val="clear" w:color="auto" w:fill="FFFFFF"/>
              <w:ind w:firstLine="180"/>
              <w:jc w:val="both"/>
              <w:rPr>
                <w:rFonts w:ascii="Times New Roman" w:hAnsi="Times New Roman"/>
                <w:b/>
                <w:strike/>
                <w:lang w:eastAsia="uk-UA"/>
              </w:rPr>
            </w:pPr>
            <w:r w:rsidRPr="005A615E">
              <w:rPr>
                <w:rFonts w:ascii="Times New Roman" w:hAnsi="Times New Roman"/>
                <w:b/>
                <w:strike/>
                <w:lang w:eastAsia="uk-UA"/>
              </w:rPr>
              <w:t>параметра коригування необхідного доходу за недотримання цільових показників якості послуг;</w:t>
            </w:r>
          </w:p>
          <w:p w:rsidR="00CF2AC1" w:rsidRPr="005A615E" w:rsidRDefault="00CF2AC1" w:rsidP="00CF2AC1">
            <w:pPr>
              <w:shd w:val="clear" w:color="auto" w:fill="FFFFFF"/>
              <w:ind w:firstLine="180"/>
              <w:jc w:val="both"/>
              <w:rPr>
                <w:rFonts w:ascii="Times New Roman" w:hAnsi="Times New Roman"/>
                <w:b/>
                <w:strike/>
                <w:lang w:eastAsia="uk-UA"/>
              </w:rPr>
            </w:pPr>
            <w:r w:rsidRPr="005A615E">
              <w:rPr>
                <w:rFonts w:ascii="Times New Roman" w:hAnsi="Times New Roman"/>
                <w:b/>
                <w:strike/>
                <w:lang w:eastAsia="uk-UA"/>
              </w:rPr>
              <w:t>параметрів коригування необхідного доходу за недотримання цільових значень показників комерційної якості надання послуг;</w:t>
            </w:r>
          </w:p>
          <w:p w:rsidR="00CF2AC1" w:rsidRPr="005A615E" w:rsidRDefault="00CF2AC1" w:rsidP="00CF2AC1">
            <w:pPr>
              <w:suppressAutoHyphens/>
              <w:jc w:val="both"/>
              <w:rPr>
                <w:rFonts w:ascii="Times New Roman" w:hAnsi="Times New Roman"/>
                <w:strike/>
                <w:lang w:eastAsia="ru-RU"/>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hd w:val="clear" w:color="auto" w:fill="FFFFFF"/>
              <w:ind w:firstLine="317"/>
              <w:jc w:val="both"/>
              <w:rPr>
                <w:rFonts w:ascii="Times New Roman" w:hAnsi="Times New Roman"/>
                <w:lang w:eastAsia="uk-UA"/>
              </w:rPr>
            </w:pPr>
            <w:r w:rsidRPr="005A615E">
              <w:rPr>
                <w:rFonts w:ascii="Times New Roman" w:hAnsi="Times New Roman"/>
                <w:lang w:eastAsia="uk-UA"/>
              </w:rPr>
              <w:t>Відповідно до заходів державного контролю за невиконання встановлених показників НКРЕКП застосовує штрафні санкції, які розраховуються відповідно до Методики визначення суми штрафів за порушення ліцензійних умов та нормативно-правових актів.</w:t>
            </w:r>
          </w:p>
          <w:p w:rsidR="00CF2AC1" w:rsidRPr="005A615E" w:rsidRDefault="00CF2AC1" w:rsidP="00CF2AC1">
            <w:pPr>
              <w:ind w:firstLine="317"/>
              <w:jc w:val="both"/>
              <w:rPr>
                <w:rFonts w:ascii="Times New Roman" w:hAnsi="Times New Roman"/>
                <w:b/>
                <w:sz w:val="24"/>
                <w:u w:val="single"/>
              </w:rPr>
            </w:pPr>
            <w:r w:rsidRPr="005A615E">
              <w:rPr>
                <w:rFonts w:ascii="Times New Roman" w:hAnsi="Times New Roman"/>
                <w:shd w:val="clear" w:color="auto" w:fill="FFFFFF"/>
              </w:rPr>
              <w:t>У разі впровадження цих показників якості це призведе до повторного застосування НКРЕКП штрафів за однакові порушення (невиконання показників).</w:t>
            </w:r>
          </w:p>
        </w:tc>
        <w:tc>
          <w:tcPr>
            <w:tcW w:w="3969" w:type="dxa"/>
            <w:gridSpan w:val="2"/>
          </w:tcPr>
          <w:p w:rsidR="004B68EC" w:rsidRPr="005A615E" w:rsidRDefault="004B68EC" w:rsidP="004B68EC">
            <w:pPr>
              <w:rPr>
                <w:rFonts w:ascii="Times New Roman" w:hAnsi="Times New Roman"/>
                <w:b/>
                <w:sz w:val="24"/>
              </w:rPr>
            </w:pPr>
            <w:r w:rsidRPr="005A615E">
              <w:rPr>
                <w:rFonts w:ascii="Times New Roman" w:hAnsi="Times New Roman"/>
                <w:b/>
                <w:sz w:val="24"/>
              </w:rPr>
              <w:lastRenderedPageBreak/>
              <w:t>Не враховано</w:t>
            </w:r>
          </w:p>
          <w:p w:rsidR="004B68EC" w:rsidRPr="005A615E" w:rsidRDefault="004B68EC" w:rsidP="004B68EC">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4B68EC" w:rsidRPr="005A615E" w:rsidRDefault="004B68EC" w:rsidP="004B68EC">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CF2AC1">
            <w:pPr>
              <w:widowControl w:val="0"/>
              <w:spacing w:line="257" w:lineRule="auto"/>
              <w:jc w:val="both"/>
              <w:rPr>
                <w:rFonts w:ascii="Times New Roman" w:hAnsi="Times New Roman"/>
                <w:sz w:val="24"/>
              </w:rPr>
            </w:pPr>
            <w:r w:rsidRPr="005A615E">
              <w:rPr>
                <w:rFonts w:ascii="Times New Roman" w:hAnsi="Times New Roman"/>
                <w:sz w:val="24"/>
              </w:rPr>
              <w:t>Питання має розглядатися комплексно з урахуванням балансу інтересів учасників ринку.</w:t>
            </w:r>
          </w:p>
          <w:p w:rsidR="00CF2AC1" w:rsidRPr="005A615E" w:rsidRDefault="00CF2AC1" w:rsidP="00CF2AC1">
            <w:pPr>
              <w:rPr>
                <w:rFonts w:ascii="Times New Roman" w:hAnsi="Times New Roman"/>
                <w:b/>
                <w:sz w:val="24"/>
              </w:rPr>
            </w:pPr>
          </w:p>
          <w:p w:rsidR="00CF2AC1" w:rsidRPr="005A615E" w:rsidRDefault="00CF2AC1" w:rsidP="00CF2AC1">
            <w:pPr>
              <w:rPr>
                <w:rFonts w:ascii="Times New Roman" w:hAnsi="Times New Roman"/>
                <w:b/>
                <w:sz w:val="24"/>
              </w:rPr>
            </w:pPr>
          </w:p>
        </w:tc>
      </w:tr>
      <w:tr w:rsidR="00CF2AC1" w:rsidRPr="005A615E" w:rsidTr="00A56FEE">
        <w:trPr>
          <w:trHeight w:val="285"/>
        </w:trPr>
        <w:tc>
          <w:tcPr>
            <w:tcW w:w="6232" w:type="dxa"/>
            <w:shd w:val="clear" w:color="auto" w:fill="auto"/>
          </w:tcPr>
          <w:p w:rsidR="00CF2AC1" w:rsidRPr="005A615E" w:rsidRDefault="00CF2AC1" w:rsidP="00CF2AC1">
            <w:pPr>
              <w:jc w:val="both"/>
              <w:rPr>
                <w:lang w:eastAsia="uk-UA"/>
              </w:rPr>
            </w:pPr>
            <w:r w:rsidRPr="005A615E">
              <w:rPr>
                <w:rFonts w:ascii="Times New Roman" w:hAnsi="Times New Roman"/>
                <w:lang w:eastAsia="uk-UA"/>
              </w:rPr>
              <w:lastRenderedPageBreak/>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rsidR="00CF2AC1" w:rsidRPr="005A615E" w:rsidRDefault="00CF2AC1" w:rsidP="00CF2AC1">
            <w:pPr>
              <w:jc w:val="both"/>
              <w:rPr>
                <w:lang w:eastAsia="uk-UA"/>
              </w:rPr>
            </w:pPr>
          </w:p>
          <w:tbl>
            <w:tblPr>
              <w:tblW w:w="6117" w:type="dxa"/>
              <w:tblCellSpacing w:w="22" w:type="dxa"/>
              <w:tblLayout w:type="fixed"/>
              <w:tblLook w:val="04A0" w:firstRow="1" w:lastRow="0" w:firstColumn="1" w:lastColumn="0" w:noHBand="0" w:noVBand="1"/>
            </w:tblPr>
            <w:tblGrid>
              <w:gridCol w:w="5268"/>
              <w:gridCol w:w="849"/>
            </w:tblGrid>
            <w:tr w:rsidR="00CF2AC1" w:rsidRPr="005A615E" w:rsidTr="00713B81">
              <w:trPr>
                <w:tblCellSpacing w:w="22" w:type="dxa"/>
              </w:trPr>
              <w:tc>
                <w:tcPr>
                  <w:tcW w:w="4252" w:type="pct"/>
                  <w:tcMar>
                    <w:top w:w="15" w:type="dxa"/>
                    <w:left w:w="15" w:type="dxa"/>
                    <w:bottom w:w="15" w:type="dxa"/>
                    <w:right w:w="15" w:type="dxa"/>
                  </w:tcMar>
                  <w:vAlign w:val="center"/>
                  <w:hideMark/>
                </w:tcPr>
                <w:p w:rsidR="00CF2AC1" w:rsidRPr="005A615E" w:rsidRDefault="00CF2AC1" w:rsidP="00CF2AC1">
                  <w:pPr>
                    <w:rPr>
                      <w:sz w:val="20"/>
                      <w:lang w:eastAsia="uk-UA"/>
                    </w:rPr>
                  </w:pPr>
                  <w:r w:rsidRPr="005A615E">
                    <w:rPr>
                      <w:noProof/>
                      <w:sz w:val="20"/>
                      <w:lang w:eastAsia="uk-UA"/>
                    </w:rPr>
                    <w:drawing>
                      <wp:inline distT="0" distB="0" distL="0" distR="0" wp14:anchorId="61EB5C47" wp14:editId="1D400116">
                        <wp:extent cx="3228975" cy="172421"/>
                        <wp:effectExtent l="0" t="0" r="0" b="0"/>
                        <wp:docPr id="423835347" name="Рисунок 423835347" descr="https://zakon-pro.ligazakon.net/l_flib1.nsf/LookupFiles/GK40721_IMG_184.GIF/$file/GK40721_IMG_184.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s://zakon-pro.ligazakon.net/l_flib1.nsf/LookupFiles/GK40721_IMG_184.GIF/$file/GK40721_IMG_184.GIF">
                                  <a:hlinkClick r:id="rId21" tgtFrame="&quot;_blank&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4152" cy="225028"/>
                                </a:xfrm>
                                <a:prstGeom prst="rect">
                                  <a:avLst/>
                                </a:prstGeom>
                                <a:noFill/>
                                <a:ln>
                                  <a:noFill/>
                                </a:ln>
                              </pic:spPr>
                            </pic:pic>
                          </a:graphicData>
                        </a:graphic>
                      </wp:inline>
                    </w:drawing>
                  </w:r>
                </w:p>
              </w:tc>
              <w:tc>
                <w:tcPr>
                  <w:tcW w:w="640" w:type="pct"/>
                  <w:tcMar>
                    <w:top w:w="15" w:type="dxa"/>
                    <w:left w:w="15" w:type="dxa"/>
                    <w:bottom w:w="15" w:type="dxa"/>
                    <w:right w:w="15" w:type="dxa"/>
                  </w:tcMar>
                  <w:vAlign w:val="center"/>
                  <w:hideMark/>
                </w:tcPr>
                <w:p w:rsidR="00CF2AC1" w:rsidRPr="005A615E" w:rsidRDefault="000D13C5" w:rsidP="00CF2AC1">
                  <w:pPr>
                    <w:rPr>
                      <w:rFonts w:ascii="Times New Roman" w:hAnsi="Times New Roman"/>
                      <w:sz w:val="20"/>
                      <w:lang w:eastAsia="uk-UA"/>
                    </w:rPr>
                  </w:pPr>
                  <w:hyperlink r:id="rId23" w:tgtFrame="_blank" w:history="1">
                    <w:r w:rsidR="00CF2AC1" w:rsidRPr="005A615E">
                      <w:rPr>
                        <w:rStyle w:val="a9"/>
                        <w:rFonts w:ascii="Times New Roman" w:hAnsi="Times New Roman"/>
                        <w:color w:val="auto"/>
                        <w:sz w:val="20"/>
                        <w:u w:val="none"/>
                        <w:lang w:eastAsia="uk-UA"/>
                      </w:rPr>
                      <w:t>, тис. грн, (1)</w:t>
                    </w:r>
                  </w:hyperlink>
                </w:p>
              </w:tc>
            </w:tr>
          </w:tbl>
          <w:p w:rsidR="00CF2AC1" w:rsidRPr="005A615E" w:rsidRDefault="00CF2AC1" w:rsidP="00CF2AC1">
            <w:pPr>
              <w:jc w:val="both"/>
              <w:rPr>
                <w:rFonts w:eastAsia="Times New Roman"/>
                <w:sz w:val="24"/>
                <w:lang w:eastAsia="uk-UA"/>
              </w:rPr>
            </w:pP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де </w:t>
            </w:r>
            <w:r w:rsidRPr="005A615E">
              <w:rPr>
                <w:rFonts w:ascii="Times New Roman" w:hAnsi="Times New Roman"/>
                <w:noProof/>
                <w:lang w:eastAsia="uk-UA"/>
              </w:rPr>
              <w:drawing>
                <wp:inline distT="0" distB="0" distL="0" distR="0" wp14:anchorId="3B76750C" wp14:editId="4A750ED9">
                  <wp:extent cx="400050" cy="152400"/>
                  <wp:effectExtent l="0" t="0" r="0" b="0"/>
                  <wp:docPr id="423835346" name="Рисунок 423835346" descr="https://zakon-pro.ligazakon.net/l_flib1.nsf/LookupFiles/GK40721_IMG_002.gif/$file/GK40721_IMG_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27" descr="https://zakon-pro.ligazakon.net/l_flib1.nsf/LookupFiles/GK40721_IMG_002.gif/$file/GK40721_IMG_002.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5A615E">
              <w:rPr>
                <w:rFonts w:ascii="Times New Roman" w:hAnsi="Times New Roman"/>
                <w:lang w:eastAsia="uk-UA"/>
              </w:rPr>
              <w:t> - прогнозовані операційні контрольовані витрати з розподілу електричної енергії (примірний перелік яких наведено в додатку </w:t>
            </w:r>
            <w:hyperlink r:id="rId25" w:tgtFrame="_blank" w:history="1">
              <w:r w:rsidRPr="005A615E">
                <w:rPr>
                  <w:rStyle w:val="a9"/>
                  <w:rFonts w:ascii="Times New Roman" w:hAnsi="Times New Roman"/>
                  <w:color w:val="auto"/>
                  <w:lang w:eastAsia="uk-UA"/>
                </w:rPr>
                <w:t>19</w:t>
              </w:r>
            </w:hyperlink>
            <w:r w:rsidRPr="005A615E">
              <w:rPr>
                <w:rFonts w:ascii="Times New Roman" w:hAnsi="Times New Roman"/>
                <w:lang w:eastAsia="uk-UA"/>
              </w:rPr>
              <w:t> до цього Порядку) на рік t, тис. грн;</w:t>
            </w: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r w:rsidRPr="005A615E">
              <w:rPr>
                <w:rFonts w:ascii="Times New Roman" w:hAnsi="Times New Roman"/>
                <w:noProof/>
                <w:lang w:eastAsia="uk-UA"/>
              </w:rPr>
              <w:drawing>
                <wp:inline distT="0" distB="0" distL="0" distR="0" wp14:anchorId="07C76B3C" wp14:editId="08698C74">
                  <wp:extent cx="400050" cy="152400"/>
                  <wp:effectExtent l="0" t="0" r="0" b="0"/>
                  <wp:docPr id="423835345" name="Рисунок 423835345" descr="https://zakon-pro.ligazakon.net/l_flib1.nsf/LookupFiles/GK40721_IMG_003.gif/$file/GK40721_IMG_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32" descr="https://zakon-pro.ligazakon.net/l_flib1.nsf/LookupFiles/GK40721_IMG_003.gif/$file/GK40721_IMG_003.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5A615E">
              <w:rPr>
                <w:rFonts w:ascii="Times New Roman" w:hAnsi="Times New Roman"/>
                <w:lang w:eastAsia="uk-UA"/>
              </w:rPr>
              <w:t> - прогнозовані операційні неконтрольовані витрати з розподілу електричної енергії (примірний перелік яких наведено в додатку </w:t>
            </w:r>
            <w:hyperlink r:id="rId27" w:tgtFrame="_blank" w:history="1">
              <w:r w:rsidRPr="005A615E">
                <w:rPr>
                  <w:rStyle w:val="a9"/>
                  <w:rFonts w:ascii="Times New Roman" w:hAnsi="Times New Roman"/>
                  <w:color w:val="auto"/>
                  <w:lang w:eastAsia="uk-UA"/>
                </w:rPr>
                <w:t>20</w:t>
              </w:r>
            </w:hyperlink>
            <w:r w:rsidRPr="005A615E">
              <w:rPr>
                <w:rFonts w:ascii="Times New Roman" w:hAnsi="Times New Roman"/>
                <w:lang w:eastAsia="uk-UA"/>
              </w:rPr>
              <w:t> до цього Порядку) на рік t, тис. грн;</w:t>
            </w: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r w:rsidRPr="005A615E">
              <w:rPr>
                <w:rFonts w:ascii="Times New Roman" w:hAnsi="Times New Roman"/>
                <w:noProof/>
                <w:lang w:eastAsia="uk-UA"/>
              </w:rPr>
              <w:drawing>
                <wp:inline distT="0" distB="0" distL="0" distR="0" wp14:anchorId="543E05B2" wp14:editId="6A6D6969">
                  <wp:extent cx="361950" cy="180975"/>
                  <wp:effectExtent l="0" t="0" r="0" b="9525"/>
                  <wp:docPr id="423835344" name="Рисунок 423835344" descr="https://zakon-pro.ligazakon.net/l_flib1.nsf/LookupFiles/GK40721_IMG_004.gif/$file/GK40721_IMG_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48" descr="https://zakon-pro.ligazakon.net/l_flib1.nsf/LookupFiles/GK40721_IMG_004.gif/$file/GK40721_IMG_00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5A615E">
              <w:rPr>
                <w:rFonts w:ascii="Times New Roman" w:hAnsi="Times New Roman"/>
                <w:lang w:eastAsia="uk-UA"/>
              </w:rPr>
              <w:t> -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t, що визначається за формулою</w:t>
            </w:r>
          </w:p>
          <w:p w:rsidR="00CF2AC1" w:rsidRPr="005A615E" w:rsidRDefault="00CF2AC1" w:rsidP="00CF2AC1">
            <w:pPr>
              <w:jc w:val="both"/>
              <w:rPr>
                <w:rFonts w:ascii="Times New Roman" w:hAnsi="Times New Roman"/>
                <w:lang w:eastAsia="uk-UA"/>
              </w:rPr>
            </w:pPr>
          </w:p>
          <w:p w:rsidR="00CF2AC1" w:rsidRPr="005A615E" w:rsidRDefault="00CF2AC1" w:rsidP="00CF2AC1">
            <w:pPr>
              <w:rPr>
                <w:rFonts w:ascii="Times New Roman" w:hAnsi="Times New Roman"/>
                <w:lang w:eastAsia="uk-UA"/>
              </w:rPr>
            </w:pPr>
            <w:r w:rsidRPr="005A615E">
              <w:rPr>
                <w:rFonts w:ascii="Times New Roman" w:hAnsi="Times New Roman"/>
                <w:noProof/>
                <w:lang w:eastAsia="uk-UA"/>
              </w:rPr>
              <w:drawing>
                <wp:inline distT="0" distB="0" distL="0" distR="0" wp14:anchorId="0271C2A1" wp14:editId="61445A07">
                  <wp:extent cx="1485900" cy="171450"/>
                  <wp:effectExtent l="0" t="0" r="0" b="0"/>
                  <wp:docPr id="423835343" name="Рисунок 423835343" descr="https://zakon-pro.ligazakon.net/l_flib1.nsf/LookupFiles/GK40721_IMG_005.gif/$file/GK40721_IMG_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49" descr="https://zakon-pro.ligazakon.net/l_flib1.nsf/LookupFiles/GK40721_IMG_005.gif/$file/GK40721_IMG_005.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85900" cy="171450"/>
                          </a:xfrm>
                          <a:prstGeom prst="rect">
                            <a:avLst/>
                          </a:prstGeom>
                          <a:noFill/>
                          <a:ln>
                            <a:noFill/>
                          </a:ln>
                        </pic:spPr>
                      </pic:pic>
                    </a:graphicData>
                  </a:graphic>
                </wp:inline>
              </w:drawing>
            </w:r>
            <w:r w:rsidRPr="005A615E">
              <w:rPr>
                <w:rFonts w:ascii="Times New Roman" w:hAnsi="Times New Roman"/>
                <w:lang w:eastAsia="uk-UA"/>
              </w:rPr>
              <w:t>, тис. грн, (2)</w:t>
            </w:r>
          </w:p>
          <w:p w:rsidR="00CF2AC1" w:rsidRPr="005A615E" w:rsidRDefault="00CF2AC1" w:rsidP="00CF2AC1">
            <w:pPr>
              <w:rPr>
                <w:rFonts w:ascii="Times New Roman" w:hAnsi="Times New Roman"/>
                <w:lang w:eastAsia="uk-UA"/>
              </w:rPr>
            </w:pP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де </w:t>
            </w:r>
            <w:r w:rsidRPr="005A615E">
              <w:rPr>
                <w:rFonts w:ascii="Times New Roman" w:hAnsi="Times New Roman"/>
                <w:noProof/>
                <w:lang w:eastAsia="uk-UA"/>
              </w:rPr>
              <w:drawing>
                <wp:inline distT="0" distB="0" distL="0" distR="0" wp14:anchorId="163E9996" wp14:editId="7A96CE34">
                  <wp:extent cx="409575" cy="171450"/>
                  <wp:effectExtent l="0" t="0" r="9525" b="0"/>
                  <wp:docPr id="423835342" name="Рисунок 423835342" descr="https://zakon-pro.ligazakon.net/l_flib1.nsf/LookupFiles/GK40721_IMG_006.gif/$file/GK40721_IMG_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0" descr="https://zakon-pro.ligazakon.net/l_flib1.nsf/LookupFiles/GK40721_IMG_006.gif/$file/GK40721_IMG_00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9575" cy="171450"/>
                          </a:xfrm>
                          <a:prstGeom prst="rect">
                            <a:avLst/>
                          </a:prstGeom>
                          <a:noFill/>
                          <a:ln>
                            <a:noFill/>
                          </a:ln>
                        </pic:spPr>
                      </pic:pic>
                    </a:graphicData>
                  </a:graphic>
                </wp:inline>
              </w:drawing>
            </w: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0671A25F" wp14:editId="506EC531">
                  <wp:extent cx="419100" cy="180975"/>
                  <wp:effectExtent l="0" t="0" r="0" b="9525"/>
                  <wp:docPr id="423835341" name="Рисунок 423835341" descr="https://zakon-pro.ligazakon.net/l_flib1.nsf/LookupFiles/GK40721_IMG_007.gif/$file/GK40721_IMG_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1" descr="https://zakon-pro.ligazakon.net/l_flib1.nsf/LookupFiles/GK40721_IMG_007.gif/$file/GK40721_IMG_00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5A615E">
              <w:rPr>
                <w:rFonts w:ascii="Times New Roman" w:hAnsi="Times New Roman"/>
                <w:lang w:eastAsia="uk-UA"/>
              </w:rPr>
              <w:t> -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1 та 2 класі напруги відповідно, на рік t, що визначається за формулами</w:t>
            </w:r>
          </w:p>
          <w:p w:rsidR="00CF2AC1" w:rsidRPr="005A615E" w:rsidRDefault="00CF2AC1" w:rsidP="00CF2AC1">
            <w:pPr>
              <w:rPr>
                <w:rFonts w:ascii="Times New Roman" w:hAnsi="Times New Roman"/>
                <w:lang w:eastAsia="uk-UA"/>
              </w:rPr>
            </w:pPr>
          </w:p>
          <w:p w:rsidR="00CF2AC1" w:rsidRPr="005A615E" w:rsidRDefault="00CF2AC1" w:rsidP="00CF2AC1">
            <w:pPr>
              <w:rPr>
                <w:rFonts w:ascii="Times New Roman" w:hAnsi="Times New Roman"/>
                <w:lang w:eastAsia="uk-UA"/>
              </w:rPr>
            </w:pPr>
            <w:r w:rsidRPr="005A615E">
              <w:rPr>
                <w:rFonts w:ascii="Times New Roman" w:hAnsi="Times New Roman"/>
                <w:noProof/>
                <w:lang w:eastAsia="uk-UA"/>
              </w:rPr>
              <w:drawing>
                <wp:inline distT="0" distB="0" distL="0" distR="0" wp14:anchorId="448FC8DC" wp14:editId="5B197484">
                  <wp:extent cx="1181100" cy="200025"/>
                  <wp:effectExtent l="0" t="0" r="0" b="9525"/>
                  <wp:docPr id="423835340" name="Рисунок 423835340" descr="https://zakon-pro.ligazakon.net/l_flib1.nsf/LookupFiles/GK40721_IMG_008.gif/$file/GK40721_IMG_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2" descr="https://zakon-pro.ligazakon.net/l_flib1.nsf/LookupFiles/GK40721_IMG_008.gif/$file/GK40721_IMG_00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81100" cy="200025"/>
                          </a:xfrm>
                          <a:prstGeom prst="rect">
                            <a:avLst/>
                          </a:prstGeom>
                          <a:noFill/>
                          <a:ln>
                            <a:noFill/>
                          </a:ln>
                        </pic:spPr>
                      </pic:pic>
                    </a:graphicData>
                  </a:graphic>
                </wp:inline>
              </w:drawing>
            </w:r>
            <w:r w:rsidRPr="005A615E">
              <w:rPr>
                <w:rFonts w:ascii="Times New Roman" w:hAnsi="Times New Roman"/>
                <w:lang w:eastAsia="uk-UA"/>
              </w:rPr>
              <w:t>, тис грн, (3)</w:t>
            </w:r>
          </w:p>
          <w:p w:rsidR="00CF2AC1" w:rsidRPr="005A615E" w:rsidRDefault="00CF2AC1" w:rsidP="00CF2AC1">
            <w:pPr>
              <w:rPr>
                <w:rFonts w:ascii="Times New Roman" w:hAnsi="Times New Roman"/>
                <w:lang w:eastAsia="uk-UA"/>
              </w:rPr>
            </w:pPr>
          </w:p>
          <w:p w:rsidR="00CF2AC1" w:rsidRPr="005A615E" w:rsidRDefault="00CF2AC1" w:rsidP="00CF2AC1">
            <w:pPr>
              <w:rPr>
                <w:rFonts w:ascii="Times New Roman" w:hAnsi="Times New Roman"/>
                <w:lang w:eastAsia="uk-UA"/>
              </w:rPr>
            </w:pPr>
            <w:r w:rsidRPr="005A615E">
              <w:rPr>
                <w:rFonts w:ascii="Times New Roman" w:hAnsi="Times New Roman"/>
                <w:noProof/>
                <w:lang w:eastAsia="uk-UA"/>
              </w:rPr>
              <w:drawing>
                <wp:inline distT="0" distB="0" distL="0" distR="0" wp14:anchorId="7A97C890" wp14:editId="2BF629A2">
                  <wp:extent cx="1219200" cy="180975"/>
                  <wp:effectExtent l="0" t="0" r="0" b="9525"/>
                  <wp:docPr id="423835339" name="Рисунок 423835339" descr="https://zakon-pro.ligazakon.net/l_flib1.nsf/LookupFiles/GK40721_IMG_009.gif/$file/GK40721_IMG_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3" descr="https://zakon-pro.ligazakon.net/l_flib1.nsf/LookupFiles/GK40721_IMG_009.gif/$file/GK40721_IMG_009.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0" cy="180975"/>
                          </a:xfrm>
                          <a:prstGeom prst="rect">
                            <a:avLst/>
                          </a:prstGeom>
                          <a:noFill/>
                          <a:ln>
                            <a:noFill/>
                          </a:ln>
                        </pic:spPr>
                      </pic:pic>
                    </a:graphicData>
                  </a:graphic>
                </wp:inline>
              </w:drawing>
            </w:r>
            <w:r w:rsidRPr="005A615E">
              <w:rPr>
                <w:rFonts w:ascii="Times New Roman" w:hAnsi="Times New Roman"/>
                <w:lang w:eastAsia="uk-UA"/>
              </w:rPr>
              <w:t>, тис грн, (4)</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де </w:t>
            </w:r>
            <w:r w:rsidRPr="005A615E">
              <w:rPr>
                <w:rFonts w:ascii="Times New Roman" w:hAnsi="Times New Roman"/>
                <w:noProof/>
                <w:lang w:eastAsia="uk-UA"/>
              </w:rPr>
              <w:drawing>
                <wp:inline distT="0" distB="0" distL="0" distR="0" wp14:anchorId="1DA8064B" wp14:editId="520627F0">
                  <wp:extent cx="247650" cy="209550"/>
                  <wp:effectExtent l="0" t="0" r="0" b="0"/>
                  <wp:docPr id="423835338" name="Рисунок 423835338"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4" descr="https://zakon-pro.ligazakon.net/l_flib1.nsf/LookupFiles/GK40721_IMG_010.gif/$file/GK40721_IMG_01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5A615E">
              <w:rPr>
                <w:rFonts w:ascii="Times New Roman" w:hAnsi="Times New Roman"/>
                <w:lang w:eastAsia="uk-UA"/>
              </w:rPr>
              <w:t> - рівень прогнозованої оптової ринкової ціни електричної енергії, затвердженої НКРЕКП (проект рівня прогнозованої оптової ринкової ціни електричної енергії), скоригованої на коефіцієнт графіка навантаження ліцензіата, або рівень цін електричної енергії, що продається за двосторонніми договорами на електронних аукціонах</w:t>
            </w:r>
            <w:hyperlink r:id="rId35" w:tgtFrame="_blank" w:history="1">
              <w:r w:rsidRPr="005A615E">
                <w:rPr>
                  <w:rStyle w:val="a9"/>
                  <w:rFonts w:ascii="Times New Roman" w:hAnsi="Times New Roman"/>
                  <w:color w:val="auto"/>
                  <w:lang w:eastAsia="uk-UA"/>
                </w:rPr>
                <w:t>, балансуючому ринку</w:t>
              </w:r>
            </w:hyperlink>
            <w:r w:rsidRPr="005A615E">
              <w:rPr>
                <w:rFonts w:ascii="Times New Roman" w:hAnsi="Times New Roman"/>
                <w:lang w:eastAsia="uk-UA"/>
              </w:rPr>
              <w:t> та на ринку "на добу наперед" (у встановленому співвідношенні), на рік t, грн/МВт·год;</w:t>
            </w:r>
          </w:p>
          <w:p w:rsidR="00CF2AC1" w:rsidRPr="005A615E" w:rsidRDefault="00CF2AC1" w:rsidP="00CF2AC1">
            <w:pPr>
              <w:jc w:val="right"/>
              <w:rPr>
                <w:rFonts w:ascii="Times New Roman" w:hAnsi="Times New Roman"/>
                <w:lang w:eastAsia="uk-UA"/>
              </w:rPr>
            </w:pP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513700F9" wp14:editId="462D21AE">
                  <wp:extent cx="266700" cy="190500"/>
                  <wp:effectExtent l="0" t="0" r="0" b="0"/>
                  <wp:docPr id="423835337" name="Рисунок 423835337" descr="https://zakon-pro.ligazakon.net/l_flib1.nsf/LookupFiles/GK40721_IMG_011.gif/$file/GK40721_IMG_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5" descr="https://zakon-pro.ligazakon.net/l_flib1.nsf/LookupFiles/GK40721_IMG_011.gif/$file/GK40721_IMG_011.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4C71E627" wp14:editId="48974D1F">
                  <wp:extent cx="295275" cy="190500"/>
                  <wp:effectExtent l="0" t="0" r="9525" b="0"/>
                  <wp:docPr id="423835336" name="Рисунок 423835336" descr="https://zakon-pro.ligazakon.net/l_flib1.nsf/LookupFiles/GK40721_IMG_012.gif/$file/GK40721_IMG_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60" descr="https://zakon-pro.ligazakon.net/l_flib1.nsf/LookupFiles/GK40721_IMG_012.gif/$file/GK40721_IMG_012.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5A615E">
              <w:rPr>
                <w:rFonts w:ascii="Times New Roman" w:hAnsi="Times New Roman"/>
                <w:lang w:eastAsia="uk-UA"/>
              </w:rPr>
              <w:t>- прогнозовані обсяги технологічних витрат електричної енергії на її розподіл на рік t визначаються за формулами</w:t>
            </w:r>
          </w:p>
          <w:p w:rsidR="00CF2AC1" w:rsidRPr="005A615E" w:rsidRDefault="00CF2AC1" w:rsidP="00CF2AC1">
            <w:pPr>
              <w:rPr>
                <w:rFonts w:ascii="Times New Roman" w:hAnsi="Times New Roman"/>
                <w:lang w:eastAsia="uk-UA"/>
              </w:rPr>
            </w:pPr>
            <w:r w:rsidRPr="005A615E">
              <w:rPr>
                <w:rFonts w:ascii="Times New Roman" w:hAnsi="Times New Roman"/>
                <w:noProof/>
                <w:lang w:eastAsia="uk-UA"/>
              </w:rPr>
              <w:drawing>
                <wp:inline distT="0" distB="0" distL="0" distR="0" wp14:anchorId="6F7667C4" wp14:editId="2C77AB50">
                  <wp:extent cx="2095500" cy="342900"/>
                  <wp:effectExtent l="0" t="0" r="0" b="0"/>
                  <wp:docPr id="423835335" name="Рисунок 423835335" descr="https://zakon-pro.ligazakon.net/l_flib1.nsf/LookupFiles/GK40721_IMG_155.GIF/$file/GK40721_IMG_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63" descr="https://zakon-pro.ligazakon.net/l_flib1.nsf/LookupFiles/GK40721_IMG_155.GIF/$file/GK40721_IMG_155.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0" cy="342900"/>
                          </a:xfrm>
                          <a:prstGeom prst="rect">
                            <a:avLst/>
                          </a:prstGeom>
                          <a:noFill/>
                          <a:ln>
                            <a:noFill/>
                          </a:ln>
                        </pic:spPr>
                      </pic:pic>
                    </a:graphicData>
                  </a:graphic>
                </wp:inline>
              </w:drawing>
            </w:r>
            <w:r w:rsidRPr="005A615E">
              <w:rPr>
                <w:rFonts w:ascii="Times New Roman" w:hAnsi="Times New Roman"/>
                <w:lang w:eastAsia="uk-UA"/>
              </w:rPr>
              <w:t xml:space="preserve"> </w:t>
            </w:r>
            <w:hyperlink r:id="rId39" w:tgtFrame="_blank" w:history="1">
              <w:r w:rsidRPr="005A615E">
                <w:rPr>
                  <w:rStyle w:val="a9"/>
                  <w:rFonts w:ascii="Times New Roman" w:hAnsi="Times New Roman"/>
                  <w:color w:val="auto"/>
                  <w:lang w:eastAsia="uk-UA"/>
                </w:rPr>
                <w:t xml:space="preserve">, </w:t>
              </w:r>
            </w:hyperlink>
            <w:r w:rsidRPr="005A615E">
              <w:rPr>
                <w:rFonts w:ascii="Times New Roman" w:hAnsi="Times New Roman"/>
                <w:lang w:eastAsia="uk-UA"/>
              </w:rPr>
              <w:t>МВт·год, (5)</w:t>
            </w:r>
          </w:p>
          <w:p w:rsidR="00CF2AC1" w:rsidRPr="005A615E" w:rsidRDefault="00CF2AC1" w:rsidP="00CF2AC1">
            <w:pPr>
              <w:jc w:val="right"/>
              <w:rPr>
                <w:rFonts w:ascii="Times New Roman" w:hAnsi="Times New Roman"/>
                <w:lang w:eastAsia="uk-UA"/>
              </w:rPr>
            </w:pPr>
          </w:p>
          <w:tbl>
            <w:tblPr>
              <w:tblW w:w="26205" w:type="dxa"/>
              <w:jc w:val="center"/>
              <w:tblCellSpacing w:w="22" w:type="dxa"/>
              <w:tblLayout w:type="fixed"/>
              <w:tblCellMar>
                <w:top w:w="60" w:type="dxa"/>
                <w:left w:w="60" w:type="dxa"/>
                <w:bottom w:w="60" w:type="dxa"/>
                <w:right w:w="60" w:type="dxa"/>
              </w:tblCellMar>
              <w:tblLook w:val="04A0" w:firstRow="1" w:lastRow="0" w:firstColumn="1" w:lastColumn="0" w:noHBand="0" w:noVBand="1"/>
            </w:tblPr>
            <w:tblGrid>
              <w:gridCol w:w="13045"/>
              <w:gridCol w:w="13160"/>
            </w:tblGrid>
            <w:tr w:rsidR="00CF2AC1" w:rsidRPr="005A615E" w:rsidTr="00713B81">
              <w:trPr>
                <w:tblCellSpacing w:w="22" w:type="dxa"/>
                <w:jc w:val="center"/>
              </w:trPr>
              <w:tc>
                <w:tcPr>
                  <w:tcW w:w="2476" w:type="pct"/>
                  <w:vAlign w:val="center"/>
                  <w:hideMark/>
                </w:tcPr>
                <w:p w:rsidR="00CF2AC1" w:rsidRPr="005A615E" w:rsidRDefault="00CF2AC1" w:rsidP="00CF2AC1">
                  <w:pPr>
                    <w:jc w:val="right"/>
                    <w:rPr>
                      <w:rFonts w:ascii="Times New Roman" w:hAnsi="Times New Roman"/>
                      <w:lang w:eastAsia="uk-UA"/>
                    </w:rPr>
                  </w:pP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05F3DF21" wp14:editId="77C397E7">
                        <wp:extent cx="876300" cy="361950"/>
                        <wp:effectExtent l="0" t="0" r="0" b="0"/>
                        <wp:docPr id="423835333" name="Рисунок 423835333" descr="https://zakon-pro.ligazakon.net/l_flib1.nsf/LookupFiles/GK40721_IMG_014.gif/$file/GK40721_IMG_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66" descr="https://zakon-pro.ligazakon.net/l_flib1.nsf/LookupFiles/GK40721_IMG_014.gif/$file/GK40721_IMG_014.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76300" cy="361950"/>
                                </a:xfrm>
                                <a:prstGeom prst="rect">
                                  <a:avLst/>
                                </a:prstGeom>
                                <a:noFill/>
                                <a:ln>
                                  <a:noFill/>
                                </a:ln>
                              </pic:spPr>
                            </pic:pic>
                          </a:graphicData>
                        </a:graphic>
                      </wp:inline>
                    </w:drawing>
                  </w:r>
                </w:p>
              </w:tc>
              <w:tc>
                <w:tcPr>
                  <w:tcW w:w="2498" w:type="pct"/>
                  <w:vAlign w:val="center"/>
                  <w:hideMark/>
                </w:tcPr>
                <w:p w:rsidR="00CF2AC1" w:rsidRPr="005A615E" w:rsidRDefault="00CF2AC1" w:rsidP="00CF2AC1">
                  <w:pPr>
                    <w:rPr>
                      <w:rFonts w:ascii="Times New Roman" w:hAnsi="Times New Roman"/>
                      <w:lang w:eastAsia="uk-UA"/>
                    </w:rPr>
                  </w:pPr>
                  <w:r w:rsidRPr="005A615E">
                    <w:rPr>
                      <w:rFonts w:ascii="Times New Roman" w:hAnsi="Times New Roman"/>
                      <w:lang w:eastAsia="uk-UA"/>
                    </w:rPr>
                    <w:t>, МВт·год, (6)</w:t>
                  </w:r>
                </w:p>
              </w:tc>
            </w:tr>
          </w:tbl>
          <w:p w:rsidR="00CF2AC1" w:rsidRPr="005A615E" w:rsidRDefault="000D13C5" w:rsidP="00CF2AC1">
            <w:pPr>
              <w:jc w:val="both"/>
              <w:rPr>
                <w:rFonts w:ascii="Times New Roman" w:eastAsia="Times New Roman" w:hAnsi="Times New Roman"/>
                <w:lang w:eastAsia="uk-UA"/>
              </w:rPr>
            </w:pPr>
            <w:hyperlink r:id="rId41" w:tgtFrame="_blank" w:history="1">
              <w:r w:rsidR="00CF2AC1" w:rsidRPr="005A615E">
                <w:rPr>
                  <w:rStyle w:val="a9"/>
                  <w:rFonts w:ascii="Times New Roman" w:hAnsi="Times New Roman"/>
                  <w:color w:val="auto"/>
                  <w:lang w:eastAsia="uk-UA"/>
                </w:rPr>
                <w:t>де </w:t>
              </w:r>
              <w:r w:rsidR="00CF2AC1" w:rsidRPr="005A615E">
                <w:rPr>
                  <w:rFonts w:ascii="Times New Roman" w:hAnsi="Times New Roman"/>
                  <w:noProof/>
                  <w:lang w:eastAsia="uk-UA"/>
                </w:rPr>
                <w:drawing>
                  <wp:inline distT="0" distB="0" distL="0" distR="0" wp14:anchorId="25A76B7C" wp14:editId="22D3438C">
                    <wp:extent cx="409575" cy="228600"/>
                    <wp:effectExtent l="0" t="0" r="9525" b="0"/>
                    <wp:docPr id="423835332" name="Рисунок 423835332" descr="https://zakon-pro.ligazakon.net/l_flib1.nsf/LookupFiles/GK40721_IMG_156.GIF/$file/GK40721_IMG_156.GIF">
                      <a:hlinkClick xmlns:a="http://schemas.openxmlformats.org/drawingml/2006/main" r:id="rId4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descr="https://zakon-pro.ligazakon.net/l_flib1.nsf/LookupFiles/GK40721_IMG_156.GIF/$file/GK40721_IMG_156.GIF">
                              <a:hlinkClick r:id="rId41" tgtFrame="&quot;_blank&quo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sidR="00CF2AC1" w:rsidRPr="005A615E">
                <w:rPr>
                  <w:rStyle w:val="a9"/>
                  <w:rFonts w:ascii="Times New Roman" w:hAnsi="Times New Roman"/>
                  <w:color w:val="auto"/>
                  <w:lang w:eastAsia="uk-UA"/>
                </w:rPr>
                <w:t>- прогнозований обсяг корисного відпуску електричної енергії</w:t>
              </w:r>
            </w:hyperlink>
            <w:r w:rsidR="00CF2AC1" w:rsidRPr="005A615E">
              <w:rPr>
                <w:rFonts w:ascii="Times New Roman" w:hAnsi="Times New Roman"/>
                <w:lang w:eastAsia="uk-UA"/>
              </w:rPr>
              <w:t> </w:t>
            </w:r>
            <w:hyperlink r:id="rId43" w:tgtFrame="_blank" w:history="1">
              <w:r w:rsidR="00CF2AC1" w:rsidRPr="005A615E">
                <w:rPr>
                  <w:rStyle w:val="a9"/>
                  <w:rFonts w:ascii="Times New Roman" w:hAnsi="Times New Roman"/>
                  <w:color w:val="auto"/>
                  <w:lang w:eastAsia="uk-UA"/>
                </w:rPr>
                <w:t>на 1 класі</w:t>
              </w:r>
            </w:hyperlink>
            <w:r w:rsidR="00CF2AC1" w:rsidRPr="005A615E">
              <w:rPr>
                <w:rFonts w:ascii="Times New Roman" w:hAnsi="Times New Roman"/>
                <w:lang w:eastAsia="uk-UA"/>
              </w:rPr>
              <w:t> </w:t>
            </w:r>
            <w:hyperlink r:id="rId44" w:tgtFrame="_blank" w:history="1">
              <w:r w:rsidR="00CF2AC1" w:rsidRPr="005A615E">
                <w:rPr>
                  <w:rStyle w:val="a9"/>
                  <w:rFonts w:ascii="Times New Roman" w:hAnsi="Times New Roman"/>
                  <w:color w:val="auto"/>
                  <w:lang w:eastAsia="uk-UA"/>
                </w:rPr>
                <w:t>напруги на рік t, МВт·год;</w:t>
              </w:r>
            </w:hyperlink>
          </w:p>
          <w:p w:rsidR="00CF2AC1" w:rsidRPr="005A615E" w:rsidRDefault="000D13C5" w:rsidP="00CF2AC1">
            <w:pPr>
              <w:rPr>
                <w:rFonts w:ascii="Times New Roman" w:hAnsi="Times New Roman"/>
                <w:lang w:eastAsia="uk-UA"/>
              </w:rPr>
            </w:pPr>
            <w:hyperlink r:id="rId45" w:tgtFrame="_blank" w:history="1">
              <w:r w:rsidR="00CF2AC1" w:rsidRPr="005A615E">
                <w:rPr>
                  <w:rFonts w:ascii="Times New Roman" w:hAnsi="Times New Roman"/>
                  <w:noProof/>
                  <w:lang w:eastAsia="uk-UA"/>
                </w:rPr>
                <w:drawing>
                  <wp:inline distT="0" distB="0" distL="0" distR="0" wp14:anchorId="1DD320FC" wp14:editId="47A53631">
                    <wp:extent cx="361950" cy="228600"/>
                    <wp:effectExtent l="0" t="0" r="0" b="0"/>
                    <wp:docPr id="423835331" name="Рисунок 423835331" descr="https://zakon-pro.ligazakon.net/l_flib1.nsf/LookupFiles/GK40721_IMG_157.GIF/$file/GK40721_IMG_157.GIF">
                      <a:hlinkClick xmlns:a="http://schemas.openxmlformats.org/drawingml/2006/main" r:id="rId4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3" descr="https://zakon-pro.ligazakon.net/l_flib1.nsf/LookupFiles/GK40721_IMG_157.GIF/$file/GK40721_IMG_157.GIF">
                              <a:hlinkClick r:id="rId45" tgtFrame="&quot;_blank&quo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1950" cy="228600"/>
                            </a:xfrm>
                            <a:prstGeom prst="rect">
                              <a:avLst/>
                            </a:prstGeom>
                            <a:noFill/>
                            <a:ln>
                              <a:noFill/>
                            </a:ln>
                          </pic:spPr>
                        </pic:pic>
                      </a:graphicData>
                    </a:graphic>
                  </wp:inline>
                </w:drawing>
              </w:r>
              <w:r w:rsidR="00CF2AC1" w:rsidRPr="005A615E">
                <w:rPr>
                  <w:rStyle w:val="a9"/>
                  <w:rFonts w:ascii="Times New Roman" w:hAnsi="Times New Roman"/>
                  <w:color w:val="auto"/>
                  <w:lang w:eastAsia="uk-UA"/>
                </w:rPr>
                <w:t> - прогнозований обсяг розподілу електричної енергії</w:t>
              </w:r>
            </w:hyperlink>
            <w:r w:rsidR="00CF2AC1" w:rsidRPr="005A615E">
              <w:rPr>
                <w:rFonts w:ascii="Times New Roman" w:hAnsi="Times New Roman"/>
                <w:lang w:eastAsia="uk-UA"/>
              </w:rPr>
              <w:t> </w:t>
            </w:r>
            <w:hyperlink r:id="rId47" w:tgtFrame="_blank" w:history="1">
              <w:r w:rsidR="00CF2AC1" w:rsidRPr="005A615E">
                <w:rPr>
                  <w:rStyle w:val="a9"/>
                  <w:rFonts w:ascii="Times New Roman" w:hAnsi="Times New Roman"/>
                  <w:color w:val="auto"/>
                  <w:lang w:eastAsia="uk-UA"/>
                </w:rPr>
                <w:t>на 2 класі</w:t>
              </w:r>
            </w:hyperlink>
            <w:r w:rsidR="00CF2AC1" w:rsidRPr="005A615E">
              <w:rPr>
                <w:rFonts w:ascii="Times New Roman" w:hAnsi="Times New Roman"/>
                <w:lang w:eastAsia="uk-UA"/>
              </w:rPr>
              <w:t> </w:t>
            </w:r>
            <w:hyperlink r:id="rId48" w:tgtFrame="_blank" w:history="1">
              <w:r w:rsidR="00CF2AC1" w:rsidRPr="005A615E">
                <w:rPr>
                  <w:rStyle w:val="a9"/>
                  <w:rFonts w:ascii="Times New Roman" w:hAnsi="Times New Roman"/>
                  <w:color w:val="auto"/>
                  <w:lang w:eastAsia="uk-UA"/>
                </w:rPr>
                <w:t>напруги на рік t, МВт·год;</w:t>
              </w:r>
            </w:hyperlink>
          </w:p>
          <w:p w:rsidR="00CF2AC1" w:rsidRPr="005A615E" w:rsidRDefault="00CF2AC1" w:rsidP="00CF2AC1">
            <w:pPr>
              <w:jc w:val="right"/>
              <w:rPr>
                <w:rFonts w:ascii="Times New Roman" w:hAnsi="Times New Roman"/>
                <w:lang w:eastAsia="uk-UA"/>
              </w:rPr>
            </w:pP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К1, К2 - економічні коефіцієнти прогнозованих технологічних витрат електроенергії на 1 та 2 класі напруги, встановлені відповідно до Положення про порядок подання, визначення та затвердження економічних коефіцієнтів нормативних та прогнозованих технологічних витрат електроенергії, затвердженого </w:t>
            </w:r>
            <w:hyperlink r:id="rId49" w:tgtFrame="_blank" w:history="1">
              <w:r w:rsidRPr="005A615E">
                <w:rPr>
                  <w:rStyle w:val="a9"/>
                  <w:rFonts w:ascii="Times New Roman" w:hAnsi="Times New Roman"/>
                  <w:color w:val="auto"/>
                  <w:lang w:eastAsia="uk-UA"/>
                </w:rPr>
                <w:t>постановою НКРЕКП від 27 липня 2017 року N 981</w:t>
              </w:r>
            </w:hyperlink>
            <w:r w:rsidRPr="005A615E">
              <w:rPr>
                <w:rFonts w:ascii="Times New Roman" w:hAnsi="Times New Roman"/>
                <w:lang w:eastAsia="uk-UA"/>
              </w:rPr>
              <w:t> (далі - Положення про порядок подання, визначення та затвердження економічних коефіцієнтів), на рік t, відносні одиниці;</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Для ліцензіатів при визначенні прогнозованих обсягів технологічних витрат електричної енергії на її розподіл на рік t, додатково враховується 50 % величини сумарного обґрунтованого за результатами заходів контролю обсягу понаднормативних технологічних витрат електричної енергії в мережах на 1 та 2 класі напруги за рік t-2 (на контрольованій території держави).</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понаднормативних технологічних витрат 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r w:rsidRPr="005A615E">
              <w:rPr>
                <w:rFonts w:ascii="Times New Roman" w:hAnsi="Times New Roman"/>
                <w:b/>
                <w:lang w:eastAsia="uk-UA"/>
              </w:rPr>
              <w:t>Абзаци відсутні</w:t>
            </w: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Для ліцензіатів при визначенні прогнозованих обсягів технологічних витрат електричної енергії на її розподіл на рік t, додатково враховується 50 % величини сумарного обґрунтованого за результатами заходів контролю обсягу понаднормативних технологічних витрат електричної енергії в мережах на 1 та 2 класі напруги за рік t-2 (на контрольованій території держави).</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понаднормативних технологічних витрат 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ГО «Перша енергетична рада» (лист </w:t>
            </w:r>
            <w:r w:rsidRPr="005A615E">
              <w:rPr>
                <w:rFonts w:ascii="Times New Roman" w:hAnsi="Times New Roman"/>
                <w:b/>
                <w:sz w:val="24"/>
                <w:u w:val="single"/>
              </w:rPr>
              <w:br/>
              <w:t>від 20.07.2026 № 28/01)</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Для ліцензіатів при визначенні прогнозованих обсягів технологічних витрат електричної енергії на її розподіл на рік t, додатково враховується величина сумарного обґрунтованого за результатами заходів контролю обсягу понаднормативних технологічних витрат електричної енергії в мережах на 1 та 2 класі напруги за рік t-2 (на контрольованій території держави).</w:t>
            </w:r>
          </w:p>
          <w:p w:rsidR="00CF2AC1" w:rsidRPr="005A615E" w:rsidRDefault="00CF2AC1" w:rsidP="00CF2AC1">
            <w:pPr>
              <w:shd w:val="clear" w:color="auto" w:fill="FFFFFF"/>
              <w:ind w:firstLine="180"/>
              <w:jc w:val="both"/>
              <w:rPr>
                <w:rFonts w:ascii="Times New Roman" w:hAnsi="Times New Roman"/>
                <w:b/>
                <w:lang w:eastAsia="uk-UA"/>
              </w:rPr>
            </w:pPr>
            <w:r w:rsidRPr="005A615E">
              <w:rPr>
                <w:rFonts w:ascii="Times New Roman" w:hAnsi="Times New Roman"/>
                <w:lang w:eastAsia="uk-UA"/>
              </w:rPr>
              <w:t>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понаднормативних технологічних витрат 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r w:rsidRPr="005A615E">
              <w:rPr>
                <w:rFonts w:ascii="Times New Roman" w:hAnsi="Times New Roman"/>
                <w:b/>
                <w:lang w:eastAsia="uk-UA"/>
              </w:rPr>
              <w:t xml:space="preserve"> Решта сумарних обсягів понаднормативних технологічних витрат електричної енергії в мережах на 1 та 2 класі напруги, що визначені обгрунтованими за результатами заходів контролю, враховуються при визначенні прогнозованих обсягів технологічних витрат електричної енергії на її розподіл в році наступному за роком, в якому проведено заходи контролю. </w:t>
            </w:r>
          </w:p>
          <w:p w:rsidR="00CF2AC1" w:rsidRPr="005A615E" w:rsidRDefault="00CF2AC1" w:rsidP="00CF2AC1">
            <w:pPr>
              <w:jc w:val="both"/>
              <w:rPr>
                <w:rFonts w:ascii="Times New Roman" w:hAnsi="Times New Roman"/>
                <w:b/>
                <w:sz w:val="24"/>
                <w:u w:val="single"/>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Якщо за результатами заходів контролю певні обсяги понаднормативних ТВЕ визнані обгрунтова-ними, нема підстав не </w:t>
            </w:r>
            <w:r w:rsidRPr="005A615E">
              <w:rPr>
                <w:rFonts w:ascii="Times New Roman" w:hAnsi="Times New Roman"/>
                <w:u w:val="single"/>
              </w:rPr>
              <w:t>враховувати всі обсяги</w:t>
            </w:r>
            <w:r w:rsidRPr="005A615E">
              <w:rPr>
                <w:rFonts w:ascii="Times New Roman" w:hAnsi="Times New Roman"/>
              </w:rPr>
              <w:t xml:space="preserve"> при визначенні прогнозованих ТВЕ. В іншому випадку, ОСР матимуть необгрунтовано занижений необхідний дохід. </w:t>
            </w:r>
          </w:p>
          <w:p w:rsidR="00CF2AC1" w:rsidRPr="005A615E" w:rsidRDefault="00CF2AC1" w:rsidP="00CF2AC1">
            <w:pPr>
              <w:jc w:val="both"/>
              <w:rPr>
                <w:rFonts w:ascii="Times New Roman" w:hAnsi="Times New Roman"/>
              </w:rPr>
            </w:pPr>
            <w:r w:rsidRPr="005A615E">
              <w:rPr>
                <w:rFonts w:ascii="Times New Roman" w:hAnsi="Times New Roman"/>
              </w:rPr>
              <w:t>Методологія має передбачати врахування обгрунтованих обсягів понаднормативних ТВЕ після проведення відповідних заходів контролю.</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shd w:val="clear" w:color="auto" w:fill="FFFFFF"/>
              <w:jc w:val="both"/>
              <w:rPr>
                <w:rFonts w:ascii="Times New Roman" w:hAnsi="Times New Roman"/>
                <w:b/>
                <w:lang w:eastAsia="uk-UA"/>
              </w:rPr>
            </w:pPr>
            <w:r w:rsidRPr="005A615E">
              <w:rPr>
                <w:rFonts w:ascii="Times New Roman" w:hAnsi="Times New Roman"/>
                <w:lang w:eastAsia="uk-UA"/>
              </w:rPr>
              <w:t xml:space="preserve">Для ліцензіатів при визначенні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t, додатково враховується </w:t>
            </w:r>
            <w:r w:rsidRPr="005A615E">
              <w:rPr>
                <w:rFonts w:ascii="Times New Roman" w:hAnsi="Times New Roman"/>
                <w:b/>
                <w:u w:val="single"/>
                <w:lang w:eastAsia="uk-UA"/>
              </w:rPr>
              <w:t>100 %</w:t>
            </w:r>
            <w:r w:rsidRPr="005A615E">
              <w:rPr>
                <w:rFonts w:ascii="Times New Roman" w:hAnsi="Times New Roman"/>
                <w:lang w:eastAsia="uk-UA"/>
              </w:rPr>
              <w:t xml:space="preserve"> величини сумарного обґрунтованого за результатами заходів контролю обсягу перевищення фактичних витрат електричної енергії над нормативно-фактичними технологічними витратами електричної енергії в мережах на 1 та 2 класі напруги за рік t-2 (на контрольованій території держави) </w:t>
            </w:r>
            <w:r w:rsidRPr="005A615E">
              <w:rPr>
                <w:rFonts w:ascii="Times New Roman" w:hAnsi="Times New Roman"/>
                <w:b/>
                <w:lang w:eastAsia="uk-UA"/>
              </w:rPr>
              <w:t xml:space="preserve">за ціною </w:t>
            </w:r>
            <w:r w:rsidRPr="005A615E">
              <w:rPr>
                <w:rFonts w:ascii="Times New Roman" w:hAnsi="Times New Roman"/>
                <w:b/>
                <w:noProof/>
                <w:lang w:eastAsia="uk-UA"/>
              </w:rPr>
              <w:drawing>
                <wp:inline distT="0" distB="0" distL="0" distR="0" wp14:anchorId="281CDD0E" wp14:editId="76592119">
                  <wp:extent cx="247650" cy="209550"/>
                  <wp:effectExtent l="0" t="0" r="0" b="0"/>
                  <wp:docPr id="1993780105" name="Рисунок 1993780105"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6933092" descr="https://zakon-pro.ligazakon.net/l_flib1.nsf/LookupFiles/GK40721_IMG_010.gif/$file/GK40721_IMG_01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5A615E">
              <w:rPr>
                <w:rFonts w:ascii="Times New Roman" w:hAnsi="Times New Roman"/>
                <w:b/>
                <w:lang w:eastAsia="uk-UA"/>
              </w:rPr>
              <w:t>. Розділення визначеної суми на 1 та 2 класи напруги здійснюється пропорційно  умовним одиницям обладнання на відповідному класі напруги.</w:t>
            </w:r>
          </w:p>
          <w:p w:rsidR="00CF2AC1" w:rsidRPr="005A615E" w:rsidRDefault="00CF2AC1" w:rsidP="00CF2AC1">
            <w:pPr>
              <w:shd w:val="clear" w:color="auto" w:fill="FFFFFF"/>
              <w:jc w:val="both"/>
              <w:rPr>
                <w:rFonts w:ascii="Times New Roman" w:hAnsi="Times New Roman"/>
                <w:bCs/>
                <w:lang w:eastAsia="uk-UA"/>
              </w:rPr>
            </w:pPr>
          </w:p>
          <w:p w:rsidR="00CF2AC1" w:rsidRPr="005A615E" w:rsidRDefault="00CF2AC1" w:rsidP="00CF2AC1">
            <w:pPr>
              <w:jc w:val="both"/>
              <w:rPr>
                <w:rFonts w:ascii="Times New Roman" w:hAnsi="Times New Roman"/>
                <w:bCs/>
                <w:lang w:eastAsia="uk-UA"/>
              </w:rPr>
            </w:pPr>
            <w:r w:rsidRPr="005A615E">
              <w:rPr>
                <w:rFonts w:ascii="Times New Roman" w:hAnsi="Times New Roman"/>
                <w:bCs/>
                <w:lang w:eastAsia="uk-UA"/>
              </w:rPr>
              <w:t xml:space="preserve">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w:t>
            </w:r>
            <w:r w:rsidRPr="005A615E">
              <w:rPr>
                <w:rFonts w:ascii="Times New Roman" w:hAnsi="Times New Roman"/>
                <w:b/>
                <w:u w:val="single"/>
                <w:lang w:eastAsia="uk-UA"/>
              </w:rPr>
              <w:t>75 %</w:t>
            </w:r>
            <w:r w:rsidRPr="005A615E">
              <w:rPr>
                <w:rFonts w:ascii="Times New Roman" w:hAnsi="Times New Roman"/>
                <w:bCs/>
                <w:lang w:eastAsia="uk-UA"/>
              </w:rPr>
              <w:t xml:space="preserve"> величини </w:t>
            </w:r>
            <w:r w:rsidRPr="005A615E">
              <w:rPr>
                <w:rFonts w:ascii="Times New Roman" w:hAnsi="Times New Roman"/>
                <w:b/>
                <w:lang w:eastAsia="uk-UA"/>
              </w:rPr>
              <w:t>перевищення фактичних витрат електричної енергії над нормативно-фактичними технологічними витратами електричної енергії в мережах на 1 та 2 класі напруги за рік t-2</w:t>
            </w:r>
            <w:r w:rsidRPr="005A615E">
              <w:rPr>
                <w:rFonts w:ascii="Times New Roman" w:hAnsi="Times New Roman"/>
                <w:lang w:eastAsia="uk-UA"/>
              </w:rPr>
              <w:t xml:space="preserve"> </w:t>
            </w:r>
            <w:r w:rsidRPr="005A615E">
              <w:rPr>
                <w:rFonts w:ascii="Times New Roman" w:hAnsi="Times New Roman"/>
                <w:bCs/>
                <w:lang w:eastAsia="uk-UA"/>
              </w:rPr>
              <w:t xml:space="preserve">(на контрольованій території держави) </w:t>
            </w:r>
            <w:r w:rsidRPr="005A615E">
              <w:rPr>
                <w:rFonts w:ascii="Times New Roman" w:hAnsi="Times New Roman"/>
                <w:b/>
                <w:lang w:eastAsia="uk-UA"/>
              </w:rPr>
              <w:t xml:space="preserve">за ціною </w:t>
            </w:r>
            <w:r w:rsidRPr="005A615E">
              <w:rPr>
                <w:rFonts w:ascii="Times New Roman" w:hAnsi="Times New Roman"/>
                <w:b/>
                <w:noProof/>
                <w:lang w:eastAsia="uk-UA"/>
              </w:rPr>
              <w:drawing>
                <wp:inline distT="0" distB="0" distL="0" distR="0" wp14:anchorId="5457B311" wp14:editId="437D7E19">
                  <wp:extent cx="247650" cy="209550"/>
                  <wp:effectExtent l="0" t="0" r="0" b="0"/>
                  <wp:docPr id="1993780104" name="Рисунок 1993780104"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0902841" descr="https://zakon-pro.ligazakon.net/l_flib1.nsf/LookupFiles/GK40721_IMG_010.gif/$file/GK40721_IMG_01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5A615E">
              <w:rPr>
                <w:rFonts w:ascii="Times New Roman" w:hAnsi="Times New Roman"/>
                <w:b/>
                <w:lang w:eastAsia="uk-UA"/>
              </w:rPr>
              <w:t>. Розділення визначеної суми на 1 та 2 класи напруги здійснюється пропорційно  умовним одиницям обладнання на відповідному класі напруги</w:t>
            </w:r>
            <w:r w:rsidRPr="005A615E">
              <w:rPr>
                <w:rFonts w:ascii="Times New Roman" w:hAnsi="Times New Roman"/>
                <w:bCs/>
                <w:lang w:eastAsia="uk-UA"/>
              </w:rPr>
              <w:t>,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ind w:firstLine="308"/>
              <w:jc w:val="both"/>
              <w:rPr>
                <w:rFonts w:ascii="Times New Roman" w:hAnsi="Times New Roman"/>
                <w:bCs/>
                <w:lang w:eastAsia="uk-UA"/>
              </w:rPr>
            </w:pPr>
            <w:r w:rsidRPr="005A615E">
              <w:rPr>
                <w:rFonts w:ascii="Times New Roman" w:hAnsi="Times New Roman"/>
                <w:shd w:val="clear" w:color="auto" w:fill="FFFFFF"/>
              </w:rPr>
              <w:t xml:space="preserve">З огляду на те, що баланс електроенергії на наступний рік, як правило, не має суттєвих відмінностей від попереднього, пропонується враховувати 100%  </w:t>
            </w:r>
            <w:r w:rsidRPr="005A615E">
              <w:rPr>
                <w:rFonts w:ascii="Times New Roman" w:hAnsi="Times New Roman"/>
                <w:bCs/>
                <w:lang w:eastAsia="uk-UA"/>
              </w:rPr>
              <w:t>величини сумарного обґрунтованого за результатами заходів контролю обсягу понаднормативних технологічних витрат електричної енергії в мережах на 1 та 2 класі напруги за рік t-2 (на контрольованій території держави).</w:t>
            </w:r>
          </w:p>
          <w:p w:rsidR="00CF2AC1" w:rsidRPr="005A615E" w:rsidRDefault="00CF2AC1" w:rsidP="00CF2AC1">
            <w:pPr>
              <w:jc w:val="both"/>
              <w:rPr>
                <w:rFonts w:ascii="Times New Roman" w:hAnsi="Times New Roman"/>
                <w:bCs/>
                <w:lang w:eastAsia="uk-UA"/>
              </w:rPr>
            </w:pPr>
            <w:r w:rsidRPr="005A615E">
              <w:rPr>
                <w:rFonts w:ascii="Times New Roman" w:hAnsi="Times New Roman"/>
                <w:bCs/>
                <w:lang w:eastAsia="uk-UA"/>
              </w:rPr>
              <w:t xml:space="preserve">Пропонується чітко визначити підхід до визначення обсягів ТВЕ  ліцензіатів, частина основних фондів яких знаходиться на територіях, на яких ведуться (велися) бойові дії та щодо яких заходів контролю перевірки, а також з метою уникнення/мінімізації збитків по ТВЕ враховувати </w:t>
            </w:r>
            <w:r w:rsidRPr="005A615E">
              <w:rPr>
                <w:rFonts w:ascii="Times New Roman" w:hAnsi="Times New Roman"/>
                <w:b/>
                <w:lang w:eastAsia="uk-UA"/>
              </w:rPr>
              <w:t>75 %</w:t>
            </w:r>
            <w:r w:rsidRPr="005A615E">
              <w:rPr>
                <w:rFonts w:ascii="Times New Roman" w:hAnsi="Times New Roman"/>
                <w:bCs/>
                <w:lang w:eastAsia="uk-UA"/>
              </w:rPr>
              <w:t xml:space="preserve"> величини сумарного обсягу понаднормативних ТВЕ в мережах на 1 та 2 класі напруги за рік t-2.</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rsidR="00CF2AC1" w:rsidRPr="005A615E" w:rsidRDefault="00CF2AC1" w:rsidP="00CF2AC1">
            <w:pPr>
              <w:jc w:val="both"/>
              <w:rPr>
                <w:rFonts w:ascii="Times New Roman" w:hAnsi="Times New Roman"/>
                <w:lang w:eastAsia="uk-UA"/>
              </w:rPr>
            </w:pPr>
          </w:p>
          <w:p w:rsidR="00CF2AC1" w:rsidRPr="005A615E" w:rsidRDefault="000D13C5" w:rsidP="00CF2AC1">
            <w:pPr>
              <w:jc w:val="both"/>
              <w:rPr>
                <w:rFonts w:ascii="Times New Roman" w:hAnsi="Times New Roman"/>
                <w:lang w:eastAsia="uk-UA"/>
              </w:rPr>
            </w:pPr>
            <m:oMathPara>
              <m:oMath>
                <m:sSubSup>
                  <m:sSubSupPr>
                    <m:ctrlPr>
                      <w:rPr>
                        <w:rFonts w:ascii="Cambria Math" w:hAnsi="Cambria Math"/>
                        <w:i/>
                        <w:lang w:eastAsia="uk-UA"/>
                      </w:rPr>
                    </m:ctrlPr>
                  </m:sSubSupPr>
                  <m:e>
                    <m:r>
                      <w:rPr>
                        <w:rFonts w:ascii="Cambria Math" w:hAnsi="Cambria Math"/>
                        <w:lang w:eastAsia="uk-UA"/>
                      </w:rPr>
                      <m:t>НД</m:t>
                    </m:r>
                  </m:e>
                  <m:sub>
                    <m:r>
                      <w:rPr>
                        <w:rFonts w:ascii="Cambria Math" w:hAnsi="Cambria Math"/>
                        <w:lang w:val="en-US" w:eastAsia="uk-UA"/>
                      </w:rPr>
                      <m:t>t</m:t>
                    </m:r>
                  </m:sub>
                  <m:sup>
                    <m:r>
                      <w:rPr>
                        <w:rFonts w:ascii="Cambria Math" w:hAnsi="Cambria Math"/>
                        <w:lang w:eastAsia="uk-UA"/>
                      </w:rPr>
                      <m:t>n</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ОКВ</m:t>
                    </m:r>
                  </m:e>
                  <m:sub>
                    <m:r>
                      <w:rPr>
                        <w:rFonts w:ascii="Cambria Math" w:hAnsi="Cambria Math"/>
                        <w:lang w:eastAsia="uk-UA"/>
                      </w:rPr>
                      <m:t>t</m:t>
                    </m:r>
                  </m:sub>
                  <m:sup>
                    <m:r>
                      <w:rPr>
                        <w:rFonts w:ascii="Cambria Math" w:hAnsi="Cambria Math"/>
                        <w:lang w:eastAsia="uk-UA"/>
                      </w:rPr>
                      <m:t>n</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ОНВ</m:t>
                    </m:r>
                  </m:e>
                  <m:sub>
                    <m:r>
                      <w:rPr>
                        <w:rFonts w:ascii="Cambria Math" w:hAnsi="Cambria Math"/>
                        <w:lang w:eastAsia="uk-UA"/>
                      </w:rPr>
                      <m:t>t</m:t>
                    </m:r>
                  </m:sub>
                  <m:sup>
                    <m:r>
                      <w:rPr>
                        <w:rFonts w:ascii="Cambria Math" w:hAnsi="Cambria Math"/>
                        <w:lang w:eastAsia="uk-UA"/>
                      </w:rPr>
                      <m:t>n</m:t>
                    </m:r>
                  </m:sup>
                </m:sSubSup>
                <m: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ВЕ</m:t>
                    </m:r>
                  </m:e>
                  <m:sub>
                    <m:r>
                      <m:rPr>
                        <m:sty m:val="bi"/>
                      </m:rPr>
                      <w:rPr>
                        <w:rFonts w:ascii="Cambria Math" w:hAnsi="Cambria Math"/>
                        <w:lang w:eastAsia="uk-UA"/>
                      </w:rPr>
                      <m:t>t</m:t>
                    </m:r>
                  </m:sub>
                  <m:sup>
                    <m:r>
                      <m:rPr>
                        <m:sty m:val="bi"/>
                      </m:rPr>
                      <w:rPr>
                        <w:rFonts w:ascii="Cambria Math" w:hAnsi="Cambria Math"/>
                        <w:lang w:eastAsia="uk-UA"/>
                      </w:rPr>
                      <m:t>n</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ВТ</m:t>
                    </m:r>
                  </m:e>
                  <m:sub>
                    <m:r>
                      <w:rPr>
                        <w:rFonts w:ascii="Cambria Math" w:hAnsi="Cambria Math"/>
                        <w:lang w:eastAsia="uk-UA"/>
                      </w:rPr>
                      <m:t>t</m:t>
                    </m:r>
                  </m:sub>
                  <m:sup>
                    <m:r>
                      <w:rPr>
                        <w:rFonts w:ascii="Cambria Math" w:hAnsi="Cambria Math"/>
                        <w:lang w:eastAsia="uk-UA"/>
                      </w:rPr>
                      <m:t>n</m:t>
                    </m:r>
                  </m:sup>
                </m:sSubSup>
                <m:r>
                  <w:rPr>
                    <w:rFonts w:ascii="Cambria Math" w:hAnsi="Cambria Math"/>
                    <w:lang w:eastAsia="uk-UA"/>
                  </w:rPr>
                  <m:t>+</m:t>
                </m:r>
                <m:sSub>
                  <m:sSubPr>
                    <m:ctrlPr>
                      <w:rPr>
                        <w:rFonts w:ascii="Cambria Math" w:hAnsi="Cambria Math"/>
                        <w:i/>
                        <w:lang w:eastAsia="uk-UA"/>
                      </w:rPr>
                    </m:ctrlPr>
                  </m:sSubPr>
                  <m:e>
                    <m:r>
                      <w:rPr>
                        <w:rFonts w:ascii="Cambria Math" w:hAnsi="Cambria Math"/>
                        <w:lang w:eastAsia="uk-UA"/>
                      </w:rPr>
                      <m:t>А</m:t>
                    </m:r>
                  </m:e>
                  <m:sub>
                    <m:r>
                      <w:rPr>
                        <w:rFonts w:ascii="Cambria Math" w:hAnsi="Cambria Math"/>
                        <w:lang w:eastAsia="uk-UA"/>
                      </w:rPr>
                      <m:t>t</m:t>
                    </m:r>
                  </m:sub>
                </m:sSub>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П</m:t>
                    </m:r>
                  </m:e>
                  <m:sub/>
                  <m:sup>
                    <m:r>
                      <w:rPr>
                        <w:rFonts w:ascii="Cambria Math" w:hAnsi="Cambria Math"/>
                        <w:lang w:eastAsia="uk-UA"/>
                      </w:rPr>
                      <m:t>n</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ПП</m:t>
                    </m:r>
                  </m:e>
                  <m:sub>
                    <m:r>
                      <w:rPr>
                        <w:rFonts w:ascii="Cambria Math" w:hAnsi="Cambria Math"/>
                        <w:lang w:eastAsia="uk-UA"/>
                      </w:rPr>
                      <m:t>t</m:t>
                    </m:r>
                  </m:sub>
                  <m:sup>
                    <m:r>
                      <w:rPr>
                        <w:rFonts w:ascii="Cambria Math" w:hAnsi="Cambria Math"/>
                        <w:lang w:eastAsia="uk-UA"/>
                      </w:rPr>
                      <m:t>n</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ПР</m:t>
                    </m:r>
                  </m:e>
                  <m:sub>
                    <m:r>
                      <w:rPr>
                        <w:rFonts w:ascii="Cambria Math" w:hAnsi="Cambria Math"/>
                        <w:lang w:eastAsia="uk-UA"/>
                      </w:rPr>
                      <m:t>t</m:t>
                    </m:r>
                  </m:sub>
                  <m:sup/>
                </m:sSubSup>
                <m:r>
                  <w:rPr>
                    <w:rFonts w:ascii="Cambria Math" w:hAnsi="Cambria Math"/>
                    <w:lang w:eastAsia="uk-UA"/>
                  </w:rPr>
                  <m:t>+</m:t>
                </m:r>
                <m:sSubSup>
                  <m:sSubSupPr>
                    <m:ctrlPr>
                      <w:rPr>
                        <w:rFonts w:ascii="Cambria Math" w:hAnsi="Cambria Math"/>
                        <w:i/>
                        <w:strike/>
                        <w:lang w:eastAsia="uk-UA"/>
                      </w:rPr>
                    </m:ctrlPr>
                  </m:sSubSupPr>
                  <m:e>
                    <m:r>
                      <w:rPr>
                        <w:rFonts w:ascii="Cambria Math" w:hAnsi="Cambria Math"/>
                        <w:strike/>
                        <w:lang w:eastAsia="uk-UA"/>
                      </w:rPr>
                      <m:t>КЯ</m:t>
                    </m:r>
                  </m:e>
                  <m:sub>
                    <m:r>
                      <w:rPr>
                        <w:rFonts w:ascii="Cambria Math" w:hAnsi="Cambria Math"/>
                        <w:strike/>
                        <w:lang w:eastAsia="uk-UA"/>
                      </w:rPr>
                      <m:t>t</m:t>
                    </m:r>
                  </m:sub>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КД</m:t>
                    </m:r>
                  </m:e>
                  <m:sub>
                    <m:r>
                      <w:rPr>
                        <w:rFonts w:ascii="Cambria Math" w:hAnsi="Cambria Math"/>
                        <w:lang w:eastAsia="uk-UA"/>
                      </w:rPr>
                      <m:t>t</m:t>
                    </m:r>
                  </m:sub>
                  <m:sup/>
                </m:sSubSup>
              </m:oMath>
            </m:oMathPara>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де </w:t>
            </w:r>
            <w:r w:rsidRPr="005A615E">
              <w:rPr>
                <w:rFonts w:ascii="Times New Roman" w:hAnsi="Times New Roman"/>
                <w:noProof/>
                <w:lang w:eastAsia="uk-UA"/>
              </w:rPr>
              <w:drawing>
                <wp:inline distT="0" distB="0" distL="0" distR="0" wp14:anchorId="405B66A4" wp14:editId="0D7D6817">
                  <wp:extent cx="400050" cy="150962"/>
                  <wp:effectExtent l="0" t="0" r="0" b="1905"/>
                  <wp:docPr id="1632178327" name="Рисунок 1632178327" descr="https://zakon-pro.ligazakon.net/l_flib1.nsf/LookupFiles/GK40721_IMG_002.gif/$file/GK40721_IMG_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pro.ligazakon.net/l_flib1.nsf/LookupFiles/GK40721_IMG_002.gif/$file/GK40721_IMG_002.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3144" cy="152130"/>
                          </a:xfrm>
                          <a:prstGeom prst="rect">
                            <a:avLst/>
                          </a:prstGeom>
                          <a:noFill/>
                          <a:ln>
                            <a:noFill/>
                          </a:ln>
                        </pic:spPr>
                      </pic:pic>
                    </a:graphicData>
                  </a:graphic>
                </wp:inline>
              </w:drawing>
            </w:r>
            <w:r w:rsidRPr="005A615E">
              <w:rPr>
                <w:rFonts w:ascii="Times New Roman" w:hAnsi="Times New Roman"/>
                <w:lang w:eastAsia="uk-UA"/>
              </w:rPr>
              <w:t> - прогнозовані операційні контрольовані витрати з розподілу електричної енергії (примірний перелік яких наведено в додатку </w:t>
            </w:r>
            <w:hyperlink r:id="rId50" w:tgtFrame="_blank" w:history="1">
              <w:r w:rsidRPr="005A615E">
                <w:rPr>
                  <w:rFonts w:ascii="Times New Roman" w:hAnsi="Times New Roman"/>
                  <w:lang w:eastAsia="uk-UA"/>
                </w:rPr>
                <w:t>19</w:t>
              </w:r>
            </w:hyperlink>
            <w:r w:rsidRPr="005A615E">
              <w:rPr>
                <w:rFonts w:ascii="Times New Roman" w:hAnsi="Times New Roman"/>
                <w:lang w:eastAsia="uk-UA"/>
              </w:rPr>
              <w:t> до цього Порядку) на рік t, тис. грн;</w:t>
            </w: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lang w:eastAsia="uk-UA"/>
              </w:rPr>
            </w:pPr>
            <w:r w:rsidRPr="005A615E">
              <w:rPr>
                <w:rFonts w:ascii="Times New Roman" w:hAnsi="Times New Roman"/>
                <w:noProof/>
                <w:lang w:eastAsia="uk-UA"/>
              </w:rPr>
              <w:drawing>
                <wp:inline distT="0" distB="0" distL="0" distR="0" wp14:anchorId="1F0EEAE9" wp14:editId="1A56BB19">
                  <wp:extent cx="400050" cy="150962"/>
                  <wp:effectExtent l="0" t="0" r="0" b="1905"/>
                  <wp:docPr id="1632178332" name="Рисунок 1632178332" descr="https://zakon-pro.ligazakon.net/l_flib1.nsf/LookupFiles/GK40721_IMG_003.gif/$file/GK40721_IMG_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pro.ligazakon.net/l_flib1.nsf/LookupFiles/GK40721_IMG_003.gif/$file/GK40721_IMG_003.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5927" cy="153180"/>
                          </a:xfrm>
                          <a:prstGeom prst="rect">
                            <a:avLst/>
                          </a:prstGeom>
                          <a:noFill/>
                          <a:ln>
                            <a:noFill/>
                          </a:ln>
                        </pic:spPr>
                      </pic:pic>
                    </a:graphicData>
                  </a:graphic>
                </wp:inline>
              </w:drawing>
            </w:r>
            <w:r w:rsidRPr="005A615E">
              <w:rPr>
                <w:rFonts w:ascii="Times New Roman" w:hAnsi="Times New Roman"/>
                <w:lang w:eastAsia="uk-UA"/>
              </w:rPr>
              <w:t> - прогнозовані операційні неконтрольовані витрати з розподілу електричної енергії (примірний перелік яких наведено в додатку </w:t>
            </w:r>
            <w:hyperlink r:id="rId51" w:tgtFrame="_blank" w:history="1">
              <w:r w:rsidRPr="005A615E">
                <w:rPr>
                  <w:rFonts w:ascii="Times New Roman" w:hAnsi="Times New Roman"/>
                  <w:lang w:eastAsia="uk-UA"/>
                </w:rPr>
                <w:t>20</w:t>
              </w:r>
            </w:hyperlink>
            <w:r w:rsidRPr="005A615E">
              <w:rPr>
                <w:rFonts w:ascii="Times New Roman" w:hAnsi="Times New Roman"/>
                <w:lang w:eastAsia="uk-UA"/>
              </w:rPr>
              <w:t> до цього Порядку) на рік t, тис. грн;</w:t>
            </w:r>
          </w:p>
          <w:p w:rsidR="00CF2AC1" w:rsidRPr="005A615E" w:rsidRDefault="00CF2AC1" w:rsidP="00CF2AC1">
            <w:pPr>
              <w:ind w:firstLine="270"/>
              <w:jc w:val="both"/>
              <w:rPr>
                <w:rFonts w:ascii="Times New Roman" w:hAnsi="Times New Roman"/>
                <w:lang w:eastAsia="uk-UA"/>
              </w:rPr>
            </w:pPr>
            <w:r w:rsidRPr="005A615E">
              <w:rPr>
                <w:rFonts w:ascii="Times New Roman" w:hAnsi="Times New Roman"/>
                <w:lang w:eastAsia="uk-UA"/>
              </w:rPr>
              <w:t>…</w:t>
            </w:r>
          </w:p>
          <w:p w:rsidR="00CF2AC1" w:rsidRPr="005A615E" w:rsidRDefault="000D13C5" w:rsidP="00CF2AC1">
            <w:pPr>
              <w:ind w:firstLine="270"/>
              <w:jc w:val="both"/>
              <w:rPr>
                <w:rFonts w:ascii="Times New Roman" w:hAnsi="Times New Roman"/>
                <w:b/>
                <w:lang w:eastAsia="uk-UA"/>
              </w:rPr>
            </w:pPr>
            <m:oMath>
              <m:sSubSup>
                <m:sSubSupPr>
                  <m:ctrlPr>
                    <w:rPr>
                      <w:rFonts w:ascii="Cambria Math" w:hAnsi="Cambria Math"/>
                      <w:b/>
                      <w:i/>
                      <w:lang w:eastAsia="uk-UA"/>
                    </w:rPr>
                  </m:ctrlPr>
                </m:sSubSupPr>
                <m:e>
                  <m:r>
                    <m:rPr>
                      <m:sty m:val="bi"/>
                    </m:rPr>
                    <w:rPr>
                      <w:rFonts w:ascii="Cambria Math" w:hAnsi="Cambria Math"/>
                      <w:lang w:eastAsia="uk-UA"/>
                    </w:rPr>
                    <m:t>ВЕ</m:t>
                  </m:r>
                </m:e>
                <m:sub>
                  <m:r>
                    <m:rPr>
                      <m:sty m:val="bi"/>
                    </m:rPr>
                    <w:rPr>
                      <w:rFonts w:ascii="Cambria Math" w:hAnsi="Cambria Math"/>
                      <w:lang w:eastAsia="uk-UA"/>
                    </w:rPr>
                    <m:t>t</m:t>
                  </m:r>
                </m:sub>
                <m:sup>
                  <m:r>
                    <m:rPr>
                      <m:sty m:val="bi"/>
                    </m:rPr>
                    <w:rPr>
                      <w:rFonts w:ascii="Cambria Math" w:hAnsi="Cambria Math"/>
                      <w:lang w:eastAsia="uk-UA"/>
                    </w:rPr>
                    <m:t>n</m:t>
                  </m:r>
                </m:sup>
              </m:sSubSup>
            </m:oMath>
            <w:r w:rsidR="00CF2AC1" w:rsidRPr="005A615E">
              <w:rPr>
                <w:rFonts w:ascii="Times New Roman" w:hAnsi="Times New Roman"/>
                <w:b/>
                <w:lang w:eastAsia="uk-UA"/>
              </w:rPr>
              <w:t> - вартість електроенергії на господарські потреби на рік t, що визначається за формулою</w:t>
            </w:r>
          </w:p>
          <w:p w:rsidR="00CF2AC1" w:rsidRPr="005A615E" w:rsidRDefault="000D13C5" w:rsidP="00CF2AC1">
            <w:pPr>
              <w:ind w:firstLine="270"/>
              <w:rPr>
                <w:rFonts w:ascii="Times New Roman" w:hAnsi="Times New Roman"/>
                <w:b/>
                <w:lang w:eastAsia="uk-UA"/>
              </w:rPr>
            </w:pPr>
            <m:oMath>
              <m:sSubSup>
                <m:sSubSupPr>
                  <m:ctrlPr>
                    <w:rPr>
                      <w:rFonts w:ascii="Cambria Math" w:hAnsi="Cambria Math"/>
                      <w:b/>
                      <w:i/>
                      <w:lang w:eastAsia="uk-UA"/>
                    </w:rPr>
                  </m:ctrlPr>
                </m:sSubSupPr>
                <m:e>
                  <m:r>
                    <m:rPr>
                      <m:sty m:val="bi"/>
                    </m:rPr>
                    <w:rPr>
                      <w:rFonts w:ascii="Cambria Math" w:hAnsi="Cambria Math"/>
                      <w:lang w:eastAsia="uk-UA"/>
                    </w:rPr>
                    <m:t>ВЕ</m:t>
                  </m:r>
                </m:e>
                <m:sub>
                  <m:r>
                    <m:rPr>
                      <m:sty m:val="bi"/>
                    </m:rPr>
                    <w:rPr>
                      <w:rFonts w:ascii="Cambria Math" w:hAnsi="Cambria Math"/>
                      <w:lang w:eastAsia="uk-UA"/>
                    </w:rPr>
                    <m:t>t</m:t>
                  </m:r>
                </m:sub>
                <m:sup>
                  <m:r>
                    <m:rPr>
                      <m:sty m:val="bi"/>
                    </m:rPr>
                    <w:rPr>
                      <w:rFonts w:ascii="Cambria Math" w:hAnsi="Cambria Math"/>
                      <w:lang w:eastAsia="uk-UA"/>
                    </w:rPr>
                    <m:t>n</m:t>
                  </m:r>
                </m:sup>
              </m:sSubSup>
              <m:r>
                <m:rPr>
                  <m:sty m:val="bi"/>
                </m:rPr>
                <w:rPr>
                  <w:rFonts w:ascii="Cambria Math" w:hAnsi="Cambria Math"/>
                  <w:lang w:eastAsia="uk-UA"/>
                </w:rPr>
                <m:t xml:space="preserve">= </m:t>
              </m:r>
              <m:sSubSup>
                <m:sSubSupPr>
                  <m:ctrlPr>
                    <w:rPr>
                      <w:rFonts w:ascii="Cambria Math" w:hAnsi="Cambria Math"/>
                      <w:b/>
                      <w:i/>
                      <w:lang w:eastAsia="uk-UA"/>
                    </w:rPr>
                  </m:ctrlPr>
                </m:sSubSupPr>
                <m:e>
                  <m:r>
                    <m:rPr>
                      <m:sty m:val="bi"/>
                    </m:rPr>
                    <w:rPr>
                      <w:rFonts w:ascii="Cambria Math" w:hAnsi="Cambria Math"/>
                      <w:lang w:eastAsia="uk-UA"/>
                    </w:rPr>
                    <m:t>WГП</m:t>
                  </m:r>
                </m:e>
                <m:sub>
                  <m:r>
                    <m:rPr>
                      <m:sty m:val="bi"/>
                    </m:rPr>
                    <w:rPr>
                      <w:rFonts w:ascii="Cambria Math" w:hAnsi="Cambria Math"/>
                      <w:lang w:eastAsia="uk-UA"/>
                    </w:rPr>
                    <m:t>t</m:t>
                  </m:r>
                </m:sub>
                <m:sup>
                  <m:r>
                    <m:rPr>
                      <m:sty m:val="bi"/>
                    </m:rPr>
                    <w:rPr>
                      <w:rFonts w:ascii="Cambria Math" w:hAnsi="Cambria Math"/>
                      <w:lang w:val="en-US" w:eastAsia="uk-UA"/>
                    </w:rPr>
                    <m:t>n</m:t>
                  </m:r>
                </m:sup>
              </m:sSubSup>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Ц</m:t>
                  </m:r>
                </m:e>
                <m:sub>
                  <m:r>
                    <m:rPr>
                      <m:sty m:val="bi"/>
                    </m:rPr>
                    <w:rPr>
                      <w:rFonts w:ascii="Cambria Math" w:hAnsi="Cambria Math"/>
                      <w:lang w:eastAsia="uk-UA"/>
                    </w:rPr>
                    <m:t>t</m:t>
                  </m:r>
                </m:sub>
                <m:sup>
                  <m:r>
                    <m:rPr>
                      <m:sty m:val="bi"/>
                    </m:rPr>
                    <w:rPr>
                      <w:rFonts w:ascii="Cambria Math" w:hAnsi="Cambria Math"/>
                      <w:lang w:val="en-US" w:eastAsia="uk-UA"/>
                    </w:rPr>
                    <m:t>n</m:t>
                  </m:r>
                </m:sup>
              </m:sSubSup>
            </m:oMath>
            <w:r w:rsidR="00CF2AC1" w:rsidRPr="005A615E">
              <w:rPr>
                <w:rFonts w:ascii="Times New Roman" w:hAnsi="Times New Roman"/>
                <w:b/>
                <w:lang w:eastAsia="uk-UA"/>
              </w:rPr>
              <w:t>, тис. грн,</w:t>
            </w:r>
          </w:p>
          <w:p w:rsidR="00CF2AC1" w:rsidRPr="005A615E" w:rsidRDefault="00CF2AC1" w:rsidP="00CF2AC1">
            <w:pPr>
              <w:ind w:firstLine="270"/>
              <w:jc w:val="both"/>
              <w:rPr>
                <w:rFonts w:ascii="Times New Roman" w:hAnsi="Times New Roman"/>
                <w:b/>
                <w:lang w:eastAsia="uk-UA"/>
              </w:rPr>
            </w:pPr>
            <w:r w:rsidRPr="005A615E">
              <w:rPr>
                <w:rFonts w:ascii="Times New Roman" w:hAnsi="Times New Roman"/>
                <w:b/>
                <w:lang w:eastAsia="uk-UA"/>
              </w:rPr>
              <w:t>де </w:t>
            </w:r>
            <w:r w:rsidRPr="005A615E">
              <w:rPr>
                <w:rFonts w:ascii="Times New Roman" w:hAnsi="Times New Roman"/>
                <w:b/>
                <w:noProof/>
                <w:lang w:eastAsia="uk-UA"/>
              </w:rPr>
              <w:drawing>
                <wp:inline distT="0" distB="0" distL="0" distR="0" wp14:anchorId="0C546861" wp14:editId="1D3510DB">
                  <wp:extent cx="247650" cy="209550"/>
                  <wp:effectExtent l="0" t="0" r="0" b="0"/>
                  <wp:docPr id="1632178354" name="Рисунок 1632178354"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pro.ligazakon.net/l_flib1.nsf/LookupFiles/GK40721_IMG_010.gif/$file/GK40721_IMG_01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5A615E">
              <w:rPr>
                <w:rFonts w:ascii="Times New Roman" w:hAnsi="Times New Roman"/>
                <w:b/>
                <w:lang w:eastAsia="uk-UA"/>
              </w:rPr>
              <w:t> - рівень прогнозованої оптової ринкової ціни електричної енергії, затвердженої НКРЕКП (проект рівня прогнозованої оптової ринкової ціни електричної енергії), або рівень цін електричної енергії, що продається за двосторонніми договорами на електронних аукціонах</w:t>
            </w:r>
            <w:hyperlink r:id="rId52" w:tgtFrame="_blank" w:history="1">
              <w:r w:rsidRPr="005A615E">
                <w:rPr>
                  <w:rFonts w:ascii="Times New Roman" w:hAnsi="Times New Roman"/>
                  <w:b/>
                  <w:lang w:eastAsia="uk-UA"/>
                </w:rPr>
                <w:t>, балансуючому ринку</w:t>
              </w:r>
            </w:hyperlink>
            <w:r w:rsidRPr="005A615E">
              <w:rPr>
                <w:rFonts w:ascii="Times New Roman" w:hAnsi="Times New Roman"/>
                <w:b/>
                <w:lang w:eastAsia="uk-UA"/>
              </w:rPr>
              <w:t> та на ринку "на добу наперед" (у встановленому співвідношенні), на рік t, грн/МВт·год;</w:t>
            </w:r>
          </w:p>
          <w:p w:rsidR="00CF2AC1" w:rsidRPr="005A615E" w:rsidRDefault="000D13C5" w:rsidP="00CF2AC1">
            <w:pPr>
              <w:ind w:firstLine="270"/>
              <w:jc w:val="both"/>
              <w:rPr>
                <w:rFonts w:ascii="Times New Roman" w:hAnsi="Times New Roman"/>
                <w:b/>
                <w:lang w:eastAsia="uk-UA"/>
              </w:rPr>
            </w:pPr>
            <m:oMath>
              <m:sSubSup>
                <m:sSubSupPr>
                  <m:ctrlPr>
                    <w:rPr>
                      <w:rFonts w:ascii="Cambria Math" w:hAnsi="Cambria Math"/>
                      <w:b/>
                      <w:i/>
                      <w:lang w:eastAsia="uk-UA"/>
                    </w:rPr>
                  </m:ctrlPr>
                </m:sSubSupPr>
                <m:e>
                  <m:r>
                    <m:rPr>
                      <m:sty m:val="bi"/>
                    </m:rPr>
                    <w:rPr>
                      <w:rFonts w:ascii="Cambria Math" w:hAnsi="Cambria Math"/>
                      <w:lang w:eastAsia="uk-UA"/>
                    </w:rPr>
                    <m:t>WГП</m:t>
                  </m:r>
                </m:e>
                <m:sub>
                  <m:r>
                    <m:rPr>
                      <m:sty m:val="bi"/>
                    </m:rPr>
                    <w:rPr>
                      <w:rFonts w:ascii="Cambria Math" w:hAnsi="Cambria Math"/>
                      <w:lang w:eastAsia="uk-UA"/>
                    </w:rPr>
                    <m:t>t</m:t>
                  </m:r>
                </m:sub>
                <m:sup>
                  <m:r>
                    <m:rPr>
                      <m:sty m:val="bi"/>
                    </m:rPr>
                    <w:rPr>
                      <w:rFonts w:ascii="Cambria Math" w:hAnsi="Cambria Math"/>
                      <w:lang w:val="en-US" w:eastAsia="uk-UA"/>
                    </w:rPr>
                    <m:t>n</m:t>
                  </m:r>
                </m:sup>
              </m:sSubSup>
            </m:oMath>
            <w:r w:rsidR="00CF2AC1" w:rsidRPr="005A615E">
              <w:rPr>
                <w:rFonts w:ascii="Times New Roman" w:hAnsi="Times New Roman"/>
                <w:b/>
                <w:lang w:eastAsia="uk-UA"/>
              </w:rPr>
              <w:t xml:space="preserve"> - </w:t>
            </w:r>
            <w:r w:rsidR="00CF2AC1" w:rsidRPr="005A615E">
              <w:rPr>
                <w:rFonts w:ascii="Times New Roman" w:hAnsi="Times New Roman"/>
                <w:b/>
              </w:rPr>
              <w:t>прогнозований о</w:t>
            </w:r>
            <w:r w:rsidR="00CF2AC1" w:rsidRPr="005A615E">
              <w:rPr>
                <w:rFonts w:ascii="Times New Roman" w:hAnsi="Times New Roman"/>
                <w:b/>
                <w:lang w:eastAsia="uk-UA"/>
              </w:rPr>
              <w:t>бсяг електричної енергії  для господарських потреб,  МВт·год.</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ind w:firstLine="180"/>
              <w:jc w:val="both"/>
              <w:rPr>
                <w:rFonts w:ascii="Times New Roman" w:hAnsi="Times New Roman"/>
                <w:b/>
                <w:lang w:eastAsia="uk-UA"/>
              </w:rPr>
            </w:pPr>
            <w:r w:rsidRPr="005A615E">
              <w:rPr>
                <w:rFonts w:ascii="Times New Roman" w:hAnsi="Times New Roman"/>
                <w:b/>
                <w:lang w:eastAsia="uk-UA"/>
              </w:rPr>
              <w:t xml:space="preserve">Для ліцензіатів при визначенні прогнозованих обсягів технологічних витрат електричної енергії на її розподіл на рік t, додатково враховується </w:t>
            </w:r>
            <w:r w:rsidRPr="005A615E">
              <w:rPr>
                <w:rFonts w:ascii="Times New Roman" w:hAnsi="Times New Roman"/>
                <w:b/>
                <w:strike/>
                <w:lang w:eastAsia="uk-UA"/>
              </w:rPr>
              <w:t>50</w:t>
            </w:r>
            <w:r w:rsidRPr="005A615E">
              <w:rPr>
                <w:rFonts w:ascii="Times New Roman" w:hAnsi="Times New Roman"/>
                <w:b/>
                <w:lang w:eastAsia="uk-UA"/>
              </w:rPr>
              <w:t xml:space="preserve"> 100 % величини сумарного обґрунтованого за результатами заходів контролю обсягу </w:t>
            </w:r>
            <w:r w:rsidRPr="005A615E">
              <w:rPr>
                <w:rFonts w:ascii="Times New Roman" w:hAnsi="Times New Roman"/>
                <w:b/>
                <w:strike/>
                <w:lang w:eastAsia="uk-UA"/>
              </w:rPr>
              <w:t>понаднормативних</w:t>
            </w:r>
            <w:r w:rsidRPr="005A615E">
              <w:rPr>
                <w:rFonts w:ascii="Times New Roman" w:hAnsi="Times New Roman"/>
                <w:b/>
                <w:lang w:eastAsia="uk-UA"/>
              </w:rPr>
              <w:t xml:space="preserve"> </w:t>
            </w:r>
            <w:r w:rsidRPr="005A615E">
              <w:rPr>
                <w:rFonts w:ascii="Times New Roman" w:hAnsi="Times New Roman"/>
                <w:b/>
                <w:strike/>
                <w:lang w:eastAsia="uk-UA"/>
              </w:rPr>
              <w:t>технологічних витрат електричної енергії</w:t>
            </w:r>
            <w:r w:rsidRPr="005A615E">
              <w:rPr>
                <w:rFonts w:ascii="Times New Roman" w:hAnsi="Times New Roman"/>
                <w:b/>
                <w:lang w:eastAsia="uk-UA"/>
              </w:rPr>
              <w:t xml:space="preserve"> перевищення фактичних витрат електричної енергії над нормативно-фактичними технологічними витратами електричної енергії в мережах на 1 та 2 класі напруги за рік t-2 (на контрольованій території держави).</w:t>
            </w:r>
          </w:p>
          <w:p w:rsidR="00CF2AC1" w:rsidRPr="005A615E" w:rsidRDefault="00CF2AC1" w:rsidP="00CF2AC1">
            <w:pPr>
              <w:shd w:val="clear" w:color="auto" w:fill="FFFFFF"/>
              <w:ind w:firstLine="180"/>
              <w:jc w:val="both"/>
              <w:rPr>
                <w:rFonts w:ascii="Times New Roman" w:hAnsi="Times New Roman"/>
                <w:b/>
                <w:lang w:eastAsia="uk-UA"/>
              </w:rPr>
            </w:pPr>
            <w:r w:rsidRPr="005A615E">
              <w:rPr>
                <w:rFonts w:ascii="Times New Roman" w:hAnsi="Times New Roman"/>
                <w:b/>
                <w:lang w:eastAsia="uk-UA"/>
              </w:rPr>
              <w:t xml:space="preserve">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w:t>
            </w:r>
            <w:r w:rsidRPr="005A615E">
              <w:rPr>
                <w:rFonts w:ascii="Times New Roman" w:hAnsi="Times New Roman"/>
                <w:b/>
                <w:strike/>
                <w:lang w:eastAsia="uk-UA"/>
              </w:rPr>
              <w:t xml:space="preserve">  понаднормативних</w:t>
            </w:r>
            <w:r w:rsidRPr="005A615E">
              <w:rPr>
                <w:rFonts w:ascii="Times New Roman" w:hAnsi="Times New Roman"/>
                <w:b/>
                <w:lang w:eastAsia="uk-UA"/>
              </w:rPr>
              <w:t xml:space="preserve"> </w:t>
            </w:r>
            <w:r w:rsidRPr="005A615E">
              <w:rPr>
                <w:rFonts w:ascii="Times New Roman" w:hAnsi="Times New Roman"/>
                <w:b/>
                <w:strike/>
                <w:lang w:eastAsia="uk-UA"/>
              </w:rPr>
              <w:t>технологічних витрат електричної енергії</w:t>
            </w:r>
            <w:r w:rsidRPr="005A615E">
              <w:rPr>
                <w:rFonts w:ascii="Times New Roman" w:hAnsi="Times New Roman"/>
                <w:b/>
                <w:lang w:eastAsia="uk-UA"/>
              </w:rPr>
              <w:t xml:space="preserve"> перевищення фактичних витрат електричної енергії над нормативно-фактичними технологічними витратами 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p w:rsidR="00CF2AC1" w:rsidRPr="005A615E" w:rsidRDefault="00CF2AC1" w:rsidP="00CF2AC1">
            <w:pPr>
              <w:shd w:val="clear" w:color="auto" w:fill="FFFFFF"/>
              <w:ind w:firstLine="180"/>
              <w:jc w:val="both"/>
              <w:rPr>
                <w:lang w:eastAsia="uk-UA"/>
              </w:rPr>
            </w:pPr>
            <w:r w:rsidRPr="005A615E">
              <w:rPr>
                <w:lang w:eastAsia="uk-UA"/>
              </w:rPr>
              <w:t>…</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ind w:firstLine="368"/>
              <w:jc w:val="both"/>
              <w:rPr>
                <w:rFonts w:ascii="Times New Roman" w:hAnsi="Times New Roman"/>
              </w:rPr>
            </w:pPr>
            <w:r w:rsidRPr="005A615E">
              <w:rPr>
                <w:rFonts w:ascii="Times New Roman" w:hAnsi="Times New Roman"/>
              </w:rPr>
              <w:t>Пропонуємо виокремити «Витрати на електроенергію для господарських потреб» зі складу ОКВ в окрему статтю ОКВ або ОНВ структури тарифів та розраховувати як добуток прогнозованих обсягів е/е на прогнозовану ціну купівлі е/е.</w:t>
            </w:r>
          </w:p>
          <w:p w:rsidR="00CF2AC1" w:rsidRPr="005A615E" w:rsidRDefault="00CF2AC1" w:rsidP="00CF2AC1">
            <w:pPr>
              <w:ind w:firstLine="368"/>
              <w:jc w:val="both"/>
              <w:rPr>
                <w:rFonts w:ascii="Times New Roman" w:hAnsi="Times New Roman"/>
              </w:rPr>
            </w:pPr>
            <w:r w:rsidRPr="005A615E">
              <w:rPr>
                <w:rFonts w:ascii="Times New Roman" w:hAnsi="Times New Roman"/>
              </w:rPr>
              <w:t>Пропонуємо застосувати окремий підхід до визначення витрат на закупівлю е/е для господарських потреб, за аналогією до розрахунку статті «Витрати на купівлю ТВЕ», оскільки дана величина напряму залежить від рівня прогнозованої ціни, а не індексується на індекс цін виробників промислової продукції. Існуючий на сьогодні механізм розрахунку змушує ОСР економити на інших статтях ОКВ (ремонти, ПММ, технічне обслуговування тощо), задля покриття витрат на е/е для господарських потреб. Дана позиція неодноразово була озвучена на установчих нарадах і підтримана НКРЕКП.</w:t>
            </w:r>
          </w:p>
          <w:p w:rsidR="00CF2AC1" w:rsidRPr="005A615E" w:rsidRDefault="00CF2AC1" w:rsidP="00CF2AC1">
            <w:pPr>
              <w:ind w:firstLine="368"/>
              <w:jc w:val="both"/>
              <w:rPr>
                <w:rFonts w:ascii="Times New Roman" w:hAnsi="Times New Roman"/>
                <w:lang w:eastAsia="uk-UA"/>
              </w:rPr>
            </w:pPr>
            <w:r w:rsidRPr="005A615E">
              <w:rPr>
                <w:rFonts w:ascii="Times New Roman" w:hAnsi="Times New Roman"/>
                <w:shd w:val="clear" w:color="auto" w:fill="FFFFFF"/>
                <w:lang w:eastAsia="ar-SA"/>
              </w:rPr>
              <w:t xml:space="preserve">Протягом 2022-2025 років відбулось порушення нормальних режимів роботи мережі внаслідок збільшення транзитних перетоків електричної енергії. Обґрунтованість впливу зазначених факторів щорічно документально підтверджується спеціалізованими підприємствами, що виконують комплекс робіт з розрахунків витрат в електричних мережах. </w:t>
            </w:r>
            <w:r w:rsidRPr="005A615E">
              <w:rPr>
                <w:rFonts w:ascii="Times New Roman" w:hAnsi="Times New Roman"/>
                <w:lang w:eastAsia="uk-UA"/>
              </w:rPr>
              <w:t>Зазначене підтверджує обґрунтованість додатково врахування 100% величини сумарного обсягу понаднормативних технологічних витрат електричної енергії в мережах на 1 та 2 класі напруги за рік t-2 при визначенні прогнозованих обсягів технологічних витрат електричної енергії на її розподіл.</w:t>
            </w:r>
          </w:p>
          <w:p w:rsidR="00CF2AC1" w:rsidRPr="005A615E" w:rsidRDefault="00CF2AC1" w:rsidP="00CF2AC1">
            <w:pPr>
              <w:ind w:firstLine="368"/>
              <w:jc w:val="both"/>
              <w:rPr>
                <w:rFonts w:ascii="Times New Roman" w:hAnsi="Times New Roman"/>
                <w:lang w:eastAsia="uk-UA"/>
              </w:rPr>
            </w:pPr>
            <w:r w:rsidRPr="005A615E">
              <w:rPr>
                <w:rFonts w:ascii="Times New Roman" w:hAnsi="Times New Roman"/>
                <w:lang w:eastAsia="uk-UA"/>
              </w:rPr>
              <w:t>Також, Товариство пропонує привести термінологію, що використовується в Порядку № 1175, у відповідність до чинної нормативної бази НКРЕКП. Зокрема, пропонується замінити поняття «</w:t>
            </w:r>
            <w:r w:rsidRPr="005A615E">
              <w:rPr>
                <w:rFonts w:ascii="Times New Roman" w:hAnsi="Times New Roman"/>
                <w:i/>
                <w:lang w:eastAsia="uk-UA"/>
              </w:rPr>
              <w:t>понаднормативні витрати</w:t>
            </w:r>
            <w:r w:rsidRPr="005A615E">
              <w:rPr>
                <w:rFonts w:ascii="Times New Roman" w:hAnsi="Times New Roman"/>
                <w:lang w:eastAsia="uk-UA"/>
              </w:rPr>
              <w:t>» на дефініцію «</w:t>
            </w:r>
            <w:r w:rsidRPr="005A615E">
              <w:rPr>
                <w:rFonts w:ascii="Times New Roman" w:hAnsi="Times New Roman"/>
                <w:b/>
                <w:i/>
                <w:lang w:eastAsia="uk-UA"/>
              </w:rPr>
              <w:t>перевищення фактичних витрат електричної енергії над нормативно-фактичними технологічними витратами електричної енергії</w:t>
            </w:r>
            <w:r w:rsidRPr="005A615E">
              <w:rPr>
                <w:rFonts w:ascii="Times New Roman" w:hAnsi="Times New Roman"/>
                <w:lang w:eastAsia="uk-UA"/>
              </w:rPr>
              <w:t>».</w:t>
            </w:r>
          </w:p>
          <w:p w:rsidR="00CF2AC1" w:rsidRPr="005A615E" w:rsidRDefault="00CF2AC1" w:rsidP="00CF2AC1">
            <w:pPr>
              <w:ind w:firstLine="368"/>
              <w:jc w:val="both"/>
              <w:rPr>
                <w:rFonts w:ascii="Times New Roman" w:hAnsi="Times New Roman"/>
                <w:lang w:eastAsia="uk-UA"/>
              </w:rPr>
            </w:pPr>
            <w:r w:rsidRPr="005A615E">
              <w:rPr>
                <w:rFonts w:ascii="Times New Roman" w:hAnsi="Times New Roman"/>
                <w:lang w:eastAsia="uk-UA"/>
              </w:rPr>
              <w:t>В діючих нормативно-правових актах НКРЕКП термін «</w:t>
            </w:r>
            <w:r w:rsidRPr="005A615E">
              <w:rPr>
                <w:rFonts w:ascii="Times New Roman" w:hAnsi="Times New Roman"/>
                <w:i/>
                <w:lang w:eastAsia="uk-UA"/>
              </w:rPr>
              <w:t>понаднормативні витрати</w:t>
            </w:r>
            <w:r w:rsidRPr="005A615E">
              <w:rPr>
                <w:rFonts w:ascii="Times New Roman" w:hAnsi="Times New Roman"/>
                <w:lang w:eastAsia="uk-UA"/>
              </w:rPr>
              <w:t xml:space="preserve">» не застосовується з жовтня 2012 року, коли втратила чинність постанова НКРЕ від 19.04.2002 року №398. </w:t>
            </w:r>
          </w:p>
          <w:p w:rsidR="00CF2AC1" w:rsidRPr="005A615E" w:rsidRDefault="00CF2AC1" w:rsidP="00CF2AC1">
            <w:pPr>
              <w:ind w:firstLine="368"/>
              <w:jc w:val="both"/>
              <w:rPr>
                <w:rFonts w:ascii="Times New Roman" w:hAnsi="Times New Roman"/>
              </w:rPr>
            </w:pPr>
            <w:r w:rsidRPr="005A615E">
              <w:rPr>
                <w:rFonts w:ascii="Times New Roman" w:hAnsi="Times New Roman"/>
                <w:lang w:eastAsia="uk-UA"/>
              </w:rPr>
              <w:t>В діючому на сьогодні Положенні про порядок подання, визначення та затвердження економічних коефіцієнтів нормативних та прогнозованих технологічних витрат електроенергії, затвердженого постановою НКРЕКП від 27.07.2017 р. № 981, також відсутнє формулювання «</w:t>
            </w:r>
            <w:r w:rsidRPr="005A615E">
              <w:rPr>
                <w:rFonts w:ascii="Times New Roman" w:hAnsi="Times New Roman"/>
                <w:i/>
                <w:lang w:eastAsia="uk-UA"/>
              </w:rPr>
              <w:t>понаднормативні витрати</w:t>
            </w:r>
            <w:r w:rsidRPr="005A615E">
              <w:rPr>
                <w:rFonts w:ascii="Times New Roman" w:hAnsi="Times New Roman"/>
                <w:lang w:eastAsia="uk-UA"/>
              </w:rPr>
              <w:t>».</w:t>
            </w:r>
          </w:p>
          <w:p w:rsidR="00CF2AC1" w:rsidRPr="005A615E" w:rsidRDefault="00CF2AC1" w:rsidP="00CF2AC1">
            <w:pPr>
              <w:ind w:firstLine="368"/>
              <w:jc w:val="both"/>
              <w:rPr>
                <w:rFonts w:ascii="Times New Roman" w:hAnsi="Times New Roman"/>
                <w:b/>
                <w:i/>
                <w:lang w:eastAsia="uk-UA"/>
              </w:rPr>
            </w:pPr>
            <w:r w:rsidRPr="005A615E">
              <w:rPr>
                <w:rFonts w:ascii="Times New Roman" w:hAnsi="Times New Roman"/>
                <w:lang w:eastAsia="uk-UA"/>
              </w:rPr>
              <w:t xml:space="preserve">Тому, </w:t>
            </w:r>
            <w:r w:rsidRPr="005A615E">
              <w:rPr>
                <w:rFonts w:ascii="Times New Roman" w:hAnsi="Times New Roman"/>
                <w:b/>
                <w:lang w:eastAsia="uk-UA"/>
              </w:rPr>
              <w:t xml:space="preserve">Товариство пропонує привести у відповідність термінологію в Порядку 1175 до поняття, яке застосовано в Порядку перевірок №428, а саме в пункті 5 Методики </w:t>
            </w:r>
            <w:r w:rsidRPr="005A615E">
              <w:rPr>
                <w:rFonts w:ascii="Times New Roman" w:hAnsi="Times New Roman"/>
                <w:b/>
              </w:rPr>
              <w:t xml:space="preserve"> </w:t>
            </w:r>
            <w:r w:rsidRPr="005A615E">
              <w:rPr>
                <w:rFonts w:ascii="Times New Roman" w:hAnsi="Times New Roman"/>
                <w:b/>
                <w:lang w:eastAsia="uk-UA"/>
              </w:rPr>
              <w:t>визначення сум надлишково отриманого або недоотриманого доходу ОСР (Дод.29) – «</w:t>
            </w:r>
            <w:r w:rsidRPr="005A615E">
              <w:rPr>
                <w:rFonts w:ascii="Times New Roman" w:hAnsi="Times New Roman"/>
                <w:b/>
                <w:i/>
                <w:lang w:eastAsia="uk-UA"/>
              </w:rPr>
              <w:t>перевищення фактичних витрат електричної енергії над нормативно-фактичними технологічними витратами електричної енергії».</w:t>
            </w:r>
          </w:p>
          <w:p w:rsidR="00CF2AC1" w:rsidRPr="005A615E" w:rsidRDefault="00CF2AC1" w:rsidP="00CF2AC1">
            <w:pPr>
              <w:ind w:firstLine="368"/>
              <w:jc w:val="both"/>
              <w:rPr>
                <w:rFonts w:ascii="Times New Roman" w:hAnsi="Times New Roman"/>
                <w:b/>
                <w:i/>
                <w:lang w:eastAsia="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shd w:val="clear" w:color="auto" w:fill="FFFFFF"/>
              <w:ind w:firstLine="180"/>
              <w:jc w:val="both"/>
              <w:rPr>
                <w:rFonts w:ascii="Times New Roman" w:hAnsi="Times New Roman"/>
                <w:bCs/>
                <w:lang w:eastAsia="uk-UA"/>
              </w:rPr>
            </w:pPr>
            <w:r w:rsidRPr="005A615E">
              <w:rPr>
                <w:rFonts w:ascii="Times New Roman" w:hAnsi="Times New Roman"/>
                <w:bCs/>
                <w:lang w:eastAsia="uk-UA"/>
              </w:rPr>
              <w:t>Для ліцензіатів при визначенні прогнозованих обсягів технологічних витрат електричної енергії на її розподіл на рік t, додатково враховується 50 % величини сумарного обґрунтованого за результатами заходів контролю обсягу</w:t>
            </w:r>
            <w:r w:rsidRPr="005A615E">
              <w:rPr>
                <w:rFonts w:ascii="Times New Roman" w:hAnsi="Times New Roman"/>
                <w:b/>
                <w:lang w:eastAsia="uk-UA"/>
              </w:rPr>
              <w:t xml:space="preserve"> </w:t>
            </w:r>
            <w:r w:rsidRPr="005A615E">
              <w:rPr>
                <w:rFonts w:ascii="Times New Roman" w:hAnsi="Times New Roman"/>
                <w:b/>
                <w:strike/>
                <w:lang w:eastAsia="uk-UA"/>
              </w:rPr>
              <w:t xml:space="preserve">понаднормативних технологічних </w:t>
            </w:r>
            <w:r w:rsidRPr="005A615E">
              <w:rPr>
                <w:rFonts w:ascii="Times New Roman" w:hAnsi="Times New Roman"/>
                <w:b/>
                <w:bCs/>
                <w:i/>
                <w:iCs/>
              </w:rPr>
              <w:t xml:space="preserve">  втрат електричної енергії що перевищує обсяг затверджений в тарифах на розподіл електричної енергії, який розраховано на основі затверджених ЕКПТВЕ</w:t>
            </w:r>
            <w:r w:rsidRPr="005A615E">
              <w:rPr>
                <w:rFonts w:ascii="Times New Roman" w:hAnsi="Times New Roman"/>
                <w:b/>
                <w:lang w:eastAsia="uk-UA"/>
              </w:rPr>
              <w:t xml:space="preserve">  за рік t-2 </w:t>
            </w:r>
            <w:r w:rsidRPr="005A615E">
              <w:rPr>
                <w:rFonts w:ascii="Times New Roman" w:hAnsi="Times New Roman"/>
                <w:bCs/>
                <w:lang w:eastAsia="uk-UA"/>
              </w:rPr>
              <w:t>(на контрольованій території держави).</w:t>
            </w:r>
          </w:p>
          <w:p w:rsidR="00CF2AC1" w:rsidRPr="005A615E" w:rsidRDefault="00CF2AC1" w:rsidP="00CF2AC1">
            <w:pPr>
              <w:shd w:val="clear" w:color="auto" w:fill="FFFFFF"/>
              <w:ind w:firstLine="180"/>
              <w:jc w:val="both"/>
              <w:rPr>
                <w:rFonts w:ascii="Times New Roman" w:hAnsi="Times New Roman"/>
                <w:b/>
                <w:lang w:eastAsia="uk-UA"/>
              </w:rPr>
            </w:pPr>
            <w:r w:rsidRPr="005A615E">
              <w:rPr>
                <w:rFonts w:ascii="Times New Roman" w:hAnsi="Times New Roman"/>
                <w:bCs/>
                <w:lang w:eastAsia="uk-UA"/>
              </w:rPr>
              <w:t>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w:t>
            </w:r>
            <w:r w:rsidRPr="005A615E">
              <w:rPr>
                <w:rFonts w:ascii="Times New Roman" w:hAnsi="Times New Roman"/>
                <w:b/>
                <w:lang w:eastAsia="uk-UA"/>
              </w:rPr>
              <w:t xml:space="preserve"> </w:t>
            </w:r>
            <w:r w:rsidRPr="005A615E">
              <w:rPr>
                <w:rFonts w:ascii="Times New Roman" w:hAnsi="Times New Roman"/>
                <w:b/>
                <w:strike/>
                <w:lang w:eastAsia="uk-UA"/>
              </w:rPr>
              <w:t>понаднормативних технологічних</w:t>
            </w:r>
            <w:r w:rsidRPr="005A615E">
              <w:rPr>
                <w:rFonts w:ascii="Times New Roman" w:hAnsi="Times New Roman"/>
                <w:b/>
                <w:lang w:eastAsia="uk-UA"/>
              </w:rPr>
              <w:t xml:space="preserve"> </w:t>
            </w:r>
            <w:r w:rsidRPr="005A615E">
              <w:rPr>
                <w:rFonts w:ascii="Times New Roman" w:hAnsi="Times New Roman"/>
                <w:b/>
                <w:bCs/>
                <w:i/>
                <w:iCs/>
                <w:sz w:val="20"/>
                <w:szCs w:val="20"/>
              </w:rPr>
              <w:t xml:space="preserve"> </w:t>
            </w:r>
            <w:r w:rsidRPr="005A615E">
              <w:rPr>
                <w:rFonts w:ascii="Times New Roman" w:hAnsi="Times New Roman"/>
                <w:b/>
                <w:bCs/>
                <w:i/>
                <w:iCs/>
              </w:rPr>
              <w:t>втрат електричної енергії що перевищує обсяг затверджений в тарифах на розподіл електричної енергії, який розраховано на основі затверджених ЕКПТВЕ</w:t>
            </w:r>
            <w:r w:rsidRPr="005A615E">
              <w:rPr>
                <w:rFonts w:ascii="Times New Roman" w:hAnsi="Times New Roman"/>
                <w:b/>
                <w:lang w:eastAsia="uk-UA"/>
              </w:rPr>
              <w:t xml:space="preserve">  за рік t-2 </w:t>
            </w:r>
            <w:r w:rsidRPr="005A615E">
              <w:rPr>
                <w:rFonts w:ascii="Times New Roman" w:hAnsi="Times New Roman"/>
                <w:bCs/>
                <w:lang w:eastAsia="uk-UA"/>
              </w:rPr>
              <w:t>(або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p w:rsidR="00CF2AC1" w:rsidRPr="005A615E" w:rsidRDefault="00CF2AC1" w:rsidP="00CF2AC1">
            <w:pPr>
              <w:ind w:firstLine="368"/>
              <w:jc w:val="both"/>
              <w:rPr>
                <w:rFonts w:ascii="Times New Roman" w:hAnsi="Times New Roman"/>
                <w:lang w:eastAsia="uk-UA"/>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ind w:firstLine="368"/>
              <w:jc w:val="both"/>
              <w:rPr>
                <w:rFonts w:ascii="Times New Roman" w:hAnsi="Times New Roman"/>
                <w:lang w:eastAsia="uk-UA"/>
              </w:rPr>
            </w:pPr>
            <w:r w:rsidRPr="005A615E">
              <w:rPr>
                <w:rFonts w:ascii="Times New Roman" w:hAnsi="Times New Roman"/>
                <w:lang w:eastAsia="uk-UA"/>
              </w:rPr>
              <w:t>В Постанові НКРЕКП 981 відсутній термін "Понаднормативні втрати". Даною постановою затверджено порядок подання, визначення та затвердження ЕКПТВЕ.</w:t>
            </w:r>
          </w:p>
          <w:p w:rsidR="00CF2AC1" w:rsidRPr="005A615E" w:rsidRDefault="00CF2AC1" w:rsidP="00CF2AC1">
            <w:pPr>
              <w:ind w:firstLine="368"/>
              <w:jc w:val="both"/>
              <w:rPr>
                <w:rFonts w:ascii="Times New Roman" w:hAnsi="Times New Roman"/>
                <w:lang w:eastAsia="uk-UA"/>
              </w:rPr>
            </w:pPr>
            <w:r w:rsidRPr="005A615E">
              <w:rPr>
                <w:rFonts w:ascii="Times New Roman" w:hAnsi="Times New Roman"/>
                <w:lang w:eastAsia="uk-UA"/>
              </w:rPr>
              <w:t>Тому пропонуємо термін «понаднормативні втрати» замінити  висловом – «обсяг втрат електричної енергії, що перевищує обсяги затверджені в тарифах на розподіл електричної енергії, які розраховано на основі затверджених ЕКПТВЕ».</w:t>
            </w:r>
          </w:p>
          <w:p w:rsidR="00CF2AC1" w:rsidRPr="005A615E" w:rsidRDefault="00CF2AC1" w:rsidP="00CF2AC1">
            <w:pPr>
              <w:ind w:firstLine="368"/>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«Кіровоградобленерго» (лист від 27.07.2026  № 3919/05/34)</w:t>
            </w:r>
          </w:p>
          <w:p w:rsidR="00CF2AC1" w:rsidRPr="005A615E" w:rsidRDefault="00CF2AC1" w:rsidP="00CF2AC1">
            <w:pPr>
              <w:ind w:firstLine="368"/>
              <w:jc w:val="both"/>
              <w:rPr>
                <w:rFonts w:ascii="Times New Roman" w:hAnsi="Times New Roman"/>
                <w:sz w:val="24"/>
              </w:rPr>
            </w:pPr>
            <w:r w:rsidRPr="005A615E">
              <w:rPr>
                <w:rFonts w:ascii="Times New Roman" w:hAnsi="Times New Roman"/>
                <w:sz w:val="24"/>
              </w:rPr>
              <w:t>…</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 xml:space="preserve">Для ліцензіатів при визначенні прогнозованих обсягів технологічних витрат електричної енергії на її розподіл на рік t, додатково враховується 100 % усередненої величини сумарного обґрунтованого за результатами заходів контролю обсягу перевищення фактичних витрат електричної енергії над технологічними витратами електричної енергії в електричних мережах, розрахованих відповідно до ЕКПТВЕ та фактичних обсягів розподілу електричної енергії в мережах на 1 та 2 класі напруги за три завершені річні періоди (роки </w:t>
            </w:r>
            <w:r w:rsidRPr="005A615E">
              <w:rPr>
                <w:rFonts w:ascii="Times New Roman" w:hAnsi="Times New Roman"/>
                <w:lang w:val="en-US" w:eastAsia="uk-UA"/>
              </w:rPr>
              <w:t>t</w:t>
            </w:r>
            <w:r w:rsidRPr="005A615E">
              <w:rPr>
                <w:rFonts w:ascii="Times New Roman" w:hAnsi="Times New Roman"/>
                <w:lang w:eastAsia="uk-UA"/>
              </w:rPr>
              <w:t xml:space="preserve">-4, </w:t>
            </w:r>
            <w:r w:rsidRPr="005A615E">
              <w:rPr>
                <w:rFonts w:ascii="Times New Roman" w:hAnsi="Times New Roman"/>
                <w:lang w:val="en-US" w:eastAsia="uk-UA"/>
              </w:rPr>
              <w:t>t</w:t>
            </w:r>
            <w:r w:rsidRPr="005A615E">
              <w:rPr>
                <w:rFonts w:ascii="Times New Roman" w:hAnsi="Times New Roman"/>
                <w:lang w:eastAsia="uk-UA"/>
              </w:rPr>
              <w:t xml:space="preserve">-3 та </w:t>
            </w:r>
            <w:r w:rsidRPr="005A615E">
              <w:rPr>
                <w:rFonts w:ascii="Times New Roman" w:hAnsi="Times New Roman"/>
                <w:lang w:val="en-US" w:eastAsia="uk-UA"/>
              </w:rPr>
              <w:t>t</w:t>
            </w:r>
            <w:r w:rsidRPr="005A615E">
              <w:rPr>
                <w:rFonts w:ascii="Times New Roman" w:hAnsi="Times New Roman"/>
                <w:lang w:eastAsia="uk-UA"/>
              </w:rPr>
              <w:t xml:space="preserve">-2), що передували прогнозному періоду (рік </w:t>
            </w:r>
            <w:r w:rsidRPr="005A615E">
              <w:rPr>
                <w:rFonts w:ascii="Times New Roman" w:hAnsi="Times New Roman"/>
                <w:lang w:val="en-US" w:eastAsia="uk-UA"/>
              </w:rPr>
              <w:t>t</w:t>
            </w:r>
            <w:r w:rsidRPr="005A615E">
              <w:rPr>
                <w:rFonts w:ascii="Times New Roman" w:hAnsi="Times New Roman"/>
                <w:lang w:eastAsia="uk-UA"/>
              </w:rPr>
              <w:t>), на контрольованій території держави.</w:t>
            </w:r>
          </w:p>
          <w:p w:rsidR="00CF2AC1" w:rsidRPr="005A615E" w:rsidRDefault="00CF2AC1" w:rsidP="00CF2AC1">
            <w:pPr>
              <w:shd w:val="clear" w:color="auto" w:fill="FFFFFF"/>
              <w:ind w:firstLine="180"/>
              <w:jc w:val="both"/>
              <w:rPr>
                <w:rFonts w:ascii="Times New Roman" w:hAnsi="Times New Roman"/>
                <w:lang w:eastAsia="uk-UA"/>
              </w:rPr>
            </w:pPr>
            <w:r w:rsidRPr="005A615E">
              <w:rPr>
                <w:rFonts w:ascii="Times New Roman" w:hAnsi="Times New Roman"/>
                <w:lang w:eastAsia="uk-UA"/>
              </w:rPr>
              <w:t xml:space="preserve">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роки t-4 та/або t-3 та/або t-2  не здійснено, враховується 100 % усередненої  величини сумарного обсягу перевищення фактичних витрат електричної енергії над технологічними витратами електричної енергії в електричних мережах, розрахованих відповідно до ЕКПТВЕ та фактичних обсягів розподілу електричної енергії в мережах на 1 та 2 класі напруги за  три завершені річні періоди (роки </w:t>
            </w:r>
            <w:r w:rsidRPr="005A615E">
              <w:rPr>
                <w:rFonts w:ascii="Times New Roman" w:hAnsi="Times New Roman"/>
                <w:lang w:val="en-US" w:eastAsia="uk-UA"/>
              </w:rPr>
              <w:t>t</w:t>
            </w:r>
            <w:r w:rsidRPr="005A615E">
              <w:rPr>
                <w:rFonts w:ascii="Times New Roman" w:hAnsi="Times New Roman"/>
                <w:lang w:eastAsia="uk-UA"/>
              </w:rPr>
              <w:t xml:space="preserve">-4, </w:t>
            </w:r>
            <w:r w:rsidRPr="005A615E">
              <w:rPr>
                <w:rFonts w:ascii="Times New Roman" w:hAnsi="Times New Roman"/>
                <w:lang w:val="en-US" w:eastAsia="uk-UA"/>
              </w:rPr>
              <w:t>t</w:t>
            </w:r>
            <w:r w:rsidRPr="005A615E">
              <w:rPr>
                <w:rFonts w:ascii="Times New Roman" w:hAnsi="Times New Roman"/>
                <w:lang w:eastAsia="uk-UA"/>
              </w:rPr>
              <w:t xml:space="preserve">-3 та </w:t>
            </w:r>
            <w:r w:rsidRPr="005A615E">
              <w:rPr>
                <w:rFonts w:ascii="Times New Roman" w:hAnsi="Times New Roman"/>
                <w:lang w:val="en-US" w:eastAsia="uk-UA"/>
              </w:rPr>
              <w:t>t</w:t>
            </w:r>
            <w:r w:rsidRPr="005A615E">
              <w:rPr>
                <w:rFonts w:ascii="Times New Roman" w:hAnsi="Times New Roman"/>
                <w:lang w:eastAsia="uk-UA"/>
              </w:rPr>
              <w:t xml:space="preserve">-2), що передували прогнозному періоду (рік </w:t>
            </w:r>
            <w:r w:rsidRPr="005A615E">
              <w:rPr>
                <w:rFonts w:ascii="Times New Roman" w:hAnsi="Times New Roman"/>
                <w:lang w:val="en-US" w:eastAsia="uk-UA"/>
              </w:rPr>
              <w:t>t</w:t>
            </w:r>
            <w:r w:rsidRPr="005A615E">
              <w:rPr>
                <w:rFonts w:ascii="Times New Roman" w:hAnsi="Times New Roman"/>
                <w:lang w:eastAsia="uk-UA"/>
              </w:rPr>
              <w:t>)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p w:rsidR="00CF2AC1" w:rsidRPr="005A615E" w:rsidRDefault="00CF2AC1" w:rsidP="00CF2AC1">
            <w:pPr>
              <w:shd w:val="clear" w:color="auto" w:fill="FFFFFF"/>
              <w:ind w:firstLine="180"/>
              <w:jc w:val="both"/>
              <w:rPr>
                <w:rFonts w:ascii="Times New Roman" w:hAnsi="Times New Roman"/>
                <w:lang w:eastAsia="uk-UA"/>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pacing w:after="120"/>
              <w:ind w:firstLine="216"/>
              <w:jc w:val="both"/>
              <w:rPr>
                <w:rFonts w:ascii="Times New Roman" w:hAnsi="Times New Roman"/>
              </w:rPr>
            </w:pPr>
            <w:r w:rsidRPr="005A615E">
              <w:rPr>
                <w:rFonts w:ascii="Times New Roman" w:hAnsi="Times New Roman"/>
              </w:rPr>
              <w:t>Запропоноване Регулятором рішення щодо врахування обсягу фактичних ТВЕ при визначенні   прогнозованих обсягів ТВЕ у розмірі лише 50 % від  величини сумарного обґрунтованого обсягу перевищення фактичних ТВЕ над розрахунковими є критично недостатнім.</w:t>
            </w:r>
          </w:p>
          <w:p w:rsidR="00CF2AC1" w:rsidRPr="005A615E" w:rsidRDefault="00CF2AC1" w:rsidP="00CF2AC1">
            <w:pPr>
              <w:spacing w:after="120"/>
              <w:ind w:firstLine="216"/>
              <w:jc w:val="both"/>
              <w:rPr>
                <w:rFonts w:ascii="Times New Roman" w:hAnsi="Times New Roman"/>
              </w:rPr>
            </w:pPr>
            <w:r w:rsidRPr="005A615E">
              <w:rPr>
                <w:rFonts w:ascii="Times New Roman" w:hAnsi="Times New Roman"/>
              </w:rPr>
              <w:t>Для ОСР, у мережах яких відбулися вимушені зміни топології та суттєве зростання обсягів транзитних перетоків електроенергії мережами ОСР у мережі суміжних ліцензіатів, підхід із 50-відсотковим врахуванням вирішує проблему лише частково. Внаслідок виконання функцій з транзиту електроенергії через мережу ОСР виникають додаткові обсяги ТВЕ, які ОСР змушений купувати на ринку за власні обігові кошти невідкладно.</w:t>
            </w:r>
          </w:p>
          <w:p w:rsidR="00CF2AC1" w:rsidRPr="005A615E" w:rsidRDefault="00CF2AC1" w:rsidP="00CF2AC1">
            <w:pPr>
              <w:spacing w:after="120"/>
              <w:ind w:firstLine="216"/>
              <w:jc w:val="both"/>
              <w:rPr>
                <w:rFonts w:ascii="Times New Roman" w:hAnsi="Times New Roman"/>
              </w:rPr>
            </w:pPr>
            <w:r w:rsidRPr="005A615E">
              <w:rPr>
                <w:rFonts w:ascii="Times New Roman" w:hAnsi="Times New Roman"/>
              </w:rPr>
              <w:t>Часткова компенсація залишає неврегульованим питання значних касових розривів, тривалість яких за чинною методологією становить три роки (до моменту врахування результатів річної перевірки у структурі тарифу). Для низки ОСР, зокрема для ПрАТ «Кіровоградобленерго», такі касові розриви є суттєвими та мають негативний вплив на стійкість підприємства, створюючи дефіцит обігових коштів, призводячи до зриву інвестиційних і ремонтних програм, виникнення заборгованості за послуги з передачі електричної енергії та послуги з диспетчерського (оперативно-технологічного) управління, а також створюючи ризики відтоку кваліфікованих кадрів через неможливість забезпечення належного рівня оплати праці. Ключовим фактором є те, що Товариство не має джерел фінансування для тимчасового покриття таких додаткових витрат.</w:t>
            </w:r>
          </w:p>
          <w:p w:rsidR="00CF2AC1" w:rsidRPr="005A615E" w:rsidRDefault="00CF2AC1" w:rsidP="00CF2AC1">
            <w:pPr>
              <w:spacing w:after="120"/>
              <w:ind w:firstLine="216"/>
              <w:jc w:val="both"/>
              <w:rPr>
                <w:rFonts w:ascii="Times New Roman" w:hAnsi="Times New Roman"/>
              </w:rPr>
            </w:pPr>
            <w:r w:rsidRPr="005A615E">
              <w:rPr>
                <w:rFonts w:ascii="Times New Roman" w:hAnsi="Times New Roman"/>
              </w:rPr>
              <w:t>Врахування 100 % обґрунтованого обсягу перевищення фактичних ТВЕ над ТВЕ, розрахованими за ЕКПТВЕ, безпосередньо при прогнозуванні для розрахунку тарифу є дієвим інструментом недопущення касових розривів ОСР протягом трирічного періоду. При цьому застосування саме усередненої величини за три завершені річні періоди (</w:t>
            </w:r>
            <w:r w:rsidRPr="005A615E">
              <w:rPr>
                <w:rFonts w:ascii="Times New Roman" w:hAnsi="Times New Roman"/>
                <w:lang w:val="en-US"/>
              </w:rPr>
              <w:t>t</w:t>
            </w:r>
            <w:r w:rsidRPr="005A615E">
              <w:rPr>
                <w:rFonts w:ascii="Times New Roman" w:hAnsi="Times New Roman"/>
              </w:rPr>
              <w:t xml:space="preserve">-4, </w:t>
            </w:r>
            <w:r w:rsidRPr="005A615E">
              <w:rPr>
                <w:rFonts w:ascii="Times New Roman" w:hAnsi="Times New Roman"/>
                <w:lang w:val="en-US"/>
              </w:rPr>
              <w:t>t</w:t>
            </w:r>
            <w:r w:rsidRPr="005A615E">
              <w:rPr>
                <w:rFonts w:ascii="Times New Roman" w:hAnsi="Times New Roman"/>
              </w:rPr>
              <w:t xml:space="preserve">-3 та </w:t>
            </w:r>
            <w:r w:rsidRPr="005A615E">
              <w:rPr>
                <w:rFonts w:ascii="Times New Roman" w:hAnsi="Times New Roman"/>
                <w:lang w:val="en-US"/>
              </w:rPr>
              <w:t>t</w:t>
            </w:r>
            <w:r w:rsidRPr="005A615E">
              <w:rPr>
                <w:rFonts w:ascii="Times New Roman" w:hAnsi="Times New Roman"/>
              </w:rPr>
              <w:t>-2) дозволяє нівелювати ситуативні та сезонні коливання й забезпечити максимально об’єктивний, збалансований та прогнозований розрахунок тарифу, що гарантуватиме фінансову стійкість та надійне й безперебійне надання послуг з розподілу споживачам регіону.</w:t>
            </w:r>
          </w:p>
          <w:p w:rsidR="00CF2AC1" w:rsidRPr="005A615E" w:rsidRDefault="00CF2AC1" w:rsidP="00CF2AC1">
            <w:pPr>
              <w:shd w:val="clear" w:color="auto" w:fill="FFFFFF"/>
              <w:ind w:firstLine="180"/>
              <w:jc w:val="both"/>
              <w:rPr>
                <w:rFonts w:ascii="Times New Roman" w:hAnsi="Times New Roman"/>
              </w:rPr>
            </w:pPr>
            <w:r w:rsidRPr="005A615E">
              <w:rPr>
                <w:rFonts w:ascii="Times New Roman" w:hAnsi="Times New Roman"/>
              </w:rPr>
              <w:t>Окремо слід підкреслити, що застосування саме формулювання «обсяг перевищення фактичних ТВЕ  над ТВЕ розрахованими відповідно до ЕКПТВЕ» замість «понаднормативні ТВЕ» є принциповим для відображення об’єктивної природи цих витрат та усунення підстав для необґрунтованих фінансових претензій з боку податкових органів під час перевірок.</w:t>
            </w:r>
          </w:p>
          <w:p w:rsidR="00CF2AC1" w:rsidRPr="005A615E" w:rsidRDefault="00CF2AC1" w:rsidP="00CF2AC1">
            <w:pPr>
              <w:shd w:val="clear" w:color="auto" w:fill="FFFFFF"/>
              <w:ind w:firstLine="180"/>
              <w:jc w:val="both"/>
              <w:rPr>
                <w:rFonts w:ascii="Times New Roman" w:hAnsi="Times New Roman"/>
                <w:lang w:eastAsia="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rsidR="00CF2AC1" w:rsidRPr="005A615E" w:rsidRDefault="00CF2AC1" w:rsidP="00CF2AC1">
            <w:pPr>
              <w:jc w:val="both"/>
              <w:rPr>
                <w:lang w:eastAsia="uk-UA"/>
              </w:rPr>
            </w:pPr>
            <w:r w:rsidRPr="005A615E">
              <w:rPr>
                <w:lang w:eastAsia="uk-UA"/>
              </w:rPr>
              <w:t>…</w:t>
            </w:r>
          </w:p>
          <w:p w:rsidR="00CF2AC1" w:rsidRPr="005A615E" w:rsidRDefault="00CF2AC1" w:rsidP="00CF2AC1">
            <w:pPr>
              <w:jc w:val="both"/>
              <w:rPr>
                <w:rFonts w:ascii="Times New Roman" w:hAnsi="Times New Roman"/>
                <w:b/>
                <w:lang w:eastAsia="uk-UA"/>
              </w:rPr>
            </w:pPr>
            <w:r w:rsidRPr="005A615E">
              <w:rPr>
                <w:rFonts w:ascii="Times New Roman" w:hAnsi="Times New Roman"/>
                <w:b/>
              </w:rPr>
              <w:t xml:space="preserve">На період дії воєнного стану в Україні </w:t>
            </w:r>
            <w:r w:rsidRPr="005A615E">
              <w:rPr>
                <w:rFonts w:ascii="Times New Roman" w:hAnsi="Times New Roman"/>
                <w:b/>
                <w:lang w:eastAsia="uk-UA"/>
              </w:rPr>
              <w:t>для ліцензіатів</w:t>
            </w:r>
            <w:r w:rsidRPr="005A615E">
              <w:rPr>
                <w:rFonts w:ascii="Times New Roman" w:hAnsi="Times New Roman"/>
                <w:b/>
              </w:rPr>
              <w:t xml:space="preserve">, які мають </w:t>
            </w:r>
            <w:r w:rsidRPr="005A615E">
              <w:rPr>
                <w:rFonts w:ascii="Times New Roman" w:hAnsi="Times New Roman"/>
                <w:b/>
                <w:shd w:val="clear" w:color="auto" w:fill="FFFFFF"/>
              </w:rPr>
              <w:t xml:space="preserve">щорічні документально підтверджені спеціалізованими підприємствами та оператором системи передачі обсяги обґрунтованого перевищення фактичних </w:t>
            </w:r>
            <w:r w:rsidRPr="005A615E">
              <w:rPr>
                <w:rFonts w:ascii="Times New Roman" w:hAnsi="Times New Roman"/>
                <w:b/>
                <w:lang w:eastAsia="uk-UA"/>
              </w:rPr>
              <w:t>технологічних</w:t>
            </w:r>
            <w:r w:rsidRPr="005A615E">
              <w:rPr>
                <w:rFonts w:ascii="Times New Roman" w:hAnsi="Times New Roman"/>
                <w:b/>
                <w:shd w:val="clear" w:color="auto" w:fill="FFFFFF"/>
              </w:rPr>
              <w:t xml:space="preserve"> витрат</w:t>
            </w:r>
            <w:r w:rsidRPr="005A615E">
              <w:rPr>
                <w:rFonts w:ascii="Times New Roman" w:hAnsi="Times New Roman"/>
                <w:b/>
                <w:lang w:eastAsia="uk-UA"/>
              </w:rPr>
              <w:t xml:space="preserve"> в мережах</w:t>
            </w:r>
            <w:r w:rsidRPr="005A615E">
              <w:rPr>
                <w:rFonts w:ascii="Times New Roman" w:hAnsi="Times New Roman"/>
                <w:b/>
                <w:shd w:val="clear" w:color="auto" w:fill="FFFFFF"/>
              </w:rPr>
              <w:t xml:space="preserve"> над нормативно-фактичними їх рівнями, визначеними на підставі ЕКПТВЕ</w:t>
            </w:r>
            <w:r w:rsidRPr="005A615E">
              <w:rPr>
                <w:rFonts w:ascii="Times New Roman" w:hAnsi="Times New Roman"/>
                <w:b/>
                <w:lang w:eastAsia="uk-UA"/>
              </w:rPr>
              <w:t xml:space="preserve">, при визначенні прогнозованих обсягів технологічних витрат електричної енергії на її розподіл на рік t, додатково, за підсумками заходів контролю, враховується 100 % величини сумарного обсягу </w:t>
            </w:r>
            <w:r w:rsidRPr="005A615E">
              <w:rPr>
                <w:rFonts w:ascii="Times New Roman" w:hAnsi="Times New Roman"/>
                <w:b/>
                <w:shd w:val="clear" w:color="auto" w:fill="FFFFFF"/>
              </w:rPr>
              <w:t xml:space="preserve">перевищення фактичних </w:t>
            </w:r>
            <w:r w:rsidRPr="005A615E">
              <w:rPr>
                <w:rFonts w:ascii="Times New Roman" w:hAnsi="Times New Roman"/>
                <w:b/>
                <w:lang w:eastAsia="uk-UA"/>
              </w:rPr>
              <w:t>технологічних</w:t>
            </w:r>
            <w:r w:rsidRPr="005A615E">
              <w:rPr>
                <w:rFonts w:ascii="Times New Roman" w:hAnsi="Times New Roman"/>
                <w:b/>
                <w:shd w:val="clear" w:color="auto" w:fill="FFFFFF"/>
              </w:rPr>
              <w:t xml:space="preserve"> витрат </w:t>
            </w:r>
            <w:r w:rsidRPr="005A615E">
              <w:rPr>
                <w:rFonts w:ascii="Times New Roman" w:hAnsi="Times New Roman"/>
                <w:b/>
                <w:lang w:eastAsia="uk-UA"/>
              </w:rPr>
              <w:t xml:space="preserve">електричної енергії в мережах </w:t>
            </w:r>
            <w:r w:rsidRPr="005A615E">
              <w:rPr>
                <w:rFonts w:ascii="Times New Roman" w:hAnsi="Times New Roman"/>
                <w:b/>
                <w:shd w:val="clear" w:color="auto" w:fill="FFFFFF"/>
              </w:rPr>
              <w:t>над нормативно-фактичними їх рівнями, визначеними на підставі ЕКПТВЕ</w:t>
            </w:r>
            <w:r w:rsidRPr="005A615E">
              <w:rPr>
                <w:rFonts w:ascii="Times New Roman" w:hAnsi="Times New Roman"/>
                <w:b/>
                <w:lang w:eastAsia="uk-UA"/>
              </w:rPr>
              <w:t xml:space="preserve"> на 1 та 2 класі напруги за рік t-2.</w:t>
            </w:r>
          </w:p>
          <w:p w:rsidR="00CF2AC1" w:rsidRPr="005A615E" w:rsidRDefault="00CF2AC1" w:rsidP="00CF2AC1">
            <w:pPr>
              <w:rPr>
                <w:b/>
                <w:i/>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pacing w:before="120" w:after="120"/>
              <w:jc w:val="both"/>
              <w:rPr>
                <w:rFonts w:ascii="Times New Roman" w:hAnsi="Times New Roman"/>
                <w:lang w:eastAsia="uk-UA"/>
              </w:rPr>
            </w:pPr>
            <w:r w:rsidRPr="005A615E">
              <w:rPr>
                <w:rFonts w:ascii="Times New Roman" w:hAnsi="Times New Roman"/>
              </w:rPr>
              <w:t xml:space="preserve">Пропонуємо на період дії воєнного стану в Україні для таких ОСР, які мають </w:t>
            </w:r>
            <w:r w:rsidRPr="005A615E">
              <w:rPr>
                <w:rFonts w:ascii="Times New Roman" w:hAnsi="Times New Roman"/>
                <w:shd w:val="clear" w:color="auto" w:fill="FFFFFF"/>
              </w:rPr>
              <w:t xml:space="preserve">щорічні документально підтверджені спеціалізованими підприємствами та оператором системи передачі обсяги перевищення фактичних технологічних витрат електричної енергії в мережах над нормативно-фактичними їх рівнями, застосовувати </w:t>
            </w:r>
            <w:r w:rsidRPr="005A615E">
              <w:rPr>
                <w:rFonts w:ascii="Times New Roman" w:hAnsi="Times New Roman"/>
                <w:b/>
                <w:u w:val="single"/>
                <w:shd w:val="clear" w:color="auto" w:fill="FFFFFF"/>
              </w:rPr>
              <w:t>особливі умови</w:t>
            </w:r>
            <w:r w:rsidRPr="005A615E">
              <w:rPr>
                <w:rFonts w:ascii="Times New Roman" w:hAnsi="Times New Roman"/>
                <w:shd w:val="clear" w:color="auto" w:fill="FFFFFF"/>
              </w:rPr>
              <w:t xml:space="preserve"> при визначенні прогнозованих обсягів технологічних</w:t>
            </w:r>
            <w:r w:rsidRPr="005A615E">
              <w:rPr>
                <w:rFonts w:ascii="Times New Roman" w:hAnsi="Times New Roman"/>
                <w:lang w:eastAsia="uk-UA"/>
              </w:rPr>
              <w:t xml:space="preserve"> витрат електричної енергії на її розподіл на рік t.</w:t>
            </w:r>
          </w:p>
        </w:tc>
        <w:tc>
          <w:tcPr>
            <w:tcW w:w="3969" w:type="dxa"/>
            <w:gridSpan w:val="2"/>
          </w:tcPr>
          <w:p w:rsidR="00C962C3" w:rsidRPr="005A615E" w:rsidRDefault="00C962C3" w:rsidP="00CF2AC1">
            <w:pPr>
              <w:rPr>
                <w:rFonts w:ascii="Times New Roman" w:hAnsi="Times New Roman"/>
                <w:b/>
                <w:sz w:val="24"/>
                <w:lang w:val="ru-RU"/>
              </w:rPr>
            </w:pPr>
            <w:r w:rsidRPr="005A615E">
              <w:rPr>
                <w:rFonts w:ascii="Times New Roman" w:hAnsi="Times New Roman"/>
                <w:b/>
                <w:sz w:val="24"/>
                <w:lang w:val="ru-RU"/>
              </w:rPr>
              <w:t>Враховано частково</w:t>
            </w:r>
          </w:p>
          <w:p w:rsidR="00CF2AC1" w:rsidRPr="005A615E" w:rsidRDefault="00CF2AC1" w:rsidP="00CF2AC1">
            <w:pPr>
              <w:rPr>
                <w:rFonts w:ascii="Times New Roman" w:hAnsi="Times New Roman"/>
                <w:b/>
                <w:sz w:val="24"/>
                <w:lang w:val="ru-RU"/>
              </w:rPr>
            </w:pPr>
            <w:r w:rsidRPr="005A615E">
              <w:rPr>
                <w:rFonts w:ascii="Times New Roman" w:hAnsi="Times New Roman"/>
                <w:b/>
                <w:sz w:val="24"/>
                <w:lang w:val="ru-RU"/>
              </w:rPr>
              <w:t>До обговорення</w:t>
            </w:r>
          </w:p>
          <w:p w:rsidR="00CF2AC1" w:rsidRPr="005A615E" w:rsidRDefault="00CF2AC1" w:rsidP="00CF2AC1">
            <w:pPr>
              <w:rPr>
                <w:rFonts w:ascii="Times New Roman" w:hAnsi="Times New Roman"/>
                <w:b/>
                <w:sz w:val="24"/>
              </w:rPr>
            </w:pPr>
            <w:r w:rsidRPr="005A615E">
              <w:rPr>
                <w:rFonts w:ascii="Times New Roman" w:hAnsi="Times New Roman"/>
                <w:b/>
                <w:sz w:val="24"/>
              </w:rPr>
              <w:t>Запропонована редакція</w:t>
            </w:r>
          </w:p>
          <w:p w:rsidR="005B089F" w:rsidRPr="005A615E" w:rsidRDefault="005B089F" w:rsidP="005B089F">
            <w:pPr>
              <w:jc w:val="both"/>
              <w:rPr>
                <w:lang w:eastAsia="uk-UA"/>
              </w:rPr>
            </w:pPr>
            <w:r w:rsidRPr="005A615E">
              <w:rPr>
                <w:rFonts w:ascii="Times New Roman" w:hAnsi="Times New Roman"/>
                <w:b/>
                <w:lang w:eastAsia="uk-UA"/>
              </w:rPr>
              <w:t>«</w:t>
            </w:r>
            <w:r w:rsidRPr="005A615E">
              <w:rPr>
                <w:rFonts w:ascii="Times New Roman" w:hAnsi="Times New Roman"/>
                <w:lang w:eastAsia="uk-UA"/>
              </w:rPr>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rsidR="005B089F" w:rsidRPr="005A615E" w:rsidRDefault="005B089F" w:rsidP="005B089F">
            <w:pPr>
              <w:jc w:val="both"/>
              <w:rPr>
                <w:lang w:eastAsia="uk-UA"/>
              </w:rPr>
            </w:pPr>
          </w:p>
          <w:tbl>
            <w:tblPr>
              <w:tblW w:w="6117" w:type="dxa"/>
              <w:tblCellSpacing w:w="22" w:type="dxa"/>
              <w:tblLayout w:type="fixed"/>
              <w:tblLook w:val="04A0" w:firstRow="1" w:lastRow="0" w:firstColumn="1" w:lastColumn="0" w:noHBand="0" w:noVBand="1"/>
            </w:tblPr>
            <w:tblGrid>
              <w:gridCol w:w="5268"/>
              <w:gridCol w:w="849"/>
            </w:tblGrid>
            <w:tr w:rsidR="005B089F" w:rsidRPr="005A615E" w:rsidTr="00B84572">
              <w:trPr>
                <w:tblCellSpacing w:w="22" w:type="dxa"/>
              </w:trPr>
              <w:tc>
                <w:tcPr>
                  <w:tcW w:w="4252" w:type="pct"/>
                  <w:tcMar>
                    <w:top w:w="15" w:type="dxa"/>
                    <w:left w:w="15" w:type="dxa"/>
                    <w:bottom w:w="15" w:type="dxa"/>
                    <w:right w:w="15" w:type="dxa"/>
                  </w:tcMar>
                  <w:vAlign w:val="center"/>
                  <w:hideMark/>
                </w:tcPr>
                <w:p w:rsidR="005B089F" w:rsidRPr="005A615E" w:rsidRDefault="005B089F" w:rsidP="005B089F">
                  <w:pPr>
                    <w:rPr>
                      <w:sz w:val="20"/>
                      <w:lang w:eastAsia="uk-UA"/>
                    </w:rPr>
                  </w:pPr>
                  <w:r w:rsidRPr="005A615E">
                    <w:rPr>
                      <w:noProof/>
                      <w:sz w:val="20"/>
                      <w:lang w:eastAsia="uk-UA"/>
                    </w:rPr>
                    <w:drawing>
                      <wp:inline distT="0" distB="0" distL="0" distR="0" wp14:anchorId="43E4EAC0" wp14:editId="400EACAE">
                        <wp:extent cx="2289226" cy="122240"/>
                        <wp:effectExtent l="0" t="0" r="0" b="0"/>
                        <wp:docPr id="792200274" name="Рисунок 792200274" descr="https://zakon-pro.ligazakon.net/l_flib1.nsf/LookupFiles/GK40721_IMG_184.GIF/$file/GK40721_IMG_184.GIF">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s://zakon-pro.ligazakon.net/l_flib1.nsf/LookupFiles/GK40721_IMG_184.GIF/$file/GK40721_IMG_184.GIF">
                                  <a:hlinkClick r:id="rId21" tgtFrame="&quot;_blank&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9875" cy="167663"/>
                                </a:xfrm>
                                <a:prstGeom prst="rect">
                                  <a:avLst/>
                                </a:prstGeom>
                                <a:noFill/>
                                <a:ln>
                                  <a:noFill/>
                                </a:ln>
                              </pic:spPr>
                            </pic:pic>
                          </a:graphicData>
                        </a:graphic>
                      </wp:inline>
                    </w:drawing>
                  </w:r>
                </w:p>
              </w:tc>
              <w:tc>
                <w:tcPr>
                  <w:tcW w:w="640" w:type="pct"/>
                  <w:tcMar>
                    <w:top w:w="15" w:type="dxa"/>
                    <w:left w:w="15" w:type="dxa"/>
                    <w:bottom w:w="15" w:type="dxa"/>
                    <w:right w:w="15" w:type="dxa"/>
                  </w:tcMar>
                  <w:vAlign w:val="center"/>
                  <w:hideMark/>
                </w:tcPr>
                <w:p w:rsidR="005B089F" w:rsidRPr="005A615E" w:rsidRDefault="000D13C5" w:rsidP="005B089F">
                  <w:pPr>
                    <w:rPr>
                      <w:rFonts w:ascii="Times New Roman" w:hAnsi="Times New Roman"/>
                      <w:sz w:val="20"/>
                      <w:lang w:eastAsia="uk-UA"/>
                    </w:rPr>
                  </w:pPr>
                  <w:hyperlink r:id="rId53" w:tgtFrame="_blank" w:history="1">
                    <w:r w:rsidR="005B089F" w:rsidRPr="005A615E">
                      <w:rPr>
                        <w:rStyle w:val="a9"/>
                        <w:rFonts w:ascii="Times New Roman" w:hAnsi="Times New Roman"/>
                        <w:color w:val="auto"/>
                        <w:sz w:val="20"/>
                        <w:lang w:eastAsia="uk-UA"/>
                      </w:rPr>
                      <w:t>, тис. грн, (1)</w:t>
                    </w:r>
                  </w:hyperlink>
                </w:p>
              </w:tc>
            </w:tr>
          </w:tbl>
          <w:p w:rsidR="005B089F" w:rsidRPr="005A615E" w:rsidRDefault="005B089F" w:rsidP="005B089F">
            <w:pPr>
              <w:jc w:val="both"/>
              <w:rPr>
                <w:rFonts w:eastAsia="Times New Roman"/>
                <w:sz w:val="24"/>
                <w:lang w:eastAsia="uk-UA"/>
              </w:rPr>
            </w:pPr>
          </w:p>
          <w:p w:rsidR="005B089F" w:rsidRPr="005A615E" w:rsidRDefault="005B089F" w:rsidP="005B089F">
            <w:pPr>
              <w:jc w:val="both"/>
              <w:rPr>
                <w:rFonts w:ascii="Times New Roman" w:hAnsi="Times New Roman"/>
                <w:lang w:eastAsia="uk-UA"/>
              </w:rPr>
            </w:pPr>
            <w:r w:rsidRPr="005A615E">
              <w:rPr>
                <w:rFonts w:ascii="Times New Roman" w:hAnsi="Times New Roman"/>
                <w:lang w:eastAsia="uk-UA"/>
              </w:rPr>
              <w:t>де </w:t>
            </w:r>
            <w:r w:rsidRPr="005A615E">
              <w:rPr>
                <w:rFonts w:ascii="Times New Roman" w:hAnsi="Times New Roman"/>
                <w:noProof/>
                <w:lang w:eastAsia="uk-UA"/>
              </w:rPr>
              <w:drawing>
                <wp:inline distT="0" distB="0" distL="0" distR="0" wp14:anchorId="0E035C64" wp14:editId="31FC1F40">
                  <wp:extent cx="400050" cy="152400"/>
                  <wp:effectExtent l="0" t="0" r="0" b="0"/>
                  <wp:docPr id="792200276" name="Рисунок 792200276" descr="https://zakon-pro.ligazakon.net/l_flib1.nsf/LookupFiles/GK40721_IMG_002.gif/$file/GK40721_IMG_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27" descr="https://zakon-pro.ligazakon.net/l_flib1.nsf/LookupFiles/GK40721_IMG_002.gif/$file/GK40721_IMG_002.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5A615E">
              <w:rPr>
                <w:rFonts w:ascii="Times New Roman" w:hAnsi="Times New Roman"/>
                <w:lang w:eastAsia="uk-UA"/>
              </w:rPr>
              <w:t> - прогнозовані операційні контрольовані витрати з розподілу електричної енергії (примірний перелік яких наведено в додатку </w:t>
            </w:r>
            <w:hyperlink r:id="rId54" w:tgtFrame="_blank" w:history="1">
              <w:r w:rsidRPr="005A615E">
                <w:rPr>
                  <w:rStyle w:val="a9"/>
                  <w:rFonts w:ascii="Times New Roman" w:hAnsi="Times New Roman"/>
                  <w:color w:val="auto"/>
                  <w:lang w:eastAsia="uk-UA"/>
                </w:rPr>
                <w:t>19</w:t>
              </w:r>
            </w:hyperlink>
            <w:r w:rsidRPr="005A615E">
              <w:rPr>
                <w:rFonts w:ascii="Times New Roman" w:hAnsi="Times New Roman"/>
                <w:lang w:eastAsia="uk-UA"/>
              </w:rPr>
              <w:t> до цього Порядку) на рік t, тис. грн;</w:t>
            </w:r>
          </w:p>
          <w:p w:rsidR="005B089F" w:rsidRPr="005A615E" w:rsidRDefault="005B089F" w:rsidP="005B089F">
            <w:pPr>
              <w:jc w:val="both"/>
              <w:rPr>
                <w:rFonts w:ascii="Times New Roman" w:hAnsi="Times New Roman"/>
                <w:lang w:eastAsia="uk-UA"/>
              </w:rPr>
            </w:pPr>
          </w:p>
          <w:p w:rsidR="005B089F" w:rsidRPr="005A615E" w:rsidRDefault="005B089F" w:rsidP="005B089F">
            <w:pPr>
              <w:jc w:val="both"/>
              <w:rPr>
                <w:rFonts w:ascii="Times New Roman" w:hAnsi="Times New Roman"/>
                <w:lang w:eastAsia="uk-UA"/>
              </w:rPr>
            </w:pPr>
            <w:r w:rsidRPr="005A615E">
              <w:rPr>
                <w:rFonts w:ascii="Times New Roman" w:hAnsi="Times New Roman"/>
                <w:noProof/>
                <w:lang w:eastAsia="uk-UA"/>
              </w:rPr>
              <w:drawing>
                <wp:inline distT="0" distB="0" distL="0" distR="0" wp14:anchorId="3047B98F" wp14:editId="4AA67E96">
                  <wp:extent cx="400050" cy="152400"/>
                  <wp:effectExtent l="0" t="0" r="0" b="0"/>
                  <wp:docPr id="792200277" name="Рисунок 792200277" descr="https://zakon-pro.ligazakon.net/l_flib1.nsf/LookupFiles/GK40721_IMG_003.gif/$file/GK40721_IMG_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32" descr="https://zakon-pro.ligazakon.net/l_flib1.nsf/LookupFiles/GK40721_IMG_003.gif/$file/GK40721_IMG_003.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5A615E">
              <w:rPr>
                <w:rFonts w:ascii="Times New Roman" w:hAnsi="Times New Roman"/>
                <w:lang w:eastAsia="uk-UA"/>
              </w:rPr>
              <w:t> - прогнозовані операційні неконтрольовані витрати з розподілу електричної енергії (примірний перелік яких наведено в додатку </w:t>
            </w:r>
            <w:hyperlink r:id="rId55" w:tgtFrame="_blank" w:history="1">
              <w:r w:rsidRPr="005A615E">
                <w:rPr>
                  <w:rStyle w:val="a9"/>
                  <w:rFonts w:ascii="Times New Roman" w:hAnsi="Times New Roman"/>
                  <w:color w:val="auto"/>
                  <w:lang w:eastAsia="uk-UA"/>
                </w:rPr>
                <w:t>20</w:t>
              </w:r>
            </w:hyperlink>
            <w:r w:rsidRPr="005A615E">
              <w:rPr>
                <w:rFonts w:ascii="Times New Roman" w:hAnsi="Times New Roman"/>
                <w:lang w:eastAsia="uk-UA"/>
              </w:rPr>
              <w:t> до цього Порядку) на рік t, тис. грн;</w:t>
            </w:r>
          </w:p>
          <w:p w:rsidR="005B089F" w:rsidRPr="005A615E" w:rsidRDefault="005B089F" w:rsidP="005B089F">
            <w:pPr>
              <w:jc w:val="both"/>
              <w:rPr>
                <w:rFonts w:ascii="Times New Roman" w:hAnsi="Times New Roman"/>
                <w:lang w:eastAsia="uk-UA"/>
              </w:rPr>
            </w:pPr>
          </w:p>
          <w:p w:rsidR="005B089F" w:rsidRPr="005A615E" w:rsidRDefault="005B089F" w:rsidP="005B089F">
            <w:pPr>
              <w:jc w:val="both"/>
              <w:rPr>
                <w:rFonts w:ascii="Times New Roman" w:hAnsi="Times New Roman"/>
                <w:lang w:eastAsia="uk-UA"/>
              </w:rPr>
            </w:pPr>
            <w:r w:rsidRPr="005A615E">
              <w:rPr>
                <w:noProof/>
              </w:rPr>
              <w:drawing>
                <wp:inline distT="0" distB="0" distL="0" distR="0">
                  <wp:extent cx="361950" cy="180975"/>
                  <wp:effectExtent l="0" t="0" r="0" b="9525"/>
                  <wp:docPr id="792200278" name="Рисунок 792200278" descr="https://zakon-pro.ligazakon.net/l_flib1.nsf/LookupFiles/GK40721_IMG_004.gif/$file/GK40721_IMG_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pro.ligazakon.net/l_flib1.nsf/LookupFiles/GK40721_IMG_004.gif/$file/GK40721_IMG_00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5A615E">
              <w:rPr>
                <w:rFonts w:ascii="Times New Roman" w:hAnsi="Times New Roman"/>
                <w:lang w:eastAsia="uk-UA"/>
              </w:rPr>
              <w:t> -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t, що визначається за формулою</w:t>
            </w:r>
          </w:p>
          <w:p w:rsidR="005B089F" w:rsidRPr="005A615E" w:rsidRDefault="005B089F" w:rsidP="005B089F">
            <w:pPr>
              <w:jc w:val="both"/>
              <w:rPr>
                <w:rFonts w:ascii="Times New Roman" w:hAnsi="Times New Roman"/>
                <w:b/>
                <w:lang w:eastAsia="uk-UA"/>
              </w:rPr>
            </w:pPr>
          </w:p>
          <w:p w:rsidR="005B089F" w:rsidRPr="005A615E" w:rsidRDefault="000D13C5" w:rsidP="005B089F">
            <w:pPr>
              <w:jc w:val="both"/>
              <w:rPr>
                <w:rFonts w:ascii="Times New Roman" w:hAnsi="Times New Roman"/>
                <w:b/>
                <w:lang w:eastAsia="uk-UA"/>
              </w:rPr>
            </w:pPr>
            <m:oMath>
              <m:sSubSup>
                <m:sSubSupPr>
                  <m:ctrlPr>
                    <w:rPr>
                      <w:rFonts w:ascii="Cambria Math" w:hAnsi="Cambria Math"/>
                      <w:b/>
                      <w:i/>
                      <w:lang w:eastAsia="uk-UA"/>
                    </w:rPr>
                  </m:ctrlPr>
                </m:sSubSupPr>
                <m:e>
                  <m:r>
                    <m:rPr>
                      <m:sty m:val="bi"/>
                    </m:rPr>
                    <w:rPr>
                      <w:rFonts w:ascii="Cambria Math" w:hAnsi="Cambria Math"/>
                      <w:lang w:eastAsia="uk-UA"/>
                    </w:rPr>
                    <m:t>ВТ</m:t>
                  </m:r>
                </m:e>
                <m:sub>
                  <m:r>
                    <m:rPr>
                      <m:sty m:val="bi"/>
                    </m:rPr>
                    <w:rPr>
                      <w:rFonts w:ascii="Cambria Math" w:hAnsi="Cambria Math"/>
                      <w:lang w:eastAsia="uk-UA"/>
                    </w:rPr>
                    <m:t>t</m:t>
                  </m:r>
                </m:sub>
                <m:sup>
                  <m:r>
                    <m:rPr>
                      <m:sty m:val="bi"/>
                    </m:rPr>
                    <w:rPr>
                      <w:rFonts w:ascii="Cambria Math" w:hAnsi="Cambria Math"/>
                      <w:lang w:val="en-US" w:eastAsia="uk-UA"/>
                    </w:rPr>
                    <m:t>n</m:t>
                  </m:r>
                </m:sup>
              </m:sSubSup>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ВТ</m:t>
                  </m:r>
                </m:e>
                <m:sub>
                  <m:r>
                    <m:rPr>
                      <m:sty m:val="bi"/>
                    </m:rPr>
                    <w:rPr>
                      <w:rFonts w:ascii="Cambria Math" w:hAnsi="Cambria Math"/>
                      <w:lang w:eastAsia="uk-UA"/>
                    </w:rPr>
                    <m:t>1_t</m:t>
                  </m:r>
                </m:sub>
                <m:sup>
                  <m:r>
                    <m:rPr>
                      <m:sty m:val="bi"/>
                    </m:rPr>
                    <w:rPr>
                      <w:rFonts w:ascii="Cambria Math" w:hAnsi="Cambria Math"/>
                      <w:lang w:eastAsia="uk-UA"/>
                    </w:rPr>
                    <m:t>n</m:t>
                  </m:r>
                </m:sup>
              </m:sSubSup>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ВТ</m:t>
                  </m:r>
                </m:e>
                <m:sub>
                  <m:r>
                    <m:rPr>
                      <m:sty m:val="bi"/>
                    </m:rPr>
                    <w:rPr>
                      <w:rFonts w:ascii="Cambria Math" w:hAnsi="Cambria Math"/>
                      <w:lang w:eastAsia="uk-UA"/>
                    </w:rPr>
                    <m:t>2_t</m:t>
                  </m:r>
                </m:sub>
                <m:sup>
                  <m:r>
                    <m:rPr>
                      <m:sty m:val="bi"/>
                    </m:rPr>
                    <w:rPr>
                      <w:rFonts w:ascii="Cambria Math" w:hAnsi="Cambria Math"/>
                      <w:lang w:eastAsia="uk-UA"/>
                    </w:rPr>
                    <m:t>n</m:t>
                  </m:r>
                </m:sup>
              </m:sSubSup>
              <m:r>
                <m:rPr>
                  <m:sty m:val="bi"/>
                </m:rPr>
                <w:rPr>
                  <w:rFonts w:ascii="Cambria Math" w:hAnsi="Cambria Math"/>
                  <w:lang w:eastAsia="uk-UA"/>
                </w:rPr>
                <m:t>+</m:t>
              </m:r>
              <m:sSub>
                <m:sSubPr>
                  <m:ctrlPr>
                    <w:rPr>
                      <w:rFonts w:ascii="Cambria Math" w:hAnsi="Cambria Math"/>
                      <w:b/>
                      <w:i/>
                      <w:lang w:eastAsia="uk-UA"/>
                    </w:rPr>
                  </m:ctrlPr>
                </m:sSubPr>
                <m:e>
                  <m:r>
                    <m:rPr>
                      <m:sty m:val="bi"/>
                    </m:rPr>
                    <w:rPr>
                      <w:rFonts w:ascii="Cambria Math" w:hAnsi="Cambria Math"/>
                      <w:lang w:eastAsia="uk-UA"/>
                    </w:rPr>
                    <m:t>ВТ</m:t>
                  </m:r>
                </m:e>
                <m:sub>
                  <m:r>
                    <m:rPr>
                      <m:sty m:val="bi"/>
                    </m:rPr>
                    <w:rPr>
                      <w:rFonts w:ascii="Cambria Math" w:hAnsi="Cambria Math"/>
                      <w:lang w:eastAsia="uk-UA"/>
                    </w:rPr>
                    <m:t>3_t</m:t>
                  </m:r>
                </m:sub>
              </m:sSub>
              <m:r>
                <m:rPr>
                  <m:sty m:val="bi"/>
                </m:rPr>
                <w:rPr>
                  <w:rFonts w:ascii="Cambria Math" w:hAnsi="Cambria Math"/>
                  <w:lang w:eastAsia="uk-UA"/>
                </w:rPr>
                <m:t xml:space="preserve"> </m:t>
              </m:r>
            </m:oMath>
            <w:r w:rsidR="005B089F" w:rsidRPr="005A615E">
              <w:rPr>
                <w:rFonts w:ascii="Times New Roman" w:eastAsiaTheme="minorEastAsia" w:hAnsi="Times New Roman"/>
                <w:b/>
                <w:lang w:eastAsia="uk-UA"/>
              </w:rPr>
              <w:t>,</w:t>
            </w:r>
            <w:r w:rsidR="005B089F" w:rsidRPr="005A615E">
              <w:rPr>
                <w:rFonts w:ascii="Times New Roman" w:hAnsi="Times New Roman"/>
                <w:b/>
                <w:lang w:eastAsia="uk-UA"/>
              </w:rPr>
              <w:t xml:space="preserve"> тис. грн, (2)</w:t>
            </w:r>
          </w:p>
          <w:p w:rsidR="005B089F" w:rsidRPr="005A615E" w:rsidRDefault="005B089F" w:rsidP="005B089F">
            <w:pPr>
              <w:rPr>
                <w:rFonts w:ascii="Times New Roman" w:hAnsi="Times New Roman"/>
                <w:b/>
                <w:lang w:eastAsia="uk-UA"/>
              </w:rPr>
            </w:pPr>
          </w:p>
          <w:p w:rsidR="005B089F" w:rsidRPr="005A615E" w:rsidRDefault="005B089F" w:rsidP="005B089F">
            <w:pPr>
              <w:jc w:val="both"/>
              <w:rPr>
                <w:rFonts w:ascii="Times New Roman" w:hAnsi="Times New Roman"/>
                <w:b/>
                <w:lang w:eastAsia="uk-UA"/>
              </w:rPr>
            </w:pPr>
            <w:r w:rsidRPr="005A615E">
              <w:rPr>
                <w:rFonts w:ascii="Times New Roman" w:hAnsi="Times New Roman"/>
                <w:b/>
                <w:lang w:eastAsia="uk-UA"/>
              </w:rPr>
              <w:t>де </w:t>
            </w:r>
            <w:r w:rsidRPr="005A615E">
              <w:rPr>
                <w:rFonts w:ascii="Times New Roman" w:hAnsi="Times New Roman"/>
                <w:b/>
                <w:noProof/>
                <w:lang w:eastAsia="uk-UA"/>
              </w:rPr>
              <w:drawing>
                <wp:inline distT="0" distB="0" distL="0" distR="0" wp14:anchorId="70531FF3" wp14:editId="3FFD96DA">
                  <wp:extent cx="409575" cy="171450"/>
                  <wp:effectExtent l="0" t="0" r="9525" b="0"/>
                  <wp:docPr id="792200280" name="Рисунок 792200280" descr="https://zakon-pro.ligazakon.net/l_flib1.nsf/LookupFiles/GK40721_IMG_006.gif/$file/GK40721_IMG_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0" descr="https://zakon-pro.ligazakon.net/l_flib1.nsf/LookupFiles/GK40721_IMG_006.gif/$file/GK40721_IMG_00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9575" cy="171450"/>
                          </a:xfrm>
                          <a:prstGeom prst="rect">
                            <a:avLst/>
                          </a:prstGeom>
                          <a:noFill/>
                          <a:ln>
                            <a:noFill/>
                          </a:ln>
                        </pic:spPr>
                      </pic:pic>
                    </a:graphicData>
                  </a:graphic>
                </wp:inline>
              </w:drawing>
            </w:r>
            <w:r w:rsidRPr="005A615E">
              <w:rPr>
                <w:rFonts w:ascii="Times New Roman" w:hAnsi="Times New Roman"/>
                <w:b/>
                <w:lang w:eastAsia="uk-UA"/>
              </w:rPr>
              <w:t>, </w:t>
            </w:r>
            <w:r w:rsidRPr="005A615E">
              <w:rPr>
                <w:rFonts w:ascii="Times New Roman" w:hAnsi="Times New Roman"/>
                <w:b/>
                <w:noProof/>
                <w:lang w:eastAsia="uk-UA"/>
              </w:rPr>
              <w:drawing>
                <wp:inline distT="0" distB="0" distL="0" distR="0" wp14:anchorId="7E91007C" wp14:editId="1BCC8657">
                  <wp:extent cx="419100" cy="180975"/>
                  <wp:effectExtent l="0" t="0" r="0" b="9525"/>
                  <wp:docPr id="792200281" name="Рисунок 792200281" descr="https://zakon-pro.ligazakon.net/l_flib1.nsf/LookupFiles/GK40721_IMG_007.gif/$file/GK40721_IMG_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1" descr="https://zakon-pro.ligazakon.net/l_flib1.nsf/LookupFiles/GK40721_IMG_007.gif/$file/GK40721_IMG_00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5A615E">
              <w:rPr>
                <w:rFonts w:ascii="Times New Roman" w:hAnsi="Times New Roman"/>
                <w:b/>
                <w:lang w:eastAsia="uk-UA"/>
              </w:rPr>
              <w:t> -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1 та 2 класі напруги відповідно, на рік t, що визначається за формулами</w:t>
            </w:r>
          </w:p>
          <w:p w:rsidR="005B089F" w:rsidRPr="005A615E" w:rsidRDefault="005B089F" w:rsidP="005B089F">
            <w:pPr>
              <w:rPr>
                <w:rFonts w:ascii="Times New Roman" w:hAnsi="Times New Roman" w:cs="Times New Roman"/>
                <w:b/>
                <w:sz w:val="24"/>
                <w:szCs w:val="24"/>
                <w:lang w:eastAsia="uk-UA"/>
              </w:rPr>
            </w:pPr>
          </w:p>
          <w:p w:rsidR="005B089F" w:rsidRPr="005A615E" w:rsidRDefault="005B089F" w:rsidP="005B089F">
            <w:pPr>
              <w:rPr>
                <w:rFonts w:ascii="Times New Roman" w:hAnsi="Times New Roman"/>
                <w:lang w:eastAsia="uk-UA"/>
              </w:rPr>
            </w:pPr>
            <w:r w:rsidRPr="005A615E">
              <w:rPr>
                <w:rFonts w:ascii="Times New Roman" w:hAnsi="Times New Roman"/>
                <w:noProof/>
                <w:lang w:eastAsia="uk-UA"/>
              </w:rPr>
              <w:drawing>
                <wp:inline distT="0" distB="0" distL="0" distR="0" wp14:anchorId="104A83A9" wp14:editId="15A9ABE3">
                  <wp:extent cx="1181100" cy="200025"/>
                  <wp:effectExtent l="0" t="0" r="0" b="9525"/>
                  <wp:docPr id="792200282" name="Рисунок 792200282" descr="https://zakon-pro.ligazakon.net/l_flib1.nsf/LookupFiles/GK40721_IMG_008.gif/$file/GK40721_IMG_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2" descr="https://zakon-pro.ligazakon.net/l_flib1.nsf/LookupFiles/GK40721_IMG_008.gif/$file/GK40721_IMG_00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81100" cy="200025"/>
                          </a:xfrm>
                          <a:prstGeom prst="rect">
                            <a:avLst/>
                          </a:prstGeom>
                          <a:noFill/>
                          <a:ln>
                            <a:noFill/>
                          </a:ln>
                        </pic:spPr>
                      </pic:pic>
                    </a:graphicData>
                  </a:graphic>
                </wp:inline>
              </w:drawing>
            </w:r>
            <w:r w:rsidRPr="005A615E">
              <w:rPr>
                <w:rFonts w:ascii="Times New Roman" w:hAnsi="Times New Roman"/>
                <w:lang w:eastAsia="uk-UA"/>
              </w:rPr>
              <w:t>, тис грн, (3)</w:t>
            </w:r>
          </w:p>
          <w:p w:rsidR="005B089F" w:rsidRPr="005A615E" w:rsidRDefault="005B089F" w:rsidP="005B089F">
            <w:pPr>
              <w:rPr>
                <w:rFonts w:ascii="Times New Roman" w:hAnsi="Times New Roman"/>
                <w:lang w:eastAsia="uk-UA"/>
              </w:rPr>
            </w:pPr>
          </w:p>
          <w:p w:rsidR="005B089F" w:rsidRPr="005A615E" w:rsidRDefault="005B089F" w:rsidP="005B089F">
            <w:pPr>
              <w:rPr>
                <w:rFonts w:ascii="Times New Roman" w:hAnsi="Times New Roman"/>
                <w:lang w:eastAsia="uk-UA"/>
              </w:rPr>
            </w:pPr>
            <w:r w:rsidRPr="005A615E">
              <w:rPr>
                <w:rFonts w:ascii="Times New Roman" w:hAnsi="Times New Roman"/>
                <w:noProof/>
                <w:lang w:eastAsia="uk-UA"/>
              </w:rPr>
              <w:drawing>
                <wp:inline distT="0" distB="0" distL="0" distR="0" wp14:anchorId="2933CD80" wp14:editId="435F7D85">
                  <wp:extent cx="1219200" cy="180975"/>
                  <wp:effectExtent l="0" t="0" r="0" b="9525"/>
                  <wp:docPr id="792200283" name="Рисунок 792200283" descr="https://zakon-pro.ligazakon.net/l_flib1.nsf/LookupFiles/GK40721_IMG_009.gif/$file/GK40721_IMG_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3" descr="https://zakon-pro.ligazakon.net/l_flib1.nsf/LookupFiles/GK40721_IMG_009.gif/$file/GK40721_IMG_009.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0" cy="180975"/>
                          </a:xfrm>
                          <a:prstGeom prst="rect">
                            <a:avLst/>
                          </a:prstGeom>
                          <a:noFill/>
                          <a:ln>
                            <a:noFill/>
                          </a:ln>
                        </pic:spPr>
                      </pic:pic>
                    </a:graphicData>
                  </a:graphic>
                </wp:inline>
              </w:drawing>
            </w:r>
            <w:r w:rsidRPr="005A615E">
              <w:rPr>
                <w:rFonts w:ascii="Times New Roman" w:hAnsi="Times New Roman"/>
                <w:lang w:eastAsia="uk-UA"/>
              </w:rPr>
              <w:t>, тис грн, (4)</w:t>
            </w:r>
          </w:p>
          <w:p w:rsidR="005B089F" w:rsidRPr="005A615E" w:rsidRDefault="005B089F" w:rsidP="005B089F">
            <w:pPr>
              <w:rPr>
                <w:rFonts w:ascii="Times New Roman" w:hAnsi="Times New Roman"/>
                <w:b/>
                <w:lang w:eastAsia="uk-UA"/>
              </w:rPr>
            </w:pPr>
          </w:p>
          <w:p w:rsidR="005B089F" w:rsidRPr="005A615E" w:rsidRDefault="000D13C5" w:rsidP="005B089F">
            <w:pPr>
              <w:jc w:val="both"/>
              <w:rPr>
                <w:rFonts w:ascii="Times New Roman" w:hAnsi="Times New Roman"/>
                <w:b/>
                <w:lang w:eastAsia="uk-UA"/>
              </w:rPr>
            </w:pPr>
            <m:oMath>
              <m:sSub>
                <m:sSubPr>
                  <m:ctrlPr>
                    <w:rPr>
                      <w:rFonts w:ascii="Cambria Math" w:eastAsiaTheme="minorEastAsia" w:hAnsi="Cambria Math"/>
                      <w:b/>
                      <w:i/>
                      <w:sz w:val="24"/>
                      <w:szCs w:val="24"/>
                      <w:lang w:eastAsia="uk-UA"/>
                    </w:rPr>
                  </m:ctrlPr>
                </m:sSubPr>
                <m:e>
                  <m:r>
                    <m:rPr>
                      <m:sty m:val="bi"/>
                    </m:rPr>
                    <w:rPr>
                      <w:rFonts w:ascii="Cambria Math" w:eastAsiaTheme="minorEastAsia" w:hAnsi="Cambria Math"/>
                      <w:sz w:val="24"/>
                      <w:szCs w:val="24"/>
                      <w:lang w:eastAsia="uk-UA"/>
                    </w:rPr>
                    <m:t>ВТ</m:t>
                  </m:r>
                </m:e>
                <m:sub>
                  <m:r>
                    <m:rPr>
                      <m:sty m:val="bi"/>
                    </m:rPr>
                    <w:rPr>
                      <w:rFonts w:ascii="Cambria Math" w:eastAsiaTheme="minorEastAsia" w:hAnsi="Cambria Math"/>
                      <w:sz w:val="24"/>
                      <w:szCs w:val="24"/>
                      <w:lang w:eastAsia="uk-UA"/>
                    </w:rPr>
                    <m:t>3_</m:t>
                  </m:r>
                  <m:r>
                    <m:rPr>
                      <m:sty m:val="bi"/>
                    </m:rPr>
                    <w:rPr>
                      <w:rFonts w:ascii="Cambria Math" w:eastAsiaTheme="minorEastAsia" w:hAnsi="Cambria Math"/>
                      <w:sz w:val="24"/>
                      <w:szCs w:val="24"/>
                      <w:lang w:val="en-US" w:eastAsia="uk-UA"/>
                    </w:rPr>
                    <m:t>t</m:t>
                  </m:r>
                </m:sub>
              </m:sSub>
            </m:oMath>
            <w:r w:rsidR="005B089F" w:rsidRPr="005A615E">
              <w:rPr>
                <w:rFonts w:ascii="Times New Roman" w:hAnsi="Times New Roman" w:cs="Times New Roman"/>
                <w:b/>
                <w:sz w:val="24"/>
                <w:szCs w:val="24"/>
                <w:lang w:eastAsia="uk-UA"/>
              </w:rPr>
              <w:t xml:space="preserve">- вартість прогнозованих витрат, пов'язаних з перевищенням обсягу </w:t>
            </w:r>
            <w:r w:rsidR="005B089F" w:rsidRPr="005A615E">
              <w:rPr>
                <w:rStyle w:val="st42"/>
                <w:rFonts w:ascii="Times New Roman" w:hAnsi="Times New Roman" w:cs="Times New Roman"/>
                <w:b/>
                <w:color w:val="auto"/>
                <w:sz w:val="24"/>
                <w:szCs w:val="24"/>
              </w:rPr>
              <w:t xml:space="preserve">фактичних витрат електричної енергії над обсягом нормативно-фактичних технологічних витрат електричної енергії у разі порушення схеми нормального режиму роботи системи розподілу/змінені обсягів розподілу/надходження/віддачі/транзиту електричної енергії тощо внаслідок введення воєнного стану та/або бойових дій в Україні році </w:t>
            </w:r>
            <w:r w:rsidR="005B089F" w:rsidRPr="005A615E">
              <w:rPr>
                <w:rStyle w:val="st42"/>
                <w:rFonts w:ascii="Times New Roman" w:hAnsi="Times New Roman" w:cs="Times New Roman"/>
                <w:b/>
                <w:color w:val="auto"/>
                <w:sz w:val="24"/>
                <w:szCs w:val="24"/>
                <w:lang w:val="en-US"/>
              </w:rPr>
              <w:t>t</w:t>
            </w:r>
            <w:r w:rsidR="005B089F" w:rsidRPr="005A615E">
              <w:rPr>
                <w:rStyle w:val="st42"/>
                <w:rFonts w:ascii="Times New Roman" w:hAnsi="Times New Roman" w:cs="Times New Roman"/>
                <w:b/>
                <w:color w:val="auto"/>
                <w:sz w:val="24"/>
                <w:szCs w:val="24"/>
              </w:rPr>
              <w:t>-2</w:t>
            </w:r>
            <w:r w:rsidR="005B089F" w:rsidRPr="005A615E">
              <w:rPr>
                <w:rFonts w:ascii="Times New Roman" w:hAnsi="Times New Roman"/>
                <w:b/>
                <w:lang w:eastAsia="uk-UA"/>
              </w:rPr>
              <w:t>, що визначається за формулою</w:t>
            </w:r>
          </w:p>
          <w:p w:rsidR="005B089F" w:rsidRPr="005A615E" w:rsidRDefault="000D13C5" w:rsidP="005B089F">
            <w:pPr>
              <w:rPr>
                <w:rFonts w:ascii="Times New Roman" w:hAnsi="Times New Roman"/>
                <w:b/>
                <w:lang w:eastAsia="uk-UA"/>
              </w:rPr>
            </w:pPr>
            <m:oMath>
              <m:sSub>
                <m:sSubPr>
                  <m:ctrlPr>
                    <w:rPr>
                      <w:rStyle w:val="st42"/>
                      <w:rFonts w:ascii="Cambria Math" w:hAnsi="Cambria Math" w:cs="Times New Roman"/>
                      <w:b/>
                      <w:i/>
                      <w:color w:val="auto"/>
                      <w:sz w:val="24"/>
                      <w:szCs w:val="24"/>
                    </w:rPr>
                  </m:ctrlPr>
                </m:sSubPr>
                <m:e>
                  <m:r>
                    <m:rPr>
                      <m:sty m:val="bi"/>
                    </m:rPr>
                    <w:rPr>
                      <w:rStyle w:val="st42"/>
                      <w:rFonts w:ascii="Cambria Math" w:hAnsi="Cambria Math" w:cs="Times New Roman"/>
                      <w:color w:val="auto"/>
                      <w:sz w:val="24"/>
                      <w:szCs w:val="24"/>
                    </w:rPr>
                    <m:t>ВТ</m:t>
                  </m:r>
                </m:e>
                <m:sub>
                  <m:r>
                    <m:rPr>
                      <m:sty m:val="bi"/>
                    </m:rPr>
                    <w:rPr>
                      <w:rStyle w:val="st42"/>
                      <w:rFonts w:ascii="Cambria Math" w:hAnsi="Cambria Math" w:cs="Times New Roman"/>
                      <w:color w:val="auto"/>
                      <w:sz w:val="24"/>
                      <w:szCs w:val="24"/>
                    </w:rPr>
                    <m:t>3_t</m:t>
                  </m:r>
                </m:sub>
              </m:sSub>
              <m:r>
                <m:rPr>
                  <m:sty m:val="bi"/>
                </m:rPr>
                <w:rPr>
                  <w:rStyle w:val="st42"/>
                  <w:rFonts w:ascii="Cambria Math" w:hAnsi="Cambria Math" w:cs="Times New Roman"/>
                  <w:color w:val="auto"/>
                  <w:sz w:val="24"/>
                  <w:szCs w:val="24"/>
                </w:rPr>
                <m:t>=</m:t>
              </m:r>
              <m:sSub>
                <m:sSubPr>
                  <m:ctrlPr>
                    <w:rPr>
                      <w:rStyle w:val="st42"/>
                      <w:rFonts w:ascii="Cambria Math" w:hAnsi="Cambria Math" w:cs="Times New Roman"/>
                      <w:b/>
                      <w:i/>
                      <w:color w:val="auto"/>
                      <w:sz w:val="24"/>
                      <w:szCs w:val="24"/>
                    </w:rPr>
                  </m:ctrlPr>
                </m:sSubPr>
                <m:e>
                  <m:r>
                    <m:rPr>
                      <m:sty m:val="bi"/>
                    </m:rPr>
                    <w:rPr>
                      <w:rStyle w:val="st42"/>
                      <w:rFonts w:ascii="Cambria Math" w:hAnsi="Cambria Math" w:cs="Times New Roman"/>
                      <w:color w:val="auto"/>
                      <w:sz w:val="24"/>
                      <w:szCs w:val="24"/>
                    </w:rPr>
                    <m:t>O</m:t>
                  </m:r>
                </m:e>
                <m:sub>
                  <m:r>
                    <m:rPr>
                      <m:sty m:val="bi"/>
                    </m:rPr>
                    <w:rPr>
                      <w:rStyle w:val="st42"/>
                      <w:rFonts w:ascii="Cambria Math" w:hAnsi="Cambria Math" w:cs="Times New Roman"/>
                      <w:color w:val="auto"/>
                      <w:sz w:val="24"/>
                      <w:szCs w:val="24"/>
                    </w:rPr>
                    <m:t>3_t</m:t>
                  </m:r>
                </m:sub>
              </m:sSub>
              <m:r>
                <m:rPr>
                  <m:sty m:val="bi"/>
                </m:rPr>
                <w:rPr>
                  <w:rStyle w:val="st42"/>
                  <w:rFonts w:ascii="Cambria Math" w:hAnsi="Cambria Math" w:cs="Times New Roman"/>
                  <w:color w:val="auto"/>
                  <w:sz w:val="24"/>
                  <w:szCs w:val="24"/>
                </w:rPr>
                <m:t>×</m:t>
              </m:r>
              <m:sSubSup>
                <m:sSubSupPr>
                  <m:ctrlPr>
                    <w:rPr>
                      <w:rStyle w:val="st42"/>
                      <w:rFonts w:ascii="Cambria Math" w:hAnsi="Cambria Math" w:cs="Times New Roman"/>
                      <w:b/>
                      <w:i/>
                      <w:color w:val="auto"/>
                      <w:sz w:val="24"/>
                      <w:szCs w:val="24"/>
                    </w:rPr>
                  </m:ctrlPr>
                </m:sSubSupPr>
                <m:e>
                  <m:r>
                    <m:rPr>
                      <m:sty m:val="bi"/>
                    </m:rPr>
                    <w:rPr>
                      <w:rStyle w:val="st42"/>
                      <w:rFonts w:ascii="Cambria Math" w:hAnsi="Cambria Math" w:cs="Times New Roman"/>
                      <w:color w:val="auto"/>
                      <w:sz w:val="24"/>
                      <w:szCs w:val="24"/>
                    </w:rPr>
                    <m:t>Ц</m:t>
                  </m:r>
                </m:e>
                <m:sub>
                  <m:r>
                    <m:rPr>
                      <m:sty m:val="bi"/>
                    </m:rPr>
                    <w:rPr>
                      <w:rStyle w:val="st42"/>
                      <w:rFonts w:ascii="Cambria Math" w:hAnsi="Cambria Math" w:cs="Times New Roman"/>
                      <w:color w:val="auto"/>
                      <w:sz w:val="24"/>
                      <w:szCs w:val="24"/>
                    </w:rPr>
                    <m:t>t</m:t>
                  </m:r>
                </m:sub>
                <m:sup>
                  <m:r>
                    <m:rPr>
                      <m:sty m:val="bi"/>
                    </m:rPr>
                    <w:rPr>
                      <w:rStyle w:val="st42"/>
                      <w:rFonts w:ascii="Cambria Math" w:hAnsi="Cambria Math" w:cs="Times New Roman"/>
                      <w:color w:val="auto"/>
                      <w:sz w:val="24"/>
                      <w:szCs w:val="24"/>
                    </w:rPr>
                    <m:t>n</m:t>
                  </m:r>
                </m:sup>
              </m:sSubSup>
            </m:oMath>
            <w:r w:rsidR="005B089F" w:rsidRPr="005A615E">
              <w:rPr>
                <w:rStyle w:val="st42"/>
                <w:rFonts w:ascii="Times New Roman" w:eastAsiaTheme="minorEastAsia" w:hAnsi="Times New Roman" w:cs="Times New Roman"/>
                <w:b/>
                <w:i/>
                <w:color w:val="auto"/>
                <w:sz w:val="24"/>
                <w:szCs w:val="24"/>
              </w:rPr>
              <w:t xml:space="preserve"> ,</w:t>
            </w:r>
            <w:r w:rsidR="005B089F" w:rsidRPr="005A615E">
              <w:rPr>
                <w:rFonts w:ascii="Times New Roman" w:hAnsi="Times New Roman"/>
                <w:b/>
                <w:sz w:val="24"/>
                <w:lang w:eastAsia="uk-UA"/>
              </w:rPr>
              <w:t xml:space="preserve"> тис грн, </w:t>
            </w:r>
            <w:r w:rsidR="005B089F" w:rsidRPr="005A615E">
              <w:rPr>
                <w:rFonts w:ascii="Times New Roman" w:hAnsi="Times New Roman"/>
                <w:b/>
                <w:sz w:val="24"/>
                <w:lang w:val="ru-RU" w:eastAsia="uk-UA"/>
              </w:rPr>
              <w:t xml:space="preserve"> (5)</w:t>
            </w:r>
            <w:r w:rsidR="005B089F" w:rsidRPr="005A615E">
              <w:rPr>
                <w:rFonts w:ascii="Times New Roman" w:hAnsi="Times New Roman"/>
                <w:b/>
                <w:lang w:eastAsia="uk-UA"/>
              </w:rPr>
              <w:t xml:space="preserve"> </w:t>
            </w:r>
          </w:p>
          <w:p w:rsidR="005B089F" w:rsidRPr="005A615E" w:rsidRDefault="005B089F" w:rsidP="005B089F">
            <w:pPr>
              <w:rPr>
                <w:rFonts w:ascii="Times New Roman" w:hAnsi="Times New Roman"/>
                <w:b/>
                <w:lang w:eastAsia="uk-UA"/>
              </w:rPr>
            </w:pPr>
          </w:p>
          <w:p w:rsidR="005B089F" w:rsidRPr="005A615E" w:rsidRDefault="005B089F" w:rsidP="005B089F">
            <w:pPr>
              <w:jc w:val="both"/>
              <w:rPr>
                <w:rFonts w:ascii="Times New Roman" w:hAnsi="Times New Roman"/>
                <w:b/>
                <w:lang w:eastAsia="uk-UA"/>
              </w:rPr>
            </w:pPr>
            <w:r w:rsidRPr="005A615E">
              <w:rPr>
                <w:rFonts w:ascii="Times New Roman" w:hAnsi="Times New Roman"/>
                <w:b/>
                <w:lang w:eastAsia="uk-UA"/>
              </w:rPr>
              <w:t>де О</w:t>
            </w:r>
            <w:r w:rsidRPr="005A615E">
              <w:rPr>
                <w:rFonts w:ascii="Times New Roman" w:hAnsi="Times New Roman"/>
                <w:b/>
                <w:vertAlign w:val="subscript"/>
                <w:lang w:eastAsia="uk-UA"/>
              </w:rPr>
              <w:t>3_</w:t>
            </w:r>
            <w:r w:rsidRPr="005A615E">
              <w:rPr>
                <w:rFonts w:ascii="Times New Roman" w:hAnsi="Times New Roman"/>
                <w:b/>
                <w:vertAlign w:val="subscript"/>
                <w:lang w:val="en-US" w:eastAsia="uk-UA"/>
              </w:rPr>
              <w:t>t</w:t>
            </w:r>
            <w:r w:rsidRPr="005A615E">
              <w:rPr>
                <w:rFonts w:ascii="Times New Roman" w:hAnsi="Times New Roman"/>
                <w:b/>
                <w:lang w:eastAsia="uk-UA"/>
              </w:rPr>
              <w:t xml:space="preserve"> - 50 % від величини сумарного обсягу </w:t>
            </w:r>
            <w:r w:rsidRPr="005A615E">
              <w:rPr>
                <w:rFonts w:ascii="Times New Roman" w:hAnsi="Times New Roman" w:cs="Times New Roman"/>
                <w:b/>
                <w:sz w:val="24"/>
                <w:szCs w:val="24"/>
                <w:lang w:eastAsia="uk-UA"/>
              </w:rPr>
              <w:t xml:space="preserve">перевищення </w:t>
            </w:r>
            <w:r w:rsidRPr="005A615E">
              <w:rPr>
                <w:rStyle w:val="st42"/>
                <w:rFonts w:ascii="Times New Roman" w:hAnsi="Times New Roman" w:cs="Times New Roman"/>
                <w:b/>
                <w:color w:val="auto"/>
                <w:sz w:val="24"/>
                <w:szCs w:val="24"/>
              </w:rPr>
              <w:t xml:space="preserve">фактичних витрат електричної енергії над обсягом нормативно-фактичними технологічними витратами, </w:t>
            </w:r>
            <w:r w:rsidRPr="005A615E">
              <w:rPr>
                <w:rFonts w:ascii="Times New Roman" w:hAnsi="Times New Roman"/>
                <w:b/>
                <w:lang w:eastAsia="uk-UA"/>
              </w:rPr>
              <w:t xml:space="preserve"> обґрунтованого за результатами заходів контролю за рік t-2</w:t>
            </w:r>
            <w:r w:rsidRPr="005A615E">
              <w:rPr>
                <w:rStyle w:val="st42"/>
                <w:rFonts w:ascii="Times New Roman" w:hAnsi="Times New Roman" w:cs="Times New Roman"/>
                <w:b/>
                <w:color w:val="auto"/>
                <w:sz w:val="24"/>
                <w:szCs w:val="24"/>
              </w:rPr>
              <w:t>. (</w:t>
            </w:r>
            <w:r w:rsidRPr="005A615E">
              <w:rPr>
                <w:rFonts w:ascii="Times New Roman" w:hAnsi="Times New Roman"/>
                <w:b/>
                <w:lang w:eastAsia="uk-UA"/>
              </w:rPr>
              <w:t xml:space="preserve">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50 % від величини сумарного обсягу </w:t>
            </w:r>
            <w:r w:rsidRPr="005A615E">
              <w:rPr>
                <w:rFonts w:ascii="Times New Roman" w:hAnsi="Times New Roman" w:cs="Times New Roman"/>
                <w:b/>
                <w:sz w:val="24"/>
                <w:szCs w:val="24"/>
                <w:lang w:eastAsia="uk-UA"/>
              </w:rPr>
              <w:t xml:space="preserve">перевищення </w:t>
            </w:r>
            <w:r w:rsidRPr="005A615E">
              <w:rPr>
                <w:rStyle w:val="st42"/>
                <w:rFonts w:ascii="Times New Roman" w:hAnsi="Times New Roman" w:cs="Times New Roman"/>
                <w:b/>
                <w:color w:val="auto"/>
                <w:sz w:val="24"/>
                <w:szCs w:val="24"/>
              </w:rPr>
              <w:t xml:space="preserve">фактичних витрат електричної енергії над обсягом нормативно-фактичних технологічних витрат </w:t>
            </w:r>
            <w:r w:rsidRPr="005A615E">
              <w:rPr>
                <w:rFonts w:ascii="Times New Roman" w:hAnsi="Times New Roman"/>
                <w:b/>
                <w:lang w:eastAsia="uk-UA"/>
              </w:rPr>
              <w:t>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r w:rsidR="00EE3408" w:rsidRPr="005A615E">
              <w:rPr>
                <w:rFonts w:ascii="Times New Roman" w:hAnsi="Times New Roman"/>
                <w:b/>
                <w:lang w:eastAsia="uk-UA"/>
              </w:rPr>
              <w:t xml:space="preserve"> (далі – Постанова НКРЕКП № 450</w:t>
            </w:r>
            <w:r w:rsidRPr="005A615E">
              <w:rPr>
                <w:rFonts w:ascii="Times New Roman" w:hAnsi="Times New Roman"/>
                <w:b/>
                <w:lang w:eastAsia="uk-UA"/>
              </w:rPr>
              <w:t>);</w:t>
            </w:r>
          </w:p>
          <w:p w:rsidR="005B089F" w:rsidRPr="005A615E" w:rsidRDefault="005B089F" w:rsidP="005B089F">
            <w:pPr>
              <w:jc w:val="both"/>
              <w:rPr>
                <w:rFonts w:ascii="Times New Roman" w:hAnsi="Times New Roman"/>
                <w:lang w:eastAsia="uk-UA"/>
              </w:rPr>
            </w:pPr>
          </w:p>
          <w:p w:rsidR="005B089F" w:rsidRPr="005A615E" w:rsidRDefault="005B089F" w:rsidP="005B089F">
            <w:pPr>
              <w:jc w:val="both"/>
              <w:rPr>
                <w:rFonts w:ascii="Times New Roman" w:hAnsi="Times New Roman"/>
                <w:lang w:eastAsia="uk-UA"/>
              </w:rPr>
            </w:pPr>
            <w:r w:rsidRPr="005A615E">
              <w:rPr>
                <w:rFonts w:ascii="Times New Roman" w:hAnsi="Times New Roman"/>
                <w:lang w:eastAsia="uk-UA"/>
              </w:rPr>
              <w:t>де </w:t>
            </w:r>
            <w:r w:rsidRPr="005A615E">
              <w:rPr>
                <w:rFonts w:ascii="Times New Roman" w:hAnsi="Times New Roman"/>
                <w:noProof/>
                <w:lang w:eastAsia="uk-UA"/>
              </w:rPr>
              <w:drawing>
                <wp:inline distT="0" distB="0" distL="0" distR="0" wp14:anchorId="415F1EE0" wp14:editId="79303CC1">
                  <wp:extent cx="247650" cy="209550"/>
                  <wp:effectExtent l="0" t="0" r="0" b="0"/>
                  <wp:docPr id="792200284" name="Рисунок 792200284"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4" descr="https://zakon-pro.ligazakon.net/l_flib1.nsf/LookupFiles/GK40721_IMG_010.gif/$file/GK40721_IMG_01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5A615E">
              <w:rPr>
                <w:rFonts w:ascii="Times New Roman" w:hAnsi="Times New Roman"/>
                <w:lang w:eastAsia="uk-UA"/>
              </w:rPr>
              <w:t> - рівень прогнозованої оптової ринкової ціни електричної енергії, затвердженої НКРЕКП (проект рівня прогнозованої оптової ринкової ціни електричної енергії), скоригованої на коефіцієнт графіка навантаження ліцензіата, або рівень цін електричної енергії, що продається за двосторонніми договорами на електронних аукціонах</w:t>
            </w:r>
            <w:hyperlink r:id="rId56" w:tgtFrame="_blank" w:history="1">
              <w:r w:rsidRPr="005A615E">
                <w:rPr>
                  <w:rStyle w:val="a9"/>
                  <w:rFonts w:ascii="Times New Roman" w:hAnsi="Times New Roman"/>
                  <w:color w:val="auto"/>
                  <w:lang w:eastAsia="uk-UA"/>
                </w:rPr>
                <w:t>, балансуючому ринку</w:t>
              </w:r>
            </w:hyperlink>
            <w:r w:rsidRPr="005A615E">
              <w:rPr>
                <w:rFonts w:ascii="Times New Roman" w:hAnsi="Times New Roman"/>
                <w:lang w:eastAsia="uk-UA"/>
              </w:rPr>
              <w:t> та на ринку "на добу наперед" (у встановленому співвідношенні), на рік t, грн/МВт·год;</w:t>
            </w:r>
          </w:p>
          <w:p w:rsidR="005B089F" w:rsidRPr="005A615E" w:rsidRDefault="005B089F" w:rsidP="005B089F">
            <w:pPr>
              <w:jc w:val="right"/>
              <w:rPr>
                <w:rFonts w:ascii="Times New Roman" w:hAnsi="Times New Roman"/>
                <w:lang w:eastAsia="uk-UA"/>
              </w:rPr>
            </w:pPr>
          </w:p>
          <w:p w:rsidR="005B089F" w:rsidRPr="005A615E" w:rsidRDefault="005B089F" w:rsidP="005B089F">
            <w:pPr>
              <w:jc w:val="both"/>
              <w:rPr>
                <w:rFonts w:ascii="Times New Roman" w:hAnsi="Times New Roman"/>
                <w:lang w:eastAsia="uk-UA"/>
              </w:rPr>
            </w:pP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4A97BFF5" wp14:editId="3AABFFFB">
                  <wp:extent cx="266700" cy="190500"/>
                  <wp:effectExtent l="0" t="0" r="0" b="0"/>
                  <wp:docPr id="792200285" name="Рисунок 792200285" descr="https://zakon-pro.ligazakon.net/l_flib1.nsf/LookupFiles/GK40721_IMG_011.gif/$file/GK40721_IMG_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5" descr="https://zakon-pro.ligazakon.net/l_flib1.nsf/LookupFiles/GK40721_IMG_011.gif/$file/GK40721_IMG_011.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73882230" wp14:editId="48947BC1">
                  <wp:extent cx="295275" cy="190500"/>
                  <wp:effectExtent l="0" t="0" r="9525" b="0"/>
                  <wp:docPr id="792200286" name="Рисунок 792200286" descr="https://zakon-pro.ligazakon.net/l_flib1.nsf/LookupFiles/GK40721_IMG_012.gif/$file/GK40721_IMG_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60" descr="https://zakon-pro.ligazakon.net/l_flib1.nsf/LookupFiles/GK40721_IMG_012.gif/$file/GK40721_IMG_012.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5A615E">
              <w:rPr>
                <w:rFonts w:ascii="Times New Roman" w:hAnsi="Times New Roman"/>
                <w:lang w:eastAsia="uk-UA"/>
              </w:rPr>
              <w:t>- прогнозовані обсяги технологічних витрат електричної енергії на її розподіл на рік t визначаються за формулами</w:t>
            </w:r>
          </w:p>
          <w:p w:rsidR="005B089F" w:rsidRPr="005A615E" w:rsidRDefault="005B089F" w:rsidP="005B089F">
            <w:pPr>
              <w:rPr>
                <w:rFonts w:ascii="Times New Roman" w:hAnsi="Times New Roman"/>
                <w:lang w:eastAsia="uk-UA"/>
              </w:rPr>
            </w:pPr>
            <w:r w:rsidRPr="005A615E">
              <w:rPr>
                <w:rFonts w:ascii="Times New Roman" w:hAnsi="Times New Roman"/>
                <w:noProof/>
                <w:lang w:eastAsia="uk-UA"/>
              </w:rPr>
              <w:drawing>
                <wp:inline distT="0" distB="0" distL="0" distR="0" wp14:anchorId="035C7FBF" wp14:editId="0E9D73B1">
                  <wp:extent cx="2095500" cy="342900"/>
                  <wp:effectExtent l="0" t="0" r="0" b="0"/>
                  <wp:docPr id="792200287" name="Рисунок 792200287" descr="https://zakon-pro.ligazakon.net/l_flib1.nsf/LookupFiles/GK40721_IMG_155.GIF/$file/GK40721_IMG_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63" descr="https://zakon-pro.ligazakon.net/l_flib1.nsf/LookupFiles/GK40721_IMG_155.GIF/$file/GK40721_IMG_155.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0" cy="342900"/>
                          </a:xfrm>
                          <a:prstGeom prst="rect">
                            <a:avLst/>
                          </a:prstGeom>
                          <a:noFill/>
                          <a:ln>
                            <a:noFill/>
                          </a:ln>
                        </pic:spPr>
                      </pic:pic>
                    </a:graphicData>
                  </a:graphic>
                </wp:inline>
              </w:drawing>
            </w:r>
            <w:r w:rsidRPr="005A615E">
              <w:rPr>
                <w:rFonts w:ascii="Times New Roman" w:hAnsi="Times New Roman"/>
                <w:lang w:eastAsia="uk-UA"/>
              </w:rPr>
              <w:t xml:space="preserve"> </w:t>
            </w:r>
            <w:hyperlink r:id="rId57" w:tgtFrame="_blank" w:history="1">
              <w:r w:rsidRPr="005A615E">
                <w:rPr>
                  <w:rStyle w:val="a9"/>
                  <w:rFonts w:ascii="Times New Roman" w:hAnsi="Times New Roman"/>
                  <w:color w:val="auto"/>
                  <w:lang w:eastAsia="uk-UA"/>
                </w:rPr>
                <w:t xml:space="preserve">, </w:t>
              </w:r>
            </w:hyperlink>
            <w:r w:rsidRPr="005A615E">
              <w:rPr>
                <w:rFonts w:ascii="Times New Roman" w:hAnsi="Times New Roman"/>
                <w:lang w:eastAsia="uk-UA"/>
              </w:rPr>
              <w:t>МВт·год, (5)</w:t>
            </w:r>
          </w:p>
          <w:p w:rsidR="005B089F" w:rsidRPr="005A615E" w:rsidRDefault="005B089F" w:rsidP="005B089F">
            <w:pPr>
              <w:jc w:val="right"/>
              <w:rPr>
                <w:rFonts w:ascii="Times New Roman" w:hAnsi="Times New Roman"/>
                <w:lang w:eastAsia="uk-UA"/>
              </w:rPr>
            </w:pPr>
          </w:p>
          <w:tbl>
            <w:tblPr>
              <w:tblW w:w="26205" w:type="dxa"/>
              <w:jc w:val="center"/>
              <w:tblCellSpacing w:w="22" w:type="dxa"/>
              <w:tblLayout w:type="fixed"/>
              <w:tblCellMar>
                <w:top w:w="60" w:type="dxa"/>
                <w:left w:w="60" w:type="dxa"/>
                <w:bottom w:w="60" w:type="dxa"/>
                <w:right w:w="60" w:type="dxa"/>
              </w:tblCellMar>
              <w:tblLook w:val="04A0" w:firstRow="1" w:lastRow="0" w:firstColumn="1" w:lastColumn="0" w:noHBand="0" w:noVBand="1"/>
            </w:tblPr>
            <w:tblGrid>
              <w:gridCol w:w="13045"/>
              <w:gridCol w:w="13160"/>
            </w:tblGrid>
            <w:tr w:rsidR="005B089F" w:rsidRPr="005A615E" w:rsidTr="00B84572">
              <w:trPr>
                <w:tblCellSpacing w:w="22" w:type="dxa"/>
                <w:jc w:val="center"/>
              </w:trPr>
              <w:tc>
                <w:tcPr>
                  <w:tcW w:w="2476" w:type="pct"/>
                  <w:vAlign w:val="center"/>
                  <w:hideMark/>
                </w:tcPr>
                <w:p w:rsidR="005B089F" w:rsidRPr="005A615E" w:rsidRDefault="005B089F" w:rsidP="005B089F">
                  <w:pPr>
                    <w:jc w:val="right"/>
                    <w:rPr>
                      <w:rFonts w:ascii="Times New Roman" w:hAnsi="Times New Roman"/>
                      <w:lang w:eastAsia="uk-UA"/>
                    </w:rPr>
                  </w:pP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496C14B5" wp14:editId="52634190">
                        <wp:extent cx="876300" cy="361950"/>
                        <wp:effectExtent l="0" t="0" r="0" b="0"/>
                        <wp:docPr id="792200288" name="Рисунок 792200288" descr="https://zakon-pro.ligazakon.net/l_flib1.nsf/LookupFiles/GK40721_IMG_014.gif/$file/GK40721_IMG_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66" descr="https://zakon-pro.ligazakon.net/l_flib1.nsf/LookupFiles/GK40721_IMG_014.gif/$file/GK40721_IMG_014.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76300" cy="361950"/>
                                </a:xfrm>
                                <a:prstGeom prst="rect">
                                  <a:avLst/>
                                </a:prstGeom>
                                <a:noFill/>
                                <a:ln>
                                  <a:noFill/>
                                </a:ln>
                              </pic:spPr>
                            </pic:pic>
                          </a:graphicData>
                        </a:graphic>
                      </wp:inline>
                    </w:drawing>
                  </w:r>
                </w:p>
              </w:tc>
              <w:tc>
                <w:tcPr>
                  <w:tcW w:w="2498" w:type="pct"/>
                  <w:vAlign w:val="center"/>
                  <w:hideMark/>
                </w:tcPr>
                <w:p w:rsidR="005B089F" w:rsidRPr="005A615E" w:rsidRDefault="005B089F" w:rsidP="005B089F">
                  <w:pPr>
                    <w:rPr>
                      <w:rFonts w:ascii="Times New Roman" w:hAnsi="Times New Roman"/>
                      <w:lang w:eastAsia="uk-UA"/>
                    </w:rPr>
                  </w:pPr>
                  <w:r w:rsidRPr="005A615E">
                    <w:rPr>
                      <w:rFonts w:ascii="Times New Roman" w:hAnsi="Times New Roman"/>
                      <w:lang w:eastAsia="uk-UA"/>
                    </w:rPr>
                    <w:t>, МВт·год, (6)</w:t>
                  </w:r>
                </w:p>
              </w:tc>
            </w:tr>
          </w:tbl>
          <w:p w:rsidR="005B089F" w:rsidRPr="005A615E" w:rsidRDefault="000D13C5" w:rsidP="005B089F">
            <w:pPr>
              <w:jc w:val="both"/>
              <w:rPr>
                <w:rFonts w:ascii="Times New Roman" w:eastAsia="Times New Roman" w:hAnsi="Times New Roman"/>
                <w:lang w:eastAsia="uk-UA"/>
              </w:rPr>
            </w:pPr>
            <w:hyperlink r:id="rId58" w:tgtFrame="_blank" w:history="1">
              <w:r w:rsidR="005B089F" w:rsidRPr="005A615E">
                <w:rPr>
                  <w:rStyle w:val="a9"/>
                  <w:rFonts w:ascii="Times New Roman" w:hAnsi="Times New Roman"/>
                  <w:color w:val="auto"/>
                  <w:lang w:eastAsia="uk-UA"/>
                </w:rPr>
                <w:t>де </w:t>
              </w:r>
              <w:r w:rsidR="005B089F" w:rsidRPr="005A615E">
                <w:rPr>
                  <w:rFonts w:ascii="Times New Roman" w:hAnsi="Times New Roman"/>
                  <w:noProof/>
                  <w:lang w:eastAsia="uk-UA"/>
                </w:rPr>
                <w:drawing>
                  <wp:inline distT="0" distB="0" distL="0" distR="0" wp14:anchorId="44D71B09" wp14:editId="0B350D6D">
                    <wp:extent cx="409575" cy="228600"/>
                    <wp:effectExtent l="0" t="0" r="9525" b="0"/>
                    <wp:docPr id="792200289" name="Рисунок 792200289" descr="https://zakon-pro.ligazakon.net/l_flib1.nsf/LookupFiles/GK40721_IMG_156.GIF/$file/GK40721_IMG_156.GIF">
                      <a:hlinkClick xmlns:a="http://schemas.openxmlformats.org/drawingml/2006/main" r:id="rId5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descr="https://zakon-pro.ligazakon.net/l_flib1.nsf/LookupFiles/GK40721_IMG_156.GIF/$file/GK40721_IMG_156.GIF">
                              <a:hlinkClick r:id="rId58" tgtFrame="&quot;_blank&quo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sidR="005B089F" w:rsidRPr="005A615E">
                <w:rPr>
                  <w:rStyle w:val="a9"/>
                  <w:rFonts w:ascii="Times New Roman" w:hAnsi="Times New Roman"/>
                  <w:color w:val="auto"/>
                  <w:lang w:eastAsia="uk-UA"/>
                </w:rPr>
                <w:t>- прогнозований обсяг корисного відпуску електричної енергії</w:t>
              </w:r>
            </w:hyperlink>
            <w:r w:rsidR="005B089F" w:rsidRPr="005A615E">
              <w:rPr>
                <w:rFonts w:ascii="Times New Roman" w:hAnsi="Times New Roman"/>
                <w:lang w:eastAsia="uk-UA"/>
              </w:rPr>
              <w:t> </w:t>
            </w:r>
            <w:hyperlink r:id="rId59" w:tgtFrame="_blank" w:history="1">
              <w:r w:rsidR="005B089F" w:rsidRPr="005A615E">
                <w:rPr>
                  <w:rStyle w:val="a9"/>
                  <w:rFonts w:ascii="Times New Roman" w:hAnsi="Times New Roman"/>
                  <w:color w:val="auto"/>
                  <w:lang w:eastAsia="uk-UA"/>
                </w:rPr>
                <w:t>на 1 класі</w:t>
              </w:r>
            </w:hyperlink>
            <w:r w:rsidR="005B089F" w:rsidRPr="005A615E">
              <w:rPr>
                <w:rFonts w:ascii="Times New Roman" w:hAnsi="Times New Roman"/>
                <w:lang w:eastAsia="uk-UA"/>
              </w:rPr>
              <w:t> </w:t>
            </w:r>
            <w:hyperlink r:id="rId60" w:tgtFrame="_blank" w:history="1">
              <w:r w:rsidR="005B089F" w:rsidRPr="005A615E">
                <w:rPr>
                  <w:rStyle w:val="a9"/>
                  <w:rFonts w:ascii="Times New Roman" w:hAnsi="Times New Roman"/>
                  <w:color w:val="auto"/>
                  <w:lang w:eastAsia="uk-UA"/>
                </w:rPr>
                <w:t>напруги на рік t, МВт·год;</w:t>
              </w:r>
            </w:hyperlink>
          </w:p>
          <w:p w:rsidR="005B089F" w:rsidRPr="005A615E" w:rsidRDefault="000D13C5" w:rsidP="005B089F">
            <w:pPr>
              <w:rPr>
                <w:rFonts w:ascii="Times New Roman" w:hAnsi="Times New Roman"/>
                <w:lang w:eastAsia="uk-UA"/>
              </w:rPr>
            </w:pPr>
            <w:hyperlink r:id="rId61" w:tgtFrame="_blank" w:history="1">
              <w:r w:rsidR="005B089F" w:rsidRPr="005A615E">
                <w:rPr>
                  <w:rFonts w:ascii="Times New Roman" w:hAnsi="Times New Roman"/>
                  <w:noProof/>
                  <w:lang w:eastAsia="uk-UA"/>
                </w:rPr>
                <w:drawing>
                  <wp:inline distT="0" distB="0" distL="0" distR="0" wp14:anchorId="0D50CA52" wp14:editId="6F6E5659">
                    <wp:extent cx="361950" cy="228600"/>
                    <wp:effectExtent l="0" t="0" r="0" b="0"/>
                    <wp:docPr id="792200290" name="Рисунок 792200290" descr="https://zakon-pro.ligazakon.net/l_flib1.nsf/LookupFiles/GK40721_IMG_157.GIF/$file/GK40721_IMG_157.GIF">
                      <a:hlinkClick xmlns:a="http://schemas.openxmlformats.org/drawingml/2006/main" r:id="rId4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3" descr="https://zakon-pro.ligazakon.net/l_flib1.nsf/LookupFiles/GK40721_IMG_157.GIF/$file/GK40721_IMG_157.GIF">
                              <a:hlinkClick r:id="rId45" tgtFrame="&quot;_blank&quot;"/>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1950" cy="228600"/>
                            </a:xfrm>
                            <a:prstGeom prst="rect">
                              <a:avLst/>
                            </a:prstGeom>
                            <a:noFill/>
                            <a:ln>
                              <a:noFill/>
                            </a:ln>
                          </pic:spPr>
                        </pic:pic>
                      </a:graphicData>
                    </a:graphic>
                  </wp:inline>
                </w:drawing>
              </w:r>
              <w:r w:rsidR="005B089F" w:rsidRPr="005A615E">
                <w:rPr>
                  <w:rStyle w:val="a9"/>
                  <w:rFonts w:ascii="Times New Roman" w:hAnsi="Times New Roman"/>
                  <w:color w:val="auto"/>
                  <w:lang w:eastAsia="uk-UA"/>
                </w:rPr>
                <w:t> - прогнозований обсяг розподілу електричної енергії</w:t>
              </w:r>
            </w:hyperlink>
            <w:r w:rsidR="005B089F" w:rsidRPr="005A615E">
              <w:rPr>
                <w:rFonts w:ascii="Times New Roman" w:hAnsi="Times New Roman"/>
                <w:lang w:eastAsia="uk-UA"/>
              </w:rPr>
              <w:t> </w:t>
            </w:r>
            <w:hyperlink r:id="rId62" w:tgtFrame="_blank" w:history="1">
              <w:r w:rsidR="005B089F" w:rsidRPr="005A615E">
                <w:rPr>
                  <w:rStyle w:val="a9"/>
                  <w:rFonts w:ascii="Times New Roman" w:hAnsi="Times New Roman"/>
                  <w:color w:val="auto"/>
                  <w:lang w:eastAsia="uk-UA"/>
                </w:rPr>
                <w:t>на 2 класі</w:t>
              </w:r>
            </w:hyperlink>
            <w:r w:rsidR="005B089F" w:rsidRPr="005A615E">
              <w:rPr>
                <w:rFonts w:ascii="Times New Roman" w:hAnsi="Times New Roman"/>
                <w:lang w:eastAsia="uk-UA"/>
              </w:rPr>
              <w:t> </w:t>
            </w:r>
            <w:hyperlink r:id="rId63" w:tgtFrame="_blank" w:history="1">
              <w:r w:rsidR="005B089F" w:rsidRPr="005A615E">
                <w:rPr>
                  <w:rStyle w:val="a9"/>
                  <w:rFonts w:ascii="Times New Roman" w:hAnsi="Times New Roman"/>
                  <w:color w:val="auto"/>
                  <w:lang w:eastAsia="uk-UA"/>
                </w:rPr>
                <w:t>напруги на рік t, МВт·год;</w:t>
              </w:r>
            </w:hyperlink>
          </w:p>
          <w:p w:rsidR="005B089F" w:rsidRPr="005A615E" w:rsidRDefault="005B089F" w:rsidP="005B089F">
            <w:pPr>
              <w:jc w:val="right"/>
              <w:rPr>
                <w:rFonts w:ascii="Times New Roman" w:hAnsi="Times New Roman"/>
                <w:lang w:eastAsia="uk-UA"/>
              </w:rPr>
            </w:pPr>
          </w:p>
          <w:p w:rsidR="005B089F" w:rsidRPr="005A615E" w:rsidRDefault="005B089F" w:rsidP="005B089F">
            <w:pPr>
              <w:jc w:val="both"/>
              <w:rPr>
                <w:rFonts w:ascii="Times New Roman" w:hAnsi="Times New Roman"/>
                <w:lang w:eastAsia="uk-UA"/>
              </w:rPr>
            </w:pPr>
            <w:r w:rsidRPr="005A615E">
              <w:rPr>
                <w:rFonts w:ascii="Times New Roman" w:hAnsi="Times New Roman"/>
                <w:lang w:eastAsia="uk-UA"/>
              </w:rPr>
              <w:t xml:space="preserve">К1, К2 - економічні коефіцієнти прогнозованих технологічних витрат електроенергії на 1 та 2 класі напруги, встановлені відповідно до Положення про порядок подання, визначення та затвердження економічних коефіцієнтів нормативних та прогнозованих технологічних витрат електроенергії, затвердженого постановою НКРЕКП від 27 липня 2017 року </w:t>
            </w:r>
            <w:r w:rsidR="00EE3408" w:rsidRPr="005A615E">
              <w:rPr>
                <w:rFonts w:ascii="Times New Roman" w:hAnsi="Times New Roman"/>
                <w:lang w:eastAsia="uk-UA"/>
              </w:rPr>
              <w:t>№</w:t>
            </w:r>
            <w:r w:rsidRPr="005A615E">
              <w:rPr>
                <w:rFonts w:ascii="Times New Roman" w:hAnsi="Times New Roman"/>
                <w:lang w:eastAsia="uk-UA"/>
              </w:rPr>
              <w:t xml:space="preserve"> 981 (далі - Положення про порядок подання, визначення та затвердження економічних коефіцієнтів), на рік t, відносні одиниці;»</w:t>
            </w: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jc w:val="both"/>
              <w:rPr>
                <w:rFonts w:ascii="Times New Roman" w:hAnsi="Times New Roman"/>
                <w:b/>
                <w:lang w:eastAsia="uk-UA"/>
              </w:rPr>
            </w:pPr>
          </w:p>
          <w:p w:rsidR="00CF2AC1" w:rsidRPr="005A615E" w:rsidRDefault="00CF2AC1" w:rsidP="00CF2AC1">
            <w:pPr>
              <w:rPr>
                <w:rFonts w:ascii="Times New Roman" w:hAnsi="Times New Roman"/>
                <w:b/>
                <w:sz w:val="24"/>
              </w:rPr>
            </w:pPr>
          </w:p>
        </w:tc>
      </w:tr>
      <w:tr w:rsidR="00CF2AC1" w:rsidRPr="005A615E" w:rsidTr="00A56FEE">
        <w:trPr>
          <w:trHeight w:val="285"/>
        </w:trPr>
        <w:tc>
          <w:tcPr>
            <w:tcW w:w="6232" w:type="dxa"/>
            <w:shd w:val="clear" w:color="auto" w:fill="auto"/>
          </w:tcPr>
          <w:p w:rsidR="00CF2AC1" w:rsidRPr="005A615E" w:rsidRDefault="00CF2AC1" w:rsidP="00CF2AC1">
            <w:pPr>
              <w:shd w:val="clear" w:color="auto" w:fill="FFFFFF"/>
              <w:spacing w:after="150"/>
              <w:ind w:firstLine="173"/>
              <w:jc w:val="both"/>
              <w:rPr>
                <w:rFonts w:ascii="Times New Roman" w:hAnsi="Times New Roman"/>
                <w:b/>
                <w:lang w:eastAsia="uk-UA"/>
              </w:rPr>
            </w:pPr>
            <w:r w:rsidRPr="005A615E">
              <w:rPr>
                <w:rFonts w:ascii="Times New Roman" w:hAnsi="Times New Roman"/>
                <w:b/>
                <w:lang w:eastAsia="uk-UA"/>
              </w:rPr>
              <w:t>Пункт відсутній</w:t>
            </w:r>
          </w:p>
        </w:tc>
        <w:tc>
          <w:tcPr>
            <w:tcW w:w="5387" w:type="dxa"/>
          </w:tcPr>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«ЧЕРНІГІВОБЛЕНЕРГО» (лист від 24.07.2026 № 49/9422/01-14)</w:t>
            </w:r>
          </w:p>
          <w:p w:rsidR="00CF2AC1" w:rsidRPr="005A615E" w:rsidRDefault="00CF2AC1" w:rsidP="00CF2AC1">
            <w:pPr>
              <w:shd w:val="clear" w:color="auto" w:fill="FFFFFF"/>
              <w:spacing w:after="150"/>
              <w:ind w:firstLine="450"/>
              <w:jc w:val="both"/>
              <w:rPr>
                <w:rFonts w:ascii="Times New Roman" w:eastAsia="Times New Roman" w:hAnsi="Times New Roman"/>
                <w:lang w:eastAsia="uk-UA"/>
              </w:rPr>
            </w:pPr>
            <w:r w:rsidRPr="005A615E">
              <w:rPr>
                <w:rFonts w:ascii="Times New Roman" w:eastAsia="Times New Roman" w:hAnsi="Times New Roman"/>
                <w:b/>
                <w:lang w:eastAsia="uk-UA"/>
              </w:rPr>
              <w:t>5.3.1.</w:t>
            </w:r>
            <w:r w:rsidRPr="005A615E">
              <w:rPr>
                <w:rFonts w:ascii="Times New Roman" w:eastAsia="Times New Roman" w:hAnsi="Times New Roman"/>
                <w:lang w:eastAsia="uk-UA"/>
              </w:rPr>
              <w:t xml:space="preserve"> Прогнозовані витрати (прогнозований необхідний дохід) від здійснення діяльності з розподілу електричної енергії на рік t </w:t>
            </w:r>
            <w:r w:rsidRPr="005A615E">
              <w:rPr>
                <w:rFonts w:ascii="Times New Roman" w:eastAsia="Times New Roman" w:hAnsi="Times New Roman"/>
                <w:b/>
                <w:lang w:eastAsia="uk-UA"/>
              </w:rPr>
              <w:t>другого  та наступних періодів</w:t>
            </w:r>
            <w:r w:rsidRPr="005A615E">
              <w:rPr>
                <w:rFonts w:ascii="Times New Roman" w:eastAsia="Times New Roman" w:hAnsi="Times New Roman"/>
                <w:lang w:eastAsia="uk-UA"/>
              </w:rPr>
              <w:t xml:space="preserve"> </w:t>
            </w:r>
            <w:r w:rsidRPr="005A615E">
              <w:rPr>
                <w:rFonts w:ascii="Times New Roman" w:eastAsia="Times New Roman" w:hAnsi="Times New Roman"/>
                <w:b/>
                <w:lang w:eastAsia="uk-UA"/>
              </w:rPr>
              <w:t xml:space="preserve">регулювання </w:t>
            </w:r>
            <w:r w:rsidRPr="005A615E">
              <w:rPr>
                <w:rFonts w:ascii="Times New Roman" w:eastAsia="Times New Roman" w:hAnsi="Times New Roman"/>
                <w:lang w:eastAsia="uk-UA"/>
              </w:rPr>
              <w:t>розраховуються за формулою</w:t>
            </w:r>
          </w:p>
          <w:p w:rsidR="00CF2AC1" w:rsidRPr="005A615E" w:rsidRDefault="000D13C5" w:rsidP="00CF2AC1">
            <w:pPr>
              <w:spacing w:before="150" w:after="150"/>
              <w:rPr>
                <w:rFonts w:ascii="Times New Roman" w:eastAsia="Times New Roman" w:hAnsi="Times New Roman"/>
                <w:lang w:eastAsia="ru-RU"/>
              </w:rPr>
            </w:pPr>
            <m:oMath>
              <m:sSubSup>
                <m:sSubSupPr>
                  <m:ctrlPr>
                    <w:rPr>
                      <w:rFonts w:ascii="Cambria Math" w:eastAsia="Times New Roman" w:hAnsi="Cambria Math"/>
                      <w:i/>
                      <w:lang w:eastAsia="ru-RU"/>
                    </w:rPr>
                  </m:ctrlPr>
                </m:sSubSupPr>
                <m:e>
                  <m:r>
                    <w:rPr>
                      <w:rFonts w:ascii="Cambria Math" w:eastAsia="Times New Roman" w:hAnsi="Cambria Math"/>
                      <w:lang w:eastAsia="ru-RU"/>
                    </w:rPr>
                    <m:t>НД</m:t>
                  </m:r>
                </m:e>
                <m:sub>
                  <m:r>
                    <w:rPr>
                      <w:rFonts w:ascii="Cambria Math" w:eastAsia="Times New Roman" w:hAnsi="Cambria Math"/>
                      <w:lang w:eastAsia="ru-RU"/>
                    </w:rPr>
                    <m:t>t</m:t>
                  </m:r>
                </m:sub>
                <m:sup>
                  <m:r>
                    <w:rPr>
                      <w:rFonts w:ascii="Cambria Math" w:eastAsia="Times New Roman" w:hAnsi="Cambria Math"/>
                      <w:lang w:eastAsia="ru-RU"/>
                    </w:rPr>
                    <m:t>п</m:t>
                  </m:r>
                </m:sup>
              </m:sSubSup>
              <m:r>
                <w:rPr>
                  <w:rFonts w:ascii="Cambria Math" w:eastAsia="Times New Roman" w:hAnsi="Cambria Math"/>
                  <w:lang w:eastAsia="ru-RU"/>
                </w:rPr>
                <m:t>=</m:t>
              </m:r>
              <m:sSubSup>
                <m:sSubSupPr>
                  <m:ctrlPr>
                    <w:rPr>
                      <w:rFonts w:ascii="Cambria Math" w:eastAsia="Times New Roman" w:hAnsi="Cambria Math"/>
                      <w:i/>
                      <w:lang w:eastAsia="ru-RU"/>
                    </w:rPr>
                  </m:ctrlPr>
                </m:sSubSupPr>
                <m:e>
                  <m:r>
                    <w:rPr>
                      <w:rFonts w:ascii="Cambria Math" w:eastAsia="Times New Roman" w:hAnsi="Cambria Math"/>
                      <w:lang w:eastAsia="ru-RU"/>
                    </w:rPr>
                    <m:t>ОКВ</m:t>
                  </m:r>
                </m:e>
                <m:sub>
                  <m:r>
                    <w:rPr>
                      <w:rFonts w:ascii="Cambria Math" w:eastAsia="Times New Roman" w:hAnsi="Cambria Math"/>
                      <w:lang w:eastAsia="ru-RU"/>
                    </w:rPr>
                    <m:t>t</m:t>
                  </m:r>
                </m:sub>
                <m:sup>
                  <m:r>
                    <w:rPr>
                      <w:rFonts w:ascii="Cambria Math" w:eastAsia="Times New Roman" w:hAnsi="Cambria Math"/>
                      <w:lang w:eastAsia="ru-RU"/>
                    </w:rPr>
                    <m:t>п</m:t>
                  </m:r>
                </m:sup>
              </m:sSubSup>
              <m:r>
                <m:rPr>
                  <m:sty m:val="p"/>
                </m:rPr>
                <w:rPr>
                  <w:rFonts w:ascii="Cambria Math" w:eastAsia="Times New Roman" w:hAnsi="Cambria Math"/>
                  <w:lang w:eastAsia="ru-RU"/>
                </w:rPr>
                <m:t>+</m:t>
              </m:r>
              <m:sSubSup>
                <m:sSubSupPr>
                  <m:ctrlPr>
                    <w:rPr>
                      <w:rFonts w:ascii="Cambria Math" w:eastAsia="Times New Roman" w:hAnsi="Cambria Math"/>
                      <w:i/>
                      <w:lang w:eastAsia="ru-RU"/>
                    </w:rPr>
                  </m:ctrlPr>
                </m:sSubSupPr>
                <m:e>
                  <m:r>
                    <w:rPr>
                      <w:rFonts w:ascii="Cambria Math" w:eastAsia="Times New Roman" w:hAnsi="Cambria Math"/>
                      <w:lang w:eastAsia="ru-RU"/>
                    </w:rPr>
                    <m:t>ОНВ</m:t>
                  </m:r>
                </m:e>
                <m:sub>
                  <m:r>
                    <w:rPr>
                      <w:rFonts w:ascii="Cambria Math" w:eastAsia="Times New Roman" w:hAnsi="Cambria Math"/>
                      <w:lang w:eastAsia="ru-RU"/>
                    </w:rPr>
                    <m:t>t</m:t>
                  </m:r>
                </m:sub>
                <m:sup>
                  <m:r>
                    <w:rPr>
                      <w:rFonts w:ascii="Cambria Math" w:eastAsia="Times New Roman" w:hAnsi="Cambria Math"/>
                      <w:lang w:eastAsia="ru-RU"/>
                    </w:rPr>
                    <m:t>п</m:t>
                  </m:r>
                </m:sup>
              </m:sSubSup>
              <m:r>
                <m:rPr>
                  <m:sty m:val="p"/>
                </m:rPr>
                <w:rPr>
                  <w:rFonts w:ascii="Cambria Math" w:eastAsia="Times New Roman" w:hAnsi="Cambria Math"/>
                  <w:lang w:eastAsia="ru-RU"/>
                </w:rPr>
                <m:t>+</m:t>
              </m:r>
              <m:sSubSup>
                <m:sSubSupPr>
                  <m:ctrlPr>
                    <w:rPr>
                      <w:rFonts w:ascii="Cambria Math" w:eastAsia="Times New Roman" w:hAnsi="Cambria Math"/>
                      <w:b/>
                      <w:i/>
                      <w:lang w:eastAsia="ru-RU"/>
                    </w:rPr>
                  </m:ctrlPr>
                </m:sSubSupPr>
                <m:e>
                  <m:r>
                    <m:rPr>
                      <m:sty m:val="b"/>
                    </m:rPr>
                    <w:rPr>
                      <w:rFonts w:ascii="Cambria Math" w:eastAsia="Times New Roman" w:hAnsi="Cambria Math"/>
                      <w:lang w:eastAsia="ru-RU"/>
                    </w:rPr>
                    <m:t>ФОП</m:t>
                  </m:r>
                </m:e>
                <m:sub>
                  <m:r>
                    <m:rPr>
                      <m:sty m:val="bi"/>
                    </m:rPr>
                    <w:rPr>
                      <w:rFonts w:ascii="Cambria Math" w:eastAsia="Times New Roman" w:hAnsi="Cambria Math"/>
                      <w:lang w:eastAsia="ru-RU"/>
                    </w:rPr>
                    <m:t>t</m:t>
                  </m:r>
                </m:sub>
                <m:sup>
                  <m:r>
                    <m:rPr>
                      <m:sty m:val="bi"/>
                    </m:rPr>
                    <w:rPr>
                      <w:rFonts w:ascii="Cambria Math" w:eastAsia="Times New Roman" w:hAnsi="Cambria Math"/>
                      <w:lang w:eastAsia="ru-RU"/>
                    </w:rPr>
                    <m:t>п</m:t>
                  </m:r>
                </m:sup>
              </m:sSubSup>
              <m:r>
                <m:rPr>
                  <m:sty m:val="bi"/>
                </m:rPr>
                <w:rPr>
                  <w:rFonts w:ascii="Cambria Math" w:eastAsia="Times New Roman" w:hAnsi="Cambria Math"/>
                  <w:lang w:eastAsia="ru-RU"/>
                </w:rPr>
                <m:t>+</m:t>
              </m:r>
              <m:sSubSup>
                <m:sSubSupPr>
                  <m:ctrlPr>
                    <w:rPr>
                      <w:rFonts w:ascii="Cambria Math" w:eastAsia="Times New Roman" w:hAnsi="Cambria Math"/>
                      <w:b/>
                      <w:i/>
                      <w:lang w:eastAsia="ru-RU"/>
                    </w:rPr>
                  </m:ctrlPr>
                </m:sSubSupPr>
                <m:e>
                  <m:r>
                    <m:rPr>
                      <m:sty m:val="b"/>
                    </m:rPr>
                    <w:rPr>
                      <w:rFonts w:ascii="Cambria Math" w:eastAsia="Times New Roman" w:hAnsi="Cambria Math"/>
                      <w:lang w:eastAsia="ru-RU"/>
                    </w:rPr>
                    <m:t>ЕЕГП</m:t>
                  </m:r>
                </m:e>
                <m:sub>
                  <m:r>
                    <m:rPr>
                      <m:sty m:val="bi"/>
                    </m:rPr>
                    <w:rPr>
                      <w:rFonts w:ascii="Cambria Math" w:eastAsia="Times New Roman" w:hAnsi="Cambria Math"/>
                      <w:lang w:eastAsia="ru-RU"/>
                    </w:rPr>
                    <m:t>t</m:t>
                  </m:r>
                </m:sub>
                <m:sup>
                  <m:r>
                    <m:rPr>
                      <m:sty m:val="bi"/>
                    </m:rPr>
                    <w:rPr>
                      <w:rFonts w:ascii="Cambria Math" w:eastAsia="Times New Roman" w:hAnsi="Cambria Math"/>
                      <w:lang w:eastAsia="ru-RU"/>
                    </w:rPr>
                    <m:t>п</m:t>
                  </m:r>
                </m:sup>
              </m:sSubSup>
              <m:r>
                <m:rPr>
                  <m:sty m:val="p"/>
                </m:rPr>
                <w:rPr>
                  <w:rFonts w:ascii="Cambria Math" w:eastAsia="Times New Roman" w:hAnsi="Cambria Math"/>
                  <w:lang w:eastAsia="ru-RU"/>
                </w:rPr>
                <m:t>+</m:t>
              </m:r>
              <m:sSubSup>
                <m:sSubSupPr>
                  <m:ctrlPr>
                    <w:rPr>
                      <w:rFonts w:ascii="Cambria Math" w:eastAsia="Times New Roman" w:hAnsi="Cambria Math"/>
                      <w:i/>
                      <w:lang w:eastAsia="ru-RU"/>
                    </w:rPr>
                  </m:ctrlPr>
                </m:sSubSupPr>
                <m:e>
                  <m:r>
                    <w:rPr>
                      <w:rFonts w:ascii="Cambria Math" w:eastAsia="Times New Roman" w:hAnsi="Cambria Math"/>
                      <w:lang w:eastAsia="ru-RU"/>
                    </w:rPr>
                    <m:t>ВТ</m:t>
                  </m:r>
                </m:e>
                <m:sub>
                  <m:r>
                    <w:rPr>
                      <w:rFonts w:ascii="Cambria Math" w:eastAsia="Times New Roman" w:hAnsi="Cambria Math"/>
                      <w:lang w:eastAsia="ru-RU"/>
                    </w:rPr>
                    <m:t>t</m:t>
                  </m:r>
                </m:sub>
                <m:sup>
                  <m:r>
                    <w:rPr>
                      <w:rFonts w:ascii="Cambria Math" w:eastAsia="Times New Roman" w:hAnsi="Cambria Math"/>
                      <w:lang w:eastAsia="ru-RU"/>
                    </w:rPr>
                    <m:t>п</m:t>
                  </m:r>
                </m:sup>
              </m:sSubSup>
              <m:r>
                <m:rPr>
                  <m:sty m:val="p"/>
                </m:rPr>
                <w:rPr>
                  <w:rFonts w:ascii="Cambria Math" w:eastAsia="Times New Roman" w:hAnsi="Cambria Math"/>
                  <w:lang w:eastAsia="ru-RU"/>
                </w:rPr>
                <m:t>+</m:t>
              </m:r>
              <m:sSub>
                <m:sSubPr>
                  <m:ctrlPr>
                    <w:rPr>
                      <w:rFonts w:ascii="Cambria Math" w:eastAsia="Times New Roman" w:hAnsi="Cambria Math"/>
                      <w:lang w:eastAsia="ru-RU"/>
                    </w:rPr>
                  </m:ctrlPr>
                </m:sSubPr>
                <m:e>
                  <m:r>
                    <w:rPr>
                      <w:rFonts w:ascii="Cambria Math" w:eastAsia="Times New Roman" w:hAnsi="Cambria Math"/>
                      <w:lang w:eastAsia="ru-RU"/>
                    </w:rPr>
                    <m:t>А</m:t>
                  </m:r>
                </m:e>
                <m:sub>
                  <m:r>
                    <w:rPr>
                      <w:rFonts w:ascii="Cambria Math" w:eastAsia="Times New Roman" w:hAnsi="Cambria Math"/>
                      <w:lang w:eastAsia="ru-RU"/>
                    </w:rPr>
                    <m:t xml:space="preserve">t </m:t>
                  </m:r>
                </m:sub>
              </m:sSub>
              <m:r>
                <m:rPr>
                  <m:sty m:val="p"/>
                </m:rPr>
                <w:rPr>
                  <w:rFonts w:ascii="Cambria Math" w:eastAsia="Times New Roman" w:hAnsi="Cambria Math"/>
                  <w:lang w:eastAsia="ru-RU"/>
                </w:rPr>
                <m:t>+</m:t>
              </m:r>
              <m:sSubSup>
                <m:sSubSupPr>
                  <m:ctrlPr>
                    <w:rPr>
                      <w:rFonts w:ascii="Cambria Math" w:eastAsia="Times New Roman" w:hAnsi="Cambria Math"/>
                      <w:i/>
                      <w:lang w:eastAsia="ru-RU"/>
                    </w:rPr>
                  </m:ctrlPr>
                </m:sSubSupPr>
                <m:e>
                  <m:r>
                    <w:rPr>
                      <w:rFonts w:ascii="Cambria Math" w:eastAsia="Times New Roman" w:hAnsi="Cambria Math"/>
                      <w:lang w:eastAsia="ru-RU"/>
                    </w:rPr>
                    <m:t>П</m:t>
                  </m:r>
                </m:e>
                <m:sub>
                  <m:r>
                    <w:rPr>
                      <w:rFonts w:ascii="Cambria Math" w:eastAsia="Times New Roman" w:hAnsi="Cambria Math"/>
                      <w:lang w:eastAsia="ru-RU"/>
                    </w:rPr>
                    <m:t>t</m:t>
                  </m:r>
                </m:sub>
                <m:sup>
                  <m:r>
                    <w:rPr>
                      <w:rFonts w:ascii="Cambria Math" w:eastAsia="Times New Roman" w:hAnsi="Cambria Math"/>
                      <w:lang w:eastAsia="ru-RU"/>
                    </w:rPr>
                    <m:t>п</m:t>
                  </m:r>
                </m:sup>
              </m:sSubSup>
              <m:r>
                <m:rPr>
                  <m:sty m:val="p"/>
                </m:rPr>
                <w:rPr>
                  <w:rFonts w:ascii="Cambria Math" w:eastAsia="Times New Roman" w:hAnsi="Cambria Math"/>
                  <w:lang w:eastAsia="ru-RU"/>
                </w:rPr>
                <m:t>+</m:t>
              </m:r>
              <m:sSubSup>
                <m:sSubSupPr>
                  <m:ctrlPr>
                    <w:rPr>
                      <w:rFonts w:ascii="Cambria Math" w:eastAsia="Times New Roman" w:hAnsi="Cambria Math"/>
                      <w:i/>
                      <w:lang w:eastAsia="ru-RU"/>
                    </w:rPr>
                  </m:ctrlPr>
                </m:sSubSupPr>
                <m:e>
                  <m:r>
                    <w:rPr>
                      <w:rFonts w:ascii="Cambria Math" w:eastAsia="Times New Roman" w:hAnsi="Cambria Math"/>
                      <w:lang w:eastAsia="ru-RU"/>
                    </w:rPr>
                    <m:t>ПП</m:t>
                  </m:r>
                </m:e>
                <m:sub>
                  <m:r>
                    <w:rPr>
                      <w:rFonts w:ascii="Cambria Math" w:eastAsia="Times New Roman" w:hAnsi="Cambria Math"/>
                      <w:lang w:eastAsia="ru-RU"/>
                    </w:rPr>
                    <m:t>t</m:t>
                  </m:r>
                </m:sub>
                <m:sup>
                  <m:r>
                    <w:rPr>
                      <w:rFonts w:ascii="Cambria Math" w:eastAsia="Times New Roman" w:hAnsi="Cambria Math"/>
                      <w:lang w:eastAsia="ru-RU"/>
                    </w:rPr>
                    <m:t>п</m:t>
                  </m:r>
                </m:sup>
              </m:sSubSup>
              <m:r>
                <m:rPr>
                  <m:sty m:val="p"/>
                </m:rPr>
                <w:rPr>
                  <w:rFonts w:ascii="Cambria Math" w:eastAsia="Times New Roman" w:hAnsi="Cambria Math"/>
                  <w:lang w:eastAsia="ru-RU"/>
                </w:rPr>
                <m:t>+</m:t>
              </m:r>
              <m:sSub>
                <m:sSubPr>
                  <m:ctrlPr>
                    <w:rPr>
                      <w:rFonts w:ascii="Cambria Math" w:eastAsia="Times New Roman" w:hAnsi="Cambria Math"/>
                      <w:lang w:eastAsia="ru-RU"/>
                    </w:rPr>
                  </m:ctrlPr>
                </m:sSubPr>
                <m:e>
                  <m:r>
                    <w:rPr>
                      <w:rFonts w:ascii="Cambria Math" w:eastAsia="Times New Roman" w:hAnsi="Cambria Math"/>
                      <w:lang w:eastAsia="ru-RU"/>
                    </w:rPr>
                    <m:t>ПР</m:t>
                  </m:r>
                </m:e>
                <m:sub>
                  <m:r>
                    <w:rPr>
                      <w:rFonts w:ascii="Cambria Math" w:eastAsia="Times New Roman" w:hAnsi="Cambria Math"/>
                      <w:lang w:eastAsia="ru-RU"/>
                    </w:rPr>
                    <m:t xml:space="preserve">t </m:t>
                  </m:r>
                </m:sub>
              </m:sSub>
              <m:r>
                <m:rPr>
                  <m:sty m:val="p"/>
                </m:rPr>
                <w:rPr>
                  <w:rFonts w:ascii="Cambria Math" w:eastAsia="Times New Roman" w:hAnsi="Cambria Math"/>
                  <w:lang w:eastAsia="ru-RU"/>
                </w:rPr>
                <m:t>+</m:t>
              </m:r>
              <m:sSub>
                <m:sSubPr>
                  <m:ctrlPr>
                    <w:rPr>
                      <w:rFonts w:ascii="Cambria Math" w:eastAsia="Times New Roman" w:hAnsi="Cambria Math"/>
                      <w:lang w:eastAsia="ru-RU"/>
                    </w:rPr>
                  </m:ctrlPr>
                </m:sSubPr>
                <m:e>
                  <m:r>
                    <w:rPr>
                      <w:rFonts w:ascii="Cambria Math" w:eastAsia="Times New Roman" w:hAnsi="Cambria Math"/>
                      <w:lang w:eastAsia="ru-RU"/>
                    </w:rPr>
                    <m:t>КЯ</m:t>
                  </m:r>
                </m:e>
                <m:sub>
                  <m:r>
                    <w:rPr>
                      <w:rFonts w:ascii="Cambria Math" w:eastAsia="Times New Roman" w:hAnsi="Cambria Math"/>
                      <w:lang w:eastAsia="ru-RU"/>
                    </w:rPr>
                    <m:t xml:space="preserve">t </m:t>
                  </m:r>
                </m:sub>
              </m:sSub>
              <m:r>
                <m:rPr>
                  <m:sty m:val="p"/>
                </m:rPr>
                <w:rPr>
                  <w:rFonts w:ascii="Cambria Math" w:eastAsia="Times New Roman" w:hAnsi="Cambria Math"/>
                  <w:lang w:eastAsia="ru-RU"/>
                </w:rPr>
                <m:t>+</m:t>
              </m:r>
              <m:sSub>
                <m:sSubPr>
                  <m:ctrlPr>
                    <w:rPr>
                      <w:rFonts w:ascii="Cambria Math" w:eastAsia="Times New Roman" w:hAnsi="Cambria Math"/>
                      <w:lang w:eastAsia="ru-RU"/>
                    </w:rPr>
                  </m:ctrlPr>
                </m:sSubPr>
                <m:e>
                  <m:r>
                    <w:rPr>
                      <w:rFonts w:ascii="Cambria Math" w:eastAsia="Times New Roman" w:hAnsi="Cambria Math"/>
                      <w:lang w:eastAsia="ru-RU"/>
                    </w:rPr>
                    <m:t>КД</m:t>
                  </m:r>
                </m:e>
                <m:sub>
                  <m:r>
                    <w:rPr>
                      <w:rFonts w:ascii="Cambria Math" w:eastAsia="Times New Roman" w:hAnsi="Cambria Math"/>
                      <w:lang w:eastAsia="ru-RU"/>
                    </w:rPr>
                    <m:t xml:space="preserve">t </m:t>
                  </m:r>
                </m:sub>
              </m:sSub>
            </m:oMath>
            <w:r w:rsidR="00CF2AC1" w:rsidRPr="005A615E">
              <w:rPr>
                <w:rFonts w:ascii="Times New Roman" w:eastAsia="Times New Roman" w:hAnsi="Times New Roman"/>
                <w:lang w:eastAsia="ru-RU"/>
              </w:rPr>
              <w:t>,</w:t>
            </w:r>
            <w:r w:rsidR="00CF2AC1" w:rsidRPr="005A615E">
              <w:rPr>
                <w:rFonts w:ascii="Times New Roman" w:eastAsia="Times New Roman" w:hAnsi="Times New Roman"/>
                <w:lang w:eastAsia="ru-RU"/>
              </w:rPr>
              <w:br/>
              <w:t xml:space="preserve"> тис. грн,   </w:t>
            </w:r>
          </w:p>
          <w:p w:rsidR="00CF2AC1" w:rsidRPr="005A615E" w:rsidRDefault="00CF2AC1" w:rsidP="00CF2AC1">
            <w:pPr>
              <w:spacing w:before="150" w:after="150"/>
              <w:rPr>
                <w:rFonts w:ascii="Times New Roman" w:eastAsia="Times New Roman" w:hAnsi="Times New Roman"/>
                <w:lang w:eastAsia="ru-RU"/>
              </w:rPr>
            </w:pPr>
            <w:r w:rsidRPr="005A615E">
              <w:rPr>
                <w:rFonts w:ascii="Times New Roman" w:eastAsia="Times New Roman" w:hAnsi="Times New Roman"/>
                <w:lang w:eastAsia="ru-RU"/>
              </w:rPr>
              <w:t>………………………………………………</w:t>
            </w:r>
          </w:p>
          <w:p w:rsidR="00CF2AC1" w:rsidRPr="005A615E" w:rsidRDefault="000D13C5" w:rsidP="00CF2AC1">
            <w:pPr>
              <w:tabs>
                <w:tab w:val="left" w:pos="900"/>
                <w:tab w:val="center" w:pos="1593"/>
              </w:tabs>
              <w:rPr>
                <w:rFonts w:ascii="Times New Roman" w:hAnsi="Times New Roman"/>
              </w:rPr>
            </w:pPr>
            <m:oMath>
              <m:sSubSup>
                <m:sSubSupPr>
                  <m:ctrlPr>
                    <w:rPr>
                      <w:rFonts w:ascii="Cambria Math" w:hAnsi="Cambria Math"/>
                      <w:b/>
                      <w:i/>
                    </w:rPr>
                  </m:ctrlPr>
                </m:sSubSupPr>
                <m:e>
                  <m:r>
                    <m:rPr>
                      <m:sty m:val="b"/>
                    </m:rPr>
                    <w:rPr>
                      <w:rFonts w:ascii="Cambria Math" w:hAnsi="Cambria Math"/>
                    </w:rPr>
                    <m:t>ФОП</m:t>
                  </m:r>
                </m:e>
                <m:sub>
                  <m:r>
                    <m:rPr>
                      <m:sty m:val="bi"/>
                    </m:rPr>
                    <w:rPr>
                      <w:rFonts w:ascii="Cambria Math" w:hAnsi="Cambria Math"/>
                    </w:rPr>
                    <m:t>t</m:t>
                  </m:r>
                </m:sub>
                <m:sup>
                  <m:r>
                    <m:rPr>
                      <m:sty m:val="bi"/>
                    </m:rPr>
                    <w:rPr>
                      <w:rFonts w:ascii="Cambria Math" w:hAnsi="Cambria Math"/>
                    </w:rPr>
                    <m:t>n</m:t>
                  </m:r>
                </m:sup>
              </m:sSubSup>
            </m:oMath>
            <w:r w:rsidR="00CF2AC1" w:rsidRPr="005A615E">
              <w:rPr>
                <w:rFonts w:ascii="Times New Roman" w:hAnsi="Times New Roman"/>
                <w:b/>
              </w:rPr>
              <w:t xml:space="preserve"> – </w:t>
            </w:r>
            <w:r w:rsidR="00CF2AC1" w:rsidRPr="005A615E">
              <w:rPr>
                <w:rFonts w:ascii="Times New Roman" w:hAnsi="Times New Roman"/>
              </w:rPr>
              <w:t xml:space="preserve">прогнозований фонд оплати праці (витрати на оплату праці) у році </w:t>
            </w:r>
            <w:r w:rsidR="00CF2AC1" w:rsidRPr="005A615E">
              <w:rPr>
                <w:rFonts w:ascii="Times New Roman" w:hAnsi="Times New Roman"/>
                <w:i/>
              </w:rPr>
              <w:t xml:space="preserve">t, </w:t>
            </w:r>
            <w:r w:rsidR="00CF2AC1" w:rsidRPr="005A615E">
              <w:rPr>
                <w:rFonts w:ascii="Times New Roman" w:hAnsi="Times New Roman"/>
              </w:rPr>
              <w:t>тис.грн.</w:t>
            </w:r>
          </w:p>
          <w:p w:rsidR="00CF2AC1" w:rsidRPr="005A615E" w:rsidRDefault="00CF2AC1" w:rsidP="00CF2AC1">
            <w:pPr>
              <w:tabs>
                <w:tab w:val="left" w:pos="900"/>
                <w:tab w:val="center" w:pos="1593"/>
              </w:tabs>
              <w:rPr>
                <w:rFonts w:ascii="Times New Roman" w:hAnsi="Times New Roman"/>
              </w:rPr>
            </w:pPr>
            <w:r w:rsidRPr="005A615E">
              <w:rPr>
                <w:rFonts w:ascii="Times New Roman" w:hAnsi="Times New Roman"/>
              </w:rPr>
              <w:t>……………………………………………….</w:t>
            </w:r>
          </w:p>
          <w:p w:rsidR="00CF2AC1" w:rsidRPr="005A615E" w:rsidRDefault="000D13C5" w:rsidP="00CF2AC1">
            <w:pPr>
              <w:tabs>
                <w:tab w:val="left" w:pos="900"/>
                <w:tab w:val="center" w:pos="1593"/>
              </w:tabs>
              <w:rPr>
                <w:rFonts w:ascii="Times New Roman" w:hAnsi="Times New Roman"/>
              </w:rPr>
            </w:pPr>
            <m:oMath>
              <m:sSubSup>
                <m:sSubSupPr>
                  <m:ctrlPr>
                    <w:rPr>
                      <w:rFonts w:ascii="Cambria Math" w:hAnsi="Cambria Math"/>
                      <w:b/>
                      <w:i/>
                    </w:rPr>
                  </m:ctrlPr>
                </m:sSubSupPr>
                <m:e>
                  <m:r>
                    <m:rPr>
                      <m:sty m:val="b"/>
                    </m:rPr>
                    <w:rPr>
                      <w:rFonts w:ascii="Cambria Math" w:hAnsi="Cambria Math"/>
                    </w:rPr>
                    <m:t>ЕЕГП</m:t>
                  </m:r>
                </m:e>
                <m:sub>
                  <m:r>
                    <m:rPr>
                      <m:sty m:val="bi"/>
                    </m:rPr>
                    <w:rPr>
                      <w:rFonts w:ascii="Cambria Math" w:hAnsi="Cambria Math"/>
                    </w:rPr>
                    <m:t>t</m:t>
                  </m:r>
                </m:sub>
                <m:sup>
                  <m:r>
                    <m:rPr>
                      <m:sty m:val="bi"/>
                    </m:rPr>
                    <w:rPr>
                      <w:rFonts w:ascii="Cambria Math" w:hAnsi="Cambria Math"/>
                    </w:rPr>
                    <m:t>n</m:t>
                  </m:r>
                </m:sup>
              </m:sSubSup>
            </m:oMath>
            <w:r w:rsidR="00CF2AC1" w:rsidRPr="005A615E">
              <w:rPr>
                <w:rFonts w:ascii="Times New Roman" w:hAnsi="Times New Roman"/>
                <w:b/>
              </w:rPr>
              <w:t xml:space="preserve"> – вартість </w:t>
            </w:r>
            <w:r w:rsidR="00CF2AC1" w:rsidRPr="005A615E">
              <w:rPr>
                <w:rFonts w:ascii="Times New Roman" w:hAnsi="Times New Roman"/>
              </w:rPr>
              <w:t xml:space="preserve">прогнозованих витрат електричної енергії для господарських потреб на рік </w:t>
            </w:r>
            <w:r w:rsidR="00CF2AC1" w:rsidRPr="005A615E">
              <w:rPr>
                <w:rFonts w:ascii="Times New Roman" w:hAnsi="Times New Roman"/>
                <w:i/>
              </w:rPr>
              <w:t xml:space="preserve">t, </w:t>
            </w:r>
            <w:r w:rsidR="00CF2AC1" w:rsidRPr="005A615E">
              <w:rPr>
                <w:rFonts w:ascii="Times New Roman" w:hAnsi="Times New Roman"/>
              </w:rPr>
              <w:t>тис.грн.</w:t>
            </w:r>
          </w:p>
          <w:p w:rsidR="00CF2AC1" w:rsidRPr="005A615E" w:rsidRDefault="00CF2AC1" w:rsidP="00CF2AC1">
            <w:pPr>
              <w:rPr>
                <w:b/>
                <w:i/>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Пропонуємо відокремити від операційних контрольованих витрат (ОКВ) витрати на оплату праці та витрати на електроенергію на господарські потреби.</w:t>
            </w:r>
          </w:p>
          <w:p w:rsidR="00CF2AC1" w:rsidRPr="005A615E" w:rsidRDefault="00CF2AC1" w:rsidP="00CF2AC1">
            <w:pPr>
              <w:jc w:val="both"/>
              <w:rPr>
                <w:rFonts w:ascii="Times New Roman" w:hAnsi="Times New Roman"/>
                <w:bCs/>
              </w:rPr>
            </w:pPr>
            <w:r w:rsidRPr="005A615E">
              <w:rPr>
                <w:rFonts w:ascii="Times New Roman" w:hAnsi="Times New Roman"/>
                <w:bCs/>
              </w:rPr>
              <w:t>Зростання ОКВ за 2021-2025 рік  на 58%</w:t>
            </w:r>
          </w:p>
          <w:p w:rsidR="00CF2AC1" w:rsidRPr="005A615E" w:rsidRDefault="00CF2AC1" w:rsidP="00CF2AC1">
            <w:pPr>
              <w:jc w:val="both"/>
              <w:rPr>
                <w:rFonts w:ascii="Times New Roman" w:hAnsi="Times New Roman"/>
                <w:bCs/>
              </w:rPr>
            </w:pPr>
            <w:r w:rsidRPr="005A615E">
              <w:rPr>
                <w:rFonts w:ascii="Times New Roman" w:hAnsi="Times New Roman"/>
                <w:bCs/>
              </w:rPr>
              <w:t>При цьому, ціна на електроенергію для господарських потреб зросла на 269%:</w:t>
            </w:r>
          </w:p>
          <w:p w:rsidR="00CF2AC1" w:rsidRPr="005A615E" w:rsidRDefault="00CF2AC1" w:rsidP="00CF2AC1">
            <w:pPr>
              <w:jc w:val="both"/>
              <w:rPr>
                <w:rFonts w:ascii="Times New Roman" w:hAnsi="Times New Roman"/>
                <w:bCs/>
              </w:rPr>
            </w:pPr>
            <w:r w:rsidRPr="005A615E">
              <w:rPr>
                <w:rFonts w:ascii="Times New Roman" w:hAnsi="Times New Roman"/>
                <w:bCs/>
              </w:rPr>
              <w:t xml:space="preserve">((6,742 / 1,1,827)-1) * 100, </w:t>
            </w:r>
          </w:p>
          <w:p w:rsidR="00CF2AC1" w:rsidRPr="005A615E" w:rsidRDefault="00CF2AC1" w:rsidP="00CF2AC1">
            <w:pPr>
              <w:jc w:val="both"/>
              <w:rPr>
                <w:rFonts w:ascii="Times New Roman" w:hAnsi="Times New Roman"/>
                <w:bCs/>
              </w:rPr>
            </w:pPr>
            <w:r w:rsidRPr="005A615E">
              <w:rPr>
                <w:rFonts w:ascii="Times New Roman" w:hAnsi="Times New Roman"/>
                <w:bCs/>
              </w:rPr>
              <w:t>де 6,742 грн/кВт·год – фактична середня ціна закупівлі електроенергії для господарських потреб за 2025 рік;</w:t>
            </w:r>
          </w:p>
          <w:p w:rsidR="00CF2AC1" w:rsidRPr="005A615E" w:rsidRDefault="00CF2AC1" w:rsidP="00CF2AC1">
            <w:pPr>
              <w:jc w:val="both"/>
              <w:rPr>
                <w:rFonts w:ascii="Times New Roman" w:hAnsi="Times New Roman"/>
                <w:bCs/>
              </w:rPr>
            </w:pPr>
            <w:r w:rsidRPr="005A615E">
              <w:rPr>
                <w:rFonts w:ascii="Times New Roman" w:hAnsi="Times New Roman"/>
                <w:bCs/>
              </w:rPr>
              <w:t>1,827 грн/кВт·год – ціна на електроенергію врахована в тарифах на послуги з розподілу в 2020 році.</w:t>
            </w:r>
          </w:p>
          <w:p w:rsidR="00CF2AC1" w:rsidRPr="005A615E" w:rsidRDefault="00CF2AC1" w:rsidP="00CF2AC1">
            <w:pPr>
              <w:jc w:val="both"/>
              <w:rPr>
                <w:rFonts w:ascii="Times New Roman" w:hAnsi="Times New Roman"/>
                <w:bCs/>
                <w:szCs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«ВІННИЦЯОБЛЕНЕРГО» (лист від 27.07.2026  № 03.13-18608)</w:t>
            </w:r>
          </w:p>
          <w:p w:rsidR="00CF2AC1" w:rsidRPr="005A615E" w:rsidRDefault="00CF2AC1" w:rsidP="00CF2AC1">
            <w:pPr>
              <w:shd w:val="clear" w:color="auto" w:fill="FFFFFF"/>
              <w:spacing w:after="150"/>
              <w:ind w:firstLine="450"/>
              <w:jc w:val="both"/>
              <w:rPr>
                <w:rFonts w:ascii="Times New Roman" w:eastAsia="Times New Roman" w:hAnsi="Times New Roman"/>
                <w:sz w:val="24"/>
                <w:szCs w:val="24"/>
                <w:lang w:eastAsia="uk-UA"/>
              </w:rPr>
            </w:pPr>
            <w:r w:rsidRPr="005A615E">
              <w:rPr>
                <w:rFonts w:ascii="Times New Roman" w:eastAsia="Times New Roman" w:hAnsi="Times New Roman"/>
                <w:b/>
                <w:sz w:val="24"/>
                <w:szCs w:val="24"/>
                <w:lang w:eastAsia="uk-UA"/>
              </w:rPr>
              <w:t>5.3.1.</w:t>
            </w:r>
            <w:r w:rsidRPr="005A615E">
              <w:rPr>
                <w:rFonts w:ascii="Times New Roman" w:eastAsia="Times New Roman" w:hAnsi="Times New Roman"/>
                <w:sz w:val="24"/>
                <w:szCs w:val="24"/>
                <w:lang w:eastAsia="uk-UA"/>
              </w:rPr>
              <w:t xml:space="preserve"> Прогнозовані витрати (прогнозований необхідний дохід) від здійснення діяльності з розподілу електричної енергії на рік t </w:t>
            </w:r>
            <w:r w:rsidRPr="005A615E">
              <w:rPr>
                <w:rFonts w:ascii="Times New Roman" w:eastAsia="Times New Roman" w:hAnsi="Times New Roman"/>
                <w:b/>
                <w:sz w:val="24"/>
                <w:szCs w:val="24"/>
                <w:lang w:eastAsia="uk-UA"/>
              </w:rPr>
              <w:t>другого  та наступних періодів</w:t>
            </w:r>
            <w:r w:rsidRPr="005A615E">
              <w:rPr>
                <w:rFonts w:ascii="Times New Roman" w:eastAsia="Times New Roman" w:hAnsi="Times New Roman"/>
                <w:sz w:val="24"/>
                <w:szCs w:val="24"/>
                <w:lang w:eastAsia="uk-UA"/>
              </w:rPr>
              <w:t xml:space="preserve"> </w:t>
            </w:r>
            <w:r w:rsidRPr="005A615E">
              <w:rPr>
                <w:rFonts w:ascii="Times New Roman" w:eastAsia="Times New Roman" w:hAnsi="Times New Roman"/>
                <w:b/>
                <w:sz w:val="24"/>
                <w:szCs w:val="24"/>
                <w:lang w:eastAsia="uk-UA"/>
              </w:rPr>
              <w:t xml:space="preserve">регулювання </w:t>
            </w:r>
            <w:r w:rsidRPr="005A615E">
              <w:rPr>
                <w:rFonts w:ascii="Times New Roman" w:eastAsia="Times New Roman" w:hAnsi="Times New Roman"/>
                <w:sz w:val="24"/>
                <w:szCs w:val="24"/>
                <w:lang w:eastAsia="uk-UA"/>
              </w:rPr>
              <w:t>розраховуються за формулою</w:t>
            </w:r>
          </w:p>
          <w:p w:rsidR="00CF2AC1" w:rsidRPr="005A615E" w:rsidRDefault="000D13C5" w:rsidP="00CF2AC1">
            <w:pPr>
              <w:spacing w:before="150" w:after="150"/>
              <w:rPr>
                <w:rFonts w:ascii="Times New Roman" w:eastAsia="Times New Roman" w:hAnsi="Times New Roman"/>
                <w:sz w:val="24"/>
                <w:szCs w:val="24"/>
                <w:lang w:eastAsia="ru-RU"/>
              </w:rPr>
            </w:pPr>
            <m:oMath>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НД</m:t>
                  </m:r>
                </m:e>
                <m:sub>
                  <m:r>
                    <w:rPr>
                      <w:rFonts w:ascii="Cambria Math" w:eastAsia="Times New Roman" w:hAnsi="Cambria Math"/>
                      <w:sz w:val="24"/>
                      <w:szCs w:val="24"/>
                      <w:lang w:eastAsia="ru-RU"/>
                    </w:rPr>
                    <m:t>t</m:t>
                  </m:r>
                </m:sub>
                <m:sup>
                  <m:r>
                    <w:rPr>
                      <w:rFonts w:ascii="Cambria Math" w:eastAsia="Times New Roman" w:hAnsi="Cambria Math"/>
                      <w:sz w:val="24"/>
                      <w:szCs w:val="24"/>
                      <w:lang w:eastAsia="ru-RU"/>
                    </w:rPr>
                    <m:t>п</m:t>
                  </m:r>
                </m:sup>
              </m:sSubSup>
              <m:r>
                <w:rPr>
                  <w:rFonts w:ascii="Cambria Math" w:eastAsia="Times New Roman" w:hAnsi="Cambria Math"/>
                  <w:sz w:val="24"/>
                  <w:szCs w:val="24"/>
                  <w:lang w:eastAsia="ru-RU"/>
                </w:rPr>
                <m:t>=</m:t>
              </m:r>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ОКВ</m:t>
                  </m:r>
                </m:e>
                <m:sub>
                  <m:r>
                    <w:rPr>
                      <w:rFonts w:ascii="Cambria Math" w:eastAsia="Times New Roman" w:hAnsi="Cambria Math"/>
                      <w:sz w:val="24"/>
                      <w:szCs w:val="24"/>
                      <w:lang w:eastAsia="ru-RU"/>
                    </w:rPr>
                    <m:t>t</m:t>
                  </m:r>
                </m:sub>
                <m:sup>
                  <m:r>
                    <w:rPr>
                      <w:rFonts w:ascii="Cambria Math" w:eastAsia="Times New Roman" w:hAnsi="Cambria Math"/>
                      <w:sz w:val="24"/>
                      <w:szCs w:val="24"/>
                      <w:lang w:eastAsia="ru-RU"/>
                    </w:rPr>
                    <m:t>п</m:t>
                  </m:r>
                </m:sup>
              </m:sSubSup>
              <m:r>
                <m:rPr>
                  <m:sty m:val="p"/>
                </m:rPr>
                <w:rPr>
                  <w:rFonts w:ascii="Cambria Math" w:eastAsia="Times New Roman" w:hAnsi="Cambria Math"/>
                  <w:sz w:val="24"/>
                  <w:szCs w:val="24"/>
                  <w:lang w:eastAsia="ru-RU"/>
                </w:rPr>
                <m:t>+</m:t>
              </m:r>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ОНВ</m:t>
                  </m:r>
                </m:e>
                <m:sub>
                  <m:r>
                    <w:rPr>
                      <w:rFonts w:ascii="Cambria Math" w:eastAsia="Times New Roman" w:hAnsi="Cambria Math"/>
                      <w:sz w:val="24"/>
                      <w:szCs w:val="24"/>
                      <w:lang w:eastAsia="ru-RU"/>
                    </w:rPr>
                    <m:t>t</m:t>
                  </m:r>
                </m:sub>
                <m:sup>
                  <m:r>
                    <w:rPr>
                      <w:rFonts w:ascii="Cambria Math" w:eastAsia="Times New Roman" w:hAnsi="Cambria Math"/>
                      <w:sz w:val="24"/>
                      <w:szCs w:val="24"/>
                      <w:lang w:eastAsia="ru-RU"/>
                    </w:rPr>
                    <m:t>п</m:t>
                  </m:r>
                </m:sup>
              </m:sSubSup>
              <m:r>
                <m:rPr>
                  <m:sty m:val="p"/>
                </m:rPr>
                <w:rPr>
                  <w:rFonts w:ascii="Cambria Math" w:eastAsia="Times New Roman" w:hAnsi="Cambria Math"/>
                  <w:sz w:val="24"/>
                  <w:szCs w:val="24"/>
                  <w:lang w:eastAsia="ru-RU"/>
                </w:rPr>
                <m:t>+</m:t>
              </m:r>
              <m:sSubSup>
                <m:sSubSupPr>
                  <m:ctrlPr>
                    <w:rPr>
                      <w:rFonts w:ascii="Cambria Math" w:eastAsia="Times New Roman" w:hAnsi="Cambria Math"/>
                      <w:b/>
                      <w:i/>
                      <w:sz w:val="24"/>
                      <w:szCs w:val="24"/>
                      <w:lang w:eastAsia="ru-RU"/>
                    </w:rPr>
                  </m:ctrlPr>
                </m:sSubSupPr>
                <m:e>
                  <m:r>
                    <m:rPr>
                      <m:sty m:val="b"/>
                    </m:rPr>
                    <w:rPr>
                      <w:rFonts w:ascii="Cambria Math" w:eastAsia="Times New Roman" w:hAnsi="Cambria Math"/>
                      <w:sz w:val="24"/>
                      <w:szCs w:val="24"/>
                      <w:lang w:eastAsia="ru-RU"/>
                    </w:rPr>
                    <m:t>ФОП</m:t>
                  </m:r>
                </m:e>
                <m:sub>
                  <m:r>
                    <m:rPr>
                      <m:sty m:val="bi"/>
                    </m:rPr>
                    <w:rPr>
                      <w:rFonts w:ascii="Cambria Math" w:eastAsia="Times New Roman" w:hAnsi="Cambria Math"/>
                      <w:sz w:val="24"/>
                      <w:szCs w:val="24"/>
                      <w:lang w:eastAsia="ru-RU"/>
                    </w:rPr>
                    <m:t>t</m:t>
                  </m:r>
                </m:sub>
                <m:sup>
                  <m:r>
                    <m:rPr>
                      <m:sty m:val="bi"/>
                    </m:rPr>
                    <w:rPr>
                      <w:rFonts w:ascii="Cambria Math" w:eastAsia="Times New Roman" w:hAnsi="Cambria Math"/>
                      <w:sz w:val="24"/>
                      <w:szCs w:val="24"/>
                      <w:lang w:eastAsia="ru-RU"/>
                    </w:rPr>
                    <m:t>п</m:t>
                  </m:r>
                </m:sup>
              </m:sSubSup>
              <m:r>
                <m:rPr>
                  <m:sty m:val="bi"/>
                </m:rPr>
                <w:rPr>
                  <w:rFonts w:ascii="Cambria Math" w:eastAsia="Times New Roman" w:hAnsi="Cambria Math"/>
                  <w:sz w:val="24"/>
                  <w:szCs w:val="24"/>
                  <w:lang w:eastAsia="ru-RU"/>
                </w:rPr>
                <m:t>+</m:t>
              </m:r>
              <m:sSubSup>
                <m:sSubSupPr>
                  <m:ctrlPr>
                    <w:rPr>
                      <w:rFonts w:ascii="Cambria Math" w:eastAsia="Times New Roman" w:hAnsi="Cambria Math"/>
                      <w:b/>
                      <w:i/>
                      <w:sz w:val="24"/>
                      <w:szCs w:val="24"/>
                      <w:lang w:eastAsia="ru-RU"/>
                    </w:rPr>
                  </m:ctrlPr>
                </m:sSubSupPr>
                <m:e>
                  <m:r>
                    <m:rPr>
                      <m:sty m:val="b"/>
                    </m:rPr>
                    <w:rPr>
                      <w:rFonts w:ascii="Cambria Math" w:eastAsia="Times New Roman" w:hAnsi="Cambria Math"/>
                      <w:sz w:val="24"/>
                      <w:szCs w:val="24"/>
                      <w:lang w:eastAsia="ru-RU"/>
                    </w:rPr>
                    <m:t>ЕЕГП</m:t>
                  </m:r>
                </m:e>
                <m:sub>
                  <m:r>
                    <m:rPr>
                      <m:sty m:val="bi"/>
                    </m:rPr>
                    <w:rPr>
                      <w:rFonts w:ascii="Cambria Math" w:eastAsia="Times New Roman" w:hAnsi="Cambria Math"/>
                      <w:sz w:val="24"/>
                      <w:szCs w:val="24"/>
                      <w:lang w:eastAsia="ru-RU"/>
                    </w:rPr>
                    <m:t>t</m:t>
                  </m:r>
                </m:sub>
                <m:sup>
                  <m:r>
                    <m:rPr>
                      <m:sty m:val="bi"/>
                    </m:rPr>
                    <w:rPr>
                      <w:rFonts w:ascii="Cambria Math" w:eastAsia="Times New Roman" w:hAnsi="Cambria Math"/>
                      <w:sz w:val="24"/>
                      <w:szCs w:val="24"/>
                      <w:lang w:eastAsia="ru-RU"/>
                    </w:rPr>
                    <m:t>п</m:t>
                  </m:r>
                </m:sup>
              </m:sSubSup>
              <m:r>
                <m:rPr>
                  <m:sty m:val="p"/>
                </m:rPr>
                <w:rPr>
                  <w:rFonts w:ascii="Cambria Math" w:eastAsia="Times New Roman" w:hAnsi="Cambria Math"/>
                  <w:sz w:val="24"/>
                  <w:szCs w:val="24"/>
                  <w:lang w:eastAsia="ru-RU"/>
                </w:rPr>
                <m:t>+</m:t>
              </m:r>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ВТ</m:t>
                  </m:r>
                </m:e>
                <m:sub>
                  <m:r>
                    <w:rPr>
                      <w:rFonts w:ascii="Cambria Math" w:eastAsia="Times New Roman" w:hAnsi="Cambria Math"/>
                      <w:sz w:val="24"/>
                      <w:szCs w:val="24"/>
                      <w:lang w:eastAsia="ru-RU"/>
                    </w:rPr>
                    <m:t>t</m:t>
                  </m:r>
                </m:sub>
                <m:sup>
                  <m:r>
                    <w:rPr>
                      <w:rFonts w:ascii="Cambria Math" w:eastAsia="Times New Roman" w:hAnsi="Cambria Math"/>
                      <w:sz w:val="24"/>
                      <w:szCs w:val="24"/>
                      <w:lang w:eastAsia="ru-RU"/>
                    </w:rPr>
                    <m:t>п</m:t>
                  </m:r>
                </m:sup>
              </m:sSubSup>
              <m:r>
                <m:rPr>
                  <m:sty m:val="p"/>
                </m:rPr>
                <w:rPr>
                  <w:rFonts w:ascii="Cambria Math" w:eastAsia="Times New Roman" w:hAnsi="Cambria Math"/>
                  <w:sz w:val="24"/>
                  <w:szCs w:val="24"/>
                  <w:lang w:eastAsia="ru-RU"/>
                </w:rPr>
                <m:t>+</m:t>
              </m:r>
              <m:sSub>
                <m:sSubPr>
                  <m:ctrlPr>
                    <w:rPr>
                      <w:rFonts w:ascii="Cambria Math" w:eastAsia="Times New Roman" w:hAnsi="Cambria Math"/>
                      <w:sz w:val="24"/>
                      <w:szCs w:val="24"/>
                      <w:lang w:eastAsia="ru-RU"/>
                    </w:rPr>
                  </m:ctrlPr>
                </m:sSubPr>
                <m:e>
                  <m:r>
                    <w:rPr>
                      <w:rFonts w:ascii="Cambria Math" w:eastAsia="Times New Roman" w:hAnsi="Cambria Math"/>
                      <w:sz w:val="24"/>
                      <w:szCs w:val="24"/>
                      <w:lang w:eastAsia="ru-RU"/>
                    </w:rPr>
                    <m:t>А</m:t>
                  </m:r>
                </m:e>
                <m:sub>
                  <m:r>
                    <w:rPr>
                      <w:rFonts w:ascii="Cambria Math" w:eastAsia="Times New Roman" w:hAnsi="Cambria Math"/>
                      <w:sz w:val="24"/>
                      <w:szCs w:val="24"/>
                      <w:lang w:eastAsia="ru-RU"/>
                    </w:rPr>
                    <m:t xml:space="preserve">t </m:t>
                  </m:r>
                </m:sub>
              </m:sSub>
              <m:r>
                <m:rPr>
                  <m:sty m:val="p"/>
                </m:rPr>
                <w:rPr>
                  <w:rFonts w:ascii="Cambria Math" w:eastAsia="Times New Roman" w:hAnsi="Cambria Math"/>
                  <w:sz w:val="24"/>
                  <w:szCs w:val="24"/>
                  <w:lang w:eastAsia="ru-RU"/>
                </w:rPr>
                <m:t>+</m:t>
              </m:r>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П</m:t>
                  </m:r>
                </m:e>
                <m:sub>
                  <m:r>
                    <w:rPr>
                      <w:rFonts w:ascii="Cambria Math" w:eastAsia="Times New Roman" w:hAnsi="Cambria Math"/>
                      <w:sz w:val="24"/>
                      <w:szCs w:val="24"/>
                      <w:lang w:eastAsia="ru-RU"/>
                    </w:rPr>
                    <m:t>t</m:t>
                  </m:r>
                </m:sub>
                <m:sup>
                  <m:r>
                    <w:rPr>
                      <w:rFonts w:ascii="Cambria Math" w:eastAsia="Times New Roman" w:hAnsi="Cambria Math"/>
                      <w:sz w:val="24"/>
                      <w:szCs w:val="24"/>
                      <w:lang w:eastAsia="ru-RU"/>
                    </w:rPr>
                    <m:t>п</m:t>
                  </m:r>
                </m:sup>
              </m:sSubSup>
              <m:r>
                <m:rPr>
                  <m:sty m:val="p"/>
                </m:rPr>
                <w:rPr>
                  <w:rFonts w:ascii="Cambria Math" w:eastAsia="Times New Roman" w:hAnsi="Cambria Math"/>
                  <w:sz w:val="24"/>
                  <w:szCs w:val="24"/>
                  <w:lang w:eastAsia="ru-RU"/>
                </w:rPr>
                <m:t>+</m:t>
              </m:r>
              <m:sSubSup>
                <m:sSubSupPr>
                  <m:ctrlPr>
                    <w:rPr>
                      <w:rFonts w:ascii="Cambria Math" w:eastAsia="Times New Roman" w:hAnsi="Cambria Math"/>
                      <w:i/>
                      <w:sz w:val="24"/>
                      <w:szCs w:val="24"/>
                      <w:lang w:eastAsia="ru-RU"/>
                    </w:rPr>
                  </m:ctrlPr>
                </m:sSubSupPr>
                <m:e>
                  <m:r>
                    <w:rPr>
                      <w:rFonts w:ascii="Cambria Math" w:eastAsia="Times New Roman" w:hAnsi="Cambria Math"/>
                      <w:sz w:val="24"/>
                      <w:szCs w:val="24"/>
                      <w:lang w:eastAsia="ru-RU"/>
                    </w:rPr>
                    <m:t>ПП</m:t>
                  </m:r>
                </m:e>
                <m:sub>
                  <m:r>
                    <w:rPr>
                      <w:rFonts w:ascii="Cambria Math" w:eastAsia="Times New Roman" w:hAnsi="Cambria Math"/>
                      <w:sz w:val="24"/>
                      <w:szCs w:val="24"/>
                      <w:lang w:eastAsia="ru-RU"/>
                    </w:rPr>
                    <m:t>t</m:t>
                  </m:r>
                </m:sub>
                <m:sup>
                  <m:r>
                    <w:rPr>
                      <w:rFonts w:ascii="Cambria Math" w:eastAsia="Times New Roman" w:hAnsi="Cambria Math"/>
                      <w:sz w:val="24"/>
                      <w:szCs w:val="24"/>
                      <w:lang w:eastAsia="ru-RU"/>
                    </w:rPr>
                    <m:t>п</m:t>
                  </m:r>
                </m:sup>
              </m:sSubSup>
              <m:r>
                <m:rPr>
                  <m:sty m:val="p"/>
                </m:rPr>
                <w:rPr>
                  <w:rFonts w:ascii="Cambria Math" w:eastAsia="Times New Roman" w:hAnsi="Cambria Math"/>
                  <w:sz w:val="24"/>
                  <w:szCs w:val="24"/>
                  <w:lang w:eastAsia="ru-RU"/>
                </w:rPr>
                <m:t>+</m:t>
              </m:r>
              <m:sSub>
                <m:sSubPr>
                  <m:ctrlPr>
                    <w:rPr>
                      <w:rFonts w:ascii="Cambria Math" w:eastAsia="Times New Roman" w:hAnsi="Cambria Math"/>
                      <w:sz w:val="24"/>
                      <w:szCs w:val="24"/>
                      <w:lang w:eastAsia="ru-RU"/>
                    </w:rPr>
                  </m:ctrlPr>
                </m:sSubPr>
                <m:e>
                  <m:r>
                    <w:rPr>
                      <w:rFonts w:ascii="Cambria Math" w:eastAsia="Times New Roman" w:hAnsi="Cambria Math"/>
                      <w:sz w:val="24"/>
                      <w:szCs w:val="24"/>
                      <w:lang w:eastAsia="ru-RU"/>
                    </w:rPr>
                    <m:t>ПР</m:t>
                  </m:r>
                </m:e>
                <m:sub>
                  <m:r>
                    <w:rPr>
                      <w:rFonts w:ascii="Cambria Math" w:eastAsia="Times New Roman" w:hAnsi="Cambria Math"/>
                      <w:sz w:val="24"/>
                      <w:szCs w:val="24"/>
                      <w:lang w:eastAsia="ru-RU"/>
                    </w:rPr>
                    <m:t xml:space="preserve">t </m:t>
                  </m:r>
                </m:sub>
              </m:sSub>
              <m:r>
                <m:rPr>
                  <m:sty m:val="p"/>
                </m:rPr>
                <w:rPr>
                  <w:rFonts w:ascii="Cambria Math" w:eastAsia="Times New Roman" w:hAnsi="Cambria Math"/>
                  <w:sz w:val="24"/>
                  <w:szCs w:val="24"/>
                  <w:lang w:eastAsia="ru-RU"/>
                </w:rPr>
                <m:t>+</m:t>
              </m:r>
              <m:sSub>
                <m:sSubPr>
                  <m:ctrlPr>
                    <w:rPr>
                      <w:rFonts w:ascii="Cambria Math" w:eastAsia="Times New Roman" w:hAnsi="Cambria Math"/>
                      <w:sz w:val="24"/>
                      <w:szCs w:val="24"/>
                      <w:lang w:eastAsia="ru-RU"/>
                    </w:rPr>
                  </m:ctrlPr>
                </m:sSubPr>
                <m:e>
                  <m:r>
                    <w:rPr>
                      <w:rFonts w:ascii="Cambria Math" w:eastAsia="Times New Roman" w:hAnsi="Cambria Math"/>
                      <w:sz w:val="24"/>
                      <w:szCs w:val="24"/>
                      <w:lang w:eastAsia="ru-RU"/>
                    </w:rPr>
                    <m:t>КЯ</m:t>
                  </m:r>
                </m:e>
                <m:sub>
                  <m:r>
                    <w:rPr>
                      <w:rFonts w:ascii="Cambria Math" w:eastAsia="Times New Roman" w:hAnsi="Cambria Math"/>
                      <w:sz w:val="24"/>
                      <w:szCs w:val="24"/>
                      <w:lang w:eastAsia="ru-RU"/>
                    </w:rPr>
                    <m:t xml:space="preserve">t </m:t>
                  </m:r>
                </m:sub>
              </m:sSub>
              <m:r>
                <m:rPr>
                  <m:sty m:val="p"/>
                </m:rPr>
                <w:rPr>
                  <w:rFonts w:ascii="Cambria Math" w:eastAsia="Times New Roman" w:hAnsi="Cambria Math"/>
                  <w:sz w:val="24"/>
                  <w:szCs w:val="24"/>
                  <w:lang w:eastAsia="ru-RU"/>
                </w:rPr>
                <m:t>+</m:t>
              </m:r>
              <m:sSub>
                <m:sSubPr>
                  <m:ctrlPr>
                    <w:rPr>
                      <w:rFonts w:ascii="Cambria Math" w:eastAsia="Times New Roman" w:hAnsi="Cambria Math"/>
                      <w:sz w:val="24"/>
                      <w:szCs w:val="24"/>
                      <w:lang w:eastAsia="ru-RU"/>
                    </w:rPr>
                  </m:ctrlPr>
                </m:sSubPr>
                <m:e>
                  <m:r>
                    <w:rPr>
                      <w:rFonts w:ascii="Cambria Math" w:eastAsia="Times New Roman" w:hAnsi="Cambria Math"/>
                      <w:sz w:val="24"/>
                      <w:szCs w:val="24"/>
                      <w:lang w:eastAsia="ru-RU"/>
                    </w:rPr>
                    <m:t>КД</m:t>
                  </m:r>
                </m:e>
                <m:sub>
                  <m:r>
                    <w:rPr>
                      <w:rFonts w:ascii="Cambria Math" w:eastAsia="Times New Roman" w:hAnsi="Cambria Math"/>
                      <w:sz w:val="24"/>
                      <w:szCs w:val="24"/>
                      <w:lang w:eastAsia="ru-RU"/>
                    </w:rPr>
                    <m:t xml:space="preserve">t </m:t>
                  </m:r>
                </m:sub>
              </m:sSub>
            </m:oMath>
            <w:r w:rsidR="00CF2AC1" w:rsidRPr="005A615E">
              <w:rPr>
                <w:rFonts w:ascii="Times New Roman" w:eastAsia="Times New Roman" w:hAnsi="Times New Roman"/>
                <w:sz w:val="24"/>
                <w:szCs w:val="24"/>
                <w:lang w:eastAsia="ru-RU"/>
              </w:rPr>
              <w:t>,</w:t>
            </w:r>
            <w:r w:rsidR="00CF2AC1" w:rsidRPr="005A615E">
              <w:rPr>
                <w:rFonts w:ascii="Times New Roman" w:eastAsia="Times New Roman" w:hAnsi="Times New Roman"/>
                <w:sz w:val="24"/>
                <w:szCs w:val="24"/>
                <w:lang w:eastAsia="ru-RU"/>
              </w:rPr>
              <w:br/>
              <w:t xml:space="preserve"> тис. грн,   </w:t>
            </w:r>
          </w:p>
          <w:p w:rsidR="00CF2AC1" w:rsidRPr="005A615E" w:rsidRDefault="00CF2AC1" w:rsidP="00CF2AC1">
            <w:pPr>
              <w:spacing w:before="150" w:after="150"/>
              <w:rPr>
                <w:rFonts w:ascii="Times New Roman" w:hAnsi="Times New Roman"/>
                <w:sz w:val="24"/>
                <w:szCs w:val="24"/>
              </w:rPr>
            </w:pPr>
            <w:r w:rsidRPr="005A615E">
              <w:rPr>
                <w:rFonts w:ascii="Times New Roman" w:eastAsia="Times New Roman" w:hAnsi="Times New Roman"/>
                <w:sz w:val="24"/>
                <w:szCs w:val="24"/>
                <w:lang w:eastAsia="ru-RU"/>
              </w:rPr>
              <w:t>…</w:t>
            </w:r>
          </w:p>
          <w:p w:rsidR="00CF2AC1" w:rsidRPr="005A615E" w:rsidRDefault="00CF2AC1" w:rsidP="00CF2AC1">
            <w:pPr>
              <w:tabs>
                <w:tab w:val="left" w:pos="900"/>
                <w:tab w:val="center" w:pos="1593"/>
              </w:tabs>
              <w:rPr>
                <w:rFonts w:ascii="Times New Roman" w:hAnsi="Times New Roman"/>
                <w:sz w:val="24"/>
                <w:szCs w:val="24"/>
              </w:rPr>
            </w:pPr>
            <w:r w:rsidRPr="005A615E">
              <w:rPr>
                <w:rFonts w:ascii="Times New Roman" w:hAnsi="Times New Roman"/>
                <w:sz w:val="24"/>
                <w:szCs w:val="24"/>
              </w:rPr>
              <w:t xml:space="preserve"> фонд оплати праці (витрати на оплату праці) у році </w:t>
            </w:r>
            <w:r w:rsidRPr="005A615E">
              <w:rPr>
                <w:rFonts w:ascii="Times New Roman" w:hAnsi="Times New Roman"/>
                <w:i/>
                <w:sz w:val="24"/>
                <w:szCs w:val="24"/>
              </w:rPr>
              <w:t xml:space="preserve">t, </w:t>
            </w:r>
            <w:r w:rsidRPr="005A615E">
              <w:rPr>
                <w:rFonts w:ascii="Times New Roman" w:hAnsi="Times New Roman"/>
                <w:sz w:val="24"/>
                <w:szCs w:val="24"/>
              </w:rPr>
              <w:t>тис.грн.</w:t>
            </w:r>
          </w:p>
          <w:p w:rsidR="00CF2AC1" w:rsidRPr="005A615E" w:rsidRDefault="00CF2AC1" w:rsidP="00CF2AC1">
            <w:pPr>
              <w:tabs>
                <w:tab w:val="left" w:pos="900"/>
                <w:tab w:val="center" w:pos="1593"/>
              </w:tabs>
              <w:rPr>
                <w:rFonts w:ascii="Times New Roman" w:hAnsi="Times New Roman"/>
                <w:sz w:val="24"/>
                <w:szCs w:val="24"/>
              </w:rPr>
            </w:pPr>
            <w:r w:rsidRPr="005A615E">
              <w:rPr>
                <w:rFonts w:ascii="Times New Roman" w:hAnsi="Times New Roman"/>
                <w:sz w:val="24"/>
                <w:szCs w:val="24"/>
              </w:rPr>
              <w:t>…</w:t>
            </w:r>
          </w:p>
          <w:p w:rsidR="00CF2AC1" w:rsidRPr="005A615E" w:rsidRDefault="000D13C5" w:rsidP="00CF2AC1">
            <w:pPr>
              <w:tabs>
                <w:tab w:val="left" w:pos="900"/>
                <w:tab w:val="center" w:pos="1593"/>
              </w:tabs>
              <w:rPr>
                <w:rFonts w:ascii="Times New Roman" w:hAnsi="Times New Roman"/>
                <w:sz w:val="24"/>
                <w:szCs w:val="24"/>
              </w:rPr>
            </w:pPr>
            <m:oMath>
              <m:sSubSup>
                <m:sSubSupPr>
                  <m:ctrlPr>
                    <w:rPr>
                      <w:rFonts w:ascii="Cambria Math" w:hAnsi="Cambria Math"/>
                      <w:b/>
                      <w:i/>
                      <w:sz w:val="24"/>
                      <w:szCs w:val="24"/>
                    </w:rPr>
                  </m:ctrlPr>
                </m:sSubSupPr>
                <m:e>
                  <m:r>
                    <m:rPr>
                      <m:sty m:val="b"/>
                    </m:rPr>
                    <w:rPr>
                      <w:rFonts w:ascii="Cambria Math" w:hAnsi="Cambria Math"/>
                      <w:sz w:val="24"/>
                      <w:szCs w:val="24"/>
                    </w:rPr>
                    <m:t>ЕЕГП</m:t>
                  </m:r>
                </m:e>
                <m:sub>
                  <m:r>
                    <m:rPr>
                      <m:sty m:val="bi"/>
                    </m:rPr>
                    <w:rPr>
                      <w:rFonts w:ascii="Cambria Math" w:hAnsi="Cambria Math"/>
                      <w:sz w:val="24"/>
                      <w:szCs w:val="24"/>
                    </w:rPr>
                    <m:t>t</m:t>
                  </m:r>
                </m:sub>
                <m:sup>
                  <m:r>
                    <m:rPr>
                      <m:sty m:val="bi"/>
                    </m:rPr>
                    <w:rPr>
                      <w:rFonts w:ascii="Cambria Math" w:hAnsi="Cambria Math"/>
                      <w:sz w:val="24"/>
                      <w:szCs w:val="24"/>
                    </w:rPr>
                    <m:t>n</m:t>
                  </m:r>
                </m:sup>
              </m:sSubSup>
            </m:oMath>
            <w:r w:rsidR="00CF2AC1" w:rsidRPr="005A615E">
              <w:rPr>
                <w:rFonts w:ascii="Times New Roman" w:hAnsi="Times New Roman"/>
                <w:b/>
                <w:sz w:val="24"/>
                <w:szCs w:val="24"/>
              </w:rPr>
              <w:t xml:space="preserve"> – </w:t>
            </w:r>
            <w:r w:rsidR="00CF2AC1" w:rsidRPr="005A615E">
              <w:rPr>
                <w:rFonts w:ascii="Times New Roman" w:hAnsi="Times New Roman"/>
                <w:sz w:val="24"/>
                <w:szCs w:val="24"/>
              </w:rPr>
              <w:t xml:space="preserve">прогнозовані обсяги електричної енергії для господарських потреб на рік </w:t>
            </w:r>
            <w:r w:rsidR="00CF2AC1" w:rsidRPr="005A615E">
              <w:rPr>
                <w:rFonts w:ascii="Times New Roman" w:hAnsi="Times New Roman"/>
                <w:i/>
                <w:sz w:val="24"/>
                <w:szCs w:val="24"/>
              </w:rPr>
              <w:t xml:space="preserve">t, </w:t>
            </w:r>
            <w:r w:rsidR="00CF2AC1" w:rsidRPr="005A615E">
              <w:rPr>
                <w:rFonts w:ascii="Times New Roman" w:hAnsi="Times New Roman"/>
                <w:sz w:val="24"/>
                <w:szCs w:val="24"/>
              </w:rPr>
              <w:t>тис.грн.</w:t>
            </w:r>
          </w:p>
          <w:p w:rsidR="00CF2AC1" w:rsidRPr="005A615E" w:rsidRDefault="00CF2AC1" w:rsidP="00CF2AC1">
            <w:pPr>
              <w:tabs>
                <w:tab w:val="left" w:pos="900"/>
                <w:tab w:val="center" w:pos="1593"/>
              </w:tabs>
              <w:rPr>
                <w:rFonts w:ascii="Times New Roman" w:hAnsi="Times New Roman"/>
                <w:sz w:val="24"/>
                <w:szCs w:val="24"/>
              </w:rPr>
            </w:pPr>
            <w:r w:rsidRPr="005A615E">
              <w:rPr>
                <w:rFonts w:ascii="Times New Roman" w:hAnsi="Times New Roman"/>
                <w:sz w:val="24"/>
                <w:szCs w:val="24"/>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Cs/>
                <w:szCs w:val="24"/>
              </w:rPr>
            </w:pPr>
            <w:r w:rsidRPr="005A615E">
              <w:rPr>
                <w:rFonts w:ascii="Times New Roman" w:hAnsi="Times New Roman"/>
                <w:bCs/>
                <w:szCs w:val="24"/>
              </w:rPr>
              <w:t>Пропонуємо відокремити від операційних контрольованих витрат (ОКВ) витрати на оплату праці та витрати на електроенергію на господарські потреби.</w:t>
            </w:r>
          </w:p>
          <w:p w:rsidR="00CF2AC1" w:rsidRPr="005A615E" w:rsidRDefault="00CF2AC1" w:rsidP="00CF2AC1">
            <w:pPr>
              <w:pStyle w:val="a5"/>
              <w:numPr>
                <w:ilvl w:val="0"/>
                <w:numId w:val="5"/>
              </w:numPr>
              <w:suppressAutoHyphens w:val="0"/>
              <w:ind w:left="0" w:firstLine="0"/>
              <w:jc w:val="both"/>
              <w:rPr>
                <w:rFonts w:ascii="Times New Roman" w:hAnsi="Times New Roman"/>
                <w:bCs/>
                <w:sz w:val="22"/>
                <w:lang w:val="uk-UA"/>
              </w:rPr>
            </w:pPr>
            <w:r w:rsidRPr="005A615E">
              <w:rPr>
                <w:rFonts w:ascii="Times New Roman" w:hAnsi="Times New Roman"/>
                <w:bCs/>
                <w:sz w:val="22"/>
                <w:lang w:val="uk-UA"/>
              </w:rPr>
              <w:t>Враховуючи, що проєктом змін передбачається застосування  до тарифної чисельності працівників (ТЧП</w:t>
            </w:r>
            <w:r w:rsidRPr="005A615E">
              <w:rPr>
                <w:rFonts w:ascii="Times New Roman" w:hAnsi="Times New Roman"/>
                <w:bCs/>
                <w:sz w:val="22"/>
                <w:vertAlign w:val="subscript"/>
              </w:rPr>
              <w:t>t</w:t>
            </w:r>
            <w:r w:rsidRPr="005A615E">
              <w:rPr>
                <w:rFonts w:ascii="Times New Roman" w:hAnsi="Times New Roman"/>
                <w:bCs/>
                <w:sz w:val="22"/>
                <w:vertAlign w:val="superscript"/>
                <w:lang w:val="uk-UA"/>
              </w:rPr>
              <w:t>тар</w:t>
            </w:r>
            <w:r w:rsidRPr="005A615E">
              <w:rPr>
                <w:rFonts w:ascii="Times New Roman" w:hAnsi="Times New Roman"/>
                <w:bCs/>
                <w:sz w:val="22"/>
                <w:lang w:val="uk-UA"/>
              </w:rPr>
              <w:t>) загального показника ефективності (ПЕ</w:t>
            </w:r>
            <w:r w:rsidRPr="005A615E">
              <w:rPr>
                <w:rFonts w:ascii="Times New Roman" w:hAnsi="Times New Roman"/>
                <w:bCs/>
                <w:sz w:val="22"/>
                <w:vertAlign w:val="subscript"/>
                <w:lang w:val="uk-UA"/>
              </w:rPr>
              <w:t>з</w:t>
            </w:r>
            <w:r w:rsidRPr="005A615E">
              <w:rPr>
                <w:rFonts w:ascii="Times New Roman" w:hAnsi="Times New Roman"/>
                <w:bCs/>
                <w:sz w:val="22"/>
                <w:lang w:val="uk-UA"/>
              </w:rPr>
              <w:t>) та коефіцієнта, що враховує зміну умовних одиниць обладнання (КУ</w:t>
            </w:r>
            <w:r w:rsidRPr="005A615E">
              <w:rPr>
                <w:rFonts w:ascii="Times New Roman" w:hAnsi="Times New Roman"/>
                <w:bCs/>
                <w:sz w:val="22"/>
                <w:vertAlign w:val="subscript"/>
                <w:lang w:val="uk-UA"/>
              </w:rPr>
              <w:t>уо</w:t>
            </w:r>
            <w:r w:rsidRPr="005A615E">
              <w:rPr>
                <w:rFonts w:ascii="Times New Roman" w:hAnsi="Times New Roman"/>
                <w:bCs/>
                <w:sz w:val="22"/>
                <w:vertAlign w:val="superscript"/>
                <w:lang w:val="uk-UA"/>
              </w:rPr>
              <w:t>І</w:t>
            </w:r>
            <w:r w:rsidRPr="005A615E">
              <w:rPr>
                <w:rFonts w:ascii="Times New Roman" w:hAnsi="Times New Roman"/>
                <w:bCs/>
                <w:sz w:val="22"/>
                <w:lang w:val="uk-UA"/>
              </w:rPr>
              <w:t>), та з метою унеможливлення  подвійного застосування  ПЕ</w:t>
            </w:r>
            <w:r w:rsidRPr="005A615E">
              <w:rPr>
                <w:rFonts w:ascii="Times New Roman" w:hAnsi="Times New Roman"/>
                <w:bCs/>
                <w:sz w:val="22"/>
                <w:vertAlign w:val="subscript"/>
                <w:lang w:val="uk-UA"/>
              </w:rPr>
              <w:t>з</w:t>
            </w:r>
            <w:r w:rsidRPr="005A615E">
              <w:rPr>
                <w:rFonts w:ascii="Times New Roman" w:hAnsi="Times New Roman"/>
                <w:bCs/>
                <w:sz w:val="22"/>
                <w:lang w:val="uk-UA"/>
              </w:rPr>
              <w:t xml:space="preserve"> та  КУ</w:t>
            </w:r>
            <w:r w:rsidRPr="005A615E">
              <w:rPr>
                <w:rFonts w:ascii="Times New Roman" w:hAnsi="Times New Roman"/>
                <w:bCs/>
                <w:sz w:val="22"/>
                <w:vertAlign w:val="subscript"/>
                <w:lang w:val="uk-UA"/>
              </w:rPr>
              <w:t>уо</w:t>
            </w:r>
            <w:r w:rsidRPr="005A615E">
              <w:rPr>
                <w:rFonts w:ascii="Times New Roman" w:hAnsi="Times New Roman"/>
                <w:bCs/>
                <w:sz w:val="22"/>
                <w:vertAlign w:val="superscript"/>
                <w:lang w:val="uk-UA"/>
              </w:rPr>
              <w:t>І</w:t>
            </w:r>
            <w:r w:rsidRPr="005A615E">
              <w:rPr>
                <w:rFonts w:ascii="Times New Roman" w:hAnsi="Times New Roman"/>
                <w:bCs/>
                <w:sz w:val="22"/>
                <w:lang w:val="uk-UA"/>
              </w:rPr>
              <w:t xml:space="preserve"> при розрахунку операційних контрольованих витрат, вважаємо за доцільне виділити витрати на оплату праці в окрему складову необхідного доходу.</w:t>
            </w:r>
          </w:p>
          <w:p w:rsidR="00CF2AC1" w:rsidRPr="005A615E" w:rsidRDefault="00CF2AC1" w:rsidP="00CF2AC1">
            <w:pPr>
              <w:pStyle w:val="a5"/>
              <w:ind w:left="0"/>
              <w:jc w:val="both"/>
              <w:rPr>
                <w:rFonts w:ascii="Times New Roman" w:hAnsi="Times New Roman"/>
                <w:bCs/>
                <w:sz w:val="22"/>
              </w:rPr>
            </w:pPr>
            <w:bookmarkStart w:id="3" w:name="_Hlk235455270"/>
            <w:r w:rsidRPr="005A615E">
              <w:rPr>
                <w:rFonts w:ascii="Times New Roman" w:hAnsi="Times New Roman"/>
                <w:bCs/>
                <w:sz w:val="22"/>
              </w:rPr>
              <w:t>Крім того, протягом першого регуляторного періоду загальний показник ефективності застосовувався до всієї величини операційних контрольованих витрат (в тому числі і на витрати на оплату праці), але в структурі тарифів, витрати на оплату праці затверджувалися без застосування ПЕ</w:t>
            </w:r>
            <w:r w:rsidRPr="005A615E">
              <w:rPr>
                <w:rFonts w:ascii="Times New Roman" w:hAnsi="Times New Roman"/>
                <w:bCs/>
                <w:sz w:val="22"/>
                <w:vertAlign w:val="subscript"/>
              </w:rPr>
              <w:t xml:space="preserve">з. </w:t>
            </w:r>
            <w:r w:rsidRPr="005A615E">
              <w:rPr>
                <w:rFonts w:ascii="Times New Roman" w:hAnsi="Times New Roman"/>
                <w:bCs/>
                <w:sz w:val="22"/>
              </w:rPr>
              <w:t>Це призводило до заниження інших контрольованих витрат, таких як: ремонт, технічне обслуговування електромереж та обладнання, витрат на придбання ПММ тощо.</w:t>
            </w:r>
          </w:p>
          <w:bookmarkEnd w:id="3"/>
          <w:p w:rsidR="00CF2AC1" w:rsidRPr="005A615E" w:rsidRDefault="00CF2AC1" w:rsidP="00CF2AC1">
            <w:pPr>
              <w:pStyle w:val="a5"/>
              <w:numPr>
                <w:ilvl w:val="0"/>
                <w:numId w:val="5"/>
              </w:numPr>
              <w:suppressAutoHyphens w:val="0"/>
              <w:ind w:left="0" w:firstLine="0"/>
              <w:jc w:val="both"/>
              <w:rPr>
                <w:rFonts w:ascii="Times New Roman" w:hAnsi="Times New Roman"/>
                <w:bCs/>
                <w:sz w:val="22"/>
              </w:rPr>
            </w:pPr>
            <w:r w:rsidRPr="005A615E">
              <w:rPr>
                <w:rFonts w:ascii="Times New Roman" w:hAnsi="Times New Roman"/>
                <w:bCs/>
                <w:sz w:val="22"/>
              </w:rPr>
              <w:t>Однією зі складових ОКВ є стаття «Електроенергія для господарських потреб». Прогнозована величина ОКВ розраховується як добуток прогнозованих ОКВ в попередньому році та прогнозованого індексу цін виробників промислової продукції (далі – ІЦВ).</w:t>
            </w:r>
          </w:p>
          <w:p w:rsidR="00CF2AC1" w:rsidRPr="005A615E" w:rsidRDefault="00CF2AC1" w:rsidP="00CF2AC1">
            <w:pPr>
              <w:jc w:val="both"/>
              <w:rPr>
                <w:rFonts w:ascii="Times New Roman" w:hAnsi="Times New Roman"/>
                <w:bCs/>
                <w:szCs w:val="24"/>
              </w:rPr>
            </w:pPr>
            <w:r w:rsidRPr="005A615E">
              <w:rPr>
                <w:rFonts w:ascii="Times New Roman" w:hAnsi="Times New Roman"/>
                <w:bCs/>
                <w:szCs w:val="24"/>
              </w:rPr>
              <w:t>Протягом 2021 – 2025 років прогнозований ІЦВ складав: в 2021 році – 108,7%, в 2022 році – 107,8%, в 2023 році – 106,2%, в 2024 році – 114,4% та в 2025 році – 111,1%. Отже, за п’ять років застосування стимулюючого регулювання, загальний ІЦВ склав 154,02%, тобто прогнозовані ОКВ зросли на 54,02% без урахування загального показника ефективності.</w:t>
            </w:r>
          </w:p>
          <w:p w:rsidR="00CF2AC1" w:rsidRPr="005A615E" w:rsidRDefault="00CF2AC1" w:rsidP="00CF2AC1">
            <w:pPr>
              <w:jc w:val="both"/>
              <w:rPr>
                <w:rFonts w:ascii="Times New Roman" w:hAnsi="Times New Roman"/>
                <w:bCs/>
                <w:szCs w:val="24"/>
              </w:rPr>
            </w:pPr>
            <w:r w:rsidRPr="005A615E">
              <w:rPr>
                <w:rFonts w:ascii="Times New Roman" w:hAnsi="Times New Roman"/>
                <w:bCs/>
                <w:szCs w:val="24"/>
              </w:rPr>
              <w:t>При цьому, ціна на електроенергію для господарських потреб зросла на 301%:</w:t>
            </w:r>
          </w:p>
          <w:p w:rsidR="00CF2AC1" w:rsidRPr="005A615E" w:rsidRDefault="00CF2AC1" w:rsidP="00CF2AC1">
            <w:pPr>
              <w:jc w:val="both"/>
              <w:rPr>
                <w:rFonts w:ascii="Times New Roman" w:hAnsi="Times New Roman"/>
                <w:bCs/>
                <w:szCs w:val="24"/>
              </w:rPr>
            </w:pPr>
            <w:r w:rsidRPr="005A615E">
              <w:rPr>
                <w:rFonts w:ascii="Times New Roman" w:hAnsi="Times New Roman"/>
                <w:bCs/>
                <w:szCs w:val="24"/>
              </w:rPr>
              <w:t>((6,62 / 1,65151)-1) * 100,</w:t>
            </w:r>
          </w:p>
          <w:p w:rsidR="00CF2AC1" w:rsidRPr="005A615E" w:rsidRDefault="00CF2AC1" w:rsidP="00CF2AC1">
            <w:pPr>
              <w:jc w:val="both"/>
              <w:rPr>
                <w:rFonts w:ascii="Times New Roman" w:hAnsi="Times New Roman"/>
                <w:bCs/>
                <w:szCs w:val="24"/>
              </w:rPr>
            </w:pPr>
            <w:r w:rsidRPr="005A615E">
              <w:rPr>
                <w:rFonts w:ascii="Times New Roman" w:hAnsi="Times New Roman"/>
                <w:bCs/>
                <w:szCs w:val="24"/>
              </w:rPr>
              <w:t>де 6,62 грн/кВт·год – фактична середня ціна закупівлі електроенергії для господарських потреб за 2025 рік;</w:t>
            </w:r>
          </w:p>
          <w:p w:rsidR="00CF2AC1" w:rsidRPr="005A615E" w:rsidRDefault="00CF2AC1" w:rsidP="00CF2AC1">
            <w:pPr>
              <w:jc w:val="both"/>
              <w:rPr>
                <w:rFonts w:ascii="Times New Roman" w:hAnsi="Times New Roman"/>
                <w:bCs/>
                <w:szCs w:val="24"/>
              </w:rPr>
            </w:pPr>
            <w:r w:rsidRPr="005A615E">
              <w:rPr>
                <w:rFonts w:ascii="Times New Roman" w:hAnsi="Times New Roman"/>
                <w:bCs/>
                <w:szCs w:val="24"/>
              </w:rPr>
              <w:t>1,65151 грн/кВт·год – ціна на електроенергію врахована в тарифах на послуги з розподілу в 2020 році.</w:t>
            </w:r>
          </w:p>
          <w:p w:rsidR="00CF2AC1" w:rsidRPr="005A615E" w:rsidRDefault="00CF2AC1" w:rsidP="00CF2AC1">
            <w:pPr>
              <w:jc w:val="both"/>
              <w:rPr>
                <w:rFonts w:ascii="Times New Roman" w:hAnsi="Times New Roman"/>
                <w:bCs/>
                <w:szCs w:val="24"/>
              </w:rPr>
            </w:pPr>
            <w:r w:rsidRPr="005A615E">
              <w:rPr>
                <w:rFonts w:ascii="Times New Roman" w:hAnsi="Times New Roman"/>
                <w:bCs/>
                <w:szCs w:val="24"/>
              </w:rPr>
              <w:t>Це наочно доводить, що зростання ціни на електричну енергію для господарських потреб ніяким чином не співвідноситься з ІЦВ закладеним в розрахунок тарифів на послуги з розподілу електричної енергії.</w:t>
            </w:r>
          </w:p>
          <w:p w:rsidR="00CF2AC1" w:rsidRPr="005A615E" w:rsidRDefault="00CF2AC1" w:rsidP="00CF2AC1">
            <w:pPr>
              <w:jc w:val="both"/>
              <w:rPr>
                <w:rFonts w:ascii="Times New Roman" w:hAnsi="Times New Roman"/>
                <w:bCs/>
                <w:szCs w:val="24"/>
              </w:rPr>
            </w:pPr>
            <w:r w:rsidRPr="005A615E">
              <w:rPr>
                <w:rFonts w:ascii="Times New Roman" w:hAnsi="Times New Roman"/>
                <w:bCs/>
                <w:szCs w:val="24"/>
              </w:rPr>
              <w:t>Пропонуємо відокремити витрати на купівлю електричної енергії для господарських потреб зі складу ОКВ та відобразити їх окремою статтею у структурі тарифів на послуги з розподілу електричної енергії, що вирішить проблему системного дефіциту за цією статтею..</w:t>
            </w:r>
          </w:p>
          <w:p w:rsidR="00CF2AC1" w:rsidRPr="005A615E" w:rsidRDefault="00CF2AC1" w:rsidP="00CF2AC1">
            <w:pPr>
              <w:jc w:val="both"/>
              <w:rPr>
                <w:rFonts w:ascii="Times New Roman" w:hAnsi="Times New Roman"/>
                <w:bCs/>
                <w:szCs w:val="24"/>
              </w:rPr>
            </w:pPr>
            <w:r w:rsidRPr="005A615E">
              <w:rPr>
                <w:rFonts w:ascii="Times New Roman" w:hAnsi="Times New Roman"/>
                <w:bCs/>
                <w:szCs w:val="24"/>
              </w:rPr>
              <w:t>Ціну пропонуємо розраховувати як суму прогнозованої ціни РДН, яка закладена в тарифах на розподіл, тарифу на послуги з передачі електроенергії та тарифу постачальника універсальних послуг на території ліцензіата.</w:t>
            </w:r>
          </w:p>
          <w:p w:rsidR="00CF2AC1" w:rsidRPr="005A615E" w:rsidRDefault="00CF2AC1" w:rsidP="00CF2AC1">
            <w:pPr>
              <w:tabs>
                <w:tab w:val="left" w:pos="900"/>
                <w:tab w:val="center" w:pos="1593"/>
              </w:tabs>
              <w:jc w:val="both"/>
              <w:rPr>
                <w:rFonts w:ascii="Times New Roman" w:hAnsi="Times New Roman"/>
                <w:b/>
                <w:sz w:val="24"/>
                <w:u w:val="single"/>
              </w:rPr>
            </w:pPr>
            <w:r w:rsidRPr="005A615E">
              <w:rPr>
                <w:rFonts w:ascii="Times New Roman" w:hAnsi="Times New Roman"/>
                <w:bCs/>
                <w:szCs w:val="24"/>
              </w:rPr>
              <w:t>При визначені обсягу електроенергії на господарські потреби  пропонуємо брати фактичні дані за 2020 рік (рік до переходу на стимулююче регулювання) із застосуванням до них загального показника ефективності, який діяв в період застосування стимулюючого регулювання.</w:t>
            </w:r>
          </w:p>
        </w:tc>
        <w:tc>
          <w:tcPr>
            <w:tcW w:w="3969" w:type="dxa"/>
            <w:gridSpan w:val="2"/>
          </w:tcPr>
          <w:p w:rsidR="00DD0546" w:rsidRPr="005A615E" w:rsidRDefault="00DD0546" w:rsidP="00DD0546">
            <w:pPr>
              <w:rPr>
                <w:rFonts w:ascii="Times New Roman" w:hAnsi="Times New Roman"/>
                <w:b/>
              </w:rPr>
            </w:pPr>
            <w:r w:rsidRPr="005A615E">
              <w:rPr>
                <w:rFonts w:ascii="Times New Roman" w:hAnsi="Times New Roman"/>
                <w:b/>
              </w:rPr>
              <w:t>Не враховано</w:t>
            </w:r>
          </w:p>
          <w:p w:rsidR="00DD0546" w:rsidRPr="005A615E" w:rsidRDefault="00DD0546" w:rsidP="00DD0546">
            <w:pPr>
              <w:rPr>
                <w:rFonts w:ascii="Times New Roman" w:hAnsi="Times New Roman"/>
                <w:b/>
              </w:rPr>
            </w:pPr>
            <w:r w:rsidRPr="005A615E">
              <w:rPr>
                <w:rFonts w:ascii="Times New Roman" w:hAnsi="Times New Roman"/>
                <w:b/>
              </w:rPr>
              <w:t>Недостатньо обгрунтована позиція</w:t>
            </w:r>
          </w:p>
          <w:p w:rsidR="00DD0546" w:rsidRPr="005A615E" w:rsidRDefault="00DD0546" w:rsidP="00DD0546">
            <w:pPr>
              <w:pStyle w:val="3"/>
              <w:spacing w:before="0" w:after="0"/>
              <w:jc w:val="both"/>
              <w:outlineLvl w:val="2"/>
              <w:rPr>
                <w:rFonts w:ascii="Times New Roman" w:hAnsi="Times New Roman"/>
                <w:b w:val="0"/>
                <w:sz w:val="22"/>
                <w:szCs w:val="22"/>
                <w:lang w:val="uk-UA"/>
              </w:rPr>
            </w:pPr>
            <w:r w:rsidRPr="005A615E">
              <w:rPr>
                <w:rFonts w:ascii="Times New Roman" w:hAnsi="Times New Roman"/>
                <w:b w:val="0"/>
                <w:sz w:val="22"/>
                <w:szCs w:val="22"/>
                <w:lang w:val="uk-UA"/>
              </w:rPr>
              <w:t xml:space="preserve">З приводу перенесення витрат на  купівлю електричної енергії для господарських потреб до операційно неконтрольованих витрат, НКРЕКП пропонує визначити зміну фактичної вартості електричної енергії, що використовується на господарські потреби проти закладених в складі операціно контрольованих витрат як обєктивний чинник при визначенні недоотриманого доходу під час проведення планових заходів контролю. </w:t>
            </w:r>
          </w:p>
          <w:p w:rsidR="00CF2AC1" w:rsidRPr="005A615E" w:rsidRDefault="00CF2AC1" w:rsidP="00DD0546">
            <w:pPr>
              <w:rPr>
                <w:rFonts w:ascii="Times New Roman" w:hAnsi="Times New Roman"/>
                <w:b/>
              </w:rPr>
            </w:pPr>
          </w:p>
        </w:tc>
      </w:tr>
      <w:tr w:rsidR="00CF2AC1" w:rsidRPr="005A615E" w:rsidTr="00A56FEE">
        <w:trPr>
          <w:trHeight w:val="285"/>
        </w:trPr>
        <w:tc>
          <w:tcPr>
            <w:tcW w:w="6232" w:type="dxa"/>
            <w:shd w:val="clear" w:color="auto" w:fill="auto"/>
          </w:tcPr>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за формулою</w:t>
            </w:r>
          </w:p>
          <w:p w:rsidR="00CF2AC1" w:rsidRPr="005A615E" w:rsidRDefault="00CF2AC1" w:rsidP="00CF2AC1">
            <w:pPr>
              <w:shd w:val="clear" w:color="auto" w:fill="FFFFFF"/>
              <w:spacing w:after="150"/>
              <w:ind w:firstLine="450"/>
              <w:jc w:val="both"/>
              <w:rPr>
                <w:rFonts w:ascii="Times New Roman" w:hAnsi="Times New Roman"/>
                <w:lang w:eastAsia="uk-UA"/>
              </w:rPr>
            </w:pPr>
          </w:p>
          <w:tbl>
            <w:tblPr>
              <w:tblW w:w="5000" w:type="pct"/>
              <w:tblLayout w:type="fixed"/>
              <w:tblCellMar>
                <w:left w:w="0" w:type="dxa"/>
                <w:right w:w="0" w:type="dxa"/>
              </w:tblCellMar>
              <w:tblLook w:val="04A0" w:firstRow="1" w:lastRow="0" w:firstColumn="1" w:lastColumn="0" w:noHBand="0" w:noVBand="1"/>
            </w:tblPr>
            <w:tblGrid>
              <w:gridCol w:w="303"/>
              <w:gridCol w:w="780"/>
              <w:gridCol w:w="237"/>
              <w:gridCol w:w="4053"/>
              <w:gridCol w:w="637"/>
            </w:tblGrid>
            <w:tr w:rsidR="00CF2AC1" w:rsidRPr="005A615E" w:rsidTr="006E63AE">
              <w:tc>
                <w:tcPr>
                  <w:tcW w:w="5373" w:type="dxa"/>
                  <w:gridSpan w:val="4"/>
                  <w:tcBorders>
                    <w:top w:val="single" w:sz="2" w:space="0" w:color="auto"/>
                    <w:left w:val="single" w:sz="2" w:space="0" w:color="auto"/>
                    <w:bottom w:val="single" w:sz="2" w:space="0" w:color="auto"/>
                    <w:right w:val="single" w:sz="2" w:space="0" w:color="auto"/>
                  </w:tcBorders>
                  <w:hideMark/>
                </w:tcPr>
                <w:p w:rsidR="00CF2AC1" w:rsidRPr="005A615E" w:rsidRDefault="000D13C5" w:rsidP="00CF2AC1">
                  <w:pPr>
                    <w:spacing w:before="150" w:after="150"/>
                    <w:rPr>
                      <w:rFonts w:ascii="Times New Roman" w:hAnsi="Times New Roman"/>
                      <w:lang w:eastAsia="uk-UA"/>
                    </w:rPr>
                  </w:pPr>
                  <m:oMathPara>
                    <m:oMath>
                      <m:sSubSup>
                        <m:sSubSupPr>
                          <m:ctrlPr>
                            <w:rPr>
                              <w:rFonts w:ascii="Cambria Math" w:hAnsi="Cambria Math"/>
                              <w:i/>
                              <w:sz w:val="16"/>
                              <w:lang w:eastAsia="uk-UA"/>
                            </w:rPr>
                          </m:ctrlPr>
                        </m:sSubSupPr>
                        <m:e>
                          <m:r>
                            <w:rPr>
                              <w:rFonts w:ascii="Cambria Math" w:hAnsi="Cambria Math"/>
                              <w:sz w:val="16"/>
                              <w:lang w:eastAsia="uk-UA"/>
                            </w:rPr>
                            <m:t>ОКВ</m:t>
                          </m:r>
                        </m:e>
                        <m:sub>
                          <m:r>
                            <w:rPr>
                              <w:rFonts w:ascii="Cambria Math" w:hAnsi="Cambria Math"/>
                              <w:sz w:val="16"/>
                              <w:lang w:eastAsia="uk-UA"/>
                            </w:rPr>
                            <m:t>t</m:t>
                          </m:r>
                        </m:sub>
                        <m:sup>
                          <m:r>
                            <w:rPr>
                              <w:rFonts w:ascii="Cambria Math" w:hAnsi="Cambria Math"/>
                              <w:sz w:val="16"/>
                              <w:lang w:eastAsia="uk-UA"/>
                            </w:rPr>
                            <m:t>n</m:t>
                          </m:r>
                        </m:sup>
                      </m:sSubSup>
                      <m:r>
                        <w:rPr>
                          <w:rFonts w:ascii="Cambria Math" w:hAnsi="Cambria Math"/>
                          <w:sz w:val="16"/>
                          <w:lang w:eastAsia="uk-UA"/>
                        </w:rPr>
                        <m:t>=</m:t>
                      </m:r>
                      <m:d>
                        <m:dPr>
                          <m:ctrlPr>
                            <w:rPr>
                              <w:rFonts w:ascii="Cambria Math" w:hAnsi="Cambria Math"/>
                              <w:i/>
                              <w:sz w:val="16"/>
                              <w:lang w:eastAsia="uk-UA"/>
                            </w:rPr>
                          </m:ctrlPr>
                        </m:dPr>
                        <m:e>
                          <m:sSubSup>
                            <m:sSubSupPr>
                              <m:ctrlPr>
                                <w:rPr>
                                  <w:rFonts w:ascii="Cambria Math" w:hAnsi="Cambria Math"/>
                                  <w:i/>
                                  <w:sz w:val="16"/>
                                  <w:lang w:eastAsia="uk-UA"/>
                                </w:rPr>
                              </m:ctrlPr>
                            </m:sSubSupPr>
                            <m:e>
                              <m:r>
                                <w:rPr>
                                  <w:rFonts w:ascii="Cambria Math" w:hAnsi="Cambria Math"/>
                                  <w:sz w:val="16"/>
                                  <w:lang w:eastAsia="uk-UA"/>
                                </w:rPr>
                                <m:t>ОКВ</m:t>
                              </m:r>
                            </m:e>
                            <m:sub>
                              <m:r>
                                <w:rPr>
                                  <w:rFonts w:ascii="Cambria Math" w:hAnsi="Cambria Math"/>
                                  <w:sz w:val="16"/>
                                  <w:lang w:eastAsia="uk-UA"/>
                                </w:rPr>
                                <m:t>t-1</m:t>
                              </m:r>
                            </m:sub>
                            <m:sup>
                              <m:r>
                                <w:rPr>
                                  <w:rFonts w:ascii="Cambria Math" w:hAnsi="Cambria Math"/>
                                  <w:sz w:val="16"/>
                                  <w:lang w:eastAsia="uk-UA"/>
                                </w:rPr>
                                <m:t>n</m:t>
                              </m:r>
                            </m:sup>
                          </m:sSubSup>
                          <m:r>
                            <w:rPr>
                              <w:rFonts w:ascii="Cambria Math" w:hAnsi="Cambria Math"/>
                              <w:sz w:val="16"/>
                              <w:lang w:eastAsia="uk-UA"/>
                            </w:rPr>
                            <m:t>-</m:t>
                          </m:r>
                          <m:sSubSup>
                            <m:sSubSupPr>
                              <m:ctrlPr>
                                <w:rPr>
                                  <w:rFonts w:ascii="Cambria Math" w:hAnsi="Cambria Math"/>
                                  <w:i/>
                                  <w:sz w:val="16"/>
                                  <w:lang w:eastAsia="uk-UA"/>
                                </w:rPr>
                              </m:ctrlPr>
                            </m:sSubSupPr>
                            <m:e>
                              <m:r>
                                <w:rPr>
                                  <w:rFonts w:ascii="Cambria Math" w:hAnsi="Cambria Math"/>
                                  <w:sz w:val="16"/>
                                  <w:lang w:eastAsia="uk-UA"/>
                                </w:rPr>
                                <m:t>ФОП</m:t>
                              </m:r>
                            </m:e>
                            <m:sub>
                              <m:r>
                                <w:rPr>
                                  <w:rFonts w:ascii="Cambria Math" w:hAnsi="Cambria Math"/>
                                  <w:sz w:val="16"/>
                                  <w:lang w:eastAsia="uk-UA"/>
                                </w:rPr>
                                <m:t>t-1</m:t>
                              </m:r>
                            </m:sub>
                            <m:sup>
                              <m:r>
                                <w:rPr>
                                  <w:rFonts w:ascii="Cambria Math" w:hAnsi="Cambria Math"/>
                                  <w:sz w:val="16"/>
                                  <w:lang w:eastAsia="uk-UA"/>
                                </w:rPr>
                                <m:t>n</m:t>
                              </m:r>
                            </m:sup>
                          </m:sSubSup>
                        </m:e>
                      </m:d>
                      <m:r>
                        <w:rPr>
                          <w:rFonts w:ascii="Cambria Math" w:hAnsi="Cambria Math"/>
                          <w:sz w:val="16"/>
                          <w:lang w:eastAsia="uk-UA"/>
                        </w:rPr>
                        <m:t>×</m:t>
                      </m:r>
                      <m:f>
                        <m:fPr>
                          <m:ctrlPr>
                            <w:rPr>
                              <w:rFonts w:ascii="Cambria Math" w:hAnsi="Cambria Math"/>
                              <w:i/>
                              <w:sz w:val="16"/>
                              <w:lang w:eastAsia="uk-UA"/>
                            </w:rPr>
                          </m:ctrlPr>
                        </m:fPr>
                        <m:num>
                          <m:sSubSup>
                            <m:sSubSupPr>
                              <m:ctrlPr>
                                <w:rPr>
                                  <w:rFonts w:ascii="Cambria Math" w:hAnsi="Cambria Math"/>
                                  <w:i/>
                                  <w:sz w:val="16"/>
                                  <w:lang w:eastAsia="uk-UA"/>
                                </w:rPr>
                              </m:ctrlPr>
                            </m:sSubSupPr>
                            <m:e>
                              <m:r>
                                <w:rPr>
                                  <w:rFonts w:ascii="Cambria Math" w:hAnsi="Cambria Math"/>
                                  <w:sz w:val="16"/>
                                  <w:lang w:eastAsia="uk-UA"/>
                                </w:rPr>
                                <m:t>ІЦВ</m:t>
                              </m:r>
                            </m:e>
                            <m:sub>
                              <m:r>
                                <w:rPr>
                                  <w:rFonts w:ascii="Cambria Math" w:hAnsi="Cambria Math"/>
                                  <w:sz w:val="16"/>
                                  <w:lang w:eastAsia="uk-UA"/>
                                </w:rPr>
                                <m:t>t</m:t>
                              </m:r>
                            </m:sub>
                            <m:sup>
                              <m:r>
                                <w:rPr>
                                  <w:rFonts w:ascii="Cambria Math" w:hAnsi="Cambria Math"/>
                                  <w:sz w:val="16"/>
                                  <w:lang w:eastAsia="uk-UA"/>
                                </w:rPr>
                                <m:t>n</m:t>
                              </m:r>
                            </m:sup>
                          </m:sSubSup>
                        </m:num>
                        <m:den>
                          <m:r>
                            <w:rPr>
                              <w:rFonts w:ascii="Cambria Math" w:hAnsi="Cambria Math"/>
                              <w:sz w:val="16"/>
                              <w:lang w:eastAsia="uk-UA"/>
                            </w:rPr>
                            <m:t>100</m:t>
                          </m:r>
                        </m:den>
                      </m:f>
                      <m:r>
                        <w:rPr>
                          <w:rFonts w:ascii="Cambria Math" w:hAnsi="Cambria Math"/>
                          <w:sz w:val="16"/>
                          <w:lang w:eastAsia="uk-UA"/>
                        </w:rPr>
                        <m:t>×</m:t>
                      </m:r>
                      <m:d>
                        <m:dPr>
                          <m:ctrlPr>
                            <w:rPr>
                              <w:rFonts w:ascii="Cambria Math" w:hAnsi="Cambria Math"/>
                              <w:i/>
                              <w:sz w:val="16"/>
                              <w:lang w:eastAsia="uk-UA"/>
                            </w:rPr>
                          </m:ctrlPr>
                        </m:dPr>
                        <m:e>
                          <m:r>
                            <w:rPr>
                              <w:rFonts w:ascii="Cambria Math" w:hAnsi="Cambria Math"/>
                              <w:sz w:val="16"/>
                              <w:lang w:eastAsia="uk-UA"/>
                            </w:rPr>
                            <m:t>1-</m:t>
                          </m:r>
                          <m:f>
                            <m:fPr>
                              <m:ctrlPr>
                                <w:rPr>
                                  <w:rFonts w:ascii="Cambria Math" w:hAnsi="Cambria Math"/>
                                  <w:i/>
                                  <w:sz w:val="16"/>
                                  <w:lang w:eastAsia="uk-UA"/>
                                </w:rPr>
                              </m:ctrlPr>
                            </m:fPr>
                            <m:num>
                              <m:sSub>
                                <m:sSubPr>
                                  <m:ctrlPr>
                                    <w:rPr>
                                      <w:rFonts w:ascii="Cambria Math" w:hAnsi="Cambria Math"/>
                                      <w:i/>
                                      <w:sz w:val="16"/>
                                      <w:lang w:eastAsia="uk-UA"/>
                                    </w:rPr>
                                  </m:ctrlPr>
                                </m:sSubPr>
                                <m:e>
                                  <m:r>
                                    <w:rPr>
                                      <w:rFonts w:ascii="Cambria Math" w:hAnsi="Cambria Math"/>
                                      <w:sz w:val="16"/>
                                      <w:lang w:eastAsia="uk-UA"/>
                                    </w:rPr>
                                    <m:t>ПЕ</m:t>
                                  </m:r>
                                </m:e>
                                <m:sub>
                                  <m:r>
                                    <w:rPr>
                                      <w:rFonts w:ascii="Cambria Math" w:hAnsi="Cambria Math"/>
                                      <w:sz w:val="16"/>
                                      <w:lang w:eastAsia="uk-UA"/>
                                    </w:rPr>
                                    <m:t>з</m:t>
                                  </m:r>
                                </m:sub>
                              </m:sSub>
                              <m:r>
                                <w:rPr>
                                  <w:rFonts w:ascii="Cambria Math" w:hAnsi="Cambria Math"/>
                                  <w:sz w:val="16"/>
                                  <w:lang w:eastAsia="uk-UA"/>
                                </w:rPr>
                                <m:t>+</m:t>
                              </m:r>
                              <m:sSub>
                                <m:sSubPr>
                                  <m:ctrlPr>
                                    <w:rPr>
                                      <w:rFonts w:ascii="Cambria Math" w:hAnsi="Cambria Math"/>
                                      <w:i/>
                                      <w:sz w:val="16"/>
                                      <w:lang w:eastAsia="uk-UA"/>
                                    </w:rPr>
                                  </m:ctrlPr>
                                </m:sSubPr>
                                <m:e>
                                  <m:r>
                                    <w:rPr>
                                      <w:rFonts w:ascii="Cambria Math" w:hAnsi="Cambria Math"/>
                                      <w:sz w:val="16"/>
                                      <w:lang w:eastAsia="uk-UA"/>
                                    </w:rPr>
                                    <m:t>ПЕ</m:t>
                                  </m:r>
                                </m:e>
                                <m:sub>
                                  <m:r>
                                    <w:rPr>
                                      <w:rFonts w:ascii="Cambria Math" w:hAnsi="Cambria Math"/>
                                      <w:sz w:val="16"/>
                                      <w:lang w:eastAsia="uk-UA"/>
                                    </w:rPr>
                                    <m:t>інд</m:t>
                                  </m:r>
                                </m:sub>
                              </m:sSub>
                            </m:num>
                            <m:den>
                              <m:r>
                                <w:rPr>
                                  <w:rFonts w:ascii="Cambria Math" w:hAnsi="Cambria Math"/>
                                  <w:sz w:val="16"/>
                                  <w:lang w:eastAsia="uk-UA"/>
                                </w:rPr>
                                <m:t>100</m:t>
                              </m:r>
                            </m:den>
                          </m:f>
                        </m:e>
                      </m:d>
                      <m:r>
                        <w:rPr>
                          <w:rFonts w:ascii="Cambria Math" w:hAnsi="Cambria Math"/>
                          <w:sz w:val="16"/>
                          <w:lang w:eastAsia="uk-UA"/>
                        </w:rPr>
                        <m:t>+</m:t>
                      </m:r>
                      <m:sSubSup>
                        <m:sSubSupPr>
                          <m:ctrlPr>
                            <w:rPr>
                              <w:rFonts w:ascii="Cambria Math" w:hAnsi="Cambria Math"/>
                              <w:i/>
                              <w:sz w:val="16"/>
                              <w:lang w:eastAsia="uk-UA"/>
                            </w:rPr>
                          </m:ctrlPr>
                        </m:sSubSupPr>
                        <m:e>
                          <m:r>
                            <w:rPr>
                              <w:rFonts w:ascii="Cambria Math" w:hAnsi="Cambria Math"/>
                              <w:sz w:val="16"/>
                              <w:lang w:eastAsia="uk-UA"/>
                            </w:rPr>
                            <m:t>ФОП</m:t>
                          </m:r>
                        </m:e>
                        <m:sub>
                          <m:r>
                            <w:rPr>
                              <w:rFonts w:ascii="Cambria Math" w:hAnsi="Cambria Math"/>
                              <w:sz w:val="16"/>
                              <w:lang w:eastAsia="uk-UA"/>
                            </w:rPr>
                            <m:t>t</m:t>
                          </m:r>
                        </m:sub>
                        <m:sup>
                          <m:r>
                            <w:rPr>
                              <w:rFonts w:ascii="Cambria Math" w:hAnsi="Cambria Math"/>
                              <w:sz w:val="16"/>
                              <w:lang w:eastAsia="uk-UA"/>
                            </w:rPr>
                            <m:t>n</m:t>
                          </m:r>
                        </m:sup>
                      </m:sSubSup>
                      <m:r>
                        <w:rPr>
                          <w:rFonts w:ascii="Cambria Math" w:hAnsi="Cambria Math"/>
                          <w:sz w:val="16"/>
                          <w:lang w:eastAsia="uk-UA"/>
                        </w:rPr>
                        <m:t>×</m:t>
                      </m:r>
                      <m:d>
                        <m:dPr>
                          <m:ctrlPr>
                            <w:rPr>
                              <w:rFonts w:ascii="Cambria Math" w:hAnsi="Cambria Math"/>
                              <w:i/>
                              <w:sz w:val="16"/>
                              <w:lang w:eastAsia="uk-UA"/>
                            </w:rPr>
                          </m:ctrlPr>
                        </m:dPr>
                        <m:e>
                          <m:r>
                            <w:rPr>
                              <w:rFonts w:ascii="Cambria Math" w:hAnsi="Cambria Math"/>
                              <w:sz w:val="16"/>
                              <w:lang w:eastAsia="uk-UA"/>
                            </w:rPr>
                            <m:t>1-</m:t>
                          </m:r>
                          <m:f>
                            <m:fPr>
                              <m:ctrlPr>
                                <w:rPr>
                                  <w:rFonts w:ascii="Cambria Math" w:hAnsi="Cambria Math"/>
                                  <w:i/>
                                  <w:sz w:val="16"/>
                                  <w:lang w:eastAsia="uk-UA"/>
                                </w:rPr>
                              </m:ctrlPr>
                            </m:fPr>
                            <m:num>
                              <m:sSub>
                                <m:sSubPr>
                                  <m:ctrlPr>
                                    <w:rPr>
                                      <w:rFonts w:ascii="Cambria Math" w:hAnsi="Cambria Math"/>
                                      <w:i/>
                                      <w:sz w:val="16"/>
                                      <w:lang w:eastAsia="uk-UA"/>
                                    </w:rPr>
                                  </m:ctrlPr>
                                </m:sSubPr>
                                <m:e>
                                  <m:r>
                                    <w:rPr>
                                      <w:rFonts w:ascii="Cambria Math" w:hAnsi="Cambria Math"/>
                                      <w:sz w:val="16"/>
                                      <w:lang w:eastAsia="uk-UA"/>
                                    </w:rPr>
                                    <m:t>ПЕ</m:t>
                                  </m:r>
                                </m:e>
                                <m:sub>
                                  <m:r>
                                    <w:rPr>
                                      <w:rFonts w:ascii="Cambria Math" w:hAnsi="Cambria Math"/>
                                      <w:sz w:val="16"/>
                                      <w:lang w:eastAsia="uk-UA"/>
                                    </w:rPr>
                                    <m:t>з</m:t>
                                  </m:r>
                                </m:sub>
                              </m:sSub>
                              <m:r>
                                <w:rPr>
                                  <w:rFonts w:ascii="Cambria Math" w:hAnsi="Cambria Math"/>
                                  <w:sz w:val="16"/>
                                  <w:lang w:eastAsia="uk-UA"/>
                                </w:rPr>
                                <m:t>+</m:t>
                              </m:r>
                              <m:sSub>
                                <m:sSubPr>
                                  <m:ctrlPr>
                                    <w:rPr>
                                      <w:rFonts w:ascii="Cambria Math" w:hAnsi="Cambria Math"/>
                                      <w:i/>
                                      <w:sz w:val="16"/>
                                      <w:lang w:eastAsia="uk-UA"/>
                                    </w:rPr>
                                  </m:ctrlPr>
                                </m:sSubPr>
                                <m:e>
                                  <m:r>
                                    <w:rPr>
                                      <w:rFonts w:ascii="Cambria Math" w:hAnsi="Cambria Math"/>
                                      <w:sz w:val="16"/>
                                      <w:lang w:eastAsia="uk-UA"/>
                                    </w:rPr>
                                    <m:t>ПЕ</m:t>
                                  </m:r>
                                </m:e>
                                <m:sub>
                                  <m:r>
                                    <w:rPr>
                                      <w:rFonts w:ascii="Cambria Math" w:hAnsi="Cambria Math"/>
                                      <w:sz w:val="16"/>
                                      <w:lang w:eastAsia="uk-UA"/>
                                    </w:rPr>
                                    <m:t>інд</m:t>
                                  </m:r>
                                </m:sub>
                              </m:sSub>
                            </m:num>
                            <m:den>
                              <m:r>
                                <w:rPr>
                                  <w:rFonts w:ascii="Cambria Math" w:hAnsi="Cambria Math"/>
                                  <w:sz w:val="16"/>
                                  <w:lang w:eastAsia="uk-UA"/>
                                </w:rPr>
                                <m:t>100</m:t>
                              </m:r>
                            </m:den>
                          </m:f>
                        </m:e>
                      </m:d>
                      <m:r>
                        <w:rPr>
                          <w:rFonts w:ascii="Cambria Math" w:hAnsi="Cambria Math"/>
                          <w:sz w:val="16"/>
                          <w:lang w:eastAsia="uk-UA"/>
                        </w:rPr>
                        <m:t>, тис.грн,</m:t>
                      </m:r>
                    </m:oMath>
                  </m:oMathPara>
                </w:p>
              </w:tc>
              <w:tc>
                <w:tcPr>
                  <w:tcW w:w="637"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(7)</w:t>
                  </w:r>
                </w:p>
              </w:tc>
            </w:tr>
            <w:tr w:rsidR="00CF2AC1" w:rsidRPr="005A615E" w:rsidTr="006E63AE">
              <w:tc>
                <w:tcPr>
                  <w:tcW w:w="303" w:type="dxa"/>
                  <w:vMerge w:val="restart"/>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де</w:t>
                  </w:r>
                </w:p>
              </w:tc>
              <w:tc>
                <w:tcPr>
                  <w:tcW w:w="78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61050C05" wp14:editId="19AB12E1">
                        <wp:extent cx="466725" cy="257175"/>
                        <wp:effectExtent l="0" t="0" r="9525" b="9525"/>
                        <wp:docPr id="197" name="Рисунок 197" descr="https://zakon.rada.gov.ua/laws/file/imgs/99/p478167n136v3-23.gif">
                          <a:hlinkClick xmlns:a="http://schemas.openxmlformats.org/drawingml/2006/main" r:id="rId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zakon.rada.gov.ua/laws/file/imgs/99/p478167n136v3-23.gif">
                                  <a:hlinkClick r:id="rId64"/>
                                </pic:cNvPr>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p>
              </w:tc>
              <w:tc>
                <w:tcPr>
                  <w:tcW w:w="237"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9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прогнозовані операційні контрольовані витрати в році t-1 (для першого року першого періоду регулювання ОКВnt-1 = ОКВ0, ОКВ0 визначається з урахуванням </w:t>
                  </w:r>
                  <w:hyperlink r:id="rId66" w:anchor="n138" w:history="1">
                    <w:r w:rsidRPr="005A615E">
                      <w:rPr>
                        <w:rFonts w:ascii="Times New Roman" w:hAnsi="Times New Roman"/>
                        <w:lang w:eastAsia="uk-UA"/>
                      </w:rPr>
                      <w:t>пункту 5.6</w:t>
                    </w:r>
                  </w:hyperlink>
                  <w:r w:rsidRPr="005A615E">
                    <w:rPr>
                      <w:rFonts w:ascii="Times New Roman" w:hAnsi="Times New Roman"/>
                      <w:lang w:eastAsia="uk-UA"/>
                    </w:rPr>
                    <w:t xml:space="preserve"> цієї глави, а для першого року другого та наступних </w:t>
                  </w:r>
                  <w:r w:rsidRPr="005A615E">
                    <w:rPr>
                      <w:rFonts w:ascii="Times New Roman" w:hAnsi="Times New Roman"/>
                      <w:b/>
                      <w:lang w:eastAsia="uk-UA"/>
                    </w:rPr>
                    <w:t>регуляторних періодів</w:t>
                  </w:r>
                  <w:r w:rsidRPr="005A615E">
                    <w:rPr>
                      <w:rFonts w:ascii="Times New Roman" w:hAnsi="Times New Roman"/>
                      <w:lang w:eastAsia="uk-UA"/>
                    </w:rPr>
                    <w:t xml:space="preserve"> визначається з урахуванням </w:t>
                  </w:r>
                  <w:hyperlink r:id="rId67" w:anchor="n140" w:history="1">
                    <w:r w:rsidRPr="005A615E">
                      <w:rPr>
                        <w:rFonts w:ascii="Times New Roman" w:hAnsi="Times New Roman"/>
                        <w:lang w:eastAsia="uk-UA"/>
                      </w:rPr>
                      <w:t>пункту 5.7</w:t>
                    </w:r>
                  </w:hyperlink>
                  <w:r w:rsidRPr="005A615E">
                    <w:rPr>
                      <w:rFonts w:ascii="Times New Roman" w:hAnsi="Times New Roman"/>
                      <w:lang w:eastAsia="uk-UA"/>
                    </w:rPr>
                    <w:t> цієї глави), тис. грн;</w:t>
                  </w:r>
                </w:p>
              </w:tc>
            </w:tr>
            <w:tr w:rsidR="00CF2AC1" w:rsidRPr="005A615E" w:rsidTr="006E63AE">
              <w:tc>
                <w:tcPr>
                  <w:tcW w:w="303" w:type="dxa"/>
                  <w:vMerge/>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78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sz w:val="16"/>
                      <w:lang w:eastAsia="uk-UA"/>
                    </w:rPr>
                    <w:drawing>
                      <wp:inline distT="0" distB="0" distL="0" distR="0" wp14:anchorId="53000D44" wp14:editId="4409C724">
                        <wp:extent cx="466725" cy="233363"/>
                        <wp:effectExtent l="0" t="0" r="0" b="0"/>
                        <wp:docPr id="198" name="Рисунок 198" descr="https://zakon.rada.gov.ua/laws/file/imgs/99/p478167n136v3-24.gif">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zakon.rada.gov.ua/laws/file/imgs/99/p478167n136v3-24.gif">
                                  <a:hlinkClick r:id="rId68"/>
                                </pic:cNvPr>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76412" cy="238207"/>
                                </a:xfrm>
                                <a:prstGeom prst="rect">
                                  <a:avLst/>
                                </a:prstGeom>
                                <a:noFill/>
                                <a:ln>
                                  <a:noFill/>
                                </a:ln>
                              </pic:spPr>
                            </pic:pic>
                          </a:graphicData>
                        </a:graphic>
                      </wp:inline>
                    </w:drawing>
                  </w:r>
                </w:p>
              </w:tc>
              <w:tc>
                <w:tcPr>
                  <w:tcW w:w="237"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9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прогнозований фонд оплати праці (витрати на оплату праці) у році t-1, що розрахований відповідно до </w:t>
                  </w:r>
                  <w:hyperlink r:id="rId70" w:anchor="n12" w:tgtFrame="_blank" w:history="1">
                    <w:r w:rsidRPr="005A615E">
                      <w:rPr>
                        <w:rFonts w:ascii="Times New Roman" w:hAnsi="Times New Roman"/>
                        <w:u w:val="single"/>
                        <w:lang w:eastAsia="uk-UA"/>
                      </w:rPr>
                      <w:t>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5A615E">
                    <w:rPr>
                      <w:rFonts w:ascii="Times New Roman" w:hAnsi="Times New Roman"/>
                      <w:lang w:eastAsia="uk-UA"/>
                    </w:rPr>
                    <w:t xml:space="preserve">, затвердженого постановою НКРЕКП від 26 жовтня 2015 року № 2645, зареєстрованого в Міністерстві юстиції України 13 листопада 2015 року за № 1431/27876 (далі - Порядок визначення витрат на оплату праці) </w:t>
                  </w:r>
                  <w:r w:rsidRPr="005A615E">
                    <w:rPr>
                      <w:rFonts w:ascii="Times New Roman" w:hAnsi="Times New Roman"/>
                      <w:b/>
                      <w:lang w:eastAsia="uk-UA"/>
                    </w:rPr>
                    <w:t>(для першого року другого та наступних регуляторних періодів визначається з урахуванням пункту 5.7 цієї глави)</w:t>
                  </w:r>
                  <w:r w:rsidRPr="005A615E">
                    <w:rPr>
                      <w:rFonts w:ascii="Times New Roman" w:hAnsi="Times New Roman"/>
                      <w:lang w:eastAsia="uk-UA"/>
                    </w:rPr>
                    <w:t>, тис. грн;</w:t>
                  </w:r>
                </w:p>
              </w:tc>
            </w:tr>
            <w:tr w:rsidR="00CF2AC1" w:rsidRPr="005A615E" w:rsidTr="006E63AE">
              <w:tc>
                <w:tcPr>
                  <w:tcW w:w="303" w:type="dxa"/>
                  <w:vMerge/>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78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462976F6" wp14:editId="3FC58EC3">
                        <wp:extent cx="495300" cy="257175"/>
                        <wp:effectExtent l="0" t="0" r="0" b="9525"/>
                        <wp:docPr id="199" name="Рисунок 199" descr="https://zakon.rada.gov.ua/laws/file/imgs/99/p478167n136v3-25.gif">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zakon.rada.gov.ua/laws/file/imgs/99/p478167n136v3-25.gif">
                                  <a:hlinkClick r:id="rId71"/>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p>
              </w:tc>
              <w:tc>
                <w:tcPr>
                  <w:tcW w:w="237"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9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прогнозований фонд оплати праці (витрати на оплату праці) у році t, що розрахований відповідно до </w:t>
                  </w:r>
                  <w:hyperlink r:id="rId73" w:anchor="n12" w:tgtFrame="_blank" w:history="1">
                    <w:r w:rsidRPr="005A615E">
                      <w:rPr>
                        <w:rFonts w:ascii="Times New Roman" w:hAnsi="Times New Roman"/>
                        <w:u w:val="single"/>
                        <w:lang w:eastAsia="uk-UA"/>
                      </w:rPr>
                      <w:t>Порядку визначення витрат на оплату праці</w:t>
                    </w:r>
                  </w:hyperlink>
                  <w:r w:rsidRPr="005A615E">
                    <w:rPr>
                      <w:rFonts w:ascii="Times New Roman" w:hAnsi="Times New Roman"/>
                      <w:lang w:eastAsia="uk-UA"/>
                    </w:rPr>
                    <w:t xml:space="preserve"> </w:t>
                  </w:r>
                  <w:r w:rsidRPr="005A615E">
                    <w:rPr>
                      <w:rFonts w:ascii="Times New Roman" w:hAnsi="Times New Roman"/>
                      <w:b/>
                      <w:lang w:eastAsia="uk-UA"/>
                    </w:rPr>
                    <w:t xml:space="preserve">(для першого року другого та наступних регуляторних періодів визначається з урахуванням пункту 5.7 цієї глави), </w:t>
                  </w:r>
                  <w:r w:rsidRPr="005A615E">
                    <w:rPr>
                      <w:rFonts w:ascii="Times New Roman" w:hAnsi="Times New Roman"/>
                      <w:lang w:eastAsia="uk-UA"/>
                    </w:rPr>
                    <w:t>тис.грн;</w:t>
                  </w:r>
                </w:p>
              </w:tc>
            </w:tr>
            <w:tr w:rsidR="00CF2AC1" w:rsidRPr="005A615E" w:rsidTr="006E63AE">
              <w:tc>
                <w:tcPr>
                  <w:tcW w:w="303" w:type="dxa"/>
                  <w:vMerge/>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78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1902AF0D" wp14:editId="170241E5">
                        <wp:extent cx="390525" cy="257175"/>
                        <wp:effectExtent l="0" t="0" r="9525" b="9525"/>
                        <wp:docPr id="200" name="Рисунок 200" descr="https://zakon.rada.gov.ua/laws/file/imgs/99/p478167n136v3-26.gif">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zakon.rada.gov.ua/laws/file/imgs/99/p478167n136v3-26.gif">
                                  <a:hlinkClick r:id="rId74"/>
                                </pic:cNvPr>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tc>
              <w:tc>
                <w:tcPr>
                  <w:tcW w:w="237"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9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прогнозований індекс цін виробників промислової продукції для року </w:t>
                  </w:r>
                  <w:r w:rsidRPr="005A615E">
                    <w:rPr>
                      <w:rFonts w:ascii="Times New Roman" w:hAnsi="Times New Roman"/>
                      <w:i/>
                      <w:iCs/>
                      <w:lang w:eastAsia="uk-UA"/>
                    </w:rPr>
                    <w:t>t</w:t>
                  </w:r>
                  <w:r w:rsidRPr="005A615E">
                    <w:rPr>
                      <w:rFonts w:ascii="Times New Roman" w:hAnsi="Times New Roman"/>
                      <w:lang w:eastAsia="uk-UA"/>
                    </w:rPr>
                    <w:t>, %;</w:t>
                  </w:r>
                </w:p>
              </w:tc>
            </w:tr>
            <w:tr w:rsidR="00CF2AC1" w:rsidRPr="005A615E" w:rsidTr="006E63AE">
              <w:tc>
                <w:tcPr>
                  <w:tcW w:w="303" w:type="dxa"/>
                  <w:vMerge/>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78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4CA69C32" wp14:editId="2EC3183C">
                        <wp:extent cx="323850" cy="238125"/>
                        <wp:effectExtent l="0" t="0" r="0" b="9525"/>
                        <wp:docPr id="201" name="Рисунок 201" descr="https://zakon.rada.gov.ua/laws/file/imgs/99/p478167n136v3-27.gif">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zakon.rada.gov.ua/laws/file/imgs/99/p478167n136v3-27.gif">
                                  <a:hlinkClick r:id="rId76"/>
                                </pic:cNvPr>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p>
              </w:tc>
              <w:tc>
                <w:tcPr>
                  <w:tcW w:w="237"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9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загальний показник ефективності для операційних контрольованих витрат, встановлений НКРЕКП, %;</w:t>
                  </w:r>
                </w:p>
              </w:tc>
            </w:tr>
            <w:tr w:rsidR="00CF2AC1" w:rsidRPr="005A615E" w:rsidTr="006E63AE">
              <w:tc>
                <w:tcPr>
                  <w:tcW w:w="303" w:type="dxa"/>
                  <w:vMerge/>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78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0D85891F" wp14:editId="56EA1D23">
                        <wp:extent cx="400050" cy="238125"/>
                        <wp:effectExtent l="0" t="0" r="0" b="9525"/>
                        <wp:docPr id="202" name="Рисунок 202" descr="https://zakon.rada.gov.ua/laws/file/imgs/99/p478167n136v3-28.gif">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zakon.rada.gov.ua/laws/file/imgs/99/p478167n136v3-28.gif">
                                  <a:hlinkClick r:id="rId78"/>
                                </pic:cNvPr>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p>
              </w:tc>
              <w:tc>
                <w:tcPr>
                  <w:tcW w:w="237"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9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індивідуальний показник ефективності для контрольованих операційних витрат окремого ліцензіата, встановлений НКРЕКП, %.</w:t>
                  </w:r>
                </w:p>
              </w:tc>
            </w:tr>
          </w:tbl>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 xml:space="preserve">Для ліцензіатів, перелік яких наведено в додатку 30 до цього Порядку, прогнозовані операційні контрольовані витрати з розподілу електричної енергії на 2025  </w:t>
            </w:r>
            <w:r w:rsidRPr="005A615E">
              <w:rPr>
                <w:rFonts w:ascii="Times New Roman" w:hAnsi="Times New Roman"/>
                <w:b/>
                <w:lang w:eastAsia="uk-UA"/>
              </w:rPr>
              <w:t>та 2026 роки</w:t>
            </w:r>
            <w:r w:rsidRPr="005A615E">
              <w:rPr>
                <w:rFonts w:ascii="Times New Roman" w:hAnsi="Times New Roman"/>
                <w:lang w:eastAsia="uk-UA"/>
              </w:rPr>
              <w:t xml:space="preserve"> та на кожний наступний рік розраховуються за формулою</w:t>
            </w:r>
          </w:p>
          <w:tbl>
            <w:tblPr>
              <w:tblW w:w="5000" w:type="pct"/>
              <w:tblLayout w:type="fixed"/>
              <w:tblCellMar>
                <w:left w:w="0" w:type="dxa"/>
                <w:right w:w="0" w:type="dxa"/>
              </w:tblCellMar>
              <w:tblLook w:val="04A0" w:firstRow="1" w:lastRow="0" w:firstColumn="1" w:lastColumn="0" w:noHBand="0" w:noVBand="1"/>
            </w:tblPr>
            <w:tblGrid>
              <w:gridCol w:w="369"/>
              <w:gridCol w:w="659"/>
              <w:gridCol w:w="222"/>
              <w:gridCol w:w="7"/>
              <w:gridCol w:w="4296"/>
              <w:gridCol w:w="115"/>
              <w:gridCol w:w="342"/>
            </w:tblGrid>
            <w:tr w:rsidR="00CF2AC1" w:rsidRPr="005A615E" w:rsidTr="00DD03DD">
              <w:tc>
                <w:tcPr>
                  <w:tcW w:w="7014" w:type="dxa"/>
                  <w:gridSpan w:val="6"/>
                  <w:tcBorders>
                    <w:top w:val="single" w:sz="2" w:space="0" w:color="auto"/>
                    <w:left w:val="single" w:sz="2" w:space="0" w:color="auto"/>
                    <w:bottom w:val="single" w:sz="2" w:space="0" w:color="auto"/>
                    <w:right w:val="single" w:sz="2" w:space="0" w:color="auto"/>
                  </w:tcBorders>
                  <w:hideMark/>
                </w:tcPr>
                <w:bookmarkStart w:id="4" w:name="_Hlk234308861"/>
                <w:p w:rsidR="00CF2AC1" w:rsidRPr="005A615E" w:rsidRDefault="000D13C5" w:rsidP="00CF2AC1">
                  <w:pPr>
                    <w:spacing w:before="150" w:after="150"/>
                    <w:rPr>
                      <w:rFonts w:ascii="Times New Roman" w:hAnsi="Times New Roman"/>
                      <w:b/>
                      <w:lang w:eastAsia="uk-UA"/>
                    </w:rPr>
                  </w:pPr>
                  <m:oMathPara>
                    <m:oMath>
                      <m:sSubSup>
                        <m:sSubSupPr>
                          <m:ctrlPr>
                            <w:rPr>
                              <w:rFonts w:ascii="Cambria Math" w:hAnsi="Cambria Math"/>
                              <w:b/>
                              <w:i/>
                              <w:sz w:val="14"/>
                              <w:szCs w:val="14"/>
                              <w:lang w:eastAsia="uk-UA"/>
                            </w:rPr>
                          </m:ctrlPr>
                        </m:sSubSupPr>
                        <m:e>
                          <m:r>
                            <m:rPr>
                              <m:sty m:val="bi"/>
                            </m:rPr>
                            <w:rPr>
                              <w:rFonts w:ascii="Cambria Math" w:hAnsi="Cambria Math"/>
                              <w:sz w:val="14"/>
                              <w:szCs w:val="14"/>
                              <w:lang w:eastAsia="uk-UA"/>
                            </w:rPr>
                            <m:t>ОКВ</m:t>
                          </m:r>
                        </m:e>
                        <m:sub>
                          <m:r>
                            <m:rPr>
                              <m:sty m:val="bi"/>
                            </m:rPr>
                            <w:rPr>
                              <w:rFonts w:ascii="Cambria Math" w:hAnsi="Cambria Math"/>
                              <w:sz w:val="14"/>
                              <w:szCs w:val="14"/>
                              <w:lang w:eastAsia="uk-UA"/>
                            </w:rPr>
                            <m:t>t</m:t>
                          </m:r>
                        </m:sub>
                        <m:sup>
                          <m:r>
                            <m:rPr>
                              <m:sty m:val="bi"/>
                            </m:rPr>
                            <w:rPr>
                              <w:rFonts w:ascii="Cambria Math" w:hAnsi="Cambria Math"/>
                              <w:sz w:val="14"/>
                              <w:szCs w:val="14"/>
                              <w:lang w:eastAsia="uk-UA"/>
                            </w:rPr>
                            <m:t>n</m:t>
                          </m:r>
                        </m:sup>
                      </m:sSubSup>
                      <m:r>
                        <m:rPr>
                          <m:sty m:val="bi"/>
                        </m:rPr>
                        <w:rPr>
                          <w:rFonts w:ascii="Cambria Math" w:hAnsi="Cambria Math"/>
                          <w:sz w:val="14"/>
                          <w:szCs w:val="14"/>
                          <w:lang w:eastAsia="uk-UA"/>
                        </w:rPr>
                        <m:t>=</m:t>
                      </m:r>
                      <m:d>
                        <m:dPr>
                          <m:ctrlPr>
                            <w:rPr>
                              <w:rFonts w:ascii="Cambria Math" w:hAnsi="Cambria Math"/>
                              <w:b/>
                              <w:i/>
                              <w:sz w:val="14"/>
                              <w:szCs w:val="14"/>
                              <w:lang w:eastAsia="uk-UA"/>
                            </w:rPr>
                          </m:ctrlPr>
                        </m:dPr>
                        <m:e>
                          <m:sSubSup>
                            <m:sSubSupPr>
                              <m:ctrlPr>
                                <w:rPr>
                                  <w:rFonts w:ascii="Cambria Math" w:hAnsi="Cambria Math"/>
                                  <w:b/>
                                  <w:i/>
                                  <w:sz w:val="14"/>
                                  <w:szCs w:val="14"/>
                                  <w:lang w:eastAsia="uk-UA"/>
                                </w:rPr>
                              </m:ctrlPr>
                            </m:sSubSupPr>
                            <m:e>
                              <m:r>
                                <m:rPr>
                                  <m:sty m:val="bi"/>
                                </m:rPr>
                                <w:rPr>
                                  <w:rFonts w:ascii="Cambria Math" w:hAnsi="Cambria Math"/>
                                  <w:sz w:val="14"/>
                                  <w:szCs w:val="14"/>
                                  <w:lang w:eastAsia="uk-UA"/>
                                </w:rPr>
                                <m:t>ОКВ</m:t>
                              </m:r>
                            </m:e>
                            <m:sub>
                              <m:r>
                                <m:rPr>
                                  <m:sty m:val="bi"/>
                                </m:rPr>
                                <w:rPr>
                                  <w:rFonts w:ascii="Cambria Math" w:hAnsi="Cambria Math"/>
                                  <w:sz w:val="14"/>
                                  <w:szCs w:val="14"/>
                                  <w:lang w:eastAsia="uk-UA"/>
                                </w:rPr>
                                <m:t>t-1</m:t>
                              </m:r>
                            </m:sub>
                            <m:sup>
                              <m:r>
                                <m:rPr>
                                  <m:sty m:val="bi"/>
                                </m:rPr>
                                <w:rPr>
                                  <w:rFonts w:ascii="Cambria Math" w:hAnsi="Cambria Math"/>
                                  <w:sz w:val="14"/>
                                  <w:szCs w:val="14"/>
                                  <w:lang w:eastAsia="uk-UA"/>
                                </w:rPr>
                                <m:t>n</m:t>
                              </m:r>
                            </m:sup>
                          </m:sSubSup>
                          <m:r>
                            <m:rPr>
                              <m:sty m:val="bi"/>
                            </m:rPr>
                            <w:rPr>
                              <w:rFonts w:ascii="Cambria Math" w:hAnsi="Cambria Math"/>
                              <w:sz w:val="14"/>
                              <w:szCs w:val="14"/>
                              <w:lang w:eastAsia="uk-UA"/>
                            </w:rPr>
                            <m:t>-</m:t>
                          </m:r>
                          <m:sSubSup>
                            <m:sSubSupPr>
                              <m:ctrlPr>
                                <w:rPr>
                                  <w:rFonts w:ascii="Cambria Math" w:hAnsi="Cambria Math"/>
                                  <w:b/>
                                  <w:i/>
                                  <w:sz w:val="14"/>
                                  <w:szCs w:val="14"/>
                                  <w:lang w:eastAsia="uk-UA"/>
                                </w:rPr>
                              </m:ctrlPr>
                            </m:sSubSupPr>
                            <m:e>
                              <m:r>
                                <m:rPr>
                                  <m:sty m:val="bi"/>
                                </m:rPr>
                                <w:rPr>
                                  <w:rFonts w:ascii="Cambria Math" w:hAnsi="Cambria Math"/>
                                  <w:sz w:val="14"/>
                                  <w:szCs w:val="14"/>
                                  <w:lang w:eastAsia="uk-UA"/>
                                </w:rPr>
                                <m:t>ФОП</m:t>
                              </m:r>
                            </m:e>
                            <m:sub>
                              <m:r>
                                <m:rPr>
                                  <m:sty m:val="bi"/>
                                </m:rPr>
                                <w:rPr>
                                  <w:rFonts w:ascii="Cambria Math" w:hAnsi="Cambria Math"/>
                                  <w:sz w:val="14"/>
                                  <w:szCs w:val="14"/>
                                  <w:lang w:eastAsia="uk-UA"/>
                                </w:rPr>
                                <m:t>t-1</m:t>
                              </m:r>
                            </m:sub>
                            <m:sup>
                              <m:r>
                                <m:rPr>
                                  <m:sty m:val="bi"/>
                                </m:rPr>
                                <w:rPr>
                                  <w:rFonts w:ascii="Cambria Math" w:hAnsi="Cambria Math"/>
                                  <w:sz w:val="14"/>
                                  <w:szCs w:val="14"/>
                                  <w:lang w:eastAsia="uk-UA"/>
                                </w:rPr>
                                <m:t>n</m:t>
                              </m:r>
                            </m:sup>
                          </m:sSubSup>
                        </m:e>
                      </m:d>
                      <m:r>
                        <m:rPr>
                          <m:sty m:val="bi"/>
                        </m:rPr>
                        <w:rPr>
                          <w:rFonts w:ascii="Cambria Math" w:hAnsi="Cambria Math"/>
                          <w:sz w:val="14"/>
                          <w:szCs w:val="14"/>
                          <w:lang w:eastAsia="uk-UA"/>
                        </w:rPr>
                        <m:t>×</m:t>
                      </m:r>
                      <m:f>
                        <m:fPr>
                          <m:ctrlPr>
                            <w:rPr>
                              <w:rFonts w:ascii="Cambria Math" w:hAnsi="Cambria Math"/>
                              <w:b/>
                              <w:i/>
                              <w:sz w:val="14"/>
                              <w:szCs w:val="14"/>
                              <w:lang w:eastAsia="uk-UA"/>
                            </w:rPr>
                          </m:ctrlPr>
                        </m:fPr>
                        <m:num>
                          <m:sSubSup>
                            <m:sSubSupPr>
                              <m:ctrlPr>
                                <w:rPr>
                                  <w:rFonts w:ascii="Cambria Math" w:hAnsi="Cambria Math"/>
                                  <w:b/>
                                  <w:i/>
                                  <w:sz w:val="14"/>
                                  <w:szCs w:val="14"/>
                                  <w:lang w:eastAsia="uk-UA"/>
                                </w:rPr>
                              </m:ctrlPr>
                            </m:sSubSupPr>
                            <m:e>
                              <m:r>
                                <m:rPr>
                                  <m:sty m:val="bi"/>
                                </m:rPr>
                                <w:rPr>
                                  <w:rFonts w:ascii="Cambria Math" w:hAnsi="Cambria Math"/>
                                  <w:sz w:val="14"/>
                                  <w:szCs w:val="14"/>
                                  <w:lang w:eastAsia="uk-UA"/>
                                </w:rPr>
                                <m:t>ІЦВ</m:t>
                              </m:r>
                            </m:e>
                            <m:sub>
                              <m:r>
                                <m:rPr>
                                  <m:sty m:val="bi"/>
                                </m:rPr>
                                <w:rPr>
                                  <w:rFonts w:ascii="Cambria Math" w:hAnsi="Cambria Math"/>
                                  <w:sz w:val="14"/>
                                  <w:szCs w:val="14"/>
                                  <w:lang w:eastAsia="uk-UA"/>
                                </w:rPr>
                                <m:t>t</m:t>
                              </m:r>
                            </m:sub>
                            <m:sup>
                              <m:r>
                                <m:rPr>
                                  <m:sty m:val="bi"/>
                                </m:rPr>
                                <w:rPr>
                                  <w:rFonts w:ascii="Cambria Math" w:hAnsi="Cambria Math"/>
                                  <w:sz w:val="14"/>
                                  <w:szCs w:val="14"/>
                                  <w:lang w:eastAsia="uk-UA"/>
                                </w:rPr>
                                <m:t>n</m:t>
                              </m:r>
                            </m:sup>
                          </m:sSubSup>
                        </m:num>
                        <m:den>
                          <m:r>
                            <m:rPr>
                              <m:sty m:val="bi"/>
                            </m:rPr>
                            <w:rPr>
                              <w:rFonts w:ascii="Cambria Math" w:hAnsi="Cambria Math"/>
                              <w:sz w:val="14"/>
                              <w:szCs w:val="14"/>
                              <w:lang w:eastAsia="uk-UA"/>
                            </w:rPr>
                            <m:t>100</m:t>
                          </m:r>
                        </m:den>
                      </m:f>
                      <m:r>
                        <m:rPr>
                          <m:sty m:val="bi"/>
                        </m:rPr>
                        <w:rPr>
                          <w:rFonts w:ascii="Cambria Math" w:hAnsi="Cambria Math"/>
                          <w:sz w:val="14"/>
                          <w:szCs w:val="14"/>
                          <w:lang w:eastAsia="uk-UA"/>
                        </w:rPr>
                        <m:t>×КФУ</m:t>
                      </m:r>
                      <m:r>
                        <m:rPr>
                          <m:sty m:val="bi"/>
                        </m:rPr>
                        <w:rPr>
                          <w:rFonts w:ascii="Cambria Math" w:hAnsi="Cambria Math"/>
                          <w:sz w:val="16"/>
                          <w:lang w:eastAsia="uk-UA"/>
                        </w:rPr>
                        <m:t>×</m:t>
                      </m:r>
                      <m:r>
                        <m:rPr>
                          <m:sty m:val="bi"/>
                        </m:rPr>
                        <w:rPr>
                          <w:rFonts w:ascii="Cambria Math" w:hAnsi="Cambria Math"/>
                          <w:sz w:val="14"/>
                          <w:szCs w:val="14"/>
                          <w:lang w:eastAsia="uk-UA"/>
                        </w:rPr>
                        <m:t xml:space="preserve"> </m:t>
                      </m:r>
                      <m:d>
                        <m:dPr>
                          <m:ctrlPr>
                            <w:rPr>
                              <w:rFonts w:ascii="Cambria Math" w:hAnsi="Cambria Math"/>
                              <w:b/>
                              <w:i/>
                              <w:sz w:val="14"/>
                              <w:szCs w:val="14"/>
                              <w:lang w:eastAsia="uk-UA"/>
                            </w:rPr>
                          </m:ctrlPr>
                        </m:dPr>
                        <m:e>
                          <m:r>
                            <m:rPr>
                              <m:sty m:val="bi"/>
                            </m:rPr>
                            <w:rPr>
                              <w:rFonts w:ascii="Cambria Math" w:hAnsi="Cambria Math"/>
                              <w:sz w:val="14"/>
                              <w:szCs w:val="14"/>
                              <w:lang w:eastAsia="uk-UA"/>
                            </w:rPr>
                            <m:t>1-</m:t>
                          </m:r>
                          <m:f>
                            <m:fPr>
                              <m:ctrlPr>
                                <w:rPr>
                                  <w:rFonts w:ascii="Cambria Math" w:hAnsi="Cambria Math"/>
                                  <w:b/>
                                  <w:i/>
                                  <w:sz w:val="14"/>
                                  <w:szCs w:val="14"/>
                                  <w:lang w:eastAsia="uk-UA"/>
                                </w:rPr>
                              </m:ctrlPr>
                            </m:fPr>
                            <m:num>
                              <m:sSub>
                                <m:sSubPr>
                                  <m:ctrlPr>
                                    <w:rPr>
                                      <w:rFonts w:ascii="Cambria Math" w:hAnsi="Cambria Math"/>
                                      <w:b/>
                                      <w:i/>
                                      <w:sz w:val="14"/>
                                      <w:szCs w:val="14"/>
                                      <w:lang w:eastAsia="uk-UA"/>
                                    </w:rPr>
                                  </m:ctrlPr>
                                </m:sSubPr>
                                <m:e>
                                  <m:r>
                                    <m:rPr>
                                      <m:sty m:val="bi"/>
                                    </m:rPr>
                                    <w:rPr>
                                      <w:rFonts w:ascii="Cambria Math" w:hAnsi="Cambria Math"/>
                                      <w:sz w:val="14"/>
                                      <w:szCs w:val="14"/>
                                      <w:lang w:eastAsia="uk-UA"/>
                                    </w:rPr>
                                    <m:t>ПЕ</m:t>
                                  </m:r>
                                </m:e>
                                <m:sub>
                                  <m:r>
                                    <m:rPr>
                                      <m:sty m:val="bi"/>
                                    </m:rPr>
                                    <w:rPr>
                                      <w:rFonts w:ascii="Cambria Math" w:hAnsi="Cambria Math"/>
                                      <w:sz w:val="14"/>
                                      <w:szCs w:val="14"/>
                                      <w:lang w:eastAsia="uk-UA"/>
                                    </w:rPr>
                                    <m:t>з</m:t>
                                  </m:r>
                                </m:sub>
                              </m:sSub>
                              <m:r>
                                <m:rPr>
                                  <m:sty m:val="bi"/>
                                </m:rPr>
                                <w:rPr>
                                  <w:rFonts w:ascii="Cambria Math" w:hAnsi="Cambria Math"/>
                                  <w:sz w:val="14"/>
                                  <w:szCs w:val="14"/>
                                  <w:lang w:eastAsia="uk-UA"/>
                                </w:rPr>
                                <m:t>+</m:t>
                              </m:r>
                              <m:sSub>
                                <m:sSubPr>
                                  <m:ctrlPr>
                                    <w:rPr>
                                      <w:rFonts w:ascii="Cambria Math" w:hAnsi="Cambria Math"/>
                                      <w:b/>
                                      <w:i/>
                                      <w:sz w:val="14"/>
                                      <w:szCs w:val="14"/>
                                      <w:lang w:eastAsia="uk-UA"/>
                                    </w:rPr>
                                  </m:ctrlPr>
                                </m:sSubPr>
                                <m:e>
                                  <m:r>
                                    <m:rPr>
                                      <m:sty m:val="bi"/>
                                    </m:rPr>
                                    <w:rPr>
                                      <w:rFonts w:ascii="Cambria Math" w:hAnsi="Cambria Math"/>
                                      <w:sz w:val="14"/>
                                      <w:szCs w:val="14"/>
                                      <w:lang w:eastAsia="uk-UA"/>
                                    </w:rPr>
                                    <m:t>ПЕ</m:t>
                                  </m:r>
                                </m:e>
                                <m:sub>
                                  <m:r>
                                    <m:rPr>
                                      <m:sty m:val="bi"/>
                                    </m:rPr>
                                    <w:rPr>
                                      <w:rFonts w:ascii="Cambria Math" w:hAnsi="Cambria Math"/>
                                      <w:sz w:val="14"/>
                                      <w:szCs w:val="14"/>
                                      <w:lang w:eastAsia="uk-UA"/>
                                    </w:rPr>
                                    <m:t>інд</m:t>
                                  </m:r>
                                </m:sub>
                              </m:sSub>
                            </m:num>
                            <m:den>
                              <m:r>
                                <m:rPr>
                                  <m:sty m:val="bi"/>
                                </m:rPr>
                                <w:rPr>
                                  <w:rFonts w:ascii="Cambria Math" w:hAnsi="Cambria Math"/>
                                  <w:sz w:val="14"/>
                                  <w:szCs w:val="14"/>
                                  <w:lang w:eastAsia="uk-UA"/>
                                </w:rPr>
                                <m:t>100</m:t>
                              </m:r>
                            </m:den>
                          </m:f>
                        </m:e>
                      </m:d>
                      <m:r>
                        <m:rPr>
                          <m:sty m:val="bi"/>
                        </m:rPr>
                        <w:rPr>
                          <w:rFonts w:ascii="Cambria Math" w:hAnsi="Cambria Math"/>
                          <w:sz w:val="14"/>
                          <w:szCs w:val="14"/>
                          <w:lang w:eastAsia="uk-UA"/>
                        </w:rPr>
                        <m:t>+</m:t>
                      </m:r>
                      <m:sSubSup>
                        <m:sSubSupPr>
                          <m:ctrlPr>
                            <w:rPr>
                              <w:rFonts w:ascii="Cambria Math" w:hAnsi="Cambria Math"/>
                              <w:b/>
                              <w:i/>
                              <w:sz w:val="14"/>
                              <w:szCs w:val="14"/>
                              <w:lang w:eastAsia="uk-UA"/>
                            </w:rPr>
                          </m:ctrlPr>
                        </m:sSubSupPr>
                        <m:e>
                          <m:r>
                            <m:rPr>
                              <m:sty m:val="bi"/>
                            </m:rPr>
                            <w:rPr>
                              <w:rFonts w:ascii="Cambria Math" w:hAnsi="Cambria Math"/>
                              <w:sz w:val="14"/>
                              <w:szCs w:val="14"/>
                              <w:lang w:eastAsia="uk-UA"/>
                            </w:rPr>
                            <m:t>ФОП</m:t>
                          </m:r>
                        </m:e>
                        <m:sub>
                          <m:r>
                            <m:rPr>
                              <m:sty m:val="bi"/>
                            </m:rPr>
                            <w:rPr>
                              <w:rFonts w:ascii="Cambria Math" w:hAnsi="Cambria Math"/>
                              <w:sz w:val="14"/>
                              <w:szCs w:val="14"/>
                              <w:lang w:eastAsia="uk-UA"/>
                            </w:rPr>
                            <m:t>t</m:t>
                          </m:r>
                        </m:sub>
                        <m:sup>
                          <m:r>
                            <m:rPr>
                              <m:sty m:val="bi"/>
                            </m:rPr>
                            <w:rPr>
                              <w:rFonts w:ascii="Cambria Math" w:hAnsi="Cambria Math"/>
                              <w:sz w:val="14"/>
                              <w:szCs w:val="14"/>
                              <w:lang w:eastAsia="uk-UA"/>
                            </w:rPr>
                            <m:t>n</m:t>
                          </m:r>
                        </m:sup>
                      </m:sSubSup>
                      <m:r>
                        <m:rPr>
                          <m:sty m:val="bi"/>
                        </m:rPr>
                        <w:rPr>
                          <w:rFonts w:ascii="Cambria Math" w:hAnsi="Cambria Math"/>
                          <w:sz w:val="14"/>
                          <w:szCs w:val="14"/>
                          <w:lang w:eastAsia="uk-UA"/>
                        </w:rPr>
                        <m:t>×</m:t>
                      </m:r>
                      <m:d>
                        <m:dPr>
                          <m:ctrlPr>
                            <w:rPr>
                              <w:rFonts w:ascii="Cambria Math" w:hAnsi="Cambria Math"/>
                              <w:b/>
                              <w:i/>
                              <w:sz w:val="14"/>
                              <w:szCs w:val="14"/>
                              <w:lang w:eastAsia="uk-UA"/>
                            </w:rPr>
                          </m:ctrlPr>
                        </m:dPr>
                        <m:e>
                          <m:r>
                            <m:rPr>
                              <m:sty m:val="bi"/>
                            </m:rPr>
                            <w:rPr>
                              <w:rFonts w:ascii="Cambria Math" w:hAnsi="Cambria Math"/>
                              <w:sz w:val="14"/>
                              <w:szCs w:val="14"/>
                              <w:lang w:eastAsia="uk-UA"/>
                            </w:rPr>
                            <m:t>1-</m:t>
                          </m:r>
                          <m:f>
                            <m:fPr>
                              <m:ctrlPr>
                                <w:rPr>
                                  <w:rFonts w:ascii="Cambria Math" w:hAnsi="Cambria Math"/>
                                  <w:b/>
                                  <w:i/>
                                  <w:sz w:val="14"/>
                                  <w:szCs w:val="14"/>
                                  <w:lang w:eastAsia="uk-UA"/>
                                </w:rPr>
                              </m:ctrlPr>
                            </m:fPr>
                            <m:num>
                              <m:sSub>
                                <m:sSubPr>
                                  <m:ctrlPr>
                                    <w:rPr>
                                      <w:rFonts w:ascii="Cambria Math" w:hAnsi="Cambria Math"/>
                                      <w:b/>
                                      <w:i/>
                                      <w:sz w:val="14"/>
                                      <w:szCs w:val="14"/>
                                      <w:lang w:eastAsia="uk-UA"/>
                                    </w:rPr>
                                  </m:ctrlPr>
                                </m:sSubPr>
                                <m:e>
                                  <m:r>
                                    <m:rPr>
                                      <m:sty m:val="bi"/>
                                    </m:rPr>
                                    <w:rPr>
                                      <w:rFonts w:ascii="Cambria Math" w:hAnsi="Cambria Math"/>
                                      <w:sz w:val="14"/>
                                      <w:szCs w:val="14"/>
                                      <w:lang w:eastAsia="uk-UA"/>
                                    </w:rPr>
                                    <m:t>ПЕ</m:t>
                                  </m:r>
                                </m:e>
                                <m:sub>
                                  <m:r>
                                    <m:rPr>
                                      <m:sty m:val="bi"/>
                                    </m:rPr>
                                    <w:rPr>
                                      <w:rFonts w:ascii="Cambria Math" w:hAnsi="Cambria Math"/>
                                      <w:sz w:val="14"/>
                                      <w:szCs w:val="14"/>
                                      <w:lang w:eastAsia="uk-UA"/>
                                    </w:rPr>
                                    <m:t>з</m:t>
                                  </m:r>
                                </m:sub>
                              </m:sSub>
                              <m:r>
                                <m:rPr>
                                  <m:sty m:val="bi"/>
                                </m:rPr>
                                <w:rPr>
                                  <w:rFonts w:ascii="Cambria Math" w:hAnsi="Cambria Math"/>
                                  <w:sz w:val="14"/>
                                  <w:szCs w:val="14"/>
                                  <w:lang w:eastAsia="uk-UA"/>
                                </w:rPr>
                                <m:t>+</m:t>
                              </m:r>
                              <m:sSub>
                                <m:sSubPr>
                                  <m:ctrlPr>
                                    <w:rPr>
                                      <w:rFonts w:ascii="Cambria Math" w:hAnsi="Cambria Math"/>
                                      <w:b/>
                                      <w:i/>
                                      <w:sz w:val="14"/>
                                      <w:szCs w:val="14"/>
                                      <w:lang w:eastAsia="uk-UA"/>
                                    </w:rPr>
                                  </m:ctrlPr>
                                </m:sSubPr>
                                <m:e>
                                  <m:r>
                                    <m:rPr>
                                      <m:sty m:val="bi"/>
                                    </m:rPr>
                                    <w:rPr>
                                      <w:rFonts w:ascii="Cambria Math" w:hAnsi="Cambria Math"/>
                                      <w:sz w:val="14"/>
                                      <w:szCs w:val="14"/>
                                      <w:lang w:eastAsia="uk-UA"/>
                                    </w:rPr>
                                    <m:t>ПЕ</m:t>
                                  </m:r>
                                </m:e>
                                <m:sub>
                                  <m:r>
                                    <m:rPr>
                                      <m:sty m:val="bi"/>
                                    </m:rPr>
                                    <w:rPr>
                                      <w:rFonts w:ascii="Cambria Math" w:hAnsi="Cambria Math"/>
                                      <w:sz w:val="14"/>
                                      <w:szCs w:val="14"/>
                                      <w:lang w:eastAsia="uk-UA"/>
                                    </w:rPr>
                                    <m:t>інд</m:t>
                                  </m:r>
                                </m:sub>
                              </m:sSub>
                            </m:num>
                            <m:den>
                              <m:r>
                                <m:rPr>
                                  <m:sty m:val="bi"/>
                                </m:rPr>
                                <w:rPr>
                                  <w:rFonts w:ascii="Cambria Math" w:hAnsi="Cambria Math"/>
                                  <w:sz w:val="14"/>
                                  <w:szCs w:val="14"/>
                                  <w:lang w:eastAsia="uk-UA"/>
                                </w:rPr>
                                <m:t>100</m:t>
                              </m:r>
                            </m:den>
                          </m:f>
                        </m:e>
                      </m:d>
                      <m:r>
                        <m:rPr>
                          <m:sty m:val="bi"/>
                        </m:rPr>
                        <w:rPr>
                          <w:rFonts w:ascii="Cambria Math" w:hAnsi="Cambria Math"/>
                          <w:sz w:val="14"/>
                          <w:szCs w:val="14"/>
                          <w:lang w:eastAsia="uk-UA"/>
                        </w:rPr>
                        <m:t>, тис.грн</m:t>
                      </m:r>
                    </m:oMath>
                  </m:oMathPara>
                  <w:bookmarkEnd w:id="4"/>
                </w:p>
              </w:tc>
              <w:tc>
                <w:tcPr>
                  <w:tcW w:w="41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(8)</w:t>
                  </w:r>
                </w:p>
              </w:tc>
            </w:tr>
            <w:tr w:rsidR="00CF2AC1" w:rsidRPr="005A615E" w:rsidTr="00DD03DD">
              <w:tc>
                <w:tcPr>
                  <w:tcW w:w="45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81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КФУ</w:t>
                  </w:r>
                </w:p>
              </w:tc>
              <w:tc>
                <w:tcPr>
                  <w:tcW w:w="27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5901" w:type="dxa"/>
                  <w:gridSpan w:val="4"/>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коригуючий коефіцієнт зміни фактичних умовних одиниць енергетичного обладнання ліцензіата, що знаходиться на контрольованій території держави, що розраховується за формулою</w:t>
                  </w:r>
                </w:p>
                <w:p w:rsidR="00CF2AC1" w:rsidRPr="005A615E" w:rsidRDefault="00CF2AC1" w:rsidP="00CF2AC1">
                  <w:pPr>
                    <w:spacing w:before="150" w:after="150"/>
                    <w:rPr>
                      <w:rFonts w:ascii="Times New Roman" w:hAnsi="Times New Roman"/>
                      <w:lang w:eastAsia="uk-UA"/>
                    </w:rPr>
                  </w:pPr>
                </w:p>
              </w:tc>
            </w:tr>
            <w:tr w:rsidR="00CF2AC1" w:rsidRPr="005A615E" w:rsidTr="00DD03DD">
              <w:tc>
                <w:tcPr>
                  <w:tcW w:w="6872" w:type="dxa"/>
                  <w:gridSpan w:val="5"/>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6E6CAE5D" wp14:editId="5A6A2024">
                        <wp:extent cx="2596551" cy="253921"/>
                        <wp:effectExtent l="0" t="0" r="0" b="0"/>
                        <wp:docPr id="204" name="Рисунок 204" descr="https://zakon.rada.gov.ua/laws/file/imgs/120/p478167n708-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zakon.rada.gov.ua/laws/file/imgs/120/p478167n708-30.jpg"/>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606687" cy="254912"/>
                                </a:xfrm>
                                <a:prstGeom prst="rect">
                                  <a:avLst/>
                                </a:prstGeom>
                                <a:noFill/>
                                <a:ln>
                                  <a:noFill/>
                                </a:ln>
                              </pic:spPr>
                            </pic:pic>
                          </a:graphicData>
                        </a:graphic>
                      </wp:inline>
                    </w:drawing>
                  </w:r>
                </w:p>
              </w:tc>
              <w:tc>
                <w:tcPr>
                  <w:tcW w:w="561"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(9)</w:t>
                  </w:r>
                </w:p>
              </w:tc>
            </w:tr>
            <w:tr w:rsidR="00CF2AC1" w:rsidRPr="005A615E" w:rsidTr="00DD03DD">
              <w:tc>
                <w:tcPr>
                  <w:tcW w:w="45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81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КУ</w:t>
                  </w:r>
                </w:p>
              </w:tc>
              <w:tc>
                <w:tcPr>
                  <w:tcW w:w="278"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коефіцієнт поправки на зміну кількості умовних одиниць обладнання (0 &lt; КУ  &lt; 1), встановлений НКРЕКП;</w:t>
                  </w:r>
                </w:p>
              </w:tc>
            </w:tr>
            <w:tr w:rsidR="00CF2AC1" w:rsidRPr="005A615E" w:rsidTr="00DD03DD">
              <w:tc>
                <w:tcPr>
                  <w:tcW w:w="7433" w:type="dxa"/>
                  <w:gridSpan w:val="7"/>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after="150"/>
                    <w:jc w:val="both"/>
                    <w:rPr>
                      <w:rFonts w:ascii="Times New Roman" w:hAnsi="Times New Roman"/>
                      <w:lang w:eastAsia="uk-UA"/>
                    </w:rPr>
                  </w:pPr>
                </w:p>
              </w:tc>
            </w:tr>
            <w:tr w:rsidR="00CF2AC1" w:rsidRPr="005A615E" w:rsidTr="00DD03DD">
              <w:tc>
                <w:tcPr>
                  <w:tcW w:w="45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p>
              </w:tc>
              <w:tc>
                <w:tcPr>
                  <w:tcW w:w="81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345FF6BF" wp14:editId="6089C5EA">
                        <wp:extent cx="400050" cy="219075"/>
                        <wp:effectExtent l="0" t="0" r="0" b="9525"/>
                        <wp:docPr id="205" name="Рисунок 205" descr="https://zakon.rada.gov.ua/laws/file/imgs/120/p478167n70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zakon.rada.gov.ua/laws/file/imgs/120/p478167n709-31.jp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p>
              </w:tc>
              <w:tc>
                <w:tcPr>
                  <w:tcW w:w="278"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зміна фактичної кількості умовних одиниць енергетичного обладнання, що знаходиться на контрольованій території держави, до кількості умовних одиниць енергетичного обладнання ліцензіата, врахованої у діючих тарифах;</w:t>
                  </w:r>
                </w:p>
              </w:tc>
            </w:tr>
            <w:tr w:rsidR="00CF2AC1" w:rsidRPr="005A615E" w:rsidTr="00DD03DD">
              <w:tc>
                <w:tcPr>
                  <w:tcW w:w="7433" w:type="dxa"/>
                  <w:gridSpan w:val="7"/>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after="150"/>
                    <w:ind w:firstLine="450"/>
                    <w:jc w:val="both"/>
                    <w:rPr>
                      <w:rFonts w:ascii="Times New Roman" w:hAnsi="Times New Roman"/>
                      <w:lang w:eastAsia="uk-UA"/>
                    </w:rPr>
                  </w:pPr>
                </w:p>
              </w:tc>
            </w:tr>
            <w:tr w:rsidR="00CF2AC1" w:rsidRPr="005A615E" w:rsidTr="00DD03DD">
              <w:tc>
                <w:tcPr>
                  <w:tcW w:w="45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p>
              </w:tc>
              <w:tc>
                <w:tcPr>
                  <w:tcW w:w="81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УО</w:t>
                  </w:r>
                  <w:r w:rsidRPr="005A615E">
                    <w:rPr>
                      <w:rFonts w:ascii="Times New Roman" w:hAnsi="Times New Roman"/>
                      <w:b/>
                      <w:bCs/>
                      <w:sz w:val="16"/>
                      <w:szCs w:val="16"/>
                      <w:vertAlign w:val="superscript"/>
                      <w:lang w:eastAsia="uk-UA"/>
                    </w:rPr>
                    <w:t>тар</w:t>
                  </w:r>
                </w:p>
              </w:tc>
              <w:tc>
                <w:tcPr>
                  <w:tcW w:w="278"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кількість умовних одиниць  енергетичного обладнання  ліцензіата, врахована у діючих тарифах.</w:t>
                  </w:r>
                </w:p>
              </w:tc>
            </w:tr>
            <w:tr w:rsidR="00CF2AC1" w:rsidRPr="005A615E" w:rsidTr="00DD03DD">
              <w:tc>
                <w:tcPr>
                  <w:tcW w:w="7433" w:type="dxa"/>
                  <w:gridSpan w:val="7"/>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after="150"/>
                    <w:ind w:firstLine="450"/>
                    <w:jc w:val="both"/>
                    <w:rPr>
                      <w:rFonts w:ascii="Times New Roman" w:hAnsi="Times New Roman"/>
                      <w:lang w:eastAsia="uk-UA"/>
                    </w:rPr>
                  </w:pPr>
                </w:p>
              </w:tc>
            </w:tr>
          </w:tbl>
          <w:p w:rsidR="00CF2AC1" w:rsidRPr="005A615E" w:rsidRDefault="00CF2AC1" w:rsidP="00CF2AC1">
            <w:pPr>
              <w:shd w:val="clear" w:color="auto" w:fill="FFFFFF"/>
              <w:spacing w:after="150"/>
              <w:ind w:firstLine="450"/>
              <w:jc w:val="both"/>
              <w:rPr>
                <w:rFonts w:ascii="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Для ліцензіатів, перелік яких наведено в додатку 30 до цього Порядку, при визначенні прогнозованого фонду оплати праці (витрат на оплату праці) у році t (ФОП</w:t>
            </w:r>
            <w:r w:rsidRPr="005A615E">
              <w:rPr>
                <w:rFonts w:ascii="Times New Roman" w:hAnsi="Times New Roman"/>
                <w:b/>
                <w:bCs/>
                <w:sz w:val="16"/>
                <w:szCs w:val="16"/>
                <w:vertAlign w:val="subscript"/>
                <w:lang w:eastAsia="uk-UA"/>
              </w:rPr>
              <w:t>t</w:t>
            </w:r>
            <w:r w:rsidRPr="005A615E">
              <w:rPr>
                <w:rFonts w:ascii="Times New Roman" w:hAnsi="Times New Roman"/>
                <w:b/>
                <w:bCs/>
                <w:sz w:val="16"/>
                <w:szCs w:val="16"/>
                <w:vertAlign w:val="superscript"/>
                <w:lang w:eastAsia="uk-UA"/>
              </w:rPr>
              <w:t>n</w:t>
            </w:r>
            <w:r w:rsidRPr="005A615E">
              <w:rPr>
                <w:rFonts w:ascii="Times New Roman" w:hAnsi="Times New Roman"/>
                <w:lang w:eastAsia="uk-UA"/>
              </w:rPr>
              <w:t xml:space="preserve">) , що розраховується відповідно до Порядку визначення витрат на оплату праці, на 2025 </w:t>
            </w:r>
            <w:r w:rsidRPr="005A615E">
              <w:rPr>
                <w:rFonts w:ascii="Times New Roman" w:hAnsi="Times New Roman"/>
                <w:b/>
                <w:lang w:eastAsia="uk-UA"/>
              </w:rPr>
              <w:t xml:space="preserve"> та 2026 роки</w:t>
            </w:r>
            <w:r w:rsidRPr="005A615E">
              <w:rPr>
                <w:rFonts w:ascii="Times New Roman" w:hAnsi="Times New Roman"/>
                <w:lang w:eastAsia="uk-UA"/>
              </w:rPr>
              <w:t xml:space="preserve"> та на кожний наступний рік тарифна чисельність працівників у році t (ТЧП</w:t>
            </w:r>
            <w:r w:rsidRPr="005A615E">
              <w:rPr>
                <w:rFonts w:ascii="Times New Roman" w:hAnsi="Times New Roman"/>
                <w:bCs/>
                <w:sz w:val="16"/>
                <w:szCs w:val="16"/>
                <w:vertAlign w:val="subscript"/>
                <w:lang w:eastAsia="uk-UA"/>
              </w:rPr>
              <w:t>t</w:t>
            </w:r>
            <w:r w:rsidRPr="005A615E">
              <w:rPr>
                <w:rFonts w:ascii="Times New Roman" w:hAnsi="Times New Roman"/>
                <w:bCs/>
                <w:sz w:val="16"/>
                <w:szCs w:val="16"/>
                <w:vertAlign w:val="superscript"/>
                <w:lang w:eastAsia="uk-UA"/>
              </w:rPr>
              <w:t>тар</w:t>
            </w:r>
            <w:r w:rsidRPr="005A615E">
              <w:rPr>
                <w:rFonts w:ascii="Times New Roman" w:hAnsi="Times New Roman"/>
                <w:lang w:eastAsia="uk-UA"/>
              </w:rPr>
              <w:t xml:space="preserve">) (розраховується за формулою </w:t>
            </w:r>
          </w:p>
          <w:tbl>
            <w:tblPr>
              <w:tblW w:w="5000" w:type="pct"/>
              <w:tblLayout w:type="fixed"/>
              <w:tblCellMar>
                <w:left w:w="0" w:type="dxa"/>
                <w:right w:w="0" w:type="dxa"/>
              </w:tblCellMar>
              <w:tblLook w:val="04A0" w:firstRow="1" w:lastRow="0" w:firstColumn="1" w:lastColumn="0" w:noHBand="0" w:noVBand="1"/>
            </w:tblPr>
            <w:tblGrid>
              <w:gridCol w:w="361"/>
              <w:gridCol w:w="658"/>
              <w:gridCol w:w="242"/>
              <w:gridCol w:w="4235"/>
              <w:gridCol w:w="514"/>
            </w:tblGrid>
            <w:tr w:rsidR="00CF2AC1" w:rsidRPr="005A615E" w:rsidTr="00DD03DD">
              <w:tc>
                <w:tcPr>
                  <w:tcW w:w="6801" w:type="dxa"/>
                  <w:gridSpan w:val="4"/>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207A9B9E" wp14:editId="1AB0CEAC">
                        <wp:extent cx="2133600" cy="240030"/>
                        <wp:effectExtent l="0" t="0" r="0" b="7620"/>
                        <wp:docPr id="206" name="Рисунок 206" descr="https://zakon.rada.gov.ua/laws/file/imgs/120/p478167n71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zakon.rada.gov.ua/laws/file/imgs/120/p478167n711-32.jpg"/>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134144" cy="240091"/>
                                </a:xfrm>
                                <a:prstGeom prst="rect">
                                  <a:avLst/>
                                </a:prstGeom>
                                <a:noFill/>
                                <a:ln>
                                  <a:noFill/>
                                </a:ln>
                              </pic:spPr>
                            </pic:pic>
                          </a:graphicData>
                        </a:graphic>
                      </wp:inline>
                    </w:drawing>
                  </w:r>
                </w:p>
              </w:tc>
              <w:tc>
                <w:tcPr>
                  <w:tcW w:w="632"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(10)</w:t>
                  </w:r>
                </w:p>
              </w:tc>
            </w:tr>
            <w:tr w:rsidR="00CF2AC1" w:rsidRPr="005A615E" w:rsidTr="00DD03DD">
              <w:tc>
                <w:tcPr>
                  <w:tcW w:w="442"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81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0BF560E6" wp14:editId="5F9304CF">
                        <wp:extent cx="400050" cy="166688"/>
                        <wp:effectExtent l="0" t="0" r="0" b="5080"/>
                        <wp:docPr id="207" name="Рисунок 207" descr="https://zakon.rada.gov.ua/laws/file/imgs/120/p478167n71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zakon.rada.gov.ua/laws/file/imgs/120/p478167n712-33.jpg"/>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03501" cy="168126"/>
                                </a:xfrm>
                                <a:prstGeom prst="rect">
                                  <a:avLst/>
                                </a:prstGeom>
                                <a:noFill/>
                                <a:ln>
                                  <a:noFill/>
                                </a:ln>
                              </pic:spPr>
                            </pic:pic>
                          </a:graphicData>
                        </a:graphic>
                      </wp:inline>
                    </w:drawing>
                  </w:r>
                </w:p>
              </w:tc>
              <w:tc>
                <w:tcPr>
                  <w:tcW w:w="29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5886"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тарифна чисельність працівників, що врахована у діючих тарифах, осіб.</w:t>
                  </w:r>
                </w:p>
                <w:p w:rsidR="00CF2AC1" w:rsidRPr="005A615E" w:rsidRDefault="00CF2AC1" w:rsidP="00CF2AC1">
                  <w:pPr>
                    <w:spacing w:before="150" w:after="150"/>
                    <w:rPr>
                      <w:rFonts w:ascii="Times New Roman" w:hAnsi="Times New Roman"/>
                      <w:lang w:eastAsia="uk-UA"/>
                    </w:rPr>
                  </w:pPr>
                </w:p>
              </w:tc>
            </w:tr>
          </w:tbl>
          <w:p w:rsidR="00CF2AC1" w:rsidRPr="005A615E" w:rsidRDefault="00CF2AC1" w:rsidP="00CF2AC1">
            <w:pPr>
              <w:ind w:firstLine="567"/>
              <w:contextualSpacing/>
              <w:jc w:val="both"/>
              <w:rPr>
                <w:rFonts w:ascii="Times New Roman" w:hAnsi="Times New Roman"/>
                <w:b/>
                <w:sz w:val="24"/>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«Запоріжжяобленерго» (лист </w:t>
            </w:r>
            <w:r w:rsidRPr="005A615E">
              <w:rPr>
                <w:rFonts w:ascii="Times New Roman" w:hAnsi="Times New Roman"/>
                <w:b/>
                <w:sz w:val="24"/>
                <w:u w:val="single"/>
              </w:rPr>
              <w:br/>
              <w:t>від 15.07.2026 № 001-33/663)</w:t>
            </w:r>
          </w:p>
          <w:p w:rsidR="00CF2AC1" w:rsidRPr="005A615E" w:rsidRDefault="00CF2AC1" w:rsidP="00CF2AC1">
            <w:pPr>
              <w:ind w:firstLine="173"/>
              <w:jc w:val="both"/>
              <w:rPr>
                <w:rFonts w:ascii="Times New Roman" w:eastAsia="Times New Roman" w:hAnsi="Times New Roman"/>
                <w:b/>
                <w:lang w:eastAsia="ru-RU"/>
              </w:rPr>
            </w:pPr>
            <w:r w:rsidRPr="005A615E">
              <w:rPr>
                <w:rFonts w:ascii="Times New Roman" w:eastAsia="Times New Roman" w:hAnsi="Times New Roman"/>
                <w:b/>
                <w:lang w:eastAsia="ru-RU"/>
              </w:rPr>
              <w:t xml:space="preserve">Пропонується п. 5.7 Порядку викласти в такій редакції: </w:t>
            </w:r>
          </w:p>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 xml:space="preserve">5.4. </w:t>
            </w:r>
            <w:r w:rsidRPr="005A615E">
              <w:rPr>
                <w:rFonts w:ascii="Times New Roman" w:eastAsia="Times New Roman" w:hAnsi="Times New Roman"/>
                <w:lang w:eastAsia="uk-UA"/>
              </w:rPr>
              <w:t>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за формулою</w:t>
            </w:r>
          </w:p>
          <w:tbl>
            <w:tblPr>
              <w:tblW w:w="4851" w:type="dxa"/>
              <w:tblLayout w:type="fixed"/>
              <w:tblCellMar>
                <w:left w:w="2" w:type="dxa"/>
                <w:right w:w="2" w:type="dxa"/>
              </w:tblCellMar>
              <w:tblLook w:val="04A0" w:firstRow="1" w:lastRow="0" w:firstColumn="1" w:lastColumn="0" w:noHBand="0" w:noVBand="1"/>
            </w:tblPr>
            <w:tblGrid>
              <w:gridCol w:w="326"/>
              <w:gridCol w:w="839"/>
              <w:gridCol w:w="279"/>
              <w:gridCol w:w="3123"/>
              <w:gridCol w:w="284"/>
            </w:tblGrid>
            <w:tr w:rsidR="00CF2AC1" w:rsidRPr="005A615E" w:rsidTr="00A31450">
              <w:trPr>
                <w:trHeight w:val="2149"/>
              </w:trPr>
              <w:tc>
                <w:tcPr>
                  <w:tcW w:w="4567" w:type="dxa"/>
                  <w:gridSpan w:val="4"/>
                  <w:tcBorders>
                    <w:top w:val="single" w:sz="2" w:space="0" w:color="000000"/>
                    <w:left w:val="single" w:sz="2" w:space="0" w:color="000000"/>
                    <w:bottom w:val="single" w:sz="2" w:space="0" w:color="000000"/>
                    <w:right w:val="single" w:sz="2" w:space="0" w:color="000000"/>
                  </w:tcBorders>
                </w:tcPr>
                <w:p w:rsidR="00CF2AC1" w:rsidRPr="005A615E" w:rsidRDefault="000D13C5" w:rsidP="00CF2AC1">
                  <w:pPr>
                    <w:spacing w:before="150" w:after="150"/>
                    <w:rPr>
                      <w:rFonts w:ascii="Times New Roman" w:hAnsi="Times New Roman"/>
                      <w:lang w:eastAsia="uk-UA"/>
                    </w:rPr>
                  </w:pPr>
                  <m:oMathPara>
                    <m:oMathParaPr>
                      <m:jc m:val="center"/>
                    </m:oMathParaPr>
                    <m:oMath>
                      <m:sSubSup>
                        <m:sSubSupPr>
                          <m:ctrlPr>
                            <w:rPr>
                              <w:rFonts w:ascii="Cambria Math" w:hAnsi="Cambria Math"/>
                            </w:rPr>
                          </m:ctrlPr>
                        </m:sSubSupPr>
                        <m:e>
                          <m:r>
                            <w:rPr>
                              <w:rFonts w:ascii="Cambria Math" w:hAnsi="Cambria Math"/>
                            </w:rPr>
                            <m:t>ОКВ</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ОКВ</m:t>
                              </m:r>
                            </m:e>
                            <m:sub>
                              <m:r>
                                <w:rPr>
                                  <w:rFonts w:ascii="Cambria Math" w:hAnsi="Cambria Math"/>
                                </w:rPr>
                                <m:t>t-1</m:t>
                              </m:r>
                            </m:sub>
                            <m:sup>
                              <m:r>
                                <w:rPr>
                                  <w:rFonts w:ascii="Cambria Math" w:hAnsi="Cambria Math"/>
                                </w:rPr>
                                <m:t>n</m:t>
                              </m:r>
                            </m:sup>
                          </m:sSubSup>
                          <m:r>
                            <w:rPr>
                              <w:rFonts w:ascii="Cambria Math" w:hAnsi="Cambria Math"/>
                            </w:rPr>
                            <m:t>-</m:t>
                          </m:r>
                          <m:sSubSup>
                            <m:sSubSupPr>
                              <m:ctrlPr>
                                <w:rPr>
                                  <w:rFonts w:ascii="Cambria Math" w:hAnsi="Cambria Math"/>
                                </w:rPr>
                              </m:ctrlPr>
                            </m:sSubSupPr>
                            <m:e>
                              <m:r>
                                <w:rPr>
                                  <w:rFonts w:ascii="Cambria Math" w:hAnsi="Cambria Math"/>
                                </w:rPr>
                                <m:t>ФОП</m:t>
                              </m:r>
                            </m:e>
                            <m:sub>
                              <m:r>
                                <w:rPr>
                                  <w:rFonts w:ascii="Cambria Math" w:hAnsi="Cambria Math"/>
                                </w:rPr>
                                <m:t>t-1</m:t>
                              </m:r>
                            </m:sub>
                            <m:sup>
                              <m:r>
                                <w:rPr>
                                  <w:rFonts w:ascii="Cambria Math" w:hAnsi="Cambria Math"/>
                                </w:rPr>
                                <m:t>n</m:t>
                              </m:r>
                            </m:sup>
                          </m:sSubSup>
                        </m:e>
                      </m:d>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ІЦВ</m:t>
                              </m:r>
                            </m:e>
                            <m:sub>
                              <m:r>
                                <w:rPr>
                                  <w:rFonts w:ascii="Cambria Math" w:hAnsi="Cambria Math"/>
                                </w:rPr>
                                <m:t>t</m:t>
                              </m:r>
                            </m:sub>
                            <m:sup>
                              <m:r>
                                <w:rPr>
                                  <w:rFonts w:ascii="Cambria Math" w:hAnsi="Cambria Math"/>
                                </w:rPr>
                                <m:t>n</m:t>
                              </m:r>
                            </m:sup>
                          </m:sSubSup>
                        </m:num>
                        <m:den>
                          <m:r>
                            <w:rPr>
                              <w:rFonts w:ascii="Cambria Math" w:hAnsi="Cambria Math"/>
                            </w:rPr>
                            <m:t>100</m:t>
                          </m:r>
                        </m:den>
                      </m:f>
                      <m:r>
                        <w:rPr>
                          <w:rFonts w:ascii="Cambria Math" w:hAnsi="Cambria Math"/>
                        </w:rPr>
                        <m:t>×</m:t>
                      </m:r>
                      <m:d>
                        <m:dPr>
                          <m:ctrlPr>
                            <w:rPr>
                              <w:rFonts w:ascii="Cambria Math" w:hAnsi="Cambria Math"/>
                            </w:rPr>
                          </m:ctrlPr>
                        </m:dPr>
                        <m:e>
                          <m: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ПЕ</m:t>
                                  </m:r>
                                </m:e>
                                <m:sub>
                                  <m:r>
                                    <w:rPr>
                                      <w:rFonts w:ascii="Cambria Math" w:hAnsi="Cambria Math"/>
                                    </w:rPr>
                                    <m:t>з</m:t>
                                  </m:r>
                                </m:sub>
                              </m:sSub>
                              <m:r>
                                <w:rPr>
                                  <w:rFonts w:ascii="Cambria Math" w:hAnsi="Cambria Math"/>
                                </w:rPr>
                                <m:t>+</m:t>
                              </m:r>
                              <m:sSub>
                                <m:sSubPr>
                                  <m:ctrlPr>
                                    <w:rPr>
                                      <w:rFonts w:ascii="Cambria Math" w:hAnsi="Cambria Math"/>
                                    </w:rPr>
                                  </m:ctrlPr>
                                </m:sSubPr>
                                <m:e>
                                  <m:r>
                                    <w:rPr>
                                      <w:rFonts w:ascii="Cambria Math" w:hAnsi="Cambria Math"/>
                                    </w:rPr>
                                    <m:t>ПЕ</m:t>
                                  </m:r>
                                </m:e>
                                <m:sub>
                                  <m:r>
                                    <w:rPr>
                                      <w:rFonts w:ascii="Cambria Math" w:hAnsi="Cambria Math"/>
                                    </w:rPr>
                                    <m:t>інд</m:t>
                                  </m:r>
                                </m:sub>
                              </m:sSub>
                            </m:num>
                            <m:den>
                              <m:r>
                                <w:rPr>
                                  <w:rFonts w:ascii="Cambria Math" w:hAnsi="Cambria Math"/>
                                </w:rPr>
                                <m:t>100</m:t>
                              </m:r>
                            </m:den>
                          </m:f>
                        </m:e>
                      </m:d>
                      <m:r>
                        <w:rPr>
                          <w:rFonts w:ascii="Cambria Math" w:hAnsi="Cambria Math"/>
                        </w:rPr>
                        <m:t>+</m:t>
                      </m:r>
                      <m:sSubSup>
                        <m:sSubSupPr>
                          <m:ctrlPr>
                            <w:rPr>
                              <w:rFonts w:ascii="Cambria Math" w:hAnsi="Cambria Math"/>
                            </w:rPr>
                          </m:ctrlPr>
                        </m:sSubSupPr>
                        <m:e>
                          <m:r>
                            <w:rPr>
                              <w:rFonts w:ascii="Cambria Math" w:hAnsi="Cambria Math"/>
                            </w:rPr>
                            <m:t>ФОП</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rPr>
                          </m:ctrlPr>
                        </m:dPr>
                        <m:e>
                          <m: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ПЕ</m:t>
                                  </m:r>
                                </m:e>
                                <m:sub>
                                  <m:r>
                                    <w:rPr>
                                      <w:rFonts w:ascii="Cambria Math" w:hAnsi="Cambria Math"/>
                                    </w:rPr>
                                    <m:t>з</m:t>
                                  </m:r>
                                </m:sub>
                              </m:sSub>
                              <m:r>
                                <w:rPr>
                                  <w:rFonts w:ascii="Cambria Math" w:hAnsi="Cambria Math"/>
                                </w:rPr>
                                <m:t>+</m:t>
                              </m:r>
                              <m:sSub>
                                <m:sSubPr>
                                  <m:ctrlPr>
                                    <w:rPr>
                                      <w:rFonts w:ascii="Cambria Math" w:hAnsi="Cambria Math"/>
                                    </w:rPr>
                                  </m:ctrlPr>
                                </m:sSubPr>
                                <m:e>
                                  <m:r>
                                    <w:rPr>
                                      <w:rFonts w:ascii="Cambria Math" w:hAnsi="Cambria Math"/>
                                    </w:rPr>
                                    <m:t>ПЕ</m:t>
                                  </m:r>
                                </m:e>
                                <m:sub>
                                  <m:r>
                                    <w:rPr>
                                      <w:rFonts w:ascii="Cambria Math" w:hAnsi="Cambria Math"/>
                                    </w:rPr>
                                    <m:t>інд</m:t>
                                  </m:r>
                                </m:sub>
                              </m:sSub>
                            </m:num>
                            <m:den>
                              <m:r>
                                <w:rPr>
                                  <w:rFonts w:ascii="Cambria Math" w:hAnsi="Cambria Math"/>
                                </w:rPr>
                                <m:t>100</m:t>
                              </m:r>
                            </m:den>
                          </m:f>
                        </m:e>
                      </m:d>
                      <m:r>
                        <w:rPr>
                          <w:rFonts w:ascii="Cambria Math" w:hAnsi="Cambria Math"/>
                        </w:rPr>
                        <m:t>,тис.грн,</m:t>
                      </m:r>
                    </m:oMath>
                  </m:oMathPara>
                </w:p>
              </w:tc>
              <w:tc>
                <w:tcPr>
                  <w:tcW w:w="284"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(7)</w:t>
                  </w:r>
                </w:p>
              </w:tc>
            </w:tr>
            <w:tr w:rsidR="00CF2AC1" w:rsidRPr="005A615E" w:rsidTr="00A31450">
              <w:tc>
                <w:tcPr>
                  <w:tcW w:w="326" w:type="dxa"/>
                  <w:vMerge w:val="restart"/>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де</w:t>
                  </w:r>
                </w:p>
              </w:tc>
              <w:tc>
                <w:tcPr>
                  <w:tcW w:w="83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rPr>
                    <w:drawing>
                      <wp:inline distT="0" distB="0" distL="0" distR="0" wp14:anchorId="262C6E50" wp14:editId="1190C93C">
                        <wp:extent cx="466725" cy="373380"/>
                        <wp:effectExtent l="0" t="0" r="0" b="0"/>
                        <wp:docPr id="11" name="Зображення2" descr="https://zakon.rada.gov.ua/laws/file/imgs/99/p478167n136v3-23.gif">
                          <a:hlinkClick xmlns:a="http://schemas.openxmlformats.org/drawingml/2006/main" r:id="rId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Зображення2" descr="https://zakon.rada.gov.ua/laws/file/imgs/99/p478167n136v3-23.gif">
                                  <a:hlinkClick r:id="rId64"/>
                                </pic:cNvPr>
                                <pic:cNvPicPr>
                                  <a:picLocks noChangeAspect="1" noChangeArrowheads="1"/>
                                </pic:cNvPicPr>
                              </pic:nvPicPr>
                              <pic:blipFill>
                                <a:blip r:embed="rId65"/>
                                <a:stretch>
                                  <a:fillRect/>
                                </a:stretch>
                              </pic:blipFill>
                              <pic:spPr bwMode="auto">
                                <a:xfrm>
                                  <a:off x="0" y="0"/>
                                  <a:ext cx="466725" cy="373380"/>
                                </a:xfrm>
                                <a:prstGeom prst="rect">
                                  <a:avLst/>
                                </a:prstGeom>
                                <a:noFill/>
                              </pic:spPr>
                            </pic:pic>
                          </a:graphicData>
                        </a:graphic>
                      </wp:inline>
                    </w:drawing>
                  </w:r>
                </w:p>
              </w:tc>
              <w:tc>
                <w:tcPr>
                  <w:tcW w:w="27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407"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прогнозовані операційні контрольовані витрати в році t-1 (для першого року першого періоду регулювання ОКВnt-1 = ОКВ0, ОКВ0 визначається з урахуванням </w:t>
                  </w:r>
                  <w:hyperlink r:id="rId84" w:anchor="n138" w:history="1">
                    <w:r w:rsidRPr="005A615E">
                      <w:rPr>
                        <w:rFonts w:ascii="Times New Roman" w:hAnsi="Times New Roman"/>
                        <w:lang w:eastAsia="uk-UA"/>
                      </w:rPr>
                      <w:t>пункту 5.6</w:t>
                    </w:r>
                  </w:hyperlink>
                  <w:r w:rsidRPr="005A615E">
                    <w:rPr>
                      <w:rFonts w:ascii="Times New Roman" w:hAnsi="Times New Roman"/>
                      <w:lang w:eastAsia="uk-UA"/>
                    </w:rPr>
                    <w:t> цієї глави, а для першого року другого та наступних регуляторних періодів визначається з урахуванням </w:t>
                  </w:r>
                  <w:hyperlink r:id="rId85" w:anchor="n140" w:history="1">
                    <w:r w:rsidRPr="005A615E">
                      <w:rPr>
                        <w:rFonts w:ascii="Times New Roman" w:hAnsi="Times New Roman"/>
                        <w:lang w:eastAsia="uk-UA"/>
                      </w:rPr>
                      <w:t>пункту 5.7</w:t>
                    </w:r>
                  </w:hyperlink>
                  <w:r w:rsidRPr="005A615E">
                    <w:rPr>
                      <w:rFonts w:ascii="Times New Roman" w:hAnsi="Times New Roman"/>
                      <w:lang w:eastAsia="uk-UA"/>
                    </w:rPr>
                    <w:t> цієї глави), тис. грн.</w:t>
                  </w:r>
                  <w:r w:rsidRPr="005A615E">
                    <w:rPr>
                      <w:rFonts w:ascii="Times New Roman" w:hAnsi="Times New Roman"/>
                      <w:b/>
                      <w:lang w:eastAsia="uk-UA"/>
                    </w:rPr>
                    <w:t xml:space="preserve"> Для ліцензіатів, перелік яких наведено в додатку 30  до цього Порядку, на період дії  воєнного стану ОКВ</w:t>
                  </w:r>
                  <w:r w:rsidRPr="005A615E">
                    <w:rPr>
                      <w:rFonts w:ascii="Times New Roman" w:hAnsi="Times New Roman"/>
                      <w:b/>
                      <w:vertAlign w:val="subscript"/>
                      <w:lang w:eastAsia="uk-UA"/>
                    </w:rPr>
                    <w:t xml:space="preserve">0 </w:t>
                  </w:r>
                  <w:r w:rsidRPr="005A615E">
                    <w:rPr>
                      <w:rFonts w:ascii="Times New Roman" w:hAnsi="Times New Roman"/>
                      <w:b/>
                      <w:lang w:eastAsia="uk-UA"/>
                    </w:rPr>
                    <w:t>визначати без урахування </w:t>
                  </w:r>
                  <w:hyperlink r:id="rId86" w:anchor="n140" w:history="1">
                    <w:r w:rsidRPr="005A615E">
                      <w:rPr>
                        <w:rFonts w:ascii="Times New Roman" w:hAnsi="Times New Roman"/>
                        <w:b/>
                        <w:lang w:eastAsia="uk-UA"/>
                      </w:rPr>
                      <w:t>пункту 5.7</w:t>
                    </w:r>
                  </w:hyperlink>
                  <w:r w:rsidRPr="005A615E">
                    <w:rPr>
                      <w:rFonts w:ascii="Times New Roman" w:hAnsi="Times New Roman"/>
                      <w:b/>
                      <w:lang w:eastAsia="uk-UA"/>
                    </w:rPr>
                    <w:t> цієї глави, тис. грн;</w:t>
                  </w:r>
                </w:p>
              </w:tc>
            </w:tr>
            <w:tr w:rsidR="00CF2AC1" w:rsidRPr="005A615E" w:rsidTr="00A31450">
              <w:tc>
                <w:tcPr>
                  <w:tcW w:w="326" w:type="dxa"/>
                  <w:vMerge/>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rPr>
                      <w:rFonts w:ascii="Times New Roman" w:hAnsi="Times New Roman"/>
                      <w:lang w:eastAsia="uk-UA"/>
                    </w:rPr>
                  </w:pPr>
                </w:p>
              </w:tc>
              <w:tc>
                <w:tcPr>
                  <w:tcW w:w="83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rPr>
                    <w:drawing>
                      <wp:inline distT="0" distB="0" distL="0" distR="0" wp14:anchorId="7A84B1EC" wp14:editId="4FAAB49A">
                        <wp:extent cx="419100" cy="257175"/>
                        <wp:effectExtent l="0" t="0" r="0" b="0"/>
                        <wp:docPr id="12" name="Зображення3" descr="https://zakon.rada.gov.ua/laws/file/imgs/99/p478167n136v3-24.gif">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Зображення3" descr="https://zakon.rada.gov.ua/laws/file/imgs/99/p478167n136v3-24.gif">
                                  <a:hlinkClick r:id="rId68"/>
                                </pic:cNvPr>
                                <pic:cNvPicPr>
                                  <a:picLocks noChangeAspect="1" noChangeArrowheads="1"/>
                                </pic:cNvPicPr>
                              </pic:nvPicPr>
                              <pic:blipFill>
                                <a:blip r:embed="rId69"/>
                                <a:stretch>
                                  <a:fillRect/>
                                </a:stretch>
                              </pic:blipFill>
                              <pic:spPr bwMode="auto">
                                <a:xfrm>
                                  <a:off x="0" y="0"/>
                                  <a:ext cx="419100" cy="257175"/>
                                </a:xfrm>
                                <a:prstGeom prst="rect">
                                  <a:avLst/>
                                </a:prstGeom>
                                <a:noFill/>
                              </pic:spPr>
                            </pic:pic>
                          </a:graphicData>
                        </a:graphic>
                      </wp:inline>
                    </w:drawing>
                  </w:r>
                </w:p>
              </w:tc>
              <w:tc>
                <w:tcPr>
                  <w:tcW w:w="27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407"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прогнозований фонд оплати праці (витрати на оплату праці) у році t-1, що розрахований відповідно до </w:t>
                  </w:r>
                  <w:hyperlink r:id="rId87" w:anchor="n12" w:tgtFrame="_blank">
                    <w:r w:rsidRPr="005A615E">
                      <w:rPr>
                        <w:rFonts w:ascii="Times New Roman" w:hAnsi="Times New Roman"/>
                        <w:lang w:eastAsia="uk-UA"/>
                      </w:rPr>
                      <w:t>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5A615E">
                    <w:rPr>
                      <w:rFonts w:ascii="Times New Roman" w:hAnsi="Times New Roman"/>
                      <w:lang w:eastAsia="uk-UA"/>
                    </w:rPr>
                    <w:t>, затвердженого постановою НКРЕКП від 26 жовтня 2015 року № 2645, зареєстрованого в Міністерстві юстиції України 13 листопада 2015 року за № 1431/27876 (далі - Порядок визначення витрат на оплату праці) (для першого року другого та наступних регуляторних періодів визначається з урахуванням пункту 5.7 цієї глави), тис. грн.</w:t>
                  </w:r>
                  <w:r w:rsidRPr="005A615E">
                    <w:rPr>
                      <w:rFonts w:ascii="Times New Roman" w:hAnsi="Times New Roman"/>
                      <w:b/>
                      <w:lang w:eastAsia="uk-UA"/>
                    </w:rPr>
                    <w:t xml:space="preserve"> Для ліцензіатів, перелік яких наведено в додатку 30  до цього Порядку</w:t>
                  </w:r>
                  <w:r w:rsidRPr="005A615E">
                    <w:rPr>
                      <w:rFonts w:ascii="Times New Roman" w:hAnsi="Times New Roman"/>
                      <w:lang w:eastAsia="uk-UA"/>
                    </w:rPr>
                    <w:t xml:space="preserve">, </w:t>
                  </w:r>
                  <w:r w:rsidRPr="005A615E">
                    <w:rPr>
                      <w:rFonts w:ascii="Times New Roman" w:hAnsi="Times New Roman"/>
                      <w:b/>
                      <w:lang w:eastAsia="uk-UA"/>
                    </w:rPr>
                    <w:t>на період дії воєнного стану визначати без урахування </w:t>
                  </w:r>
                  <w:hyperlink r:id="rId88" w:anchor="n140" w:history="1">
                    <w:r w:rsidRPr="005A615E">
                      <w:rPr>
                        <w:rFonts w:ascii="Times New Roman" w:hAnsi="Times New Roman"/>
                        <w:b/>
                        <w:lang w:eastAsia="uk-UA"/>
                      </w:rPr>
                      <w:t>пункту 5.7</w:t>
                    </w:r>
                  </w:hyperlink>
                  <w:r w:rsidRPr="005A615E">
                    <w:rPr>
                      <w:rFonts w:ascii="Times New Roman" w:hAnsi="Times New Roman"/>
                      <w:b/>
                      <w:lang w:eastAsia="uk-UA"/>
                    </w:rPr>
                    <w:t> цієї глави, тис. грн;</w:t>
                  </w:r>
                </w:p>
              </w:tc>
            </w:tr>
            <w:tr w:rsidR="00CF2AC1" w:rsidRPr="005A615E" w:rsidTr="00A31450">
              <w:tc>
                <w:tcPr>
                  <w:tcW w:w="326" w:type="dxa"/>
                  <w:vMerge/>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rPr>
                      <w:rFonts w:ascii="Times New Roman" w:hAnsi="Times New Roman"/>
                      <w:lang w:eastAsia="uk-UA"/>
                    </w:rPr>
                  </w:pPr>
                </w:p>
              </w:tc>
              <w:tc>
                <w:tcPr>
                  <w:tcW w:w="83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rPr>
                    <w:drawing>
                      <wp:inline distT="0" distB="0" distL="0" distR="0" wp14:anchorId="62DF5A2D" wp14:editId="2D934F35">
                        <wp:extent cx="495300" cy="257175"/>
                        <wp:effectExtent l="0" t="0" r="0" b="0"/>
                        <wp:docPr id="13" name="Зображення4" descr="https://zakon.rada.gov.ua/laws/file/imgs/99/p478167n136v3-25.gif">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Зображення4" descr="https://zakon.rada.gov.ua/laws/file/imgs/99/p478167n136v3-25.gif">
                                  <a:hlinkClick r:id="rId71"/>
                                </pic:cNvPr>
                                <pic:cNvPicPr>
                                  <a:picLocks noChangeAspect="1" noChangeArrowheads="1"/>
                                </pic:cNvPicPr>
                              </pic:nvPicPr>
                              <pic:blipFill>
                                <a:blip r:embed="rId72"/>
                                <a:stretch>
                                  <a:fillRect/>
                                </a:stretch>
                              </pic:blipFill>
                              <pic:spPr bwMode="auto">
                                <a:xfrm>
                                  <a:off x="0" y="0"/>
                                  <a:ext cx="495300" cy="257175"/>
                                </a:xfrm>
                                <a:prstGeom prst="rect">
                                  <a:avLst/>
                                </a:prstGeom>
                                <a:noFill/>
                              </pic:spPr>
                            </pic:pic>
                          </a:graphicData>
                        </a:graphic>
                      </wp:inline>
                    </w:drawing>
                  </w:r>
                </w:p>
              </w:tc>
              <w:tc>
                <w:tcPr>
                  <w:tcW w:w="27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407"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прогнозований фонд оплати праці (витрати на оплату праці) у році t, що розрахований відповідно до </w:t>
                  </w:r>
                  <w:hyperlink r:id="rId89" w:anchor="n12" w:tgtFrame="_blank">
                    <w:r w:rsidRPr="005A615E">
                      <w:rPr>
                        <w:rFonts w:ascii="Times New Roman" w:hAnsi="Times New Roman"/>
                        <w:u w:val="single"/>
                        <w:lang w:eastAsia="uk-UA"/>
                      </w:rPr>
                      <w:t>Порядку визначення витрат на оплату праці</w:t>
                    </w:r>
                  </w:hyperlink>
                  <w:r w:rsidRPr="005A615E">
                    <w:rPr>
                      <w:rFonts w:ascii="Times New Roman" w:hAnsi="Times New Roman"/>
                      <w:lang w:eastAsia="uk-UA"/>
                    </w:rPr>
                    <w:t xml:space="preserve"> (для першого року другого та наступних регуляторних періодів визначається з урахуванням пункту 5.7 цієї глави),</w:t>
                  </w:r>
                  <w:r w:rsidRPr="005A615E">
                    <w:rPr>
                      <w:rFonts w:ascii="Times New Roman" w:hAnsi="Times New Roman"/>
                      <w:b/>
                      <w:lang w:eastAsia="uk-UA"/>
                    </w:rPr>
                    <w:t xml:space="preserve"> </w:t>
                  </w:r>
                  <w:r w:rsidRPr="005A615E">
                    <w:rPr>
                      <w:rFonts w:ascii="Times New Roman" w:hAnsi="Times New Roman"/>
                      <w:lang w:eastAsia="uk-UA"/>
                    </w:rPr>
                    <w:t xml:space="preserve">тис.грн. </w:t>
                  </w:r>
                  <w:r w:rsidRPr="005A615E">
                    <w:rPr>
                      <w:rFonts w:ascii="Times New Roman" w:hAnsi="Times New Roman"/>
                      <w:b/>
                      <w:lang w:eastAsia="uk-UA"/>
                    </w:rPr>
                    <w:t>Для ліцензіатів, перелік яких наведено в додатку 30  до цього Порядку</w:t>
                  </w:r>
                  <w:r w:rsidRPr="005A615E">
                    <w:rPr>
                      <w:rFonts w:ascii="Times New Roman" w:hAnsi="Times New Roman"/>
                      <w:lang w:eastAsia="uk-UA"/>
                    </w:rPr>
                    <w:t xml:space="preserve">, </w:t>
                  </w:r>
                  <w:r w:rsidRPr="005A615E">
                    <w:rPr>
                      <w:rFonts w:ascii="Times New Roman" w:hAnsi="Times New Roman"/>
                      <w:b/>
                      <w:lang w:eastAsia="uk-UA"/>
                    </w:rPr>
                    <w:t xml:space="preserve">на період дії воєнного стану </w:t>
                  </w:r>
                  <w:r w:rsidRPr="005A615E">
                    <w:rPr>
                      <w:rFonts w:ascii="Times New Roman" w:hAnsi="Times New Roman"/>
                      <w:b/>
                      <w:vertAlign w:val="subscript"/>
                      <w:lang w:eastAsia="uk-UA"/>
                    </w:rPr>
                    <w:t xml:space="preserve"> </w:t>
                  </w:r>
                  <w:r w:rsidRPr="005A615E">
                    <w:rPr>
                      <w:rFonts w:ascii="Times New Roman" w:hAnsi="Times New Roman"/>
                      <w:b/>
                      <w:lang w:eastAsia="uk-UA"/>
                    </w:rPr>
                    <w:t>визначати без урахування </w:t>
                  </w:r>
                  <w:hyperlink r:id="rId90" w:anchor="n140" w:history="1">
                    <w:r w:rsidRPr="005A615E">
                      <w:rPr>
                        <w:rFonts w:ascii="Times New Roman" w:hAnsi="Times New Roman"/>
                        <w:b/>
                        <w:lang w:eastAsia="uk-UA"/>
                      </w:rPr>
                      <w:t>пункту 5.7</w:t>
                    </w:r>
                  </w:hyperlink>
                  <w:r w:rsidRPr="005A615E">
                    <w:rPr>
                      <w:rFonts w:ascii="Times New Roman" w:hAnsi="Times New Roman"/>
                      <w:b/>
                      <w:lang w:eastAsia="uk-UA"/>
                    </w:rPr>
                    <w:t> цієї глави, тис. грн;</w:t>
                  </w:r>
                </w:p>
              </w:tc>
            </w:tr>
            <w:tr w:rsidR="00CF2AC1" w:rsidRPr="005A615E" w:rsidTr="00A31450">
              <w:tc>
                <w:tcPr>
                  <w:tcW w:w="326" w:type="dxa"/>
                  <w:vMerge/>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rPr>
                      <w:rFonts w:ascii="Times New Roman" w:hAnsi="Times New Roman"/>
                      <w:lang w:eastAsia="uk-UA"/>
                    </w:rPr>
                  </w:pPr>
                </w:p>
              </w:tc>
              <w:tc>
                <w:tcPr>
                  <w:tcW w:w="83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rPr>
                    <w:drawing>
                      <wp:inline distT="0" distB="0" distL="0" distR="0" wp14:anchorId="07527C73" wp14:editId="027CF33D">
                        <wp:extent cx="390525" cy="257175"/>
                        <wp:effectExtent l="0" t="0" r="0" b="0"/>
                        <wp:docPr id="14" name="Зображення5" descr="https://zakon.rada.gov.ua/laws/file/imgs/99/p478167n136v3-26.gif">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Зображення5" descr="https://zakon.rada.gov.ua/laws/file/imgs/99/p478167n136v3-26.gif">
                                  <a:hlinkClick r:id="rId74"/>
                                </pic:cNvPr>
                                <pic:cNvPicPr>
                                  <a:picLocks noChangeAspect="1" noChangeArrowheads="1"/>
                                </pic:cNvPicPr>
                              </pic:nvPicPr>
                              <pic:blipFill>
                                <a:blip r:embed="rId75"/>
                                <a:stretch>
                                  <a:fillRect/>
                                </a:stretch>
                              </pic:blipFill>
                              <pic:spPr bwMode="auto">
                                <a:xfrm>
                                  <a:off x="0" y="0"/>
                                  <a:ext cx="390525" cy="257175"/>
                                </a:xfrm>
                                <a:prstGeom prst="rect">
                                  <a:avLst/>
                                </a:prstGeom>
                                <a:noFill/>
                              </pic:spPr>
                            </pic:pic>
                          </a:graphicData>
                        </a:graphic>
                      </wp:inline>
                    </w:drawing>
                  </w:r>
                </w:p>
              </w:tc>
              <w:tc>
                <w:tcPr>
                  <w:tcW w:w="27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407"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прогнозований індекс цін виробників промислової продукції для року </w:t>
                  </w:r>
                  <w:r w:rsidRPr="005A615E">
                    <w:rPr>
                      <w:rFonts w:ascii="Times New Roman" w:hAnsi="Times New Roman"/>
                      <w:i/>
                      <w:iCs/>
                      <w:lang w:eastAsia="uk-UA"/>
                    </w:rPr>
                    <w:t>t</w:t>
                  </w:r>
                  <w:r w:rsidRPr="005A615E">
                    <w:rPr>
                      <w:rFonts w:ascii="Times New Roman" w:hAnsi="Times New Roman"/>
                      <w:lang w:eastAsia="uk-UA"/>
                    </w:rPr>
                    <w:t>, %;</w:t>
                  </w:r>
                </w:p>
              </w:tc>
            </w:tr>
            <w:tr w:rsidR="00CF2AC1" w:rsidRPr="005A615E" w:rsidTr="00A31450">
              <w:tc>
                <w:tcPr>
                  <w:tcW w:w="326" w:type="dxa"/>
                  <w:vMerge/>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rPr>
                      <w:rFonts w:ascii="Times New Roman" w:hAnsi="Times New Roman"/>
                      <w:lang w:eastAsia="uk-UA"/>
                    </w:rPr>
                  </w:pPr>
                </w:p>
              </w:tc>
              <w:tc>
                <w:tcPr>
                  <w:tcW w:w="83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rPr>
                    <w:drawing>
                      <wp:inline distT="0" distB="0" distL="0" distR="0" wp14:anchorId="0E8C2C20" wp14:editId="32858D9D">
                        <wp:extent cx="323850" cy="238125"/>
                        <wp:effectExtent l="0" t="0" r="0" b="0"/>
                        <wp:docPr id="15" name="Зображення6" descr="https://zakon.rada.gov.ua/laws/file/imgs/99/p478167n136v3-27.gif">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Зображення6" descr="https://zakon.rada.gov.ua/laws/file/imgs/99/p478167n136v3-27.gif">
                                  <a:hlinkClick r:id="rId76"/>
                                </pic:cNvPr>
                                <pic:cNvPicPr>
                                  <a:picLocks noChangeAspect="1" noChangeArrowheads="1"/>
                                </pic:cNvPicPr>
                              </pic:nvPicPr>
                              <pic:blipFill>
                                <a:blip r:embed="rId77"/>
                                <a:stretch>
                                  <a:fillRect/>
                                </a:stretch>
                              </pic:blipFill>
                              <pic:spPr bwMode="auto">
                                <a:xfrm>
                                  <a:off x="0" y="0"/>
                                  <a:ext cx="323850" cy="238125"/>
                                </a:xfrm>
                                <a:prstGeom prst="rect">
                                  <a:avLst/>
                                </a:prstGeom>
                                <a:noFill/>
                              </pic:spPr>
                            </pic:pic>
                          </a:graphicData>
                        </a:graphic>
                      </wp:inline>
                    </w:drawing>
                  </w:r>
                </w:p>
              </w:tc>
              <w:tc>
                <w:tcPr>
                  <w:tcW w:w="27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407"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загальний показник ефективності для операційних контрольованих витрат, встановлений НКРЕКП, %;</w:t>
                  </w:r>
                </w:p>
              </w:tc>
            </w:tr>
            <w:tr w:rsidR="00CF2AC1" w:rsidRPr="005A615E" w:rsidTr="00A31450">
              <w:tc>
                <w:tcPr>
                  <w:tcW w:w="326" w:type="dxa"/>
                  <w:vMerge/>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rPr>
                      <w:rFonts w:ascii="Times New Roman" w:hAnsi="Times New Roman"/>
                      <w:lang w:eastAsia="uk-UA"/>
                    </w:rPr>
                  </w:pPr>
                </w:p>
              </w:tc>
              <w:tc>
                <w:tcPr>
                  <w:tcW w:w="83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rPr>
                    <w:drawing>
                      <wp:inline distT="0" distB="0" distL="0" distR="0" wp14:anchorId="48967D2D" wp14:editId="504D0994">
                        <wp:extent cx="400050" cy="238125"/>
                        <wp:effectExtent l="0" t="0" r="0" b="0"/>
                        <wp:docPr id="16" name="Зображення7" descr="https://zakon.rada.gov.ua/laws/file/imgs/99/p478167n136v3-28.gif">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Зображення7" descr="https://zakon.rada.gov.ua/laws/file/imgs/99/p478167n136v3-28.gif">
                                  <a:hlinkClick r:id="rId78"/>
                                </pic:cNvPr>
                                <pic:cNvPicPr>
                                  <a:picLocks noChangeAspect="1" noChangeArrowheads="1"/>
                                </pic:cNvPicPr>
                              </pic:nvPicPr>
                              <pic:blipFill>
                                <a:blip r:embed="rId79"/>
                                <a:stretch>
                                  <a:fillRect/>
                                </a:stretch>
                              </pic:blipFill>
                              <pic:spPr bwMode="auto">
                                <a:xfrm>
                                  <a:off x="0" y="0"/>
                                  <a:ext cx="400050" cy="238125"/>
                                </a:xfrm>
                                <a:prstGeom prst="rect">
                                  <a:avLst/>
                                </a:prstGeom>
                                <a:noFill/>
                              </pic:spPr>
                            </pic:pic>
                          </a:graphicData>
                        </a:graphic>
                      </wp:inline>
                    </w:drawing>
                  </w:r>
                </w:p>
              </w:tc>
              <w:tc>
                <w:tcPr>
                  <w:tcW w:w="279"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407"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індивідуальний показник ефективності для контрольованих операційних витрат окремого ліцензіата, встановлений НКРЕКП, %.</w:t>
                  </w:r>
                </w:p>
              </w:tc>
            </w:tr>
          </w:tbl>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eastAsia="Times New Roman" w:hAnsi="Times New Roman"/>
                <w:lang w:eastAsia="uk-UA"/>
              </w:rPr>
              <w:t>Для ліцензіатів, перелік яких наведено в додатку 30 до цього Порядку, прогнозовані операційні контрольовані витрати з розподілу електричної енергії на 2025  та 2026 роки та на кожний наступний рік розраховуються за формулою</w:t>
            </w:r>
          </w:p>
          <w:tbl>
            <w:tblPr>
              <w:tblW w:w="4926" w:type="dxa"/>
              <w:tblLayout w:type="fixed"/>
              <w:tblCellMar>
                <w:left w:w="2" w:type="dxa"/>
                <w:right w:w="2" w:type="dxa"/>
              </w:tblCellMar>
              <w:tblLook w:val="04A0" w:firstRow="1" w:lastRow="0" w:firstColumn="1" w:lastColumn="0" w:noHBand="0" w:noVBand="1"/>
            </w:tblPr>
            <w:tblGrid>
              <w:gridCol w:w="301"/>
              <w:gridCol w:w="581"/>
              <w:gridCol w:w="186"/>
              <w:gridCol w:w="7"/>
              <w:gridCol w:w="3474"/>
              <w:gridCol w:w="95"/>
              <w:gridCol w:w="282"/>
            </w:tblGrid>
            <w:tr w:rsidR="00CF2AC1" w:rsidRPr="005A615E" w:rsidTr="008B4B5D">
              <w:tc>
                <w:tcPr>
                  <w:tcW w:w="4644" w:type="dxa"/>
                  <w:gridSpan w:val="6"/>
                  <w:tcBorders>
                    <w:top w:val="single" w:sz="2" w:space="0" w:color="000000"/>
                    <w:left w:val="single" w:sz="2" w:space="0" w:color="000000"/>
                    <w:bottom w:val="single" w:sz="2" w:space="0" w:color="000000"/>
                    <w:right w:val="single" w:sz="2" w:space="0" w:color="000000"/>
                  </w:tcBorders>
                </w:tcPr>
                <w:p w:rsidR="00CF2AC1" w:rsidRPr="005A615E" w:rsidRDefault="000D13C5" w:rsidP="00CF2AC1">
                  <w:pPr>
                    <w:spacing w:before="150" w:after="150"/>
                    <w:rPr>
                      <w:rFonts w:ascii="Times New Roman" w:hAnsi="Times New Roman"/>
                      <w:b/>
                      <w:lang w:eastAsia="uk-UA"/>
                    </w:rPr>
                  </w:pPr>
                  <m:oMathPara>
                    <m:oMathParaPr>
                      <m:jc m:val="center"/>
                    </m:oMathParaPr>
                    <m:oMath>
                      <m:sSubSup>
                        <m:sSubSupPr>
                          <m:ctrlPr>
                            <w:rPr>
                              <w:rFonts w:ascii="Cambria Math" w:hAnsi="Cambria Math"/>
                            </w:rPr>
                          </m:ctrlPr>
                        </m:sSubSupPr>
                        <m:e>
                          <m:r>
                            <w:rPr>
                              <w:rFonts w:ascii="Cambria Math" w:hAnsi="Cambria Math"/>
                            </w:rPr>
                            <m:t>ОКВ</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ОКВ</m:t>
                              </m:r>
                            </m:e>
                            <m:sub>
                              <m:r>
                                <w:rPr>
                                  <w:rFonts w:ascii="Cambria Math" w:hAnsi="Cambria Math"/>
                                </w:rPr>
                                <m:t>t-1</m:t>
                              </m:r>
                            </m:sub>
                            <m:sup>
                              <m:r>
                                <w:rPr>
                                  <w:rFonts w:ascii="Cambria Math" w:hAnsi="Cambria Math"/>
                                </w:rPr>
                                <m:t>n</m:t>
                              </m:r>
                            </m:sup>
                          </m:sSubSup>
                          <m:r>
                            <w:rPr>
                              <w:rFonts w:ascii="Cambria Math" w:hAnsi="Cambria Math"/>
                            </w:rPr>
                            <m:t>-</m:t>
                          </m:r>
                          <m:sSubSup>
                            <m:sSubSupPr>
                              <m:ctrlPr>
                                <w:rPr>
                                  <w:rFonts w:ascii="Cambria Math" w:hAnsi="Cambria Math"/>
                                </w:rPr>
                              </m:ctrlPr>
                            </m:sSubSupPr>
                            <m:e>
                              <m:r>
                                <w:rPr>
                                  <w:rFonts w:ascii="Cambria Math" w:hAnsi="Cambria Math"/>
                                </w:rPr>
                                <m:t>ФОП</m:t>
                              </m:r>
                            </m:e>
                            <m:sub>
                              <m:r>
                                <w:rPr>
                                  <w:rFonts w:ascii="Cambria Math" w:hAnsi="Cambria Math"/>
                                </w:rPr>
                                <m:t>t-1</m:t>
                              </m:r>
                            </m:sub>
                            <m:sup>
                              <m:r>
                                <w:rPr>
                                  <w:rFonts w:ascii="Cambria Math" w:hAnsi="Cambria Math"/>
                                </w:rPr>
                                <m:t>n</m:t>
                              </m:r>
                            </m:sup>
                          </m:sSubSup>
                        </m:e>
                      </m:d>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ІЦВ</m:t>
                              </m:r>
                            </m:e>
                            <m:sub>
                              <m:r>
                                <w:rPr>
                                  <w:rFonts w:ascii="Cambria Math" w:hAnsi="Cambria Math"/>
                                </w:rPr>
                                <m:t>t</m:t>
                              </m:r>
                            </m:sub>
                            <m:sup>
                              <m:r>
                                <w:rPr>
                                  <w:rFonts w:ascii="Cambria Math" w:hAnsi="Cambria Math"/>
                                </w:rPr>
                                <m:t>n</m:t>
                              </m:r>
                            </m:sup>
                          </m:sSubSup>
                        </m:num>
                        <m:den>
                          <m:r>
                            <w:rPr>
                              <w:rFonts w:ascii="Cambria Math" w:hAnsi="Cambria Math"/>
                            </w:rPr>
                            <m:t>100</m:t>
                          </m:r>
                        </m:den>
                      </m:f>
                      <m:r>
                        <w:rPr>
                          <w:rFonts w:ascii="Cambria Math" w:hAnsi="Cambria Math"/>
                        </w:rPr>
                        <m:t>×КФУ×</m:t>
                      </m:r>
                      <m:d>
                        <m:dPr>
                          <m:ctrlPr>
                            <w:rPr>
                              <w:rFonts w:ascii="Cambria Math" w:hAnsi="Cambria Math"/>
                            </w:rPr>
                          </m:ctrlPr>
                        </m:dPr>
                        <m:e>
                          <m: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ПЕ</m:t>
                                  </m:r>
                                </m:e>
                                <m:sub>
                                  <m:r>
                                    <w:rPr>
                                      <w:rFonts w:ascii="Cambria Math" w:hAnsi="Cambria Math"/>
                                    </w:rPr>
                                    <m:t>з</m:t>
                                  </m:r>
                                </m:sub>
                              </m:sSub>
                              <m:r>
                                <w:rPr>
                                  <w:rFonts w:ascii="Cambria Math" w:hAnsi="Cambria Math"/>
                                </w:rPr>
                                <m:t>+</m:t>
                              </m:r>
                              <m:sSub>
                                <m:sSubPr>
                                  <m:ctrlPr>
                                    <w:rPr>
                                      <w:rFonts w:ascii="Cambria Math" w:hAnsi="Cambria Math"/>
                                    </w:rPr>
                                  </m:ctrlPr>
                                </m:sSubPr>
                                <m:e>
                                  <m:r>
                                    <w:rPr>
                                      <w:rFonts w:ascii="Cambria Math" w:hAnsi="Cambria Math"/>
                                    </w:rPr>
                                    <m:t>ПЕ</m:t>
                                  </m:r>
                                </m:e>
                                <m:sub>
                                  <m:r>
                                    <w:rPr>
                                      <w:rFonts w:ascii="Cambria Math" w:hAnsi="Cambria Math"/>
                                    </w:rPr>
                                    <m:t>інд</m:t>
                                  </m:r>
                                </m:sub>
                              </m:sSub>
                            </m:num>
                            <m:den>
                              <m:r>
                                <w:rPr>
                                  <w:rFonts w:ascii="Cambria Math" w:hAnsi="Cambria Math"/>
                                </w:rPr>
                                <m:t>100</m:t>
                              </m:r>
                            </m:den>
                          </m:f>
                        </m:e>
                      </m:d>
                      <m:r>
                        <w:rPr>
                          <w:rFonts w:ascii="Cambria Math" w:hAnsi="Cambria Math"/>
                        </w:rPr>
                        <m:t>+</m:t>
                      </m:r>
                      <m:sSubSup>
                        <m:sSubSupPr>
                          <m:ctrlPr>
                            <w:rPr>
                              <w:rFonts w:ascii="Cambria Math" w:hAnsi="Cambria Math"/>
                            </w:rPr>
                          </m:ctrlPr>
                        </m:sSubSupPr>
                        <m:e>
                          <m:r>
                            <w:rPr>
                              <w:rFonts w:ascii="Cambria Math" w:hAnsi="Cambria Math"/>
                            </w:rPr>
                            <m:t>ФОП</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rPr>
                          </m:ctrlPr>
                        </m:dPr>
                        <m:e>
                          <m: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ПЕ</m:t>
                                  </m:r>
                                </m:e>
                                <m:sub>
                                  <m:r>
                                    <w:rPr>
                                      <w:rFonts w:ascii="Cambria Math" w:hAnsi="Cambria Math"/>
                                    </w:rPr>
                                    <m:t>з</m:t>
                                  </m:r>
                                </m:sub>
                              </m:sSub>
                              <m:r>
                                <w:rPr>
                                  <w:rFonts w:ascii="Cambria Math" w:hAnsi="Cambria Math"/>
                                </w:rPr>
                                <m:t>+</m:t>
                              </m:r>
                              <m:sSub>
                                <m:sSubPr>
                                  <m:ctrlPr>
                                    <w:rPr>
                                      <w:rFonts w:ascii="Cambria Math" w:hAnsi="Cambria Math"/>
                                    </w:rPr>
                                  </m:ctrlPr>
                                </m:sSubPr>
                                <m:e>
                                  <m:r>
                                    <w:rPr>
                                      <w:rFonts w:ascii="Cambria Math" w:hAnsi="Cambria Math"/>
                                    </w:rPr>
                                    <m:t>ПЕ</m:t>
                                  </m:r>
                                </m:e>
                                <m:sub>
                                  <m:r>
                                    <w:rPr>
                                      <w:rFonts w:ascii="Cambria Math" w:hAnsi="Cambria Math"/>
                                    </w:rPr>
                                    <m:t>інд</m:t>
                                  </m:r>
                                </m:sub>
                              </m:sSub>
                            </m:num>
                            <m:den>
                              <m:r>
                                <w:rPr>
                                  <w:rFonts w:ascii="Cambria Math" w:hAnsi="Cambria Math"/>
                                </w:rPr>
                                <m:t>100</m:t>
                              </m:r>
                            </m:den>
                          </m:f>
                        </m:e>
                      </m:d>
                      <m:r>
                        <w:rPr>
                          <w:rFonts w:ascii="Cambria Math" w:hAnsi="Cambria Math"/>
                        </w:rPr>
                        <m:t>,тис.грн</m:t>
                      </m:r>
                    </m:oMath>
                  </m:oMathPara>
                </w:p>
              </w:tc>
              <w:tc>
                <w:tcPr>
                  <w:tcW w:w="282"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(8)</w:t>
                  </w:r>
                </w:p>
              </w:tc>
            </w:tr>
            <w:tr w:rsidR="00CF2AC1" w:rsidRPr="005A615E" w:rsidTr="008B4B5D">
              <w:tc>
                <w:tcPr>
                  <w:tcW w:w="301"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581"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КФУ</w:t>
                  </w:r>
                </w:p>
              </w:tc>
              <w:tc>
                <w:tcPr>
                  <w:tcW w:w="186"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858" w:type="dxa"/>
                  <w:gridSpan w:val="4"/>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коригуючий коефіцієнт зміни фактичних умовних одиниць енергетичного обладнання ліцензіата, що знаходиться на контрольованій території держави, що розраховується за формулою</w:t>
                  </w:r>
                </w:p>
                <w:p w:rsidR="00CF2AC1" w:rsidRPr="005A615E" w:rsidRDefault="00CF2AC1" w:rsidP="00CF2AC1">
                  <w:pPr>
                    <w:spacing w:before="150" w:after="150"/>
                    <w:rPr>
                      <w:rFonts w:ascii="Times New Roman" w:hAnsi="Times New Roman"/>
                      <w:lang w:eastAsia="uk-UA"/>
                    </w:rPr>
                  </w:pPr>
                </w:p>
              </w:tc>
            </w:tr>
            <w:tr w:rsidR="00CF2AC1" w:rsidRPr="005A615E" w:rsidTr="008B4B5D">
              <w:tc>
                <w:tcPr>
                  <w:tcW w:w="4549" w:type="dxa"/>
                  <w:gridSpan w:val="5"/>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rPr>
                    <w:drawing>
                      <wp:inline distT="0" distB="0" distL="0" distR="0" wp14:anchorId="367551A0" wp14:editId="4DC93F51">
                        <wp:extent cx="2596515" cy="254000"/>
                        <wp:effectExtent l="0" t="0" r="0" b="0"/>
                        <wp:docPr id="17" name="Зображення8" descr="https://zakon.rada.gov.ua/laws/file/imgs/120/p478167n708-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Зображення8" descr="https://zakon.rada.gov.ua/laws/file/imgs/120/p478167n708-30.jpg"/>
                                <pic:cNvPicPr>
                                  <a:picLocks noChangeAspect="1" noChangeArrowheads="1"/>
                                </pic:cNvPicPr>
                              </pic:nvPicPr>
                              <pic:blipFill>
                                <a:blip r:embed="rId80"/>
                                <a:stretch>
                                  <a:fillRect/>
                                </a:stretch>
                              </pic:blipFill>
                              <pic:spPr bwMode="auto">
                                <a:xfrm>
                                  <a:off x="0" y="0"/>
                                  <a:ext cx="2596515" cy="254000"/>
                                </a:xfrm>
                                <a:prstGeom prst="rect">
                                  <a:avLst/>
                                </a:prstGeom>
                                <a:noFill/>
                              </pic:spPr>
                            </pic:pic>
                          </a:graphicData>
                        </a:graphic>
                      </wp:inline>
                    </w:drawing>
                  </w:r>
                </w:p>
              </w:tc>
              <w:tc>
                <w:tcPr>
                  <w:tcW w:w="377"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(9)</w:t>
                  </w:r>
                </w:p>
              </w:tc>
            </w:tr>
            <w:tr w:rsidR="00CF2AC1" w:rsidRPr="005A615E" w:rsidTr="008B4B5D">
              <w:tc>
                <w:tcPr>
                  <w:tcW w:w="301"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581"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КУ</w:t>
                  </w:r>
                </w:p>
              </w:tc>
              <w:tc>
                <w:tcPr>
                  <w:tcW w:w="193"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851" w:type="dxa"/>
                  <w:gridSpan w:val="3"/>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коефіцієнт поправки на зміну кількості умовних одиниць обладнання (0 &lt; КУ  &lt; 1), встановлений НКРЕКП;</w:t>
                  </w:r>
                </w:p>
              </w:tc>
            </w:tr>
            <w:tr w:rsidR="00CF2AC1" w:rsidRPr="005A615E" w:rsidTr="008B4B5D">
              <w:tc>
                <w:tcPr>
                  <w:tcW w:w="4926" w:type="dxa"/>
                  <w:gridSpan w:val="7"/>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after="150"/>
                    <w:jc w:val="both"/>
                    <w:rPr>
                      <w:rFonts w:ascii="Times New Roman" w:hAnsi="Times New Roman"/>
                      <w:lang w:eastAsia="uk-UA"/>
                    </w:rPr>
                  </w:pPr>
                </w:p>
              </w:tc>
            </w:tr>
            <w:tr w:rsidR="00CF2AC1" w:rsidRPr="005A615E" w:rsidTr="008B4B5D">
              <w:tc>
                <w:tcPr>
                  <w:tcW w:w="301"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p>
              </w:tc>
              <w:tc>
                <w:tcPr>
                  <w:tcW w:w="581"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sz w:val="18"/>
                    </w:rPr>
                    <w:drawing>
                      <wp:inline distT="0" distB="0" distL="0" distR="0" wp14:anchorId="3C8ED83F" wp14:editId="4F0AD036">
                        <wp:extent cx="400050" cy="219075"/>
                        <wp:effectExtent l="0" t="0" r="0" b="0"/>
                        <wp:docPr id="18" name="Зображення9" descr="https://zakon.rada.gov.ua/laws/file/imgs/120/p478167n70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Зображення9" descr="https://zakon.rada.gov.ua/laws/file/imgs/120/p478167n709-31.jpg"/>
                                <pic:cNvPicPr>
                                  <a:picLocks noChangeAspect="1" noChangeArrowheads="1"/>
                                </pic:cNvPicPr>
                              </pic:nvPicPr>
                              <pic:blipFill>
                                <a:blip r:embed="rId81"/>
                                <a:stretch>
                                  <a:fillRect/>
                                </a:stretch>
                              </pic:blipFill>
                              <pic:spPr bwMode="auto">
                                <a:xfrm>
                                  <a:off x="0" y="0"/>
                                  <a:ext cx="400050" cy="219075"/>
                                </a:xfrm>
                                <a:prstGeom prst="rect">
                                  <a:avLst/>
                                </a:prstGeom>
                                <a:noFill/>
                              </pic:spPr>
                            </pic:pic>
                          </a:graphicData>
                        </a:graphic>
                      </wp:inline>
                    </w:drawing>
                  </w:r>
                </w:p>
              </w:tc>
              <w:tc>
                <w:tcPr>
                  <w:tcW w:w="193"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851" w:type="dxa"/>
                  <w:gridSpan w:val="3"/>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зміна фактичної кількості умовних одиниць енергетичного обладнання, що знаходиться на контрольованій території держави, до кількості умовних одиниць енергетичного обладнання ліцензіата, врахованої у діючих тарифах;</w:t>
                  </w:r>
                </w:p>
              </w:tc>
            </w:tr>
            <w:tr w:rsidR="00CF2AC1" w:rsidRPr="005A615E" w:rsidTr="008B4B5D">
              <w:tc>
                <w:tcPr>
                  <w:tcW w:w="4926" w:type="dxa"/>
                  <w:gridSpan w:val="7"/>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after="150"/>
                    <w:ind w:firstLine="450"/>
                    <w:jc w:val="both"/>
                    <w:rPr>
                      <w:rFonts w:ascii="Times New Roman" w:hAnsi="Times New Roman"/>
                      <w:lang w:eastAsia="uk-UA"/>
                    </w:rPr>
                  </w:pPr>
                </w:p>
              </w:tc>
            </w:tr>
            <w:tr w:rsidR="00CF2AC1" w:rsidRPr="005A615E" w:rsidTr="008B4B5D">
              <w:tc>
                <w:tcPr>
                  <w:tcW w:w="301"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p>
              </w:tc>
              <w:tc>
                <w:tcPr>
                  <w:tcW w:w="581"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УО</w:t>
                  </w:r>
                  <w:r w:rsidRPr="005A615E">
                    <w:rPr>
                      <w:rFonts w:ascii="Times New Roman" w:hAnsi="Times New Roman"/>
                      <w:b/>
                      <w:bCs/>
                      <w:vertAlign w:val="superscript"/>
                      <w:lang w:eastAsia="uk-UA"/>
                    </w:rPr>
                    <w:t>тар</w:t>
                  </w:r>
                </w:p>
              </w:tc>
              <w:tc>
                <w:tcPr>
                  <w:tcW w:w="193"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851" w:type="dxa"/>
                  <w:gridSpan w:val="3"/>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кількість умовних одиниць  енергетичного обладнання  ліцензіата, врахована у діючих тарифах.</w:t>
                  </w:r>
                </w:p>
              </w:tc>
            </w:tr>
            <w:tr w:rsidR="00CF2AC1" w:rsidRPr="005A615E" w:rsidTr="008B4B5D">
              <w:tc>
                <w:tcPr>
                  <w:tcW w:w="4926" w:type="dxa"/>
                  <w:gridSpan w:val="7"/>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after="150"/>
                    <w:ind w:firstLine="450"/>
                    <w:jc w:val="both"/>
                    <w:rPr>
                      <w:rFonts w:ascii="Times New Roman" w:hAnsi="Times New Roman"/>
                      <w:lang w:eastAsia="uk-UA"/>
                    </w:rPr>
                  </w:pPr>
                </w:p>
              </w:tc>
            </w:tr>
          </w:tbl>
          <w:p w:rsidR="00CF2AC1" w:rsidRPr="005A615E" w:rsidRDefault="00CF2AC1" w:rsidP="00CF2AC1">
            <w:pPr>
              <w:shd w:val="clear" w:color="auto" w:fill="FFFFFF"/>
              <w:spacing w:after="150"/>
              <w:ind w:firstLine="173"/>
              <w:jc w:val="both"/>
              <w:rPr>
                <w:rFonts w:ascii="Times New Roman" w:eastAsia="Times New Roman" w:hAnsi="Times New Roman"/>
                <w:lang w:eastAsia="uk-UA"/>
              </w:rPr>
            </w:pPr>
            <w:r w:rsidRPr="005A615E">
              <w:rPr>
                <w:rFonts w:ascii="Times New Roman" w:eastAsia="Times New Roman" w:hAnsi="Times New Roman"/>
                <w:lang w:eastAsia="uk-UA"/>
              </w:rPr>
              <w:t>Для ліцензіатів, перелік яких наведено в додатку 30 до цього Порядку, при визначенні прогнозованого фонду оплати праці (витрат на оплату праці) у році t (ФОП</w:t>
            </w:r>
            <w:r w:rsidRPr="005A615E">
              <w:rPr>
                <w:rFonts w:ascii="Times New Roman" w:eastAsia="Times New Roman" w:hAnsi="Times New Roman"/>
                <w:b/>
                <w:bCs/>
                <w:vertAlign w:val="subscript"/>
                <w:lang w:eastAsia="uk-UA"/>
              </w:rPr>
              <w:t>t</w:t>
            </w:r>
            <w:r w:rsidRPr="005A615E">
              <w:rPr>
                <w:rFonts w:ascii="Times New Roman" w:eastAsia="Times New Roman" w:hAnsi="Times New Roman"/>
                <w:b/>
                <w:bCs/>
                <w:vertAlign w:val="superscript"/>
                <w:lang w:eastAsia="uk-UA"/>
              </w:rPr>
              <w:t>n</w:t>
            </w:r>
            <w:r w:rsidRPr="005A615E">
              <w:rPr>
                <w:rFonts w:ascii="Times New Roman" w:eastAsia="Times New Roman" w:hAnsi="Times New Roman"/>
                <w:lang w:eastAsia="uk-UA"/>
              </w:rPr>
              <w:t>), що розраховується відповідно до Порядку визначення витрат на оплату праці, на 2025</w:t>
            </w:r>
            <w:r w:rsidRPr="005A615E">
              <w:rPr>
                <w:rFonts w:ascii="Times New Roman" w:eastAsia="Times New Roman" w:hAnsi="Times New Roman"/>
                <w:b/>
                <w:lang w:eastAsia="uk-UA"/>
              </w:rPr>
              <w:t xml:space="preserve"> </w:t>
            </w:r>
            <w:r w:rsidRPr="005A615E">
              <w:rPr>
                <w:rFonts w:ascii="Times New Roman" w:eastAsia="Times New Roman" w:hAnsi="Times New Roman"/>
                <w:lang w:eastAsia="uk-UA"/>
              </w:rPr>
              <w:t>та 2026 роки та на кожний наступний рік тарифна чисельність працівників у році t (ТЧП</w:t>
            </w:r>
            <w:r w:rsidRPr="005A615E">
              <w:rPr>
                <w:rFonts w:ascii="Times New Roman" w:eastAsia="Times New Roman" w:hAnsi="Times New Roman"/>
                <w:bCs/>
                <w:vertAlign w:val="subscript"/>
                <w:lang w:eastAsia="uk-UA"/>
              </w:rPr>
              <w:t>t</w:t>
            </w:r>
            <w:r w:rsidRPr="005A615E">
              <w:rPr>
                <w:rFonts w:ascii="Times New Roman" w:eastAsia="Times New Roman" w:hAnsi="Times New Roman"/>
                <w:bCs/>
                <w:vertAlign w:val="superscript"/>
                <w:lang w:eastAsia="uk-UA"/>
              </w:rPr>
              <w:t>тар</w:t>
            </w:r>
            <w:r w:rsidRPr="005A615E">
              <w:rPr>
                <w:rFonts w:ascii="Times New Roman" w:eastAsia="Times New Roman" w:hAnsi="Times New Roman"/>
                <w:lang w:eastAsia="uk-UA"/>
              </w:rPr>
              <w:t xml:space="preserve">) (розраховується за формулою </w:t>
            </w:r>
          </w:p>
          <w:tbl>
            <w:tblPr>
              <w:tblpPr w:leftFromText="180" w:rightFromText="180" w:vertAnchor="text" w:horzAnchor="margin" w:tblpYSpec="outside"/>
              <w:tblOverlap w:val="never"/>
              <w:tblW w:w="5000" w:type="pct"/>
              <w:tblLayout w:type="fixed"/>
              <w:tblCellMar>
                <w:left w:w="2" w:type="dxa"/>
                <w:right w:w="2" w:type="dxa"/>
              </w:tblCellMar>
              <w:tblLook w:val="04A0" w:firstRow="1" w:lastRow="0" w:firstColumn="1" w:lastColumn="0" w:noHBand="0" w:noVBand="1"/>
            </w:tblPr>
            <w:tblGrid>
              <w:gridCol w:w="316"/>
              <w:gridCol w:w="568"/>
              <w:gridCol w:w="212"/>
              <w:gridCol w:w="3624"/>
              <w:gridCol w:w="445"/>
            </w:tblGrid>
            <w:tr w:rsidR="00CF2AC1" w:rsidRPr="005A615E" w:rsidTr="007B192D">
              <w:tc>
                <w:tcPr>
                  <w:tcW w:w="4460" w:type="dxa"/>
                  <w:gridSpan w:val="4"/>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rPr>
                    <w:drawing>
                      <wp:inline distT="0" distB="0" distL="0" distR="0" wp14:anchorId="6CE293F6" wp14:editId="4B53373B">
                        <wp:extent cx="2133600" cy="240030"/>
                        <wp:effectExtent l="0" t="0" r="0" b="0"/>
                        <wp:docPr id="19" name="Зображення10" descr="https://zakon.rada.gov.ua/laws/file/imgs/120/p478167n71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Зображення10" descr="https://zakon.rada.gov.ua/laws/file/imgs/120/p478167n711-32.jpg"/>
                                <pic:cNvPicPr>
                                  <a:picLocks noChangeAspect="1" noChangeArrowheads="1"/>
                                </pic:cNvPicPr>
                              </pic:nvPicPr>
                              <pic:blipFill>
                                <a:blip r:embed="rId82"/>
                                <a:stretch>
                                  <a:fillRect/>
                                </a:stretch>
                              </pic:blipFill>
                              <pic:spPr bwMode="auto">
                                <a:xfrm>
                                  <a:off x="0" y="0"/>
                                  <a:ext cx="2133600" cy="240030"/>
                                </a:xfrm>
                                <a:prstGeom prst="rect">
                                  <a:avLst/>
                                </a:prstGeom>
                                <a:noFill/>
                              </pic:spPr>
                            </pic:pic>
                          </a:graphicData>
                        </a:graphic>
                      </wp:inline>
                    </w:drawing>
                  </w:r>
                </w:p>
              </w:tc>
              <w:tc>
                <w:tcPr>
                  <w:tcW w:w="421"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(10)</w:t>
                  </w:r>
                </w:p>
              </w:tc>
            </w:tr>
            <w:tr w:rsidR="00CF2AC1" w:rsidRPr="005A615E" w:rsidTr="007B192D">
              <w:tc>
                <w:tcPr>
                  <w:tcW w:w="298"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537"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rPr>
                    <w:drawing>
                      <wp:inline distT="0" distB="0" distL="0" distR="0" wp14:anchorId="527ABDCE" wp14:editId="49D06CD7">
                        <wp:extent cx="400050" cy="166370"/>
                        <wp:effectExtent l="0" t="0" r="0" b="0"/>
                        <wp:docPr id="20" name="Зображення11" descr="https://zakon.rada.gov.ua/laws/file/imgs/120/p478167n71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Зображення11" descr="https://zakon.rada.gov.ua/laws/file/imgs/120/p478167n712-33.jpg"/>
                                <pic:cNvPicPr>
                                  <a:picLocks noChangeAspect="1" noChangeArrowheads="1"/>
                                </pic:cNvPicPr>
                              </pic:nvPicPr>
                              <pic:blipFill>
                                <a:blip r:embed="rId83"/>
                                <a:stretch>
                                  <a:fillRect/>
                                </a:stretch>
                              </pic:blipFill>
                              <pic:spPr bwMode="auto">
                                <a:xfrm>
                                  <a:off x="0" y="0"/>
                                  <a:ext cx="400050" cy="166370"/>
                                </a:xfrm>
                                <a:prstGeom prst="rect">
                                  <a:avLst/>
                                </a:prstGeom>
                                <a:noFill/>
                              </pic:spPr>
                            </pic:pic>
                          </a:graphicData>
                        </a:graphic>
                      </wp:inline>
                    </w:drawing>
                  </w:r>
                </w:p>
              </w:tc>
              <w:tc>
                <w:tcPr>
                  <w:tcW w:w="200"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3846" w:type="dxa"/>
                  <w:gridSpan w:val="2"/>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тарифна чисельність працівників, що врахована у діючих тарифах, осіб.</w:t>
                  </w:r>
                </w:p>
              </w:tc>
            </w:tr>
          </w:tbl>
          <w:p w:rsidR="00CF2AC1" w:rsidRPr="005A615E" w:rsidRDefault="00CF2AC1" w:rsidP="00CF2AC1">
            <w:pPr>
              <w:pStyle w:val="rvps2"/>
              <w:spacing w:beforeAutospacing="0" w:afterAutospacing="0"/>
              <w:ind w:firstLine="343"/>
              <w:jc w:val="both"/>
              <w:rPr>
                <w:b/>
                <w:sz w:val="22"/>
                <w:szCs w:val="22"/>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pStyle w:val="rvps2"/>
              <w:spacing w:beforeAutospacing="0" w:afterAutospacing="0"/>
              <w:ind w:firstLine="343"/>
              <w:jc w:val="both"/>
              <w:rPr>
                <w:sz w:val="22"/>
                <w:lang w:val="uk-UA"/>
              </w:rPr>
            </w:pPr>
            <w:r w:rsidRPr="005A615E">
              <w:rPr>
                <w:sz w:val="22"/>
                <w:szCs w:val="22"/>
                <w:lang w:val="uk-UA"/>
              </w:rPr>
              <w:t>Базові контрольовані операційні витрати на 2021 рік були сформовані на базі фактичних витрат за результатами діяльності товариства 2020 року, тобто, на довоєнному рівні, (з урахуванням діяльності на території, яка була після 24.02.2022 була окупована рф).</w:t>
            </w:r>
          </w:p>
          <w:p w:rsidR="00CF2AC1" w:rsidRPr="005A615E" w:rsidRDefault="00CF2AC1" w:rsidP="00CF2AC1">
            <w:pPr>
              <w:pStyle w:val="a5"/>
              <w:tabs>
                <w:tab w:val="left" w:pos="0"/>
              </w:tabs>
              <w:ind w:left="0" w:firstLine="321"/>
              <w:jc w:val="both"/>
              <w:rPr>
                <w:rFonts w:ascii="Times New Roman" w:hAnsi="Times New Roman"/>
                <w:sz w:val="22"/>
                <w:u w:val="single"/>
                <w:lang w:val="uk-UA"/>
              </w:rPr>
            </w:pPr>
            <w:r w:rsidRPr="005A615E">
              <w:rPr>
                <w:rFonts w:ascii="Times New Roman" w:eastAsia="Times New Roman" w:hAnsi="Times New Roman"/>
                <w:sz w:val="22"/>
                <w:szCs w:val="22"/>
                <w:lang w:val="uk-UA" w:eastAsia="ru-RU"/>
              </w:rPr>
              <w:t>У зв’язку з тим, що прогнозовані операційні контрольовані витрати для ліцензіатів,</w:t>
            </w:r>
            <w:r w:rsidRPr="005A615E">
              <w:rPr>
                <w:rFonts w:ascii="Times New Roman" w:eastAsia="Times New Roman" w:hAnsi="Times New Roman"/>
                <w:sz w:val="22"/>
                <w:szCs w:val="22"/>
                <w:shd w:val="clear" w:color="auto" w:fill="FFFFFF"/>
                <w:lang w:val="uk-UA" w:eastAsia="ru-RU"/>
              </w:rPr>
              <w:t xml:space="preserve"> перелік яких наведено в додатку 30 до Порядку</w:t>
            </w:r>
            <w:r w:rsidRPr="005A615E">
              <w:rPr>
                <w:rFonts w:ascii="Times New Roman" w:eastAsia="Times New Roman" w:hAnsi="Times New Roman"/>
                <w:sz w:val="22"/>
                <w:szCs w:val="22"/>
                <w:lang w:val="uk-UA" w:eastAsia="ru-RU"/>
              </w:rPr>
              <w:t xml:space="preserve">, </w:t>
            </w:r>
            <w:r w:rsidRPr="005A615E">
              <w:rPr>
                <w:rFonts w:ascii="Times New Roman" w:eastAsia="Times New Roman" w:hAnsi="Times New Roman"/>
                <w:i/>
                <w:sz w:val="22"/>
                <w:szCs w:val="22"/>
                <w:shd w:val="clear" w:color="auto" w:fill="FFFFFF"/>
                <w:lang w:val="uk-UA" w:eastAsia="ru-RU"/>
              </w:rPr>
              <w:t>визначаються з урахуванням коригуючого коефіцієнту зміни фактичних умовних одиниць енергетичного обладнання ліцензіата, що знаходиться на контрольованій території держави (відповідно до пункту 5.4, формули 8,9,10) за визначеною методологією саме для цих ОСР</w:t>
            </w:r>
            <w:r w:rsidRPr="005A615E">
              <w:rPr>
                <w:rFonts w:ascii="Times New Roman" w:eastAsia="Times New Roman" w:hAnsi="Times New Roman"/>
                <w:sz w:val="22"/>
                <w:szCs w:val="22"/>
                <w:shd w:val="clear" w:color="auto" w:fill="FFFFFF"/>
                <w:lang w:val="uk-UA" w:eastAsia="ru-RU"/>
              </w:rPr>
              <w:t xml:space="preserve">, </w:t>
            </w:r>
            <w:r w:rsidRPr="005A615E">
              <w:rPr>
                <w:rFonts w:ascii="Times New Roman" w:eastAsia="Times New Roman" w:hAnsi="Times New Roman"/>
                <w:sz w:val="22"/>
                <w:szCs w:val="22"/>
                <w:lang w:val="uk-UA" w:eastAsia="ru-RU"/>
              </w:rPr>
              <w:t xml:space="preserve">пропонуємо </w:t>
            </w:r>
            <w:r w:rsidRPr="005A615E">
              <w:rPr>
                <w:rFonts w:ascii="Times New Roman" w:eastAsia="Times New Roman" w:hAnsi="Times New Roman"/>
                <w:sz w:val="22"/>
                <w:szCs w:val="22"/>
                <w:u w:val="single"/>
                <w:lang w:val="uk-UA" w:eastAsia="ru-RU"/>
              </w:rPr>
              <w:t>базові рівні операційних контрольованих витрат на другий регуляторний період визначати без урахування економії контрольованих операційних витрат першого регуляторного періоду.</w:t>
            </w:r>
          </w:p>
          <w:p w:rsidR="00CF2AC1" w:rsidRPr="005A615E" w:rsidRDefault="00CF2AC1" w:rsidP="00CF2AC1">
            <w:pPr>
              <w:pStyle w:val="a5"/>
              <w:spacing w:after="200"/>
              <w:ind w:left="0" w:firstLine="709"/>
              <w:jc w:val="both"/>
              <w:rPr>
                <w:rFonts w:ascii="Times New Roman" w:hAnsi="Times New Roman"/>
                <w:sz w:val="22"/>
              </w:rPr>
            </w:pPr>
            <w:r w:rsidRPr="005A615E">
              <w:rPr>
                <w:rFonts w:ascii="Times New Roman" w:eastAsia="Times New Roman" w:hAnsi="Times New Roman"/>
                <w:sz w:val="22"/>
                <w:szCs w:val="22"/>
                <w:lang w:eastAsia="ru-RU"/>
              </w:rPr>
              <w:t xml:space="preserve">Для АТ «Запоріжжяобленерго» є критичним одночасне застосування КФУ та вилучення економії витрат у сумі 348 млн. грн для першого (2027-го) року та, як наслідок, наступних років другого регуляторного періоду, оскільки </w:t>
            </w:r>
            <w:r w:rsidRPr="005A615E">
              <w:rPr>
                <w:rFonts w:ascii="Times New Roman" w:eastAsia="Times New Roman" w:hAnsi="Times New Roman"/>
                <w:b/>
                <w:sz w:val="22"/>
                <w:szCs w:val="22"/>
                <w:lang w:eastAsia="ru-RU"/>
              </w:rPr>
              <w:t>базові операційні контрольовані витрати за попереднім розрахунком будуть мати від’ємне значення</w:t>
            </w:r>
            <w:r w:rsidRPr="005A615E">
              <w:rPr>
                <w:rFonts w:ascii="Times New Roman" w:eastAsia="Times New Roman" w:hAnsi="Times New Roman"/>
                <w:sz w:val="22"/>
                <w:szCs w:val="22"/>
                <w:lang w:eastAsia="ru-RU"/>
              </w:rPr>
              <w:t>.</w:t>
            </w:r>
          </w:p>
          <w:p w:rsidR="00CF2AC1" w:rsidRPr="005A615E" w:rsidRDefault="00CF2AC1" w:rsidP="00CF2AC1">
            <w:pPr>
              <w:pStyle w:val="a5"/>
              <w:tabs>
                <w:tab w:val="left" w:pos="0"/>
              </w:tabs>
              <w:ind w:left="0" w:firstLine="321"/>
              <w:jc w:val="both"/>
              <w:rPr>
                <w:rFonts w:ascii="Times New Roman" w:hAnsi="Times New Roman"/>
                <w:sz w:val="22"/>
              </w:rPr>
            </w:pPr>
            <w:r w:rsidRPr="005A615E">
              <w:rPr>
                <w:rFonts w:ascii="Times New Roman" w:eastAsia="Times New Roman" w:hAnsi="Times New Roman"/>
                <w:sz w:val="22"/>
                <w:szCs w:val="22"/>
                <w:shd w:val="clear" w:color="auto" w:fill="FFFFFF"/>
                <w:lang w:eastAsia="ru-RU"/>
              </w:rPr>
              <w:t>В</w:t>
            </w:r>
            <w:r w:rsidRPr="005A615E">
              <w:rPr>
                <w:rFonts w:ascii="Times New Roman" w:eastAsia="Times New Roman" w:hAnsi="Times New Roman"/>
                <w:sz w:val="22"/>
                <w:szCs w:val="22"/>
                <w:lang w:eastAsia="ru-RU"/>
              </w:rPr>
              <w:t>важаємо доцільним на період дії воєнного стану обмежити дію пункту 5.7 Порядку для  АТ «Запоріжжяобленерго» (</w:t>
            </w:r>
            <w:r w:rsidRPr="005A615E">
              <w:rPr>
                <w:rFonts w:ascii="Times New Roman" w:eastAsia="Times New Roman" w:hAnsi="Times New Roman"/>
                <w:sz w:val="22"/>
                <w:szCs w:val="22"/>
                <w:shd w:val="clear" w:color="auto" w:fill="FFFFFF"/>
                <w:lang w:eastAsia="ru-RU"/>
              </w:rPr>
              <w:t>для ліцензіатів, перелік яких наведено в додатку 30 до цього Порядку)</w:t>
            </w:r>
            <w:r w:rsidRPr="005A615E">
              <w:rPr>
                <w:rFonts w:ascii="Times New Roman" w:eastAsia="Times New Roman" w:hAnsi="Times New Roman"/>
                <w:sz w:val="22"/>
                <w:szCs w:val="22"/>
                <w:lang w:eastAsia="ru-RU"/>
              </w:rPr>
              <w:t>,</w:t>
            </w:r>
          </w:p>
          <w:p w:rsidR="00CF2AC1" w:rsidRPr="005A615E" w:rsidRDefault="00CF2AC1" w:rsidP="00CF2AC1">
            <w:pPr>
              <w:pStyle w:val="a5"/>
              <w:spacing w:after="200"/>
              <w:ind w:left="0"/>
              <w:jc w:val="both"/>
              <w:rPr>
                <w:rFonts w:ascii="Times New Roman" w:eastAsia="Times New Roman" w:hAnsi="Times New Roman"/>
                <w:b/>
                <w:sz w:val="22"/>
                <w:szCs w:val="22"/>
                <w:lang w:eastAsia="ru-RU"/>
              </w:rPr>
            </w:pPr>
            <w:r w:rsidRPr="005A615E">
              <w:rPr>
                <w:rFonts w:ascii="Times New Roman" w:eastAsia="Times New Roman" w:hAnsi="Times New Roman"/>
                <w:sz w:val="22"/>
                <w:szCs w:val="22"/>
                <w:lang w:eastAsia="ru-RU"/>
              </w:rPr>
              <w:t>та визначати базові  рівні операційних контрольованих витрат на другий регуляторний період,</w:t>
            </w:r>
            <w:r w:rsidRPr="005A615E">
              <w:rPr>
                <w:rFonts w:ascii="Times New Roman" w:eastAsia="Times New Roman" w:hAnsi="Times New Roman"/>
                <w:b/>
                <w:sz w:val="22"/>
                <w:szCs w:val="22"/>
                <w:lang w:eastAsia="ru-RU"/>
              </w:rPr>
              <w:t xml:space="preserve"> на період дії воєнного стану,</w:t>
            </w:r>
            <w:r w:rsidRPr="005A615E">
              <w:rPr>
                <w:rFonts w:ascii="Times New Roman" w:eastAsia="Times New Roman" w:hAnsi="Times New Roman"/>
                <w:sz w:val="22"/>
                <w:szCs w:val="22"/>
                <w:lang w:eastAsia="ru-RU"/>
              </w:rPr>
              <w:t xml:space="preserve"> </w:t>
            </w:r>
            <w:r w:rsidRPr="005A615E">
              <w:rPr>
                <w:rFonts w:ascii="Times New Roman" w:eastAsia="Times New Roman" w:hAnsi="Times New Roman"/>
                <w:b/>
                <w:sz w:val="22"/>
                <w:szCs w:val="22"/>
                <w:lang w:eastAsia="ru-RU"/>
              </w:rPr>
              <w:t xml:space="preserve">без вилучення економії операційних контрольованих витрат першого регуляторного періоду. </w:t>
            </w: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w:t>
            </w:r>
          </w:p>
          <w:p w:rsidR="00CF2AC1" w:rsidRPr="005A615E" w:rsidRDefault="00CF2AC1" w:rsidP="00CF2AC1">
            <w:pPr>
              <w:shd w:val="clear" w:color="auto" w:fill="FFFFFF"/>
              <w:jc w:val="both"/>
              <w:rPr>
                <w:rFonts w:ascii="Times New Roman" w:hAnsi="Times New Roman"/>
                <w:shd w:val="clear" w:color="auto" w:fill="FFFFFF"/>
              </w:rPr>
            </w:pPr>
          </w:p>
          <w:p w:rsidR="00CF2AC1" w:rsidRPr="005A615E" w:rsidRDefault="00CF2AC1" w:rsidP="00CF2AC1">
            <w:pPr>
              <w:shd w:val="clear" w:color="auto" w:fill="FFFFFF"/>
              <w:jc w:val="both"/>
              <w:rPr>
                <w:rFonts w:ascii="Times New Roman" w:hAnsi="Times New Roman"/>
                <w:shd w:val="clear" w:color="auto" w:fill="FFFFFF"/>
              </w:rPr>
            </w:pPr>
            <w:r w:rsidRPr="005A615E">
              <w:rPr>
                <w:rFonts w:ascii="Times New Roman" w:hAnsi="Times New Roman"/>
                <w:shd w:val="clear" w:color="auto" w:fill="FFFFFF"/>
              </w:rPr>
              <w:t xml:space="preserve">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w:t>
            </w:r>
            <w:r w:rsidRPr="005A615E">
              <w:rPr>
                <w:rFonts w:ascii="Times New Roman" w:hAnsi="Times New Roman"/>
                <w:b/>
                <w:bCs/>
                <w:shd w:val="clear" w:color="auto" w:fill="FFFFFF"/>
              </w:rPr>
              <w:t>крім другого року другого та наступних регуляторних періодів</w:t>
            </w:r>
            <w:r w:rsidRPr="005A615E">
              <w:rPr>
                <w:rFonts w:ascii="Times New Roman" w:hAnsi="Times New Roman"/>
                <w:shd w:val="clear" w:color="auto" w:fill="FFFFFF"/>
              </w:rPr>
              <w:t xml:space="preserve"> за формулою</w:t>
            </w:r>
          </w:p>
          <w:p w:rsidR="00CF2AC1" w:rsidRPr="005A615E" w:rsidRDefault="000D13C5" w:rsidP="00CF2AC1">
            <w:pPr>
              <w:spacing w:line="276" w:lineRule="auto"/>
              <w:rPr>
                <w:rFonts w:ascii="Aptos" w:eastAsia="Aptos" w:hAnsi="Aptos"/>
                <w:kern w:val="2"/>
                <w14:ligatures w14:val="standardContextual"/>
              </w:rPr>
            </w:pPr>
            <m:oMath>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ОКВ</m:t>
                  </m:r>
                </m:e>
                <m:sub>
                  <m:r>
                    <w:rPr>
                      <w:rFonts w:ascii="Cambria Math" w:eastAsia="Aptos" w:hAnsi="Cambria Math"/>
                      <w:kern w:val="2"/>
                      <w:sz w:val="14"/>
                      <w:szCs w:val="14"/>
                      <w14:ligatures w14:val="standardContextual"/>
                    </w:rPr>
                    <m:t>t</m:t>
                  </m:r>
                </m:sub>
                <m:sup>
                  <m:r>
                    <w:rPr>
                      <w:rFonts w:ascii="Cambria Math" w:eastAsia="Aptos" w:hAnsi="Cambria Math"/>
                      <w:kern w:val="2"/>
                      <w:sz w:val="14"/>
                      <w:szCs w:val="14"/>
                      <w14:ligatures w14:val="standardContextual"/>
                    </w:rPr>
                    <m:t>n</m:t>
                  </m:r>
                </m:sup>
              </m:sSubSup>
              <m:r>
                <w:rPr>
                  <w:rFonts w:ascii="Cambria Math" w:eastAsia="Aptos" w:hAnsi="Cambria Math"/>
                  <w:kern w:val="2"/>
                  <w:sz w:val="14"/>
                  <w:szCs w:val="14"/>
                  <w14:ligatures w14:val="standardContextual"/>
                </w:rPr>
                <m:t>=</m:t>
              </m:r>
              <m:d>
                <m:dPr>
                  <m:ctrlPr>
                    <w:rPr>
                      <w:rFonts w:ascii="Cambria Math" w:eastAsia="Aptos" w:hAnsi="Cambria Math"/>
                      <w:i/>
                      <w:kern w:val="2"/>
                      <w:sz w:val="14"/>
                      <w:szCs w:val="14"/>
                      <w14:ligatures w14:val="standardContextual"/>
                    </w:rPr>
                  </m:ctrlPr>
                </m:dPr>
                <m:e>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ОКВ</m:t>
                      </m:r>
                    </m:e>
                    <m:sub>
                      <m:r>
                        <w:rPr>
                          <w:rFonts w:ascii="Cambria Math" w:eastAsia="Aptos" w:hAnsi="Cambria Math"/>
                          <w:kern w:val="2"/>
                          <w:sz w:val="14"/>
                          <w:szCs w:val="14"/>
                          <w14:ligatures w14:val="standardContextual"/>
                        </w:rPr>
                        <m:t>t-1</m:t>
                      </m:r>
                    </m:sub>
                    <m:sup>
                      <m:r>
                        <w:rPr>
                          <w:rFonts w:ascii="Cambria Math" w:eastAsia="Aptos" w:hAnsi="Cambria Math"/>
                          <w:kern w:val="2"/>
                          <w:sz w:val="14"/>
                          <w:szCs w:val="14"/>
                          <w14:ligatures w14:val="standardContextual"/>
                        </w:rPr>
                        <m:t>n</m:t>
                      </m:r>
                    </m:sup>
                  </m:sSubSup>
                  <m:r>
                    <w:rPr>
                      <w:rFonts w:ascii="Cambria Math" w:eastAsia="Aptos" w:hAnsi="Cambria Math"/>
                      <w:kern w:val="2"/>
                      <w:sz w:val="14"/>
                      <w:szCs w:val="14"/>
                      <w14:ligatures w14:val="standardContextual"/>
                    </w:rPr>
                    <m:t>-</m:t>
                  </m:r>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ФОП</m:t>
                      </m:r>
                    </m:e>
                    <m:sub>
                      <m:r>
                        <w:rPr>
                          <w:rFonts w:ascii="Cambria Math" w:eastAsia="Aptos" w:hAnsi="Cambria Math"/>
                          <w:kern w:val="2"/>
                          <w:sz w:val="14"/>
                          <w:szCs w:val="14"/>
                          <w14:ligatures w14:val="standardContextual"/>
                        </w:rPr>
                        <m:t>t-1</m:t>
                      </m:r>
                    </m:sub>
                    <m:sup>
                      <m:r>
                        <w:rPr>
                          <w:rFonts w:ascii="Cambria Math" w:eastAsia="Aptos" w:hAnsi="Cambria Math"/>
                          <w:kern w:val="2"/>
                          <w:sz w:val="14"/>
                          <w:szCs w:val="14"/>
                          <w14:ligatures w14:val="standardContextual"/>
                        </w:rPr>
                        <m:t>n</m:t>
                      </m:r>
                    </m:sup>
                  </m:sSubSup>
                </m:e>
              </m:d>
              <m:r>
                <w:rPr>
                  <w:rFonts w:ascii="Cambria Math" w:eastAsia="Aptos" w:hAnsi="Cambria Math"/>
                  <w:kern w:val="2"/>
                  <w:sz w:val="14"/>
                  <w:szCs w:val="14"/>
                  <w14:ligatures w14:val="standardContextual"/>
                </w:rPr>
                <m:t>×</m:t>
              </m:r>
              <m:f>
                <m:fPr>
                  <m:ctrlPr>
                    <w:rPr>
                      <w:rFonts w:ascii="Cambria Math" w:eastAsia="Aptos" w:hAnsi="Cambria Math"/>
                      <w:i/>
                      <w:kern w:val="2"/>
                      <w:sz w:val="14"/>
                      <w:szCs w:val="14"/>
                      <w14:ligatures w14:val="standardContextual"/>
                    </w:rPr>
                  </m:ctrlPr>
                </m:fPr>
                <m:num>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ІЦВ</m:t>
                      </m:r>
                    </m:e>
                    <m:sub>
                      <m:r>
                        <w:rPr>
                          <w:rFonts w:ascii="Cambria Math" w:eastAsia="Aptos" w:hAnsi="Cambria Math"/>
                          <w:kern w:val="2"/>
                          <w:sz w:val="14"/>
                          <w:szCs w:val="14"/>
                          <w14:ligatures w14:val="standardContextual"/>
                        </w:rPr>
                        <m:t>t</m:t>
                      </m:r>
                    </m:sub>
                    <m:sup>
                      <m:r>
                        <w:rPr>
                          <w:rFonts w:ascii="Cambria Math" w:eastAsia="Aptos" w:hAnsi="Cambria Math"/>
                          <w:kern w:val="2"/>
                          <w:sz w:val="14"/>
                          <w:szCs w:val="14"/>
                          <w14:ligatures w14:val="standardContextual"/>
                        </w:rPr>
                        <m:t>n</m:t>
                      </m:r>
                    </m:sup>
                  </m:sSubSup>
                </m:num>
                <m:den>
                  <m:r>
                    <w:rPr>
                      <w:rFonts w:ascii="Cambria Math" w:eastAsia="Aptos" w:hAnsi="Cambria Math"/>
                      <w:kern w:val="2"/>
                      <w:sz w:val="14"/>
                      <w:szCs w:val="14"/>
                      <w14:ligatures w14:val="standardContextual"/>
                    </w:rPr>
                    <m:t>100</m:t>
                  </m:r>
                </m:den>
              </m:f>
              <m:r>
                <w:rPr>
                  <w:rFonts w:ascii="Cambria Math" w:eastAsia="Aptos" w:hAnsi="Cambria Math"/>
                  <w:kern w:val="2"/>
                  <w:sz w:val="14"/>
                  <w:szCs w:val="14"/>
                  <w14:ligatures w14:val="standardContextual"/>
                </w:rPr>
                <m:t>×</m:t>
              </m:r>
              <m:d>
                <m:dPr>
                  <m:ctrlPr>
                    <w:rPr>
                      <w:rFonts w:ascii="Cambria Math" w:eastAsia="Aptos" w:hAnsi="Cambria Math"/>
                      <w:i/>
                      <w:kern w:val="2"/>
                      <w:sz w:val="14"/>
                      <w:szCs w:val="14"/>
                      <w14:ligatures w14:val="standardContextual"/>
                    </w:rPr>
                  </m:ctrlPr>
                </m:dPr>
                <m:e>
                  <m:r>
                    <w:rPr>
                      <w:rFonts w:ascii="Cambria Math" w:eastAsia="Aptos" w:hAnsi="Cambria Math"/>
                      <w:kern w:val="2"/>
                      <w:sz w:val="14"/>
                      <w:szCs w:val="14"/>
                      <w14:ligatures w14:val="standardContextual"/>
                    </w:rPr>
                    <m:t>1-</m:t>
                  </m:r>
                  <m:f>
                    <m:fPr>
                      <m:ctrlPr>
                        <w:rPr>
                          <w:rFonts w:ascii="Cambria Math" w:eastAsia="Aptos" w:hAnsi="Cambria Math"/>
                          <w:i/>
                          <w:kern w:val="2"/>
                          <w:sz w:val="14"/>
                          <w:szCs w:val="14"/>
                          <w14:ligatures w14:val="standardContextual"/>
                        </w:rPr>
                      </m:ctrlPr>
                    </m:fPr>
                    <m:num>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з</m:t>
                          </m:r>
                        </m:sub>
                      </m:sSub>
                      <m:r>
                        <w:rPr>
                          <w:rFonts w:ascii="Cambria Math" w:eastAsia="Aptos" w:hAnsi="Cambria Math"/>
                          <w:kern w:val="2"/>
                          <w:sz w:val="14"/>
                          <w:szCs w:val="14"/>
                          <w14:ligatures w14:val="standardContextual"/>
                        </w:rPr>
                        <m:t>+</m:t>
                      </m:r>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інд</m:t>
                          </m:r>
                        </m:sub>
                      </m:sSub>
                    </m:num>
                    <m:den>
                      <m:r>
                        <w:rPr>
                          <w:rFonts w:ascii="Cambria Math" w:eastAsia="Aptos" w:hAnsi="Cambria Math"/>
                          <w:kern w:val="2"/>
                          <w:sz w:val="14"/>
                          <w:szCs w:val="14"/>
                          <w14:ligatures w14:val="standardContextual"/>
                        </w:rPr>
                        <m:t>100</m:t>
                      </m:r>
                    </m:den>
                  </m:f>
                </m:e>
              </m:d>
              <m:r>
                <w:rPr>
                  <w:rFonts w:ascii="Cambria Math" w:eastAsia="Aptos" w:hAnsi="Cambria Math"/>
                  <w:kern w:val="2"/>
                  <w:sz w:val="14"/>
                  <w:szCs w:val="14"/>
                  <w14:ligatures w14:val="standardContextual"/>
                </w:rPr>
                <m:t>+</m:t>
              </m:r>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ФОП</m:t>
                  </m:r>
                </m:e>
                <m:sub>
                  <m:r>
                    <w:rPr>
                      <w:rFonts w:ascii="Cambria Math" w:eastAsia="Aptos" w:hAnsi="Cambria Math"/>
                      <w:kern w:val="2"/>
                      <w:sz w:val="14"/>
                      <w:szCs w:val="14"/>
                      <w14:ligatures w14:val="standardContextual"/>
                    </w:rPr>
                    <m:t>t</m:t>
                  </m:r>
                </m:sub>
                <m:sup>
                  <m:r>
                    <w:rPr>
                      <w:rFonts w:ascii="Cambria Math" w:eastAsia="Aptos" w:hAnsi="Cambria Math"/>
                      <w:kern w:val="2"/>
                      <w:sz w:val="14"/>
                      <w:szCs w:val="14"/>
                      <w14:ligatures w14:val="standardContextual"/>
                    </w:rPr>
                    <m:t>n</m:t>
                  </m:r>
                </m:sup>
              </m:sSubSup>
              <m:r>
                <w:rPr>
                  <w:rFonts w:ascii="Cambria Math" w:eastAsia="Aptos" w:hAnsi="Cambria Math"/>
                  <w:kern w:val="2"/>
                  <w:sz w:val="14"/>
                  <w:szCs w:val="14"/>
                  <w14:ligatures w14:val="standardContextual"/>
                </w:rPr>
                <m:t>×</m:t>
              </m:r>
              <m:d>
                <m:dPr>
                  <m:ctrlPr>
                    <w:rPr>
                      <w:rFonts w:ascii="Cambria Math" w:eastAsia="Aptos" w:hAnsi="Cambria Math"/>
                      <w:i/>
                      <w:kern w:val="2"/>
                      <w:sz w:val="14"/>
                      <w:szCs w:val="14"/>
                      <w14:ligatures w14:val="standardContextual"/>
                    </w:rPr>
                  </m:ctrlPr>
                </m:dPr>
                <m:e>
                  <m:r>
                    <w:rPr>
                      <w:rFonts w:ascii="Cambria Math" w:eastAsia="Aptos" w:hAnsi="Cambria Math"/>
                      <w:kern w:val="2"/>
                      <w:sz w:val="14"/>
                      <w:szCs w:val="14"/>
                      <w14:ligatures w14:val="standardContextual"/>
                    </w:rPr>
                    <m:t>1-</m:t>
                  </m:r>
                  <m:f>
                    <m:fPr>
                      <m:ctrlPr>
                        <w:rPr>
                          <w:rFonts w:ascii="Cambria Math" w:eastAsia="Aptos" w:hAnsi="Cambria Math"/>
                          <w:i/>
                          <w:kern w:val="2"/>
                          <w:sz w:val="14"/>
                          <w:szCs w:val="14"/>
                          <w14:ligatures w14:val="standardContextual"/>
                        </w:rPr>
                      </m:ctrlPr>
                    </m:fPr>
                    <m:num>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з</m:t>
                          </m:r>
                        </m:sub>
                      </m:sSub>
                      <m:r>
                        <w:rPr>
                          <w:rFonts w:ascii="Cambria Math" w:eastAsia="Aptos" w:hAnsi="Cambria Math"/>
                          <w:kern w:val="2"/>
                          <w:sz w:val="14"/>
                          <w:szCs w:val="14"/>
                          <w14:ligatures w14:val="standardContextual"/>
                        </w:rPr>
                        <m:t>+</m:t>
                      </m:r>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інд</m:t>
                          </m:r>
                        </m:sub>
                      </m:sSub>
                    </m:num>
                    <m:den>
                      <m:r>
                        <w:rPr>
                          <w:rFonts w:ascii="Cambria Math" w:eastAsia="Aptos" w:hAnsi="Cambria Math"/>
                          <w:kern w:val="2"/>
                          <w:sz w:val="14"/>
                          <w:szCs w:val="14"/>
                          <w14:ligatures w14:val="standardContextual"/>
                        </w:rPr>
                        <m:t>100</m:t>
                      </m:r>
                    </m:den>
                  </m:f>
                </m:e>
              </m:d>
              <m:r>
                <w:rPr>
                  <w:rFonts w:ascii="Cambria Math" w:eastAsia="Aptos" w:hAnsi="Cambria Math"/>
                  <w:kern w:val="2"/>
                  <w:sz w:val="14"/>
                  <w:szCs w:val="14"/>
                  <w14:ligatures w14:val="standardContextual"/>
                </w:rPr>
                <m:t>, тис.грн,</m:t>
              </m:r>
            </m:oMath>
            <w:r w:rsidR="00CF2AC1" w:rsidRPr="005A615E">
              <w:rPr>
                <w:rFonts w:ascii="Aptos" w:eastAsia="Aptos" w:hAnsi="Aptos"/>
                <w:kern w:val="2"/>
                <w:sz w:val="24"/>
                <w:szCs w:val="24"/>
                <w14:ligatures w14:val="standardContextual"/>
              </w:rPr>
              <w:t xml:space="preserve"> </w:t>
            </w:r>
            <w:r w:rsidR="00CF2AC1" w:rsidRPr="005A615E">
              <w:rPr>
                <w:rFonts w:ascii="Aptos" w:eastAsia="Aptos" w:hAnsi="Aptos"/>
                <w:kern w:val="2"/>
                <w14:ligatures w14:val="standardContextual"/>
              </w:rPr>
              <w:t>(7)</w:t>
            </w:r>
          </w:p>
          <w:p w:rsidR="00CF2AC1" w:rsidRPr="005A615E" w:rsidRDefault="00CF2AC1" w:rsidP="00CF2AC1">
            <w:pPr>
              <w:shd w:val="clear" w:color="auto" w:fill="FFFFFF"/>
              <w:ind w:firstLine="28"/>
              <w:jc w:val="both"/>
              <w:rPr>
                <w:rFonts w:ascii="Times New Roman" w:hAnsi="Times New Roman"/>
                <w:b/>
                <w:bCs/>
                <w:lang w:eastAsia="uk-UA"/>
              </w:rPr>
            </w:pPr>
            <w:r w:rsidRPr="005A615E">
              <w:rPr>
                <w:rFonts w:ascii="Times New Roman" w:hAnsi="Times New Roman"/>
                <w:shd w:val="clear" w:color="auto" w:fill="FFFFFF"/>
              </w:rPr>
              <w:t>де ОКВ</w:t>
            </w:r>
            <w:r w:rsidRPr="005A615E">
              <w:rPr>
                <w:rFonts w:ascii="Times New Roman" w:hAnsi="Times New Roman"/>
                <w:shd w:val="clear" w:color="auto" w:fill="FFFFFF"/>
                <w:vertAlign w:val="superscript"/>
              </w:rPr>
              <w:t>n</w:t>
            </w:r>
            <w:r w:rsidRPr="005A615E">
              <w:rPr>
                <w:rFonts w:ascii="Times New Roman" w:hAnsi="Times New Roman"/>
                <w:shd w:val="clear" w:color="auto" w:fill="FFFFFF"/>
                <w:vertAlign w:val="subscript"/>
              </w:rPr>
              <w:t>t</w:t>
            </w:r>
            <w:r w:rsidRPr="005A615E">
              <w:rPr>
                <w:rFonts w:ascii="Times New Roman" w:hAnsi="Times New Roman"/>
                <w:shd w:val="clear" w:color="auto" w:fill="FFFFFF"/>
              </w:rPr>
              <w:t>-</w:t>
            </w:r>
            <w:r w:rsidRPr="005A615E">
              <w:rPr>
                <w:rFonts w:ascii="Times New Roman" w:hAnsi="Times New Roman"/>
                <w:shd w:val="clear" w:color="auto" w:fill="FFFFFF"/>
                <w:vertAlign w:val="subscript"/>
              </w:rPr>
              <w:t>1</w:t>
            </w:r>
            <w:r w:rsidRPr="005A615E">
              <w:rPr>
                <w:rFonts w:ascii="Times New Roman" w:hAnsi="Times New Roman"/>
                <w:shd w:val="clear" w:color="auto" w:fill="FFFFFF"/>
              </w:rPr>
              <w:t xml:space="preserve"> - </w:t>
            </w:r>
            <w:r w:rsidRPr="005A615E">
              <w:rPr>
                <w:rFonts w:ascii="Times New Roman" w:hAnsi="Times New Roman"/>
                <w:lang w:eastAsia="uk-UA"/>
              </w:rPr>
              <w:t>прогнозовані операційні контрольовані витрати в році t-1 (для першого року першого періоду регулювання ОКВnt-1 = ОКВ0, ОКВ0 визначається з урахуванням </w:t>
            </w:r>
            <w:hyperlink r:id="rId91" w:anchor="n138" w:history="1">
              <w:r w:rsidRPr="005A615E">
                <w:rPr>
                  <w:rStyle w:val="a9"/>
                  <w:rFonts w:ascii="Times New Roman" w:hAnsi="Times New Roman"/>
                  <w:color w:val="auto"/>
                  <w:lang w:eastAsia="uk-UA"/>
                </w:rPr>
                <w:t>пункту 5.6</w:t>
              </w:r>
            </w:hyperlink>
            <w:r w:rsidRPr="005A615E">
              <w:rPr>
                <w:rFonts w:ascii="Times New Roman" w:hAnsi="Times New Roman"/>
                <w:lang w:eastAsia="uk-UA"/>
              </w:rPr>
              <w:t xml:space="preserve"> цієї глави; </w:t>
            </w:r>
            <w:r w:rsidRPr="005A615E">
              <w:rPr>
                <w:rFonts w:ascii="Times New Roman" w:hAnsi="Times New Roman"/>
                <w:b/>
                <w:bCs/>
                <w:lang w:eastAsia="uk-UA"/>
              </w:rPr>
              <w:t>для першого року другого та наступних регуляторних періодів визначається з урахуванням </w:t>
            </w:r>
            <w:hyperlink r:id="rId92" w:anchor="n140" w:history="1">
              <w:r w:rsidRPr="005A615E">
                <w:rPr>
                  <w:rStyle w:val="a9"/>
                  <w:rFonts w:ascii="Times New Roman" w:hAnsi="Times New Roman"/>
                  <w:b/>
                  <w:bCs/>
                  <w:color w:val="auto"/>
                  <w:lang w:eastAsia="uk-UA"/>
                </w:rPr>
                <w:t>пункту 5.7</w:t>
              </w:r>
            </w:hyperlink>
            <w:r w:rsidRPr="005A615E">
              <w:rPr>
                <w:rFonts w:ascii="Times New Roman" w:hAnsi="Times New Roman"/>
                <w:b/>
                <w:bCs/>
                <w:lang w:eastAsia="uk-UA"/>
              </w:rPr>
              <w:t> формули 11, а для другого року другого та наступних регуляторних періодів визначається з урахуванням </w:t>
            </w:r>
            <w:hyperlink r:id="rId93" w:anchor="n140" w:history="1">
              <w:r w:rsidRPr="005A615E">
                <w:rPr>
                  <w:rStyle w:val="a9"/>
                  <w:rFonts w:ascii="Times New Roman" w:hAnsi="Times New Roman"/>
                  <w:b/>
                  <w:bCs/>
                  <w:color w:val="auto"/>
                  <w:lang w:eastAsia="uk-UA"/>
                </w:rPr>
                <w:t>пункту 5.7</w:t>
              </w:r>
            </w:hyperlink>
            <w:r w:rsidRPr="005A615E">
              <w:rPr>
                <w:rFonts w:ascii="Times New Roman" w:hAnsi="Times New Roman"/>
                <w:b/>
                <w:bCs/>
                <w:lang w:eastAsia="uk-UA"/>
              </w:rPr>
              <w:t xml:space="preserve"> формули 15 цієї глави), тис. грн;</w:t>
            </w:r>
          </w:p>
          <w:p w:rsidR="00CF2AC1" w:rsidRPr="005A615E" w:rsidRDefault="00CF2AC1" w:rsidP="00CF2AC1">
            <w:pPr>
              <w:shd w:val="clear" w:color="auto" w:fill="FFFFFF"/>
              <w:ind w:firstLine="28"/>
              <w:jc w:val="both"/>
              <w:rPr>
                <w:rFonts w:ascii="Times New Roman" w:hAnsi="Times New Roman"/>
                <w:b/>
                <w:bCs/>
                <w:shd w:val="clear" w:color="auto" w:fill="FFFFFF"/>
              </w:rPr>
            </w:pPr>
            <w:r w:rsidRPr="005A615E">
              <w:rPr>
                <w:rFonts w:ascii="Times New Roman" w:hAnsi="Times New Roman"/>
                <w:shd w:val="clear" w:color="auto" w:fill="FFFFFF"/>
              </w:rPr>
              <w:t>ФОПnt-1 прогнозований фонд оплати праці (витрати на оплату праці) у році t-1, що розрахований відповідно до </w:t>
            </w:r>
            <w:hyperlink r:id="rId94" w:anchor="n12" w:tgtFrame="_blank" w:history="1">
              <w:r w:rsidRPr="005A615E">
                <w:rPr>
                  <w:rStyle w:val="a9"/>
                  <w:rFonts w:ascii="Times New Roman" w:hAnsi="Times New Roman"/>
                  <w:color w:val="auto"/>
                  <w:shd w:val="clear" w:color="auto" w:fill="FFFFFF"/>
                </w:rPr>
                <w:t>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5A615E">
              <w:rPr>
                <w:rFonts w:ascii="Times New Roman" w:hAnsi="Times New Roman"/>
                <w:shd w:val="clear" w:color="auto" w:fill="FFFFFF"/>
              </w:rPr>
              <w:t>, затвердженого постановою НКРЕКП від 26 жовтня 2015 року № 2645, зареєстрованого в Міністерстві юстиції України 13 листопада 2015 року за № 1431/27876 (далі - Порядок визначення витрат на оплату праці)</w:t>
            </w:r>
            <w:r w:rsidRPr="005A615E">
              <w:rPr>
                <w:rFonts w:ascii="Times New Roman" w:hAnsi="Times New Roman"/>
                <w:b/>
                <w:bCs/>
                <w:shd w:val="clear" w:color="auto" w:fill="FFFFFF"/>
              </w:rPr>
              <w:t xml:space="preserve"> з урахуванням показників ефективності для операційних контрольованих витрат (ПЕз</w:t>
            </w:r>
            <w:r w:rsidRPr="005A615E">
              <w:rPr>
                <w:rFonts w:ascii="Times New Roman" w:hAnsi="Times New Roman"/>
                <w:b/>
                <w:bCs/>
                <w:shd w:val="clear" w:color="auto" w:fill="FFFFFF"/>
                <w:lang w:val="en-US"/>
              </w:rPr>
              <w:t>t</w:t>
            </w:r>
            <w:r w:rsidRPr="005A615E">
              <w:rPr>
                <w:rFonts w:ascii="Times New Roman" w:hAnsi="Times New Roman"/>
                <w:b/>
                <w:bCs/>
                <w:shd w:val="clear" w:color="auto" w:fill="FFFFFF"/>
              </w:rPr>
              <w:t xml:space="preserve"> та ПЕі</w:t>
            </w:r>
            <w:r w:rsidRPr="005A615E">
              <w:rPr>
                <w:rFonts w:ascii="Times New Roman" w:hAnsi="Times New Roman"/>
                <w:b/>
                <w:bCs/>
                <w:shd w:val="clear" w:color="auto" w:fill="FFFFFF"/>
                <w:lang w:val="en-US"/>
              </w:rPr>
              <w:t>t</w:t>
            </w:r>
            <w:r w:rsidRPr="005A615E">
              <w:rPr>
                <w:rFonts w:ascii="Times New Roman" w:hAnsi="Times New Roman"/>
                <w:b/>
                <w:bCs/>
                <w:shd w:val="clear" w:color="auto" w:fill="FFFFFF"/>
              </w:rPr>
              <w:t>), що встановлені НКРЕКП для року t-1; для першого року другого та наступних регуляторних періодів визначається з урахуванням пункту 5.7 формули 14 для другого року другого та наступних регуляторних періодів визначається з урахуванням </w:t>
            </w:r>
            <w:hyperlink r:id="rId95" w:anchor="n140" w:history="1">
              <w:r w:rsidRPr="005A615E">
                <w:rPr>
                  <w:rStyle w:val="a9"/>
                  <w:rFonts w:ascii="Times New Roman" w:hAnsi="Times New Roman"/>
                  <w:b/>
                  <w:bCs/>
                  <w:color w:val="auto"/>
                  <w:shd w:val="clear" w:color="auto" w:fill="FFFFFF"/>
                </w:rPr>
                <w:t>пункту 5.7</w:t>
              </w:r>
            </w:hyperlink>
            <w:r w:rsidRPr="005A615E">
              <w:rPr>
                <w:rFonts w:ascii="Times New Roman" w:hAnsi="Times New Roman"/>
                <w:b/>
                <w:bCs/>
                <w:shd w:val="clear" w:color="auto" w:fill="FFFFFF"/>
              </w:rPr>
              <w:t xml:space="preserve"> формули 17 цієї глави), тис. грн;</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shd w:val="clear" w:color="auto" w:fill="FFFFFF"/>
              </w:rPr>
              <w:t>ФОП</w:t>
            </w:r>
            <w:r w:rsidRPr="005A615E">
              <w:rPr>
                <w:rFonts w:ascii="Times New Roman" w:hAnsi="Times New Roman"/>
                <w:shd w:val="clear" w:color="auto" w:fill="FFFFFF"/>
                <w:vertAlign w:val="superscript"/>
              </w:rPr>
              <w:t>n</w:t>
            </w:r>
            <w:r w:rsidRPr="005A615E">
              <w:rPr>
                <w:rFonts w:ascii="Times New Roman" w:hAnsi="Times New Roman"/>
                <w:shd w:val="clear" w:color="auto" w:fill="FFFFFF"/>
                <w:vertAlign w:val="subscript"/>
              </w:rPr>
              <w:t xml:space="preserve">t </w:t>
            </w:r>
            <w:r w:rsidRPr="005A615E">
              <w:rPr>
                <w:rFonts w:ascii="Times New Roman" w:hAnsi="Times New Roman"/>
                <w:shd w:val="clear" w:color="auto" w:fill="FFFFFF"/>
              </w:rPr>
              <w:t>прогнозований фонд оплати праці (витрати на оплату праці) у році t, що розрахований відповідно до </w:t>
            </w:r>
            <w:hyperlink r:id="rId96" w:anchor="n12" w:tgtFrame="_blank" w:history="1">
              <w:r w:rsidRPr="005A615E">
                <w:rPr>
                  <w:rStyle w:val="a9"/>
                  <w:rFonts w:ascii="Times New Roman" w:hAnsi="Times New Roman"/>
                  <w:color w:val="auto"/>
                  <w:shd w:val="clear" w:color="auto" w:fill="FFFFFF"/>
                </w:rPr>
                <w:t>Порядку визначення витрат на оплату праці</w:t>
              </w:r>
            </w:hyperlink>
            <w:r w:rsidRPr="005A615E">
              <w:t xml:space="preserve">; </w:t>
            </w:r>
            <w:r w:rsidRPr="005A615E">
              <w:rPr>
                <w:rFonts w:ascii="Times New Roman" w:hAnsi="Times New Roman"/>
                <w:shd w:val="clear" w:color="auto" w:fill="FFFFFF"/>
              </w:rPr>
              <w:t xml:space="preserve">для першого року другого та наступних регуляторних періодів визначається з урахуванням пункту 5.7 </w:t>
            </w:r>
            <w:r w:rsidRPr="005A615E">
              <w:rPr>
                <w:rFonts w:ascii="Times New Roman" w:hAnsi="Times New Roman"/>
                <w:b/>
                <w:bCs/>
                <w:shd w:val="clear" w:color="auto" w:fill="FFFFFF"/>
              </w:rPr>
              <w:t>формули 14, для другого року другого та наступних регуляторних періодів визначається з урахуванням </w:t>
            </w:r>
            <w:hyperlink r:id="rId97" w:anchor="n140" w:history="1">
              <w:r w:rsidRPr="005A615E">
                <w:rPr>
                  <w:rStyle w:val="a9"/>
                  <w:rFonts w:ascii="Times New Roman" w:hAnsi="Times New Roman"/>
                  <w:b/>
                  <w:bCs/>
                  <w:color w:val="auto"/>
                  <w:shd w:val="clear" w:color="auto" w:fill="FFFFFF"/>
                </w:rPr>
                <w:t>пункту 5.7</w:t>
              </w:r>
            </w:hyperlink>
            <w:r w:rsidRPr="005A615E">
              <w:rPr>
                <w:rFonts w:ascii="Times New Roman" w:hAnsi="Times New Roman"/>
                <w:b/>
                <w:bCs/>
                <w:shd w:val="clear" w:color="auto" w:fill="FFFFFF"/>
              </w:rPr>
              <w:t xml:space="preserve"> формули 17 цієї глави), тис. грн;</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rPr>
              <w:t>ІЦВ</w:t>
            </w:r>
            <w:r w:rsidRPr="005A615E">
              <w:rPr>
                <w:rFonts w:ascii="Times New Roman" w:hAnsi="Times New Roman"/>
                <w:b/>
                <w:bCs/>
                <w:vertAlign w:val="superscript"/>
              </w:rPr>
              <w:t>n</w:t>
            </w:r>
            <w:r w:rsidRPr="005A615E">
              <w:rPr>
                <w:rFonts w:ascii="Times New Roman" w:hAnsi="Times New Roman"/>
                <w:b/>
                <w:bCs/>
                <w:vertAlign w:val="subscript"/>
              </w:rPr>
              <w:t>t</w:t>
            </w:r>
            <w:r w:rsidRPr="005A615E">
              <w:rPr>
                <w:rFonts w:ascii="Times New Roman" w:hAnsi="Times New Roman"/>
                <w:shd w:val="clear" w:color="auto" w:fill="FFFFFF"/>
              </w:rPr>
              <w:t xml:space="preserve"> прогнозований індекс цін виробників промислової продукції для року t, %</w:t>
            </w: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shd w:val="clear" w:color="auto" w:fill="FFFFFF"/>
              </w:rPr>
              <w:t>ПЕз</w:t>
            </w:r>
            <w:r w:rsidRPr="005A615E">
              <w:rPr>
                <w:rFonts w:ascii="Times New Roman" w:hAnsi="Times New Roman"/>
                <w:b/>
                <w:bCs/>
                <w:shd w:val="clear" w:color="auto" w:fill="FFFFFF"/>
                <w:lang w:val="en-US"/>
              </w:rPr>
              <w:t>t</w:t>
            </w:r>
            <w:r w:rsidRPr="005A615E">
              <w:rPr>
                <w:rFonts w:ascii="Times New Roman" w:hAnsi="Times New Roman"/>
                <w:shd w:val="clear" w:color="auto" w:fill="FFFFFF"/>
              </w:rPr>
              <w:t xml:space="preserve">  загальний показник ефективності для операційних контрольованих витрат, встановлений НКРЕКП </w:t>
            </w:r>
            <w:r w:rsidRPr="005A615E">
              <w:rPr>
                <w:rFonts w:ascii="Times New Roman" w:hAnsi="Times New Roman"/>
                <w:b/>
                <w:bCs/>
                <w:shd w:val="clear" w:color="auto" w:fill="FFFFFF"/>
              </w:rPr>
              <w:t>для року t</w:t>
            </w:r>
            <w:r w:rsidRPr="005A615E">
              <w:rPr>
                <w:rFonts w:ascii="Times New Roman" w:hAnsi="Times New Roman"/>
                <w:shd w:val="clear" w:color="auto" w:fill="FFFFFF"/>
              </w:rPr>
              <w:t>, %;</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ПЕінд</w:t>
            </w:r>
            <w:r w:rsidRPr="005A615E">
              <w:rPr>
                <w:rFonts w:ascii="Times New Roman" w:hAnsi="Times New Roman"/>
                <w:b/>
                <w:bCs/>
                <w:shd w:val="clear" w:color="auto" w:fill="FFFFFF"/>
                <w:lang w:val="en-US"/>
              </w:rPr>
              <w:t>t</w:t>
            </w:r>
            <w:r w:rsidRPr="005A615E">
              <w:rPr>
                <w:rFonts w:ascii="Times New Roman" w:hAnsi="Times New Roman"/>
                <w:shd w:val="clear" w:color="auto" w:fill="FFFFFF"/>
              </w:rPr>
              <w:t xml:space="preserve"> індивідуальний показник ефективності для контрольованих операційних витрат окремого ліцензіата, встановлений НКРЕКП </w:t>
            </w:r>
            <w:r w:rsidRPr="005A615E">
              <w:rPr>
                <w:rFonts w:ascii="Times New Roman" w:hAnsi="Times New Roman"/>
                <w:b/>
                <w:bCs/>
                <w:shd w:val="clear" w:color="auto" w:fill="FFFFFF"/>
              </w:rPr>
              <w:t>для року t</w:t>
            </w:r>
            <w:r w:rsidRPr="005A615E">
              <w:rPr>
                <w:rFonts w:ascii="Times New Roman" w:hAnsi="Times New Roman"/>
                <w:shd w:val="clear" w:color="auto" w:fill="FFFFFF"/>
              </w:rPr>
              <w:t>, %.</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jc w:val="both"/>
              <w:rPr>
                <w:rFonts w:ascii="Times New Roman" w:hAnsi="Times New Roman"/>
                <w:b/>
                <w:bCs/>
                <w:shd w:val="clear" w:color="auto" w:fill="FFFFFF"/>
              </w:rPr>
            </w:pPr>
            <w:r w:rsidRPr="005A615E">
              <w:rPr>
                <w:rFonts w:ascii="Times New Roman" w:hAnsi="Times New Roman"/>
                <w:b/>
                <w:bCs/>
                <w:shd w:val="clear" w:color="auto" w:fill="FFFFFF"/>
              </w:rPr>
              <w:t>Прогнозовані операційні контрольовані витрати з розподілу електричної енергії розраховуються на другий рік другого та наступних регуляторних періодів за формулою за формулою</w:t>
            </w:r>
          </w:p>
          <w:p w:rsidR="00CF2AC1" w:rsidRPr="005A615E" w:rsidRDefault="00CF2AC1" w:rsidP="00CF2AC1">
            <w:pPr>
              <w:ind w:firstLine="308"/>
              <w:jc w:val="both"/>
              <w:rPr>
                <w:rFonts w:ascii="Times New Roman" w:hAnsi="Times New Roman"/>
                <w:shd w:val="clear" w:color="auto" w:fill="FFFFFF"/>
              </w:rPr>
            </w:pPr>
          </w:p>
          <w:p w:rsidR="00CF2AC1" w:rsidRPr="005A615E" w:rsidRDefault="000D13C5" w:rsidP="00CF2AC1">
            <m:oMath>
              <m:sSubSup>
                <m:sSubSupPr>
                  <m:ctrlPr>
                    <w:rPr>
                      <w:rFonts w:ascii="Cambria Math" w:hAnsi="Cambria Math"/>
                      <w:i/>
                    </w:rPr>
                  </m:ctrlPr>
                </m:sSubSupPr>
                <m:e>
                  <m:r>
                    <w:rPr>
                      <w:rFonts w:ascii="Cambria Math" w:hAnsi="Cambria Math"/>
                    </w:rPr>
                    <m:t>ОКВ</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ОКВ</m:t>
                      </m:r>
                    </m:e>
                    <m:sub>
                      <m:r>
                        <w:rPr>
                          <w:rFonts w:ascii="Cambria Math" w:hAnsi="Cambria Math"/>
                        </w:rPr>
                        <m:t>t-2</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ФОП</m:t>
                      </m:r>
                    </m:e>
                    <m:sub>
                      <m:r>
                        <w:rPr>
                          <w:rFonts w:ascii="Cambria Math" w:hAnsi="Cambria Math"/>
                        </w:rPr>
                        <m:t>t-2</m:t>
                      </m:r>
                    </m:sub>
                    <m:sup>
                      <m:r>
                        <w:rPr>
                          <w:rFonts w:ascii="Cambria Math" w:hAnsi="Cambria Math"/>
                        </w:rPr>
                        <m:t>n</m:t>
                      </m:r>
                    </m:sup>
                  </m:sSubSup>
                </m:e>
              </m:d>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ІЦВ</m:t>
                      </m:r>
                    </m:e>
                    <m:sub>
                      <m:r>
                        <w:rPr>
                          <w:rFonts w:ascii="Cambria Math" w:hAnsi="Cambria Math"/>
                        </w:rPr>
                        <m:t>t</m:t>
                      </m:r>
                    </m:sub>
                    <m:sup>
                      <m:r>
                        <w:rPr>
                          <w:rFonts w:ascii="Cambria Math" w:hAnsi="Cambria Math"/>
                        </w:rPr>
                        <m:t>n</m:t>
                      </m:r>
                    </m:sup>
                  </m:sSubSup>
                </m:num>
                <m:den>
                  <m:r>
                    <w:rPr>
                      <w:rFonts w:ascii="Cambria Math" w:hAnsi="Cambria Math"/>
                    </w:rPr>
                    <m:t>100</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ІЦВ</m:t>
                      </m:r>
                    </m:e>
                    <m:sub>
                      <m:r>
                        <w:rPr>
                          <w:rFonts w:ascii="Cambria Math" w:hAnsi="Cambria Math"/>
                        </w:rPr>
                        <m:t>t-1</m:t>
                      </m:r>
                    </m:sub>
                    <m:sup>
                      <m:r>
                        <w:rPr>
                          <w:rFonts w:ascii="Cambria Math" w:hAnsi="Cambria Math"/>
                        </w:rPr>
                        <m:t>n</m:t>
                      </m:r>
                    </m:sup>
                  </m:sSubSup>
                </m:num>
                <m:den>
                  <m:r>
                    <w:rPr>
                      <w:rFonts w:ascii="Cambria Math" w:hAnsi="Cambria Math"/>
                    </w:rPr>
                    <m:t>100</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Sup>
                        <m:sSubSupPr>
                          <m:ctrlPr>
                            <w:rPr>
                              <w:rFonts w:ascii="Cambria Math" w:hAnsi="Cambria Math"/>
                              <w:i/>
                            </w:rPr>
                          </m:ctrlPr>
                        </m:sSubSupPr>
                        <m:e>
                          <m:r>
                            <w:rPr>
                              <w:rFonts w:ascii="Cambria Math" w:hAnsi="Cambria Math"/>
                            </w:rPr>
                            <m:t>ПЕ</m:t>
                          </m:r>
                        </m:e>
                        <m:sub>
                          <m:r>
                            <w:rPr>
                              <w:rFonts w:ascii="Cambria Math" w:hAnsi="Cambria Math"/>
                              <w:lang w:val="en-US"/>
                            </w:rPr>
                            <m:t>t</m:t>
                          </m:r>
                          <m:r>
                            <w:rPr>
                              <w:rFonts w:ascii="Cambria Math" w:hAnsi="Cambria Math"/>
                            </w:rPr>
                            <m:t>-1</m:t>
                          </m:r>
                        </m:sub>
                        <m:sup>
                          <m:r>
                            <w:rPr>
                              <w:rFonts w:ascii="Cambria Math" w:hAnsi="Cambria Math"/>
                            </w:rPr>
                            <m:t>3</m:t>
                          </m:r>
                        </m:sup>
                      </m:sSubSup>
                      <m:r>
                        <w:rPr>
                          <w:rFonts w:ascii="Cambria Math" w:hAnsi="Cambria Math"/>
                        </w:rPr>
                        <m:t>+</m:t>
                      </m:r>
                      <m:sSubSup>
                        <m:sSubSupPr>
                          <m:ctrlPr>
                            <w:rPr>
                              <w:rFonts w:ascii="Cambria Math" w:hAnsi="Cambria Math"/>
                              <w:i/>
                            </w:rPr>
                          </m:ctrlPr>
                        </m:sSubSupPr>
                        <m:e>
                          <m:r>
                            <w:rPr>
                              <w:rFonts w:ascii="Cambria Math" w:hAnsi="Cambria Math"/>
                            </w:rPr>
                            <m:t>ПЕ</m:t>
                          </m:r>
                        </m:e>
                        <m:sub>
                          <m:r>
                            <w:rPr>
                              <w:rFonts w:ascii="Cambria Math" w:hAnsi="Cambria Math"/>
                              <w:lang w:val="en-US"/>
                            </w:rPr>
                            <m:t>t</m:t>
                          </m:r>
                          <m:r>
                            <w:rPr>
                              <w:rFonts w:ascii="Cambria Math" w:hAnsi="Cambria Math"/>
                            </w:rPr>
                            <m:t>-1</m:t>
                          </m:r>
                        </m:sub>
                        <m:sup>
                          <m:r>
                            <w:rPr>
                              <w:rFonts w:ascii="Cambria Math" w:hAnsi="Cambria Math"/>
                            </w:rPr>
                            <m:t>інд</m:t>
                          </m:r>
                        </m:sup>
                      </m:sSubSup>
                    </m:num>
                    <m:den>
                      <m:r>
                        <w:rPr>
                          <w:rFonts w:ascii="Cambria Math" w:hAnsi="Cambria Math"/>
                        </w:rPr>
                        <m:t>100</m:t>
                      </m:r>
                    </m:den>
                  </m:f>
                </m:e>
              </m:d>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зt</m:t>
                          </m:r>
                        </m:sub>
                      </m:sSub>
                      <m:r>
                        <w:rPr>
                          <w:rFonts w:ascii="Cambria Math" w:hAnsi="Cambria Math"/>
                        </w:rPr>
                        <m:t>+</m:t>
                      </m:r>
                      <m:sSub>
                        <m:sSubPr>
                          <m:ctrlPr>
                            <w:rPr>
                              <w:rFonts w:ascii="Cambria Math" w:hAnsi="Cambria Math"/>
                              <w:i/>
                            </w:rPr>
                          </m:ctrlPr>
                        </m:sSubPr>
                        <m:e>
                          <m:r>
                            <w:rPr>
                              <w:rFonts w:ascii="Cambria Math" w:hAnsi="Cambria Math"/>
                            </w:rPr>
                            <m:t>ПЕ</m:t>
                          </m:r>
                        </m:e>
                        <m:sub>
                          <m:r>
                            <w:rPr>
                              <w:rFonts w:ascii="Cambria Math" w:hAnsi="Cambria Math"/>
                            </w:rPr>
                            <m:t>індt</m:t>
                          </m:r>
                        </m:sub>
                      </m:sSub>
                    </m:num>
                    <m:den>
                      <m:r>
                        <w:rPr>
                          <w:rFonts w:ascii="Cambria Math" w:hAnsi="Cambria Math"/>
                        </w:rPr>
                        <m:t>100</m:t>
                      </m:r>
                    </m:den>
                  </m:f>
                </m:e>
              </m:d>
              <m:r>
                <w:rPr>
                  <w:rFonts w:ascii="Cambria Math" w:hAnsi="Cambria Math"/>
                </w:rPr>
                <m:t>+</m:t>
              </m:r>
              <m:sSubSup>
                <m:sSubSupPr>
                  <m:ctrlPr>
                    <w:rPr>
                      <w:rFonts w:ascii="Cambria Math" w:hAnsi="Cambria Math"/>
                      <w:i/>
                    </w:rPr>
                  </m:ctrlPr>
                </m:sSubSupPr>
                <m:e>
                  <m:r>
                    <w:rPr>
                      <w:rFonts w:ascii="Cambria Math" w:hAnsi="Cambria Math"/>
                    </w:rPr>
                    <m:t>ФОП</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зt</m:t>
                          </m:r>
                        </m:sub>
                      </m:sSub>
                      <m:r>
                        <w:rPr>
                          <w:rFonts w:ascii="Cambria Math" w:hAnsi="Cambria Math"/>
                        </w:rPr>
                        <m:t>+</m:t>
                      </m:r>
                      <m:sSub>
                        <m:sSubPr>
                          <m:ctrlPr>
                            <w:rPr>
                              <w:rFonts w:ascii="Cambria Math" w:hAnsi="Cambria Math"/>
                              <w:i/>
                            </w:rPr>
                          </m:ctrlPr>
                        </m:sSubPr>
                        <m:e>
                          <m:r>
                            <w:rPr>
                              <w:rFonts w:ascii="Cambria Math" w:hAnsi="Cambria Math"/>
                            </w:rPr>
                            <m:t>ПЕ</m:t>
                          </m:r>
                        </m:e>
                        <m:sub>
                          <m:r>
                            <w:rPr>
                              <w:rFonts w:ascii="Cambria Math" w:hAnsi="Cambria Math"/>
                            </w:rPr>
                            <m:t>індt</m:t>
                          </m:r>
                        </m:sub>
                      </m:sSub>
                    </m:num>
                    <m:den>
                      <m:r>
                        <w:rPr>
                          <w:rFonts w:ascii="Cambria Math" w:hAnsi="Cambria Math"/>
                        </w:rPr>
                        <m:t>100</m:t>
                      </m:r>
                    </m:den>
                  </m:f>
                </m:e>
              </m:d>
              <m:r>
                <w:rPr>
                  <w:rFonts w:ascii="Cambria Math" w:hAnsi="Cambria Math"/>
                </w:rPr>
                <m:t>, тис.грн,</m:t>
              </m:r>
            </m:oMath>
            <w:r w:rsidR="00CF2AC1" w:rsidRPr="005A615E">
              <w:rPr>
                <w:rFonts w:eastAsiaTheme="minorEastAsia"/>
              </w:rPr>
              <w:t xml:space="preserve"> </w:t>
            </w:r>
            <w:r w:rsidR="00CF2AC1" w:rsidRPr="005A615E">
              <w:t>(7.1)</w:t>
            </w:r>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rPr>
                <w:rFonts w:ascii="Times New Roman" w:hAnsi="Times New Roman"/>
                <w:shd w:val="clear" w:color="auto" w:fill="FFFFFF"/>
              </w:rPr>
            </w:pPr>
            <w:r w:rsidRPr="005A615E">
              <w:rPr>
                <w:rFonts w:ascii="Times New Roman" w:hAnsi="Times New Roman"/>
                <w:shd w:val="clear" w:color="auto" w:fill="FFFFFF"/>
              </w:rPr>
              <w:t>Пропонується уточнення.</w:t>
            </w:r>
          </w:p>
          <w:p w:rsidR="00CF2AC1" w:rsidRPr="005A615E" w:rsidRDefault="00CF2AC1" w:rsidP="00CF2AC1">
            <w:pPr>
              <w:rPr>
                <w:rFonts w:ascii="Times New Roman" w:hAnsi="Times New Roman"/>
                <w:b/>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«ЧЕРНІГІВОБЛЕНЕРГО» (лист від 24.07.2026 № 49/9422/01-14), ПрАТ «Кіровоградобленерго» (лист від 27.07.2026  № 3919/05/34), АТ «ВІННИЦЯОБЛЕНЕРГО» (лист від 27.07.2026  № 03.13-18608)</w:t>
            </w:r>
          </w:p>
          <w:p w:rsidR="00CF2AC1" w:rsidRPr="005A615E" w:rsidRDefault="00CF2AC1" w:rsidP="00CF2AC1">
            <w:pPr>
              <w:jc w:val="both"/>
              <w:rPr>
                <w:rFonts w:ascii="Times New Roman" w:hAnsi="Times New Roman"/>
                <w:b/>
                <w:sz w:val="24"/>
                <w:u w:val="single"/>
              </w:rPr>
            </w:pPr>
          </w:p>
          <w:p w:rsidR="00CF2AC1" w:rsidRPr="005A615E" w:rsidRDefault="00CF2AC1" w:rsidP="00CF2AC1">
            <w:pPr>
              <w:shd w:val="clear" w:color="auto" w:fill="FFFFFF"/>
              <w:spacing w:after="150"/>
              <w:ind w:firstLine="173"/>
              <w:jc w:val="both"/>
              <w:rPr>
                <w:rFonts w:ascii="Times New Roman" w:hAnsi="Times New Roman"/>
                <w:sz w:val="24"/>
                <w:szCs w:val="24"/>
                <w:lang w:eastAsia="uk-UA"/>
              </w:rPr>
            </w:pPr>
            <w:r w:rsidRPr="005A615E">
              <w:rPr>
                <w:rFonts w:ascii="Times New Roman" w:hAnsi="Times New Roman"/>
                <w:sz w:val="24"/>
                <w:szCs w:val="24"/>
                <w:lang w:eastAsia="uk-UA"/>
              </w:rPr>
              <w:t>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за формулою</w:t>
            </w:r>
          </w:p>
          <w:tbl>
            <w:tblPr>
              <w:tblW w:w="5000" w:type="pct"/>
              <w:tblLayout w:type="fixed"/>
              <w:tblCellMar>
                <w:left w:w="0" w:type="dxa"/>
                <w:right w:w="0" w:type="dxa"/>
              </w:tblCellMar>
              <w:tblLook w:val="04A0" w:firstRow="1" w:lastRow="0" w:firstColumn="1" w:lastColumn="0" w:noHBand="0" w:noVBand="1"/>
            </w:tblPr>
            <w:tblGrid>
              <w:gridCol w:w="4612"/>
              <w:gridCol w:w="553"/>
            </w:tblGrid>
            <w:tr w:rsidR="00CF2AC1" w:rsidRPr="005A615E" w:rsidTr="00C75464">
              <w:tc>
                <w:tcPr>
                  <w:tcW w:w="4358" w:type="dxa"/>
                  <w:tcBorders>
                    <w:top w:val="single" w:sz="2" w:space="0" w:color="auto"/>
                    <w:left w:val="single" w:sz="2" w:space="0" w:color="auto"/>
                    <w:bottom w:val="single" w:sz="2" w:space="0" w:color="auto"/>
                    <w:right w:val="single" w:sz="2" w:space="0" w:color="auto"/>
                  </w:tcBorders>
                  <w:hideMark/>
                </w:tcPr>
                <w:p w:rsidR="00CF2AC1" w:rsidRPr="005A615E" w:rsidRDefault="000D13C5" w:rsidP="00CF2AC1">
                  <w:pPr>
                    <w:spacing w:before="150" w:after="150"/>
                    <w:rPr>
                      <w:sz w:val="20"/>
                      <w:szCs w:val="20"/>
                      <w:lang w:eastAsia="uk-UA"/>
                    </w:rPr>
                  </w:pPr>
                  <m:oMathPara>
                    <m:oMath>
                      <m:sSubSup>
                        <m:sSubSupPr>
                          <m:ctrlPr>
                            <w:rPr>
                              <w:rFonts w:ascii="Cambria Math" w:hAnsi="Cambria Math"/>
                              <w:i/>
                              <w:sz w:val="20"/>
                              <w:szCs w:val="20"/>
                              <w:lang w:eastAsia="uk-UA"/>
                            </w:rPr>
                          </m:ctrlPr>
                        </m:sSubSupPr>
                        <m:e>
                          <m:r>
                            <w:rPr>
                              <w:rFonts w:ascii="Cambria Math" w:hAnsi="Cambria Math"/>
                              <w:sz w:val="20"/>
                              <w:szCs w:val="20"/>
                              <w:lang w:eastAsia="uk-UA"/>
                            </w:rPr>
                            <m:t>ОКВ</m:t>
                          </m:r>
                        </m:e>
                        <m:sub>
                          <m:r>
                            <w:rPr>
                              <w:rFonts w:ascii="Cambria Math" w:hAnsi="Cambria Math"/>
                              <w:sz w:val="20"/>
                              <w:szCs w:val="20"/>
                              <w:lang w:eastAsia="uk-UA"/>
                            </w:rPr>
                            <m:t>t</m:t>
                          </m:r>
                        </m:sub>
                        <m:sup>
                          <m:r>
                            <w:rPr>
                              <w:rFonts w:ascii="Cambria Math" w:hAnsi="Cambria Math"/>
                              <w:sz w:val="20"/>
                              <w:szCs w:val="20"/>
                              <w:lang w:eastAsia="uk-UA"/>
                            </w:rPr>
                            <m:t>n</m:t>
                          </m:r>
                        </m:sup>
                      </m:sSubSup>
                      <m:r>
                        <w:rPr>
                          <w:rFonts w:ascii="Cambria Math" w:hAnsi="Cambria Math"/>
                          <w:sz w:val="20"/>
                          <w:szCs w:val="20"/>
                          <w:lang w:eastAsia="uk-UA"/>
                        </w:rPr>
                        <m:t>=</m:t>
                      </m:r>
                      <m:d>
                        <m:dPr>
                          <m:ctrlPr>
                            <w:rPr>
                              <w:rFonts w:ascii="Cambria Math" w:hAnsi="Cambria Math"/>
                              <w:i/>
                              <w:sz w:val="20"/>
                              <w:szCs w:val="20"/>
                              <w:lang w:eastAsia="uk-UA"/>
                            </w:rPr>
                          </m:ctrlPr>
                        </m:dPr>
                        <m:e>
                          <m:sSubSup>
                            <m:sSubSupPr>
                              <m:ctrlPr>
                                <w:rPr>
                                  <w:rFonts w:ascii="Cambria Math" w:hAnsi="Cambria Math"/>
                                  <w:i/>
                                  <w:sz w:val="20"/>
                                  <w:szCs w:val="20"/>
                                  <w:lang w:eastAsia="uk-UA"/>
                                </w:rPr>
                              </m:ctrlPr>
                            </m:sSubSupPr>
                            <m:e>
                              <m:r>
                                <w:rPr>
                                  <w:rFonts w:ascii="Cambria Math" w:hAnsi="Cambria Math"/>
                                  <w:sz w:val="20"/>
                                  <w:szCs w:val="20"/>
                                  <w:lang w:eastAsia="uk-UA"/>
                                </w:rPr>
                                <m:t>ОКВ</m:t>
                              </m:r>
                            </m:e>
                            <m:sub>
                              <m:r>
                                <w:rPr>
                                  <w:rFonts w:ascii="Cambria Math" w:hAnsi="Cambria Math"/>
                                  <w:sz w:val="20"/>
                                  <w:szCs w:val="20"/>
                                  <w:lang w:eastAsia="uk-UA"/>
                                </w:rPr>
                                <m:t>t-1</m:t>
                              </m:r>
                            </m:sub>
                            <m:sup>
                              <m:r>
                                <w:rPr>
                                  <w:rFonts w:ascii="Cambria Math" w:hAnsi="Cambria Math"/>
                                  <w:sz w:val="20"/>
                                  <w:szCs w:val="20"/>
                                  <w:lang w:eastAsia="uk-UA"/>
                                </w:rPr>
                                <m:t>n</m:t>
                              </m:r>
                            </m:sup>
                          </m:sSubSup>
                          <m:r>
                            <w:rPr>
                              <w:rFonts w:ascii="Cambria Math" w:hAnsi="Cambria Math"/>
                              <w:sz w:val="20"/>
                              <w:szCs w:val="20"/>
                              <w:lang w:eastAsia="uk-UA"/>
                            </w:rPr>
                            <m:t>-</m:t>
                          </m:r>
                          <m:sSubSup>
                            <m:sSubSupPr>
                              <m:ctrlPr>
                                <w:rPr>
                                  <w:rFonts w:ascii="Cambria Math" w:hAnsi="Cambria Math"/>
                                  <w:i/>
                                  <w:sz w:val="20"/>
                                  <w:szCs w:val="20"/>
                                  <w:lang w:eastAsia="uk-UA"/>
                                </w:rPr>
                              </m:ctrlPr>
                            </m:sSubSupPr>
                            <m:e>
                              <m:r>
                                <w:rPr>
                                  <w:rFonts w:ascii="Cambria Math" w:hAnsi="Cambria Math"/>
                                  <w:sz w:val="20"/>
                                  <w:szCs w:val="20"/>
                                  <w:lang w:eastAsia="uk-UA"/>
                                </w:rPr>
                                <m:t>ФОП</m:t>
                              </m:r>
                            </m:e>
                            <m:sub>
                              <m:r>
                                <w:rPr>
                                  <w:rFonts w:ascii="Cambria Math" w:hAnsi="Cambria Math"/>
                                  <w:sz w:val="20"/>
                                  <w:szCs w:val="20"/>
                                  <w:lang w:eastAsia="uk-UA"/>
                                </w:rPr>
                                <m:t>t-1</m:t>
                              </m:r>
                            </m:sub>
                            <m:sup>
                              <m:r>
                                <w:rPr>
                                  <w:rFonts w:ascii="Cambria Math" w:hAnsi="Cambria Math"/>
                                  <w:sz w:val="20"/>
                                  <w:szCs w:val="20"/>
                                  <w:lang w:eastAsia="uk-UA"/>
                                </w:rPr>
                                <m:t>n</m:t>
                              </m:r>
                            </m:sup>
                          </m:sSubSup>
                        </m:e>
                      </m:d>
                      <m:r>
                        <w:rPr>
                          <w:rFonts w:ascii="Cambria Math" w:hAnsi="Cambria Math"/>
                          <w:sz w:val="20"/>
                          <w:szCs w:val="20"/>
                          <w:lang w:eastAsia="uk-UA"/>
                        </w:rPr>
                        <m:t>×</m:t>
                      </m:r>
                      <m:f>
                        <m:fPr>
                          <m:ctrlPr>
                            <w:rPr>
                              <w:rFonts w:ascii="Cambria Math" w:hAnsi="Cambria Math"/>
                              <w:i/>
                              <w:sz w:val="20"/>
                              <w:szCs w:val="20"/>
                              <w:lang w:eastAsia="uk-UA"/>
                            </w:rPr>
                          </m:ctrlPr>
                        </m:fPr>
                        <m:num>
                          <m:sSubSup>
                            <m:sSubSupPr>
                              <m:ctrlPr>
                                <w:rPr>
                                  <w:rFonts w:ascii="Cambria Math" w:hAnsi="Cambria Math"/>
                                  <w:i/>
                                  <w:sz w:val="20"/>
                                  <w:szCs w:val="20"/>
                                  <w:lang w:eastAsia="uk-UA"/>
                                </w:rPr>
                              </m:ctrlPr>
                            </m:sSubSupPr>
                            <m:e>
                              <m:r>
                                <w:rPr>
                                  <w:rFonts w:ascii="Cambria Math" w:hAnsi="Cambria Math"/>
                                  <w:sz w:val="20"/>
                                  <w:szCs w:val="20"/>
                                  <w:lang w:eastAsia="uk-UA"/>
                                </w:rPr>
                                <m:t>ІЦВ</m:t>
                              </m:r>
                            </m:e>
                            <m:sub>
                              <m:r>
                                <w:rPr>
                                  <w:rFonts w:ascii="Cambria Math" w:hAnsi="Cambria Math"/>
                                  <w:sz w:val="20"/>
                                  <w:szCs w:val="20"/>
                                  <w:lang w:eastAsia="uk-UA"/>
                                </w:rPr>
                                <m:t>t</m:t>
                              </m:r>
                            </m:sub>
                            <m:sup>
                              <m:r>
                                <w:rPr>
                                  <w:rFonts w:ascii="Cambria Math" w:hAnsi="Cambria Math"/>
                                  <w:sz w:val="20"/>
                                  <w:szCs w:val="20"/>
                                  <w:lang w:eastAsia="uk-UA"/>
                                </w:rPr>
                                <m:t>n</m:t>
                              </m:r>
                            </m:sup>
                          </m:sSubSup>
                        </m:num>
                        <m:den>
                          <m:r>
                            <w:rPr>
                              <w:rFonts w:ascii="Cambria Math" w:hAnsi="Cambria Math"/>
                              <w:sz w:val="20"/>
                              <w:szCs w:val="20"/>
                              <w:lang w:eastAsia="uk-UA"/>
                            </w:rPr>
                            <m:t>100</m:t>
                          </m:r>
                        </m:den>
                      </m:f>
                      <m:r>
                        <w:rPr>
                          <w:rFonts w:ascii="Cambria Math" w:hAnsi="Cambria Math"/>
                          <w:sz w:val="20"/>
                          <w:szCs w:val="20"/>
                          <w:lang w:eastAsia="uk-UA"/>
                        </w:rPr>
                        <m:t>×</m:t>
                      </m:r>
                      <m:d>
                        <m:dPr>
                          <m:ctrlPr>
                            <w:rPr>
                              <w:rFonts w:ascii="Cambria Math" w:hAnsi="Cambria Math"/>
                              <w:i/>
                              <w:sz w:val="20"/>
                              <w:szCs w:val="20"/>
                              <w:lang w:eastAsia="uk-UA"/>
                            </w:rPr>
                          </m:ctrlPr>
                        </m:dPr>
                        <m:e>
                          <m:r>
                            <w:rPr>
                              <w:rFonts w:ascii="Cambria Math" w:hAnsi="Cambria Math"/>
                              <w:sz w:val="20"/>
                              <w:szCs w:val="20"/>
                              <w:lang w:eastAsia="uk-UA"/>
                            </w:rPr>
                            <m:t>1-</m:t>
                          </m:r>
                          <m:f>
                            <m:fPr>
                              <m:ctrlPr>
                                <w:rPr>
                                  <w:rFonts w:ascii="Cambria Math" w:hAnsi="Cambria Math"/>
                                  <w:i/>
                                  <w:sz w:val="20"/>
                                  <w:szCs w:val="20"/>
                                  <w:lang w:eastAsia="uk-UA"/>
                                </w:rPr>
                              </m:ctrlPr>
                            </m:fPr>
                            <m:num>
                              <m:sSub>
                                <m:sSubPr>
                                  <m:ctrlPr>
                                    <w:rPr>
                                      <w:rFonts w:ascii="Cambria Math" w:hAnsi="Cambria Math"/>
                                      <w:i/>
                                      <w:sz w:val="20"/>
                                      <w:szCs w:val="20"/>
                                      <w:lang w:eastAsia="uk-UA"/>
                                    </w:rPr>
                                  </m:ctrlPr>
                                </m:sSubPr>
                                <m:e>
                                  <m:r>
                                    <w:rPr>
                                      <w:rFonts w:ascii="Cambria Math" w:hAnsi="Cambria Math"/>
                                      <w:sz w:val="20"/>
                                      <w:szCs w:val="20"/>
                                      <w:lang w:eastAsia="uk-UA"/>
                                    </w:rPr>
                                    <m:t>ПЕ</m:t>
                                  </m:r>
                                </m:e>
                                <m:sub>
                                  <m:r>
                                    <w:rPr>
                                      <w:rFonts w:ascii="Cambria Math" w:hAnsi="Cambria Math"/>
                                      <w:sz w:val="20"/>
                                      <w:szCs w:val="20"/>
                                      <w:lang w:eastAsia="uk-UA"/>
                                    </w:rPr>
                                    <m:t>з</m:t>
                                  </m:r>
                                </m:sub>
                              </m:sSub>
                              <m:r>
                                <w:rPr>
                                  <w:rFonts w:ascii="Cambria Math" w:hAnsi="Cambria Math"/>
                                  <w:sz w:val="20"/>
                                  <w:szCs w:val="20"/>
                                  <w:lang w:eastAsia="uk-UA"/>
                                </w:rPr>
                                <m:t>+</m:t>
                              </m:r>
                              <m:sSub>
                                <m:sSubPr>
                                  <m:ctrlPr>
                                    <w:rPr>
                                      <w:rFonts w:ascii="Cambria Math" w:hAnsi="Cambria Math"/>
                                      <w:i/>
                                      <w:sz w:val="20"/>
                                      <w:szCs w:val="20"/>
                                      <w:lang w:eastAsia="uk-UA"/>
                                    </w:rPr>
                                  </m:ctrlPr>
                                </m:sSubPr>
                                <m:e>
                                  <m:r>
                                    <w:rPr>
                                      <w:rFonts w:ascii="Cambria Math" w:hAnsi="Cambria Math"/>
                                      <w:sz w:val="20"/>
                                      <w:szCs w:val="20"/>
                                      <w:lang w:eastAsia="uk-UA"/>
                                    </w:rPr>
                                    <m:t>ПЕ</m:t>
                                  </m:r>
                                </m:e>
                                <m:sub>
                                  <m:r>
                                    <w:rPr>
                                      <w:rFonts w:ascii="Cambria Math" w:hAnsi="Cambria Math"/>
                                      <w:sz w:val="20"/>
                                      <w:szCs w:val="20"/>
                                      <w:lang w:eastAsia="uk-UA"/>
                                    </w:rPr>
                                    <m:t>інд</m:t>
                                  </m:r>
                                </m:sub>
                              </m:sSub>
                            </m:num>
                            <m:den>
                              <m:r>
                                <w:rPr>
                                  <w:rFonts w:ascii="Cambria Math" w:hAnsi="Cambria Math"/>
                                  <w:sz w:val="20"/>
                                  <w:szCs w:val="20"/>
                                  <w:lang w:eastAsia="uk-UA"/>
                                </w:rPr>
                                <m:t>100</m:t>
                              </m:r>
                            </m:den>
                          </m:f>
                        </m:e>
                      </m:d>
                      <m:r>
                        <w:rPr>
                          <w:rFonts w:ascii="Cambria Math" w:hAnsi="Cambria Math"/>
                          <w:sz w:val="20"/>
                          <w:szCs w:val="20"/>
                          <w:lang w:eastAsia="uk-UA"/>
                        </w:rPr>
                        <m:t>+</m:t>
                      </m:r>
                      <m:sSubSup>
                        <m:sSubSupPr>
                          <m:ctrlPr>
                            <w:rPr>
                              <w:rFonts w:ascii="Cambria Math" w:hAnsi="Cambria Math"/>
                              <w:i/>
                              <w:sz w:val="20"/>
                              <w:szCs w:val="20"/>
                              <w:lang w:eastAsia="uk-UA"/>
                            </w:rPr>
                          </m:ctrlPr>
                        </m:sSubSupPr>
                        <m:e>
                          <m:r>
                            <w:rPr>
                              <w:rFonts w:ascii="Cambria Math" w:hAnsi="Cambria Math"/>
                              <w:sz w:val="20"/>
                              <w:szCs w:val="20"/>
                              <w:lang w:eastAsia="uk-UA"/>
                            </w:rPr>
                            <m:t>ФОП</m:t>
                          </m:r>
                        </m:e>
                        <m:sub>
                          <m:r>
                            <w:rPr>
                              <w:rFonts w:ascii="Cambria Math" w:hAnsi="Cambria Math"/>
                              <w:sz w:val="20"/>
                              <w:szCs w:val="20"/>
                              <w:lang w:eastAsia="uk-UA"/>
                            </w:rPr>
                            <m:t>t</m:t>
                          </m:r>
                        </m:sub>
                        <m:sup>
                          <m:r>
                            <w:rPr>
                              <w:rFonts w:ascii="Cambria Math" w:hAnsi="Cambria Math"/>
                              <w:sz w:val="20"/>
                              <w:szCs w:val="20"/>
                              <w:lang w:eastAsia="uk-UA"/>
                            </w:rPr>
                            <m:t>n</m:t>
                          </m:r>
                        </m:sup>
                      </m:sSubSup>
                      <m:r>
                        <m:rPr>
                          <m:sty m:val="bi"/>
                        </m:rPr>
                        <w:rPr>
                          <w:rFonts w:ascii="Cambria Math" w:hAnsi="Cambria Math"/>
                          <w:strike/>
                          <w:sz w:val="20"/>
                          <w:szCs w:val="20"/>
                          <w:lang w:eastAsia="uk-UA"/>
                        </w:rPr>
                        <m:t>×</m:t>
                      </m:r>
                      <m:d>
                        <m:dPr>
                          <m:ctrlPr>
                            <w:rPr>
                              <w:rFonts w:ascii="Cambria Math" w:hAnsi="Cambria Math"/>
                              <w:b/>
                              <w:i/>
                              <w:strike/>
                              <w:sz w:val="20"/>
                              <w:szCs w:val="20"/>
                              <w:lang w:eastAsia="uk-UA"/>
                            </w:rPr>
                          </m:ctrlPr>
                        </m:dPr>
                        <m:e>
                          <m:r>
                            <m:rPr>
                              <m:sty m:val="bi"/>
                            </m:rPr>
                            <w:rPr>
                              <w:rFonts w:ascii="Cambria Math" w:hAnsi="Cambria Math"/>
                              <w:strike/>
                              <w:sz w:val="20"/>
                              <w:szCs w:val="20"/>
                              <w:lang w:eastAsia="uk-UA"/>
                            </w:rPr>
                            <m:t>1-</m:t>
                          </m:r>
                          <m:f>
                            <m:fPr>
                              <m:ctrlPr>
                                <w:rPr>
                                  <w:rFonts w:ascii="Cambria Math" w:hAnsi="Cambria Math"/>
                                  <w:b/>
                                  <w:i/>
                                  <w:strike/>
                                  <w:sz w:val="20"/>
                                  <w:szCs w:val="20"/>
                                  <w:lang w:eastAsia="uk-UA"/>
                                </w:rPr>
                              </m:ctrlPr>
                            </m:fPr>
                            <m:num>
                              <m:sSub>
                                <m:sSubPr>
                                  <m:ctrlPr>
                                    <w:rPr>
                                      <w:rFonts w:ascii="Cambria Math" w:hAnsi="Cambria Math"/>
                                      <w:b/>
                                      <w:i/>
                                      <w:strike/>
                                      <w:sz w:val="20"/>
                                      <w:szCs w:val="20"/>
                                      <w:lang w:eastAsia="uk-UA"/>
                                    </w:rPr>
                                  </m:ctrlPr>
                                </m:sSubPr>
                                <m:e>
                                  <m:r>
                                    <m:rPr>
                                      <m:sty m:val="bi"/>
                                    </m:rPr>
                                    <w:rPr>
                                      <w:rFonts w:ascii="Cambria Math" w:hAnsi="Cambria Math"/>
                                      <w:strike/>
                                      <w:sz w:val="20"/>
                                      <w:szCs w:val="20"/>
                                      <w:lang w:eastAsia="uk-UA"/>
                                    </w:rPr>
                                    <m:t>ПЕ</m:t>
                                  </m:r>
                                </m:e>
                                <m:sub>
                                  <m:r>
                                    <m:rPr>
                                      <m:sty m:val="bi"/>
                                    </m:rPr>
                                    <w:rPr>
                                      <w:rFonts w:ascii="Cambria Math" w:hAnsi="Cambria Math"/>
                                      <w:strike/>
                                      <w:sz w:val="20"/>
                                      <w:szCs w:val="20"/>
                                      <w:lang w:eastAsia="uk-UA"/>
                                    </w:rPr>
                                    <m:t>з</m:t>
                                  </m:r>
                                </m:sub>
                              </m:sSub>
                              <m:r>
                                <m:rPr>
                                  <m:sty m:val="bi"/>
                                </m:rPr>
                                <w:rPr>
                                  <w:rFonts w:ascii="Cambria Math" w:hAnsi="Cambria Math"/>
                                  <w:strike/>
                                  <w:sz w:val="20"/>
                                  <w:szCs w:val="20"/>
                                  <w:lang w:eastAsia="uk-UA"/>
                                </w:rPr>
                                <m:t>+</m:t>
                              </m:r>
                              <m:sSub>
                                <m:sSubPr>
                                  <m:ctrlPr>
                                    <w:rPr>
                                      <w:rFonts w:ascii="Cambria Math" w:hAnsi="Cambria Math"/>
                                      <w:b/>
                                      <w:i/>
                                      <w:strike/>
                                      <w:sz w:val="20"/>
                                      <w:szCs w:val="20"/>
                                      <w:lang w:eastAsia="uk-UA"/>
                                    </w:rPr>
                                  </m:ctrlPr>
                                </m:sSubPr>
                                <m:e>
                                  <m:r>
                                    <m:rPr>
                                      <m:sty m:val="bi"/>
                                    </m:rPr>
                                    <w:rPr>
                                      <w:rFonts w:ascii="Cambria Math" w:hAnsi="Cambria Math"/>
                                      <w:strike/>
                                      <w:sz w:val="20"/>
                                      <w:szCs w:val="20"/>
                                      <w:lang w:eastAsia="uk-UA"/>
                                    </w:rPr>
                                    <m:t>ПЕ</m:t>
                                  </m:r>
                                </m:e>
                                <m:sub>
                                  <m:r>
                                    <m:rPr>
                                      <m:sty m:val="bi"/>
                                    </m:rPr>
                                    <w:rPr>
                                      <w:rFonts w:ascii="Cambria Math" w:hAnsi="Cambria Math"/>
                                      <w:strike/>
                                      <w:sz w:val="20"/>
                                      <w:szCs w:val="20"/>
                                      <w:lang w:eastAsia="uk-UA"/>
                                    </w:rPr>
                                    <m:t>інд</m:t>
                                  </m:r>
                                </m:sub>
                              </m:sSub>
                            </m:num>
                            <m:den>
                              <m:r>
                                <m:rPr>
                                  <m:sty m:val="bi"/>
                                </m:rPr>
                                <w:rPr>
                                  <w:rFonts w:ascii="Cambria Math" w:hAnsi="Cambria Math"/>
                                  <w:strike/>
                                  <w:sz w:val="20"/>
                                  <w:szCs w:val="20"/>
                                  <w:lang w:eastAsia="uk-UA"/>
                                </w:rPr>
                                <m:t>100</m:t>
                              </m:r>
                            </m:den>
                          </m:f>
                        </m:e>
                      </m:d>
                      <m:r>
                        <m:rPr>
                          <m:sty m:val="bi"/>
                        </m:rPr>
                        <w:rPr>
                          <w:rFonts w:ascii="Cambria Math" w:hAnsi="Cambria Math"/>
                          <w:strike/>
                          <w:sz w:val="20"/>
                          <w:szCs w:val="20"/>
                          <w:lang w:eastAsia="uk-UA"/>
                        </w:rPr>
                        <m:t>,</m:t>
                      </m:r>
                      <m:r>
                        <w:rPr>
                          <w:rFonts w:ascii="Cambria Math" w:hAnsi="Cambria Math"/>
                          <w:sz w:val="20"/>
                          <w:szCs w:val="20"/>
                          <w:lang w:eastAsia="uk-UA"/>
                        </w:rPr>
                        <m:t xml:space="preserve"> тис.грн,</m:t>
                      </m:r>
                    </m:oMath>
                  </m:oMathPara>
                </w:p>
              </w:tc>
              <w:tc>
                <w:tcPr>
                  <w:tcW w:w="523"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sz w:val="20"/>
                      <w:szCs w:val="20"/>
                      <w:lang w:eastAsia="uk-UA"/>
                    </w:rPr>
                  </w:pPr>
                  <w:r w:rsidRPr="005A615E">
                    <w:rPr>
                      <w:sz w:val="20"/>
                      <w:szCs w:val="20"/>
                      <w:lang w:eastAsia="uk-UA"/>
                    </w:rPr>
                    <w:t>(7)</w:t>
                  </w:r>
                </w:p>
              </w:tc>
            </w:tr>
          </w:tbl>
          <w:p w:rsidR="00CF2AC1" w:rsidRPr="005A615E" w:rsidRDefault="00CF2AC1" w:rsidP="00CF2AC1">
            <w:pPr>
              <w:rPr>
                <w:rFonts w:ascii="Times New Roman" w:hAnsi="Times New Roman"/>
                <w:b/>
                <w:u w:val="single"/>
              </w:rPr>
            </w:pP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Cs/>
                <w:sz w:val="24"/>
                <w:szCs w:val="24"/>
              </w:rPr>
            </w:pPr>
            <w:r w:rsidRPr="005A615E">
              <w:rPr>
                <w:rFonts w:ascii="Times New Roman" w:hAnsi="Times New Roman"/>
                <w:bCs/>
                <w:sz w:val="24"/>
                <w:szCs w:val="24"/>
              </w:rPr>
              <w:t>Пропонуємо не застосовувати при розрахунку прогнозованого фонду оплати праці загальний та індивідуальний показники ефективності.</w:t>
            </w:r>
          </w:p>
          <w:p w:rsidR="00CF2AC1" w:rsidRPr="005A615E" w:rsidRDefault="00CF2AC1" w:rsidP="00CF2AC1">
            <w:pPr>
              <w:jc w:val="both"/>
              <w:rPr>
                <w:rFonts w:ascii="Times New Roman" w:hAnsi="Times New Roman"/>
                <w:bCs/>
                <w:sz w:val="24"/>
                <w:szCs w:val="24"/>
              </w:rPr>
            </w:pPr>
            <w:r w:rsidRPr="005A615E">
              <w:rPr>
                <w:rFonts w:ascii="Times New Roman" w:hAnsi="Times New Roman"/>
                <w:bCs/>
                <w:sz w:val="24"/>
                <w:szCs w:val="24"/>
              </w:rPr>
              <w:t xml:space="preserve">Загальний показник ефективності застосовується в пункті 5.7 (формула 14) даної постанови при розрахунку тарифної чисельності персоналу. </w:t>
            </w:r>
          </w:p>
          <w:p w:rsidR="00CF2AC1" w:rsidRPr="005A615E" w:rsidRDefault="00CF2AC1" w:rsidP="00CF2AC1">
            <w:pPr>
              <w:jc w:val="both"/>
              <w:rPr>
                <w:rFonts w:ascii="Times New Roman" w:hAnsi="Times New Roman"/>
                <w:bCs/>
                <w:sz w:val="24"/>
                <w:szCs w:val="24"/>
              </w:rPr>
            </w:pPr>
            <w:r w:rsidRPr="005A615E">
              <w:rPr>
                <w:rFonts w:ascii="Times New Roman" w:hAnsi="Times New Roman"/>
                <w:bCs/>
                <w:sz w:val="24"/>
                <w:szCs w:val="24"/>
              </w:rPr>
              <w:t>Також, пропонуємо не застосовувати індивідуальний показник ефективності при розрахунку фонду оплати праці, адже при розрахунку ФОП вже застосовується коефіцієнт β, який встановлюється НКРЕКП.</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«ТЕРНОПІЛЬОБЛЕНЕРГО» (лист від 24.07.2026 № 4428/7)</w:t>
            </w:r>
          </w:p>
          <w:p w:rsidR="00CF2AC1" w:rsidRPr="005A615E" w:rsidRDefault="00CF2AC1" w:rsidP="00CF2AC1">
            <w:pPr>
              <w:shd w:val="clear" w:color="auto" w:fill="FFFFFF"/>
              <w:jc w:val="both"/>
              <w:rPr>
                <w:rFonts w:ascii="Times New Roman" w:hAnsi="Times New Roman"/>
                <w:shd w:val="clear" w:color="auto" w:fill="FFFFFF"/>
              </w:rPr>
            </w:pPr>
            <w:r w:rsidRPr="005A615E">
              <w:rPr>
                <w:rFonts w:ascii="Times New Roman" w:hAnsi="Times New Roman"/>
                <w:shd w:val="clear" w:color="auto" w:fill="FFFFFF"/>
              </w:rPr>
              <w:t xml:space="preserve">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w:t>
            </w:r>
            <w:r w:rsidRPr="005A615E">
              <w:rPr>
                <w:rFonts w:ascii="Times New Roman" w:hAnsi="Times New Roman"/>
                <w:b/>
                <w:bCs/>
                <w:u w:val="single"/>
                <w:shd w:val="clear" w:color="auto" w:fill="FFFFFF"/>
              </w:rPr>
              <w:t>крім другого року другого та наступних регуляторних періодів</w:t>
            </w:r>
            <w:r w:rsidRPr="005A615E">
              <w:rPr>
                <w:rFonts w:ascii="Times New Roman" w:hAnsi="Times New Roman"/>
                <w:shd w:val="clear" w:color="auto" w:fill="FFFFFF"/>
              </w:rPr>
              <w:t xml:space="preserve"> за формулою</w:t>
            </w:r>
          </w:p>
          <w:p w:rsidR="00CF2AC1" w:rsidRPr="005A615E" w:rsidRDefault="000D13C5" w:rsidP="00CF2AC1">
            <w:pPr>
              <w:spacing w:line="278" w:lineRule="auto"/>
              <w:rPr>
                <w:rFonts w:ascii="Aptos" w:eastAsia="Aptos" w:hAnsi="Aptos"/>
                <w:kern w:val="2"/>
                <w14:ligatures w14:val="standardContextual"/>
              </w:rPr>
            </w:pPr>
            <m:oMath>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ОКВ</m:t>
                  </m:r>
                </m:e>
                <m:sub>
                  <m:r>
                    <w:rPr>
                      <w:rFonts w:ascii="Cambria Math" w:eastAsia="Aptos" w:hAnsi="Cambria Math"/>
                      <w:kern w:val="2"/>
                      <w:sz w:val="14"/>
                      <w:szCs w:val="14"/>
                      <w14:ligatures w14:val="standardContextual"/>
                    </w:rPr>
                    <m:t>t</m:t>
                  </m:r>
                </m:sub>
                <m:sup>
                  <m:r>
                    <w:rPr>
                      <w:rFonts w:ascii="Cambria Math" w:eastAsia="Aptos" w:hAnsi="Cambria Math"/>
                      <w:kern w:val="2"/>
                      <w:sz w:val="14"/>
                      <w:szCs w:val="14"/>
                      <w14:ligatures w14:val="standardContextual"/>
                    </w:rPr>
                    <m:t>n</m:t>
                  </m:r>
                </m:sup>
              </m:sSubSup>
              <m:r>
                <w:rPr>
                  <w:rFonts w:ascii="Cambria Math" w:eastAsia="Aptos" w:hAnsi="Cambria Math"/>
                  <w:kern w:val="2"/>
                  <w:sz w:val="14"/>
                  <w:szCs w:val="14"/>
                  <w14:ligatures w14:val="standardContextual"/>
                </w:rPr>
                <m:t>=</m:t>
              </m:r>
              <m:d>
                <m:dPr>
                  <m:ctrlPr>
                    <w:rPr>
                      <w:rFonts w:ascii="Cambria Math" w:eastAsia="Aptos" w:hAnsi="Cambria Math"/>
                      <w:i/>
                      <w:kern w:val="2"/>
                      <w:sz w:val="14"/>
                      <w:szCs w:val="14"/>
                      <w14:ligatures w14:val="standardContextual"/>
                    </w:rPr>
                  </m:ctrlPr>
                </m:dPr>
                <m:e>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ОКВ</m:t>
                      </m:r>
                    </m:e>
                    <m:sub>
                      <m:r>
                        <w:rPr>
                          <w:rFonts w:ascii="Cambria Math" w:eastAsia="Aptos" w:hAnsi="Cambria Math"/>
                          <w:kern w:val="2"/>
                          <w:sz w:val="14"/>
                          <w:szCs w:val="14"/>
                          <w14:ligatures w14:val="standardContextual"/>
                        </w:rPr>
                        <m:t>t-1</m:t>
                      </m:r>
                    </m:sub>
                    <m:sup>
                      <m:r>
                        <w:rPr>
                          <w:rFonts w:ascii="Cambria Math" w:eastAsia="Aptos" w:hAnsi="Cambria Math"/>
                          <w:kern w:val="2"/>
                          <w:sz w:val="14"/>
                          <w:szCs w:val="14"/>
                          <w14:ligatures w14:val="standardContextual"/>
                        </w:rPr>
                        <m:t>n</m:t>
                      </m:r>
                    </m:sup>
                  </m:sSubSup>
                  <m:r>
                    <w:rPr>
                      <w:rFonts w:ascii="Cambria Math" w:eastAsia="Aptos" w:hAnsi="Cambria Math"/>
                      <w:kern w:val="2"/>
                      <w:sz w:val="14"/>
                      <w:szCs w:val="14"/>
                      <w14:ligatures w14:val="standardContextual"/>
                    </w:rPr>
                    <m:t>-</m:t>
                  </m:r>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ФОП</m:t>
                      </m:r>
                    </m:e>
                    <m:sub>
                      <m:r>
                        <w:rPr>
                          <w:rFonts w:ascii="Cambria Math" w:eastAsia="Aptos" w:hAnsi="Cambria Math"/>
                          <w:kern w:val="2"/>
                          <w:sz w:val="14"/>
                          <w:szCs w:val="14"/>
                          <w14:ligatures w14:val="standardContextual"/>
                        </w:rPr>
                        <m:t>t-1</m:t>
                      </m:r>
                    </m:sub>
                    <m:sup>
                      <m:r>
                        <w:rPr>
                          <w:rFonts w:ascii="Cambria Math" w:eastAsia="Aptos" w:hAnsi="Cambria Math"/>
                          <w:kern w:val="2"/>
                          <w:sz w:val="14"/>
                          <w:szCs w:val="14"/>
                          <w14:ligatures w14:val="standardContextual"/>
                        </w:rPr>
                        <m:t>n</m:t>
                      </m:r>
                    </m:sup>
                  </m:sSubSup>
                </m:e>
              </m:d>
              <m:r>
                <w:rPr>
                  <w:rFonts w:ascii="Cambria Math" w:eastAsia="Aptos" w:hAnsi="Cambria Math"/>
                  <w:kern w:val="2"/>
                  <w:sz w:val="14"/>
                  <w:szCs w:val="14"/>
                  <w14:ligatures w14:val="standardContextual"/>
                </w:rPr>
                <m:t>×</m:t>
              </m:r>
              <m:f>
                <m:fPr>
                  <m:ctrlPr>
                    <w:rPr>
                      <w:rFonts w:ascii="Cambria Math" w:eastAsia="Aptos" w:hAnsi="Cambria Math"/>
                      <w:i/>
                      <w:kern w:val="2"/>
                      <w:sz w:val="14"/>
                      <w:szCs w:val="14"/>
                      <w14:ligatures w14:val="standardContextual"/>
                    </w:rPr>
                  </m:ctrlPr>
                </m:fPr>
                <m:num>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ІЦВ</m:t>
                      </m:r>
                    </m:e>
                    <m:sub>
                      <m:r>
                        <w:rPr>
                          <w:rFonts w:ascii="Cambria Math" w:eastAsia="Aptos" w:hAnsi="Cambria Math"/>
                          <w:kern w:val="2"/>
                          <w:sz w:val="14"/>
                          <w:szCs w:val="14"/>
                          <w14:ligatures w14:val="standardContextual"/>
                        </w:rPr>
                        <m:t>t</m:t>
                      </m:r>
                    </m:sub>
                    <m:sup>
                      <m:r>
                        <w:rPr>
                          <w:rFonts w:ascii="Cambria Math" w:eastAsia="Aptos" w:hAnsi="Cambria Math"/>
                          <w:kern w:val="2"/>
                          <w:sz w:val="14"/>
                          <w:szCs w:val="14"/>
                          <w14:ligatures w14:val="standardContextual"/>
                        </w:rPr>
                        <m:t>n</m:t>
                      </m:r>
                    </m:sup>
                  </m:sSubSup>
                </m:num>
                <m:den>
                  <m:r>
                    <w:rPr>
                      <w:rFonts w:ascii="Cambria Math" w:eastAsia="Aptos" w:hAnsi="Cambria Math"/>
                      <w:kern w:val="2"/>
                      <w:sz w:val="14"/>
                      <w:szCs w:val="14"/>
                      <w14:ligatures w14:val="standardContextual"/>
                    </w:rPr>
                    <m:t>100</m:t>
                  </m:r>
                </m:den>
              </m:f>
              <m:r>
                <w:rPr>
                  <w:rFonts w:ascii="Cambria Math" w:eastAsia="Aptos" w:hAnsi="Cambria Math"/>
                  <w:kern w:val="2"/>
                  <w:sz w:val="14"/>
                  <w:szCs w:val="14"/>
                  <w14:ligatures w14:val="standardContextual"/>
                </w:rPr>
                <m:t>×</m:t>
              </m:r>
              <m:d>
                <m:dPr>
                  <m:ctrlPr>
                    <w:rPr>
                      <w:rFonts w:ascii="Cambria Math" w:eastAsia="Aptos" w:hAnsi="Cambria Math"/>
                      <w:i/>
                      <w:kern w:val="2"/>
                      <w:sz w:val="14"/>
                      <w:szCs w:val="14"/>
                      <w14:ligatures w14:val="standardContextual"/>
                    </w:rPr>
                  </m:ctrlPr>
                </m:dPr>
                <m:e>
                  <m:r>
                    <w:rPr>
                      <w:rFonts w:ascii="Cambria Math" w:eastAsia="Aptos" w:hAnsi="Cambria Math"/>
                      <w:kern w:val="2"/>
                      <w:sz w:val="14"/>
                      <w:szCs w:val="14"/>
                      <w14:ligatures w14:val="standardContextual"/>
                    </w:rPr>
                    <m:t>1-</m:t>
                  </m:r>
                  <m:f>
                    <m:fPr>
                      <m:ctrlPr>
                        <w:rPr>
                          <w:rFonts w:ascii="Cambria Math" w:eastAsia="Aptos" w:hAnsi="Cambria Math"/>
                          <w:i/>
                          <w:kern w:val="2"/>
                          <w:sz w:val="14"/>
                          <w:szCs w:val="14"/>
                          <w14:ligatures w14:val="standardContextual"/>
                        </w:rPr>
                      </m:ctrlPr>
                    </m:fPr>
                    <m:num>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з</m:t>
                          </m:r>
                        </m:sub>
                      </m:sSub>
                      <m:r>
                        <w:rPr>
                          <w:rFonts w:ascii="Cambria Math" w:eastAsia="Aptos" w:hAnsi="Cambria Math"/>
                          <w:kern w:val="2"/>
                          <w:sz w:val="14"/>
                          <w:szCs w:val="14"/>
                          <w14:ligatures w14:val="standardContextual"/>
                        </w:rPr>
                        <m:t>+</m:t>
                      </m:r>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інд</m:t>
                          </m:r>
                        </m:sub>
                      </m:sSub>
                    </m:num>
                    <m:den>
                      <m:r>
                        <w:rPr>
                          <w:rFonts w:ascii="Cambria Math" w:eastAsia="Aptos" w:hAnsi="Cambria Math"/>
                          <w:kern w:val="2"/>
                          <w:sz w:val="14"/>
                          <w:szCs w:val="14"/>
                          <w14:ligatures w14:val="standardContextual"/>
                        </w:rPr>
                        <m:t>100</m:t>
                      </m:r>
                    </m:den>
                  </m:f>
                </m:e>
              </m:d>
              <m:r>
                <w:rPr>
                  <w:rFonts w:ascii="Cambria Math" w:eastAsia="Aptos" w:hAnsi="Cambria Math"/>
                  <w:kern w:val="2"/>
                  <w:sz w:val="14"/>
                  <w:szCs w:val="14"/>
                  <w14:ligatures w14:val="standardContextual"/>
                </w:rPr>
                <m:t>+</m:t>
              </m:r>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ФОП</m:t>
                  </m:r>
                </m:e>
                <m:sub>
                  <m:r>
                    <w:rPr>
                      <w:rFonts w:ascii="Cambria Math" w:eastAsia="Aptos" w:hAnsi="Cambria Math"/>
                      <w:kern w:val="2"/>
                      <w:sz w:val="14"/>
                      <w:szCs w:val="14"/>
                      <w14:ligatures w14:val="standardContextual"/>
                    </w:rPr>
                    <m:t>t</m:t>
                  </m:r>
                </m:sub>
                <m:sup>
                  <m:r>
                    <w:rPr>
                      <w:rFonts w:ascii="Cambria Math" w:eastAsia="Aptos" w:hAnsi="Cambria Math"/>
                      <w:kern w:val="2"/>
                      <w:sz w:val="14"/>
                      <w:szCs w:val="14"/>
                      <w14:ligatures w14:val="standardContextual"/>
                    </w:rPr>
                    <m:t>n</m:t>
                  </m:r>
                </m:sup>
              </m:sSubSup>
              <m:r>
                <w:rPr>
                  <w:rFonts w:ascii="Cambria Math" w:eastAsia="Aptos" w:hAnsi="Cambria Math"/>
                  <w:kern w:val="2"/>
                  <w:sz w:val="14"/>
                  <w:szCs w:val="14"/>
                  <w14:ligatures w14:val="standardContextual"/>
                </w:rPr>
                <m:t>, тис.грн,</m:t>
              </m:r>
            </m:oMath>
            <w:r w:rsidR="00CF2AC1" w:rsidRPr="005A615E">
              <w:rPr>
                <w:rFonts w:ascii="Aptos" w:eastAsia="Aptos" w:hAnsi="Aptos"/>
                <w:kern w:val="2"/>
                <w:sz w:val="24"/>
                <w:szCs w:val="24"/>
                <w14:ligatures w14:val="standardContextual"/>
              </w:rPr>
              <w:t xml:space="preserve"> </w:t>
            </w:r>
            <w:r w:rsidR="00CF2AC1" w:rsidRPr="005A615E">
              <w:rPr>
                <w:rFonts w:ascii="Aptos" w:eastAsia="Aptos" w:hAnsi="Aptos"/>
                <w:kern w:val="2"/>
                <w14:ligatures w14:val="standardContextual"/>
              </w:rPr>
              <w:t>(7)</w:t>
            </w:r>
          </w:p>
          <w:p w:rsidR="00CF2AC1" w:rsidRPr="005A615E" w:rsidRDefault="00CF2AC1" w:rsidP="00CF2AC1">
            <w:pPr>
              <w:shd w:val="clear" w:color="auto" w:fill="FFFFFF"/>
              <w:ind w:firstLine="28"/>
              <w:jc w:val="both"/>
              <w:rPr>
                <w:rFonts w:ascii="Times New Roman" w:hAnsi="Times New Roman"/>
                <w:lang w:eastAsia="uk-UA"/>
              </w:rPr>
            </w:pPr>
            <w:r w:rsidRPr="005A615E">
              <w:rPr>
                <w:rFonts w:ascii="Times New Roman" w:hAnsi="Times New Roman"/>
                <w:shd w:val="clear" w:color="auto" w:fill="FFFFFF"/>
              </w:rPr>
              <w:t>де ОКВ</w:t>
            </w:r>
            <w:r w:rsidRPr="005A615E">
              <w:rPr>
                <w:rFonts w:ascii="Times New Roman" w:hAnsi="Times New Roman"/>
                <w:shd w:val="clear" w:color="auto" w:fill="FFFFFF"/>
                <w:vertAlign w:val="superscript"/>
              </w:rPr>
              <w:t>n</w:t>
            </w:r>
            <w:r w:rsidRPr="005A615E">
              <w:rPr>
                <w:rFonts w:ascii="Times New Roman" w:hAnsi="Times New Roman"/>
                <w:shd w:val="clear" w:color="auto" w:fill="FFFFFF"/>
                <w:vertAlign w:val="subscript"/>
              </w:rPr>
              <w:t>t</w:t>
            </w:r>
            <w:r w:rsidRPr="005A615E">
              <w:rPr>
                <w:rFonts w:ascii="Times New Roman" w:hAnsi="Times New Roman"/>
                <w:shd w:val="clear" w:color="auto" w:fill="FFFFFF"/>
              </w:rPr>
              <w:t>-</w:t>
            </w:r>
            <w:r w:rsidRPr="005A615E">
              <w:rPr>
                <w:rFonts w:ascii="Times New Roman" w:hAnsi="Times New Roman"/>
                <w:shd w:val="clear" w:color="auto" w:fill="FFFFFF"/>
                <w:vertAlign w:val="subscript"/>
              </w:rPr>
              <w:t>1</w:t>
            </w:r>
            <w:r w:rsidRPr="005A615E">
              <w:rPr>
                <w:rFonts w:ascii="Times New Roman" w:hAnsi="Times New Roman"/>
                <w:shd w:val="clear" w:color="auto" w:fill="FFFFFF"/>
              </w:rPr>
              <w:t xml:space="preserve"> - </w:t>
            </w:r>
            <w:r w:rsidRPr="005A615E">
              <w:rPr>
                <w:rFonts w:ascii="Times New Roman" w:hAnsi="Times New Roman"/>
                <w:lang w:eastAsia="uk-UA"/>
              </w:rPr>
              <w:t>прогнозовані операційні контрольовані витрати в році t-1 (для першого року першого періоду регулювання ОКВnt-1 = ОКВ0, ОКВ0 визначається з урахуванням </w:t>
            </w:r>
            <w:hyperlink r:id="rId98" w:anchor="n138" w:history="1">
              <w:r w:rsidRPr="005A615E">
                <w:rPr>
                  <w:rFonts w:ascii="Times New Roman" w:hAnsi="Times New Roman"/>
                  <w:lang w:eastAsia="uk-UA"/>
                </w:rPr>
                <w:t>пункту 5.6</w:t>
              </w:r>
            </w:hyperlink>
            <w:r w:rsidRPr="005A615E">
              <w:rPr>
                <w:rFonts w:ascii="Times New Roman" w:hAnsi="Times New Roman"/>
                <w:lang w:eastAsia="uk-UA"/>
              </w:rPr>
              <w:t xml:space="preserve"> цієї глави; </w:t>
            </w:r>
          </w:p>
          <w:p w:rsidR="00CF2AC1" w:rsidRPr="005A615E" w:rsidRDefault="00CF2AC1" w:rsidP="00CF2AC1">
            <w:pPr>
              <w:shd w:val="clear" w:color="auto" w:fill="FFFFFF"/>
              <w:ind w:firstLine="28"/>
              <w:jc w:val="both"/>
              <w:rPr>
                <w:rFonts w:ascii="Times New Roman" w:hAnsi="Times New Roman"/>
                <w:lang w:eastAsia="uk-UA"/>
              </w:rPr>
            </w:pPr>
            <w:r w:rsidRPr="005A615E">
              <w:rPr>
                <w:rFonts w:ascii="Times New Roman" w:hAnsi="Times New Roman"/>
                <w:lang w:eastAsia="uk-UA"/>
              </w:rPr>
              <w:t xml:space="preserve">для першого року другого та наступних </w:t>
            </w:r>
            <w:r w:rsidRPr="005A615E">
              <w:rPr>
                <w:rFonts w:ascii="Times New Roman" w:hAnsi="Times New Roman"/>
                <w:b/>
                <w:lang w:eastAsia="uk-UA"/>
              </w:rPr>
              <w:t>регуляторних періодів</w:t>
            </w:r>
            <w:r w:rsidRPr="005A615E">
              <w:rPr>
                <w:rFonts w:ascii="Times New Roman" w:hAnsi="Times New Roman"/>
                <w:lang w:eastAsia="uk-UA"/>
              </w:rPr>
              <w:t xml:space="preserve"> визначається з урахуванням </w:t>
            </w:r>
            <w:hyperlink r:id="rId99" w:anchor="n140" w:history="1">
              <w:r w:rsidRPr="005A615E">
                <w:rPr>
                  <w:rFonts w:ascii="Times New Roman" w:hAnsi="Times New Roman"/>
                  <w:lang w:eastAsia="uk-UA"/>
                </w:rPr>
                <w:t>пункту 5.7</w:t>
              </w:r>
            </w:hyperlink>
            <w:r w:rsidRPr="005A615E">
              <w:rPr>
                <w:rFonts w:ascii="Times New Roman" w:hAnsi="Times New Roman"/>
                <w:lang w:eastAsia="uk-UA"/>
              </w:rPr>
              <w:t> </w:t>
            </w:r>
            <w:r w:rsidRPr="005A615E">
              <w:rPr>
                <w:rFonts w:ascii="Times New Roman" w:hAnsi="Times New Roman"/>
                <w:b/>
                <w:bCs/>
                <w:lang w:eastAsia="uk-UA"/>
              </w:rPr>
              <w:t>формули 11, а для другого року другого та наступних регуляторних періодів визначається з урахуванням </w:t>
            </w:r>
            <w:hyperlink r:id="rId100" w:anchor="n140" w:history="1">
              <w:r w:rsidRPr="005A615E">
                <w:rPr>
                  <w:rFonts w:ascii="Times New Roman" w:hAnsi="Times New Roman"/>
                  <w:b/>
                  <w:bCs/>
                  <w:lang w:eastAsia="uk-UA"/>
                </w:rPr>
                <w:t>пункту 5.7</w:t>
              </w:r>
            </w:hyperlink>
            <w:r w:rsidRPr="005A615E">
              <w:rPr>
                <w:rFonts w:ascii="Times New Roman" w:hAnsi="Times New Roman"/>
                <w:b/>
                <w:bCs/>
                <w:lang w:eastAsia="uk-UA"/>
              </w:rPr>
              <w:t xml:space="preserve"> формули 15</w:t>
            </w:r>
            <w:r w:rsidRPr="005A615E">
              <w:rPr>
                <w:rFonts w:ascii="Times New Roman" w:hAnsi="Times New Roman"/>
                <w:lang w:eastAsia="uk-UA"/>
              </w:rPr>
              <w:t> цієї глави), тис. грн;</w:t>
            </w: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shd w:val="clear" w:color="auto" w:fill="FFFFFF"/>
              </w:rPr>
              <w:t>ФОПnt-1 прогнозований фонд оплати праці (витрати на оплату праці) у році t-1, що розрахований відповідно до </w:t>
            </w:r>
            <w:hyperlink r:id="rId101" w:anchor="n12" w:tgtFrame="_blank" w:history="1">
              <w:r w:rsidRPr="005A615E">
                <w:rPr>
                  <w:rFonts w:ascii="Times New Roman" w:hAnsi="Times New Roman"/>
                  <w:shd w:val="clear" w:color="auto" w:fill="FFFFFF"/>
                </w:rPr>
                <w:t>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5A615E">
              <w:rPr>
                <w:rFonts w:ascii="Times New Roman" w:hAnsi="Times New Roman"/>
                <w:shd w:val="clear" w:color="auto" w:fill="FFFFFF"/>
              </w:rPr>
              <w:t xml:space="preserve">, затвердженого постановою НКРЕКП від 26 жовтня 2015 року № 2645, зареєстрованого в Міністерстві юстиції України 13 листопада 2015 року за № 1431/27876 (далі - Порядок визначення витрат на оплату праці) </w:t>
            </w:r>
            <w:r w:rsidRPr="005A615E">
              <w:rPr>
                <w:rFonts w:ascii="Times New Roman" w:hAnsi="Times New Roman"/>
                <w:u w:val="single"/>
                <w:shd w:val="clear" w:color="auto" w:fill="FFFFFF"/>
              </w:rPr>
              <w:t>без</w:t>
            </w:r>
            <w:r w:rsidRPr="005A615E">
              <w:rPr>
                <w:rFonts w:ascii="Times New Roman" w:hAnsi="Times New Roman"/>
                <w:b/>
                <w:bCs/>
                <w:u w:val="single"/>
                <w:shd w:val="clear" w:color="auto" w:fill="FFFFFF"/>
              </w:rPr>
              <w:t xml:space="preserve"> урахування показника ефективності для операційних контрольованих витрат (</w:t>
            </w:r>
            <w:r w:rsidRPr="005A615E">
              <w:rPr>
                <w:rFonts w:ascii="Times New Roman" w:hAnsi="Times New Roman"/>
                <w:u w:val="single"/>
                <w:shd w:val="clear" w:color="auto" w:fill="FFFFFF"/>
              </w:rPr>
              <w:t>ПЕз</w:t>
            </w:r>
            <w:r w:rsidRPr="005A615E">
              <w:rPr>
                <w:rFonts w:ascii="Times New Roman" w:hAnsi="Times New Roman"/>
                <w:b/>
                <w:bCs/>
                <w:u w:val="single"/>
                <w:shd w:val="clear" w:color="auto" w:fill="FFFFFF"/>
              </w:rPr>
              <w:t xml:space="preserve">t та </w:t>
            </w:r>
            <w:r w:rsidRPr="005A615E">
              <w:rPr>
                <w:rFonts w:ascii="Times New Roman" w:hAnsi="Times New Roman"/>
                <w:u w:val="single"/>
                <w:shd w:val="clear" w:color="auto" w:fill="FFFFFF"/>
              </w:rPr>
              <w:t>ПЕі</w:t>
            </w:r>
            <w:r w:rsidRPr="005A615E">
              <w:rPr>
                <w:rFonts w:ascii="Times New Roman" w:hAnsi="Times New Roman"/>
                <w:b/>
                <w:bCs/>
                <w:u w:val="single"/>
                <w:shd w:val="clear" w:color="auto" w:fill="FFFFFF"/>
              </w:rPr>
              <w:t>t), встановлений НКРЕКП для року t-1</w:t>
            </w:r>
            <w:r w:rsidRPr="005A615E">
              <w:rPr>
                <w:rFonts w:ascii="Times New Roman" w:hAnsi="Times New Roman"/>
                <w:u w:val="single"/>
                <w:shd w:val="clear" w:color="auto" w:fill="FFFFFF"/>
              </w:rPr>
              <w:t xml:space="preserve">; </w:t>
            </w:r>
            <w:r w:rsidRPr="005A615E">
              <w:rPr>
                <w:rFonts w:ascii="Times New Roman" w:hAnsi="Times New Roman"/>
                <w:shd w:val="clear" w:color="auto" w:fill="FFFFFF"/>
              </w:rPr>
              <w:t>для першого року другого та наступних регуляторних періодів визначається з урахуванням пункту 5.7</w:t>
            </w:r>
            <w:r w:rsidRPr="005A615E">
              <w:rPr>
                <w:rFonts w:ascii="Times New Roman" w:hAnsi="Times New Roman"/>
                <w:b/>
                <w:bCs/>
                <w:shd w:val="clear" w:color="auto" w:fill="FFFFFF"/>
              </w:rPr>
              <w:t xml:space="preserve"> формули , для другого року другого та наступних регуляторних періодів визначається з урахуванням </w:t>
            </w:r>
            <w:hyperlink r:id="rId102" w:anchor="n140" w:history="1">
              <w:r w:rsidRPr="005A615E">
                <w:rPr>
                  <w:rFonts w:ascii="Times New Roman" w:hAnsi="Times New Roman"/>
                  <w:b/>
                  <w:bCs/>
                  <w:shd w:val="clear" w:color="auto" w:fill="FFFFFF"/>
                </w:rPr>
                <w:t>пункту 5.7</w:t>
              </w:r>
            </w:hyperlink>
            <w:r w:rsidRPr="005A615E">
              <w:rPr>
                <w:rFonts w:ascii="Times New Roman" w:hAnsi="Times New Roman"/>
                <w:b/>
                <w:bCs/>
                <w:shd w:val="clear" w:color="auto" w:fill="FFFFFF"/>
              </w:rPr>
              <w:t xml:space="preserve"> </w:t>
            </w:r>
            <w:r w:rsidRPr="005A615E">
              <w:rPr>
                <w:rFonts w:ascii="Times New Roman" w:hAnsi="Times New Roman"/>
                <w:b/>
                <w:bCs/>
                <w:u w:val="single"/>
                <w:shd w:val="clear" w:color="auto" w:fill="FFFFFF"/>
              </w:rPr>
              <w:t>формули 16</w:t>
            </w:r>
            <w:r w:rsidRPr="005A615E">
              <w:rPr>
                <w:rFonts w:ascii="Times New Roman" w:hAnsi="Times New Roman"/>
                <w:b/>
                <w:bCs/>
                <w:shd w:val="clear" w:color="auto" w:fill="FFFFFF"/>
              </w:rPr>
              <w:t> цієї глави), тис. грн;</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shd w:val="clear" w:color="auto" w:fill="FFFFFF"/>
              </w:rPr>
              <w:t>ФОП</w:t>
            </w:r>
            <w:r w:rsidRPr="005A615E">
              <w:rPr>
                <w:rFonts w:ascii="Times New Roman" w:hAnsi="Times New Roman"/>
                <w:shd w:val="clear" w:color="auto" w:fill="FFFFFF"/>
                <w:vertAlign w:val="superscript"/>
              </w:rPr>
              <w:t>n</w:t>
            </w:r>
            <w:r w:rsidRPr="005A615E">
              <w:rPr>
                <w:rFonts w:ascii="Times New Roman" w:hAnsi="Times New Roman"/>
                <w:shd w:val="clear" w:color="auto" w:fill="FFFFFF"/>
                <w:vertAlign w:val="subscript"/>
              </w:rPr>
              <w:t xml:space="preserve">t </w:t>
            </w:r>
            <w:r w:rsidRPr="005A615E">
              <w:rPr>
                <w:rFonts w:ascii="Times New Roman" w:hAnsi="Times New Roman"/>
                <w:shd w:val="clear" w:color="auto" w:fill="FFFFFF"/>
              </w:rPr>
              <w:t>прогнозований фонд оплати праці (витрати на оплату праці) у році t, що розрахований відповідно до </w:t>
            </w:r>
            <w:hyperlink r:id="rId103" w:anchor="n12" w:tgtFrame="_blank" w:history="1">
              <w:r w:rsidRPr="005A615E">
                <w:rPr>
                  <w:rFonts w:ascii="Times New Roman" w:hAnsi="Times New Roman"/>
                  <w:shd w:val="clear" w:color="auto" w:fill="FFFFFF"/>
                </w:rPr>
                <w:t>Порядку визначення витрат на оплату праці</w:t>
              </w:r>
            </w:hyperlink>
            <w:r w:rsidRPr="005A615E">
              <w:t xml:space="preserve">; </w:t>
            </w:r>
            <w:r w:rsidRPr="005A615E">
              <w:rPr>
                <w:rFonts w:ascii="Times New Roman" w:hAnsi="Times New Roman"/>
                <w:shd w:val="clear" w:color="auto" w:fill="FFFFFF"/>
              </w:rPr>
              <w:t xml:space="preserve">для першого року другого та наступних регуляторних періодів визначається з урахуванням пункту 5.7 </w:t>
            </w:r>
            <w:r w:rsidRPr="005A615E">
              <w:rPr>
                <w:rFonts w:ascii="Times New Roman" w:hAnsi="Times New Roman"/>
                <w:b/>
                <w:bCs/>
                <w:shd w:val="clear" w:color="auto" w:fill="FFFFFF"/>
              </w:rPr>
              <w:t>формули 14, для другого року другого та наступних регуляторних періодів визначається з урахуванням </w:t>
            </w:r>
            <w:hyperlink r:id="rId104" w:anchor="n140" w:history="1">
              <w:r w:rsidRPr="005A615E">
                <w:rPr>
                  <w:rFonts w:ascii="Times New Roman" w:hAnsi="Times New Roman"/>
                  <w:b/>
                  <w:bCs/>
                  <w:shd w:val="clear" w:color="auto" w:fill="FFFFFF"/>
                </w:rPr>
                <w:t>пункту 5.7</w:t>
              </w:r>
            </w:hyperlink>
            <w:r w:rsidRPr="005A615E">
              <w:rPr>
                <w:rFonts w:ascii="Times New Roman" w:hAnsi="Times New Roman"/>
                <w:b/>
                <w:bCs/>
                <w:shd w:val="clear" w:color="auto" w:fill="FFFFFF"/>
              </w:rPr>
              <w:t xml:space="preserve"> </w:t>
            </w:r>
            <w:r w:rsidRPr="005A615E">
              <w:rPr>
                <w:rFonts w:ascii="Times New Roman" w:hAnsi="Times New Roman"/>
                <w:b/>
                <w:bCs/>
                <w:u w:val="single"/>
                <w:shd w:val="clear" w:color="auto" w:fill="FFFFFF"/>
              </w:rPr>
              <w:t>формули 16</w:t>
            </w:r>
            <w:r w:rsidRPr="005A615E">
              <w:rPr>
                <w:rFonts w:ascii="Times New Roman" w:hAnsi="Times New Roman"/>
                <w:b/>
                <w:bCs/>
                <w:shd w:val="clear" w:color="auto" w:fill="FFFFFF"/>
              </w:rPr>
              <w:t> цієї глави), тис. грн;</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rPr>
              <w:t>ІЦВ</w:t>
            </w:r>
            <w:r w:rsidRPr="005A615E">
              <w:rPr>
                <w:rFonts w:ascii="Times New Roman" w:hAnsi="Times New Roman"/>
                <w:b/>
                <w:bCs/>
                <w:vertAlign w:val="superscript"/>
              </w:rPr>
              <w:t>n</w:t>
            </w:r>
            <w:r w:rsidRPr="005A615E">
              <w:rPr>
                <w:rFonts w:ascii="Times New Roman" w:hAnsi="Times New Roman"/>
                <w:b/>
                <w:bCs/>
                <w:vertAlign w:val="subscript"/>
              </w:rPr>
              <w:t>t</w:t>
            </w:r>
            <w:r w:rsidRPr="005A615E">
              <w:rPr>
                <w:rFonts w:ascii="Times New Roman" w:hAnsi="Times New Roman"/>
                <w:shd w:val="clear" w:color="auto" w:fill="FFFFFF"/>
              </w:rPr>
              <w:t xml:space="preserve"> прогнозований індекс цін виробників промислової продукції для року t, %</w:t>
            </w: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shd w:val="clear" w:color="auto" w:fill="FFFFFF"/>
              </w:rPr>
              <w:t>ПЕз</w:t>
            </w:r>
            <w:r w:rsidRPr="005A615E">
              <w:rPr>
                <w:rFonts w:ascii="Times New Roman" w:hAnsi="Times New Roman"/>
                <w:b/>
                <w:bCs/>
                <w:shd w:val="clear" w:color="auto" w:fill="FFFFFF"/>
              </w:rPr>
              <w:t>t</w:t>
            </w:r>
            <w:r w:rsidRPr="005A615E">
              <w:rPr>
                <w:rFonts w:ascii="Times New Roman" w:hAnsi="Times New Roman"/>
                <w:shd w:val="clear" w:color="auto" w:fill="FFFFFF"/>
              </w:rPr>
              <w:t xml:space="preserve">  загальний показник ефективності для операційних контрольованих витрат, встановлений НКРЕКП </w:t>
            </w:r>
            <w:r w:rsidRPr="005A615E">
              <w:rPr>
                <w:rFonts w:ascii="Times New Roman" w:hAnsi="Times New Roman"/>
                <w:b/>
                <w:bCs/>
                <w:shd w:val="clear" w:color="auto" w:fill="FFFFFF"/>
              </w:rPr>
              <w:t>для року t</w:t>
            </w:r>
            <w:r w:rsidRPr="005A615E">
              <w:rPr>
                <w:rFonts w:ascii="Times New Roman" w:hAnsi="Times New Roman"/>
                <w:shd w:val="clear" w:color="auto" w:fill="FFFFFF"/>
              </w:rPr>
              <w:t>, %;</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ПЕінд</w:t>
            </w:r>
            <w:r w:rsidRPr="005A615E">
              <w:rPr>
                <w:rFonts w:ascii="Times New Roman" w:hAnsi="Times New Roman"/>
                <w:b/>
                <w:bCs/>
                <w:shd w:val="clear" w:color="auto" w:fill="FFFFFF"/>
              </w:rPr>
              <w:t>t</w:t>
            </w:r>
            <w:r w:rsidRPr="005A615E">
              <w:rPr>
                <w:rFonts w:ascii="Times New Roman" w:hAnsi="Times New Roman"/>
                <w:shd w:val="clear" w:color="auto" w:fill="FFFFFF"/>
              </w:rPr>
              <w:t xml:space="preserve"> індивідуальний показник ефективності для контрольованих операційних витрат окремого ліцензіата, встановлений НКРЕКП </w:t>
            </w:r>
            <w:r w:rsidRPr="005A615E">
              <w:rPr>
                <w:rFonts w:ascii="Times New Roman" w:hAnsi="Times New Roman"/>
                <w:b/>
                <w:bCs/>
                <w:shd w:val="clear" w:color="auto" w:fill="FFFFFF"/>
              </w:rPr>
              <w:t>для року t</w:t>
            </w:r>
            <w:r w:rsidRPr="005A615E">
              <w:rPr>
                <w:rFonts w:ascii="Times New Roman" w:hAnsi="Times New Roman"/>
                <w:shd w:val="clear" w:color="auto" w:fill="FFFFFF"/>
              </w:rPr>
              <w:t>, %.</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jc w:val="both"/>
              <w:rPr>
                <w:rFonts w:ascii="Times New Roman" w:hAnsi="Times New Roman"/>
                <w:b/>
                <w:bCs/>
                <w:shd w:val="clear" w:color="auto" w:fill="FFFFFF"/>
              </w:rPr>
            </w:pPr>
            <w:r w:rsidRPr="005A615E">
              <w:rPr>
                <w:rFonts w:ascii="Times New Roman" w:hAnsi="Times New Roman"/>
                <w:b/>
                <w:bCs/>
                <w:shd w:val="clear" w:color="auto" w:fill="FFFFFF"/>
              </w:rPr>
              <w:t>Прогнозовані операційні контрольовані витрати з розподілу електричної енергії розраховуються на другий рік другого та наступних регуляторних періодів за формулою за формулою</w:t>
            </w:r>
          </w:p>
          <w:p w:rsidR="00CF2AC1" w:rsidRPr="005A615E" w:rsidRDefault="00CF2AC1" w:rsidP="00CF2AC1">
            <w:pPr>
              <w:ind w:firstLine="308"/>
              <w:jc w:val="both"/>
              <w:rPr>
                <w:rFonts w:ascii="Times New Roman" w:hAnsi="Times New Roman"/>
                <w:shd w:val="clear" w:color="auto" w:fill="FFFFFF"/>
              </w:rPr>
            </w:pPr>
          </w:p>
          <w:p w:rsidR="00CF2AC1" w:rsidRPr="005A615E" w:rsidRDefault="000D13C5" w:rsidP="00CF2AC1">
            <w:pPr>
              <w:rPr>
                <w:b/>
                <w:bCs/>
              </w:rPr>
            </w:pPr>
            <m:oMath>
              <m:sSubSup>
                <m:sSubSupPr>
                  <m:ctrlPr>
                    <w:rPr>
                      <w:rFonts w:ascii="Cambria Math" w:hAnsi="Cambria Math"/>
                      <w:i/>
                    </w:rPr>
                  </m:ctrlPr>
                </m:sSubSupPr>
                <m:e>
                  <m:r>
                    <w:rPr>
                      <w:rFonts w:ascii="Cambria Math" w:hAnsi="Cambria Math"/>
                    </w:rPr>
                    <m:t>ОКВ</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ОКВ</m:t>
                      </m:r>
                    </m:e>
                    <m:sub>
                      <m:r>
                        <w:rPr>
                          <w:rFonts w:ascii="Cambria Math" w:hAnsi="Cambria Math"/>
                        </w:rPr>
                        <m:t>t-2</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ФОП</m:t>
                      </m:r>
                    </m:e>
                    <m:sub>
                      <m:r>
                        <w:rPr>
                          <w:rFonts w:ascii="Cambria Math" w:hAnsi="Cambria Math"/>
                        </w:rPr>
                        <m:t>t-2</m:t>
                      </m:r>
                    </m:sub>
                    <m:sup>
                      <m:r>
                        <w:rPr>
                          <w:rFonts w:ascii="Cambria Math" w:hAnsi="Cambria Math"/>
                        </w:rPr>
                        <m:t>n</m:t>
                      </m:r>
                    </m:sup>
                  </m:sSubSup>
                </m:e>
              </m:d>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ІЦВ</m:t>
                      </m:r>
                    </m:e>
                    <m:sub>
                      <m:r>
                        <w:rPr>
                          <w:rFonts w:ascii="Cambria Math" w:hAnsi="Cambria Math"/>
                        </w:rPr>
                        <m:t>t</m:t>
                      </m:r>
                    </m:sub>
                    <m:sup>
                      <m:r>
                        <w:rPr>
                          <w:rFonts w:ascii="Cambria Math" w:hAnsi="Cambria Math"/>
                        </w:rPr>
                        <m:t>n</m:t>
                      </m:r>
                    </m:sup>
                  </m:sSubSup>
                </m:num>
                <m:den>
                  <m:r>
                    <w:rPr>
                      <w:rFonts w:ascii="Cambria Math" w:hAnsi="Cambria Math"/>
                    </w:rPr>
                    <m:t>100</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ІЦВ</m:t>
                      </m:r>
                    </m:e>
                    <m:sub>
                      <m:r>
                        <w:rPr>
                          <w:rFonts w:ascii="Cambria Math" w:hAnsi="Cambria Math"/>
                        </w:rPr>
                        <m:t>t-1</m:t>
                      </m:r>
                    </m:sub>
                    <m:sup>
                      <m:r>
                        <w:rPr>
                          <w:rFonts w:ascii="Cambria Math" w:hAnsi="Cambria Math"/>
                        </w:rPr>
                        <m:t>n</m:t>
                      </m:r>
                    </m:sup>
                  </m:sSubSup>
                </m:num>
                <m:den>
                  <m:r>
                    <w:rPr>
                      <w:rFonts w:ascii="Cambria Math" w:hAnsi="Cambria Math"/>
                    </w:rPr>
                    <m:t>100</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Sup>
                        <m:sSubSupPr>
                          <m:ctrlPr>
                            <w:rPr>
                              <w:rFonts w:ascii="Cambria Math" w:hAnsi="Cambria Math"/>
                              <w:i/>
                            </w:rPr>
                          </m:ctrlPr>
                        </m:sSubSupPr>
                        <m:e>
                          <m:r>
                            <w:rPr>
                              <w:rFonts w:ascii="Cambria Math" w:hAnsi="Cambria Math"/>
                            </w:rPr>
                            <m:t>ПЕ</m:t>
                          </m:r>
                        </m:e>
                        <m:sub>
                          <m:r>
                            <w:rPr>
                              <w:rFonts w:ascii="Cambria Math" w:hAnsi="Cambria Math"/>
                            </w:rPr>
                            <m:t>t-1</m:t>
                          </m:r>
                        </m:sub>
                        <m:sup>
                          <m:r>
                            <w:rPr>
                              <w:rFonts w:ascii="Cambria Math" w:hAnsi="Cambria Math"/>
                            </w:rPr>
                            <m:t>3</m:t>
                          </m:r>
                        </m:sup>
                      </m:sSubSup>
                      <m:r>
                        <w:rPr>
                          <w:rFonts w:ascii="Cambria Math" w:hAnsi="Cambria Math"/>
                        </w:rPr>
                        <m:t>+</m:t>
                      </m:r>
                      <m:sSubSup>
                        <m:sSubSupPr>
                          <m:ctrlPr>
                            <w:rPr>
                              <w:rFonts w:ascii="Cambria Math" w:hAnsi="Cambria Math"/>
                              <w:i/>
                            </w:rPr>
                          </m:ctrlPr>
                        </m:sSubSupPr>
                        <m:e>
                          <m:r>
                            <w:rPr>
                              <w:rFonts w:ascii="Cambria Math" w:hAnsi="Cambria Math"/>
                            </w:rPr>
                            <m:t>ПЕ</m:t>
                          </m:r>
                        </m:e>
                        <m:sub>
                          <m:r>
                            <w:rPr>
                              <w:rFonts w:ascii="Cambria Math" w:hAnsi="Cambria Math"/>
                            </w:rPr>
                            <m:t>t-1</m:t>
                          </m:r>
                        </m:sub>
                        <m:sup>
                          <m:r>
                            <w:rPr>
                              <w:rFonts w:ascii="Cambria Math" w:hAnsi="Cambria Math"/>
                            </w:rPr>
                            <m:t>інд</m:t>
                          </m:r>
                        </m:sup>
                      </m:sSubSup>
                    </m:num>
                    <m:den>
                      <m:r>
                        <w:rPr>
                          <w:rFonts w:ascii="Cambria Math" w:hAnsi="Cambria Math"/>
                        </w:rPr>
                        <m:t>100</m:t>
                      </m:r>
                    </m:den>
                  </m:f>
                </m:e>
              </m:d>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зt</m:t>
                          </m:r>
                        </m:sub>
                      </m:sSub>
                      <m:r>
                        <w:rPr>
                          <w:rFonts w:ascii="Cambria Math" w:hAnsi="Cambria Math"/>
                        </w:rPr>
                        <m:t>+</m:t>
                      </m:r>
                      <m:sSub>
                        <m:sSubPr>
                          <m:ctrlPr>
                            <w:rPr>
                              <w:rFonts w:ascii="Cambria Math" w:hAnsi="Cambria Math"/>
                              <w:i/>
                            </w:rPr>
                          </m:ctrlPr>
                        </m:sSubPr>
                        <m:e>
                          <m:r>
                            <w:rPr>
                              <w:rFonts w:ascii="Cambria Math" w:hAnsi="Cambria Math"/>
                            </w:rPr>
                            <m:t>ПЕ</m:t>
                          </m:r>
                        </m:e>
                        <m:sub>
                          <m:r>
                            <w:rPr>
                              <w:rFonts w:ascii="Cambria Math" w:hAnsi="Cambria Math"/>
                            </w:rPr>
                            <m:t>індt</m:t>
                          </m:r>
                        </m:sub>
                      </m:sSub>
                    </m:num>
                    <m:den>
                      <m:r>
                        <w:rPr>
                          <w:rFonts w:ascii="Cambria Math" w:hAnsi="Cambria Math"/>
                        </w:rPr>
                        <m:t>100</m:t>
                      </m:r>
                    </m:den>
                  </m:f>
                </m:e>
              </m:d>
              <m:r>
                <w:rPr>
                  <w:rFonts w:ascii="Cambria Math" w:hAnsi="Cambria Math"/>
                </w:rPr>
                <m:t>+</m:t>
              </m:r>
              <m:sSubSup>
                <m:sSubSupPr>
                  <m:ctrlPr>
                    <w:rPr>
                      <w:rFonts w:ascii="Cambria Math" w:hAnsi="Cambria Math"/>
                      <w:i/>
                    </w:rPr>
                  </m:ctrlPr>
                </m:sSubSupPr>
                <m:e>
                  <m:r>
                    <w:rPr>
                      <w:rFonts w:ascii="Cambria Math" w:hAnsi="Cambria Math"/>
                    </w:rPr>
                    <m:t>ФОП</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зt</m:t>
                          </m:r>
                        </m:sub>
                      </m:sSub>
                      <m:r>
                        <w:rPr>
                          <w:rFonts w:ascii="Cambria Math" w:hAnsi="Cambria Math"/>
                        </w:rPr>
                        <m:t>+</m:t>
                      </m:r>
                      <m:sSub>
                        <m:sSubPr>
                          <m:ctrlPr>
                            <w:rPr>
                              <w:rFonts w:ascii="Cambria Math" w:hAnsi="Cambria Math"/>
                              <w:i/>
                            </w:rPr>
                          </m:ctrlPr>
                        </m:sSubPr>
                        <m:e>
                          <m:r>
                            <w:rPr>
                              <w:rFonts w:ascii="Cambria Math" w:hAnsi="Cambria Math"/>
                            </w:rPr>
                            <m:t>ПЕ</m:t>
                          </m:r>
                        </m:e>
                        <m:sub>
                          <m:r>
                            <w:rPr>
                              <w:rFonts w:ascii="Cambria Math" w:hAnsi="Cambria Math"/>
                            </w:rPr>
                            <m:t>індt</m:t>
                          </m:r>
                        </m:sub>
                      </m:sSub>
                    </m:num>
                    <m:den>
                      <m:r>
                        <w:rPr>
                          <w:rFonts w:ascii="Cambria Math" w:hAnsi="Cambria Math"/>
                        </w:rPr>
                        <m:t>100</m:t>
                      </m:r>
                    </m:den>
                  </m:f>
                </m:e>
              </m:d>
              <m:r>
                <w:rPr>
                  <w:rFonts w:ascii="Cambria Math" w:hAnsi="Cambria Math"/>
                </w:rPr>
                <m:t>, тис.грн,</m:t>
              </m:r>
            </m:oMath>
            <w:r w:rsidR="00CF2AC1" w:rsidRPr="005A615E">
              <w:rPr>
                <w:rFonts w:eastAsiaTheme="minorEastAsia"/>
              </w:rPr>
              <w:t xml:space="preserve"> </w:t>
            </w:r>
            <w:r w:rsidR="00CF2AC1" w:rsidRPr="005A615E">
              <w:rPr>
                <w:b/>
                <w:bCs/>
              </w:rPr>
              <w:t>(7.1)</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
                <w:bCs/>
                <w:shd w:val="clear" w:color="auto" w:fill="FFFFFF"/>
              </w:rPr>
            </w:pPr>
            <w:r w:rsidRPr="005A615E">
              <w:rPr>
                <w:rFonts w:ascii="Times New Roman" w:hAnsi="Times New Roman"/>
                <w:b/>
                <w:bCs/>
                <w:shd w:val="clear" w:color="auto" w:fill="FFFFFF"/>
              </w:rPr>
              <w:t>Пропонується уточнення</w:t>
            </w:r>
          </w:p>
          <w:p w:rsidR="00CF2AC1" w:rsidRPr="005A615E" w:rsidRDefault="00CF2AC1" w:rsidP="00CF2AC1">
            <w:pPr>
              <w:jc w:val="both"/>
              <w:rPr>
                <w:rFonts w:ascii="Times New Roman" w:hAnsi="Times New Roman"/>
                <w:b/>
                <w:bCs/>
                <w:shd w:val="clear" w:color="auto" w:fill="FFFFFF"/>
              </w:rPr>
            </w:pPr>
            <w:r w:rsidRPr="005A615E">
              <w:rPr>
                <w:rFonts w:ascii="Times New Roman" w:hAnsi="Times New Roman"/>
                <w:b/>
                <w:bCs/>
                <w:shd w:val="clear" w:color="auto" w:fill="FFFFFF"/>
              </w:rPr>
              <w:t>Вважаємо недоцільним застосовувати коефіцієнт ефективності до ФОП персоналу ОСР в зв’язку із наступним:</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b/>
                <w:bCs/>
                <w:shd w:val="clear" w:color="auto" w:fill="FFFFFF"/>
              </w:rPr>
              <w:t xml:space="preserve">1.Розрахунок ФОП регулюється постановою НКРЕКП </w:t>
            </w:r>
            <w:r w:rsidRPr="005A615E">
              <w:rPr>
                <w:rFonts w:ascii="Times New Roman" w:hAnsi="Times New Roman"/>
                <w:shd w:val="clear" w:color="auto" w:fill="FFFFFF"/>
              </w:rPr>
              <w:t>від 26 жовтня 2015 року № 2645, яка передбачає механізм  коригування ФОП застосуванням коефіцієнта β;</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2.Фактична середня заробітна плата персоналу ОСР навіть за діючих умов стимулюючого регулювання є досить низькою через застосування при її розрахунку не фактичних, а прогнозованих  індексів інфляції.  Додаткове застосування коефіцієнту ефективності до ФОП призведе до мінімізації зусиль ОСР щодо утримання/залучення кваліфікованих спеціалістів та внаслідок цього до проблем, пов’язаних із якісним виконанням ОСР своїх завдань та функцій  в умовах воєнного стану.</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«УКРАЇНСЬКІ РОЗПОДІЛЬНІ МЕРЕЖІ» (лист від 27.07.2026 № 27/07/26-2), 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shd w:val="clear" w:color="auto" w:fill="FFFFFF"/>
              <w:jc w:val="both"/>
              <w:rPr>
                <w:rFonts w:ascii="Times New Roman" w:hAnsi="Times New Roman"/>
                <w:shd w:val="clear" w:color="auto" w:fill="FFFFFF"/>
              </w:rPr>
            </w:pPr>
            <w:r w:rsidRPr="005A615E">
              <w:rPr>
                <w:rFonts w:ascii="Times New Roman" w:hAnsi="Times New Roman"/>
                <w:shd w:val="clear" w:color="auto" w:fill="FFFFFF"/>
              </w:rPr>
              <w:t xml:space="preserve">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w:t>
            </w:r>
            <w:r w:rsidRPr="005A615E">
              <w:rPr>
                <w:rFonts w:ascii="Times New Roman" w:hAnsi="Times New Roman"/>
                <w:b/>
                <w:bCs/>
                <w:shd w:val="clear" w:color="auto" w:fill="FFFFFF"/>
              </w:rPr>
              <w:t>крім другого року другого та наступних регуляторних періодів</w:t>
            </w:r>
            <w:r w:rsidRPr="005A615E">
              <w:rPr>
                <w:rFonts w:ascii="Times New Roman" w:hAnsi="Times New Roman"/>
                <w:shd w:val="clear" w:color="auto" w:fill="FFFFFF"/>
              </w:rPr>
              <w:t xml:space="preserve"> за формулою</w:t>
            </w:r>
          </w:p>
          <w:p w:rsidR="00CF2AC1" w:rsidRPr="005A615E" w:rsidRDefault="000D13C5" w:rsidP="00CF2AC1">
            <w:pPr>
              <w:spacing w:line="276" w:lineRule="auto"/>
              <w:rPr>
                <w:rFonts w:ascii="Aptos" w:eastAsia="Aptos" w:hAnsi="Aptos"/>
                <w:kern w:val="2"/>
                <w14:ligatures w14:val="standardContextual"/>
              </w:rPr>
            </w:pPr>
            <m:oMath>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ОКВ</m:t>
                  </m:r>
                </m:e>
                <m:sub>
                  <m:r>
                    <w:rPr>
                      <w:rFonts w:ascii="Cambria Math" w:eastAsia="Aptos" w:hAnsi="Cambria Math"/>
                      <w:kern w:val="2"/>
                      <w:sz w:val="14"/>
                      <w:szCs w:val="14"/>
                      <w14:ligatures w14:val="standardContextual"/>
                    </w:rPr>
                    <m:t>t</m:t>
                  </m:r>
                </m:sub>
                <m:sup>
                  <m:r>
                    <w:rPr>
                      <w:rFonts w:ascii="Cambria Math" w:eastAsia="Aptos" w:hAnsi="Cambria Math"/>
                      <w:kern w:val="2"/>
                      <w:sz w:val="14"/>
                      <w:szCs w:val="14"/>
                      <w14:ligatures w14:val="standardContextual"/>
                    </w:rPr>
                    <m:t>n</m:t>
                  </m:r>
                </m:sup>
              </m:sSubSup>
              <m:r>
                <w:rPr>
                  <w:rFonts w:ascii="Cambria Math" w:eastAsia="Aptos" w:hAnsi="Cambria Math"/>
                  <w:kern w:val="2"/>
                  <w:sz w:val="14"/>
                  <w:szCs w:val="14"/>
                  <w14:ligatures w14:val="standardContextual"/>
                </w:rPr>
                <m:t>=</m:t>
              </m:r>
              <m:d>
                <m:dPr>
                  <m:ctrlPr>
                    <w:rPr>
                      <w:rFonts w:ascii="Cambria Math" w:eastAsia="Aptos" w:hAnsi="Cambria Math"/>
                      <w:i/>
                      <w:kern w:val="2"/>
                      <w:sz w:val="14"/>
                      <w:szCs w:val="14"/>
                      <w14:ligatures w14:val="standardContextual"/>
                    </w:rPr>
                  </m:ctrlPr>
                </m:dPr>
                <m:e>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ОКВ</m:t>
                      </m:r>
                    </m:e>
                    <m:sub>
                      <m:r>
                        <w:rPr>
                          <w:rFonts w:ascii="Cambria Math" w:eastAsia="Aptos" w:hAnsi="Cambria Math"/>
                          <w:kern w:val="2"/>
                          <w:sz w:val="14"/>
                          <w:szCs w:val="14"/>
                          <w14:ligatures w14:val="standardContextual"/>
                        </w:rPr>
                        <m:t>t-1</m:t>
                      </m:r>
                    </m:sub>
                    <m:sup>
                      <m:r>
                        <w:rPr>
                          <w:rFonts w:ascii="Cambria Math" w:eastAsia="Aptos" w:hAnsi="Cambria Math"/>
                          <w:kern w:val="2"/>
                          <w:sz w:val="14"/>
                          <w:szCs w:val="14"/>
                          <w14:ligatures w14:val="standardContextual"/>
                        </w:rPr>
                        <m:t>n</m:t>
                      </m:r>
                    </m:sup>
                  </m:sSubSup>
                  <m:r>
                    <w:rPr>
                      <w:rFonts w:ascii="Cambria Math" w:eastAsia="Aptos" w:hAnsi="Cambria Math"/>
                      <w:kern w:val="2"/>
                      <w:sz w:val="14"/>
                      <w:szCs w:val="14"/>
                      <w14:ligatures w14:val="standardContextual"/>
                    </w:rPr>
                    <m:t>-</m:t>
                  </m:r>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ФОП</m:t>
                      </m:r>
                    </m:e>
                    <m:sub>
                      <m:r>
                        <w:rPr>
                          <w:rFonts w:ascii="Cambria Math" w:eastAsia="Aptos" w:hAnsi="Cambria Math"/>
                          <w:kern w:val="2"/>
                          <w:sz w:val="14"/>
                          <w:szCs w:val="14"/>
                          <w14:ligatures w14:val="standardContextual"/>
                        </w:rPr>
                        <m:t>t-1</m:t>
                      </m:r>
                    </m:sub>
                    <m:sup>
                      <m:r>
                        <w:rPr>
                          <w:rFonts w:ascii="Cambria Math" w:eastAsia="Aptos" w:hAnsi="Cambria Math"/>
                          <w:kern w:val="2"/>
                          <w:sz w:val="14"/>
                          <w:szCs w:val="14"/>
                          <w14:ligatures w14:val="standardContextual"/>
                        </w:rPr>
                        <m:t>n</m:t>
                      </m:r>
                    </m:sup>
                  </m:sSubSup>
                </m:e>
              </m:d>
              <m:r>
                <w:rPr>
                  <w:rFonts w:ascii="Cambria Math" w:eastAsia="Aptos" w:hAnsi="Cambria Math"/>
                  <w:kern w:val="2"/>
                  <w:sz w:val="14"/>
                  <w:szCs w:val="14"/>
                  <w14:ligatures w14:val="standardContextual"/>
                </w:rPr>
                <m:t>×</m:t>
              </m:r>
              <m:f>
                <m:fPr>
                  <m:ctrlPr>
                    <w:rPr>
                      <w:rFonts w:ascii="Cambria Math" w:eastAsia="Aptos" w:hAnsi="Cambria Math"/>
                      <w:i/>
                      <w:kern w:val="2"/>
                      <w:sz w:val="14"/>
                      <w:szCs w:val="14"/>
                      <w14:ligatures w14:val="standardContextual"/>
                    </w:rPr>
                  </m:ctrlPr>
                </m:fPr>
                <m:num>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ІЦВ</m:t>
                      </m:r>
                    </m:e>
                    <m:sub>
                      <m:r>
                        <w:rPr>
                          <w:rFonts w:ascii="Cambria Math" w:eastAsia="Aptos" w:hAnsi="Cambria Math"/>
                          <w:kern w:val="2"/>
                          <w:sz w:val="14"/>
                          <w:szCs w:val="14"/>
                          <w14:ligatures w14:val="standardContextual"/>
                        </w:rPr>
                        <m:t>t</m:t>
                      </m:r>
                    </m:sub>
                    <m:sup>
                      <m:r>
                        <w:rPr>
                          <w:rFonts w:ascii="Cambria Math" w:eastAsia="Aptos" w:hAnsi="Cambria Math"/>
                          <w:kern w:val="2"/>
                          <w:sz w:val="14"/>
                          <w:szCs w:val="14"/>
                          <w14:ligatures w14:val="standardContextual"/>
                        </w:rPr>
                        <m:t>n</m:t>
                      </m:r>
                    </m:sup>
                  </m:sSubSup>
                </m:num>
                <m:den>
                  <m:r>
                    <w:rPr>
                      <w:rFonts w:ascii="Cambria Math" w:eastAsia="Aptos" w:hAnsi="Cambria Math"/>
                      <w:kern w:val="2"/>
                      <w:sz w:val="14"/>
                      <w:szCs w:val="14"/>
                      <w14:ligatures w14:val="standardContextual"/>
                    </w:rPr>
                    <m:t>100</m:t>
                  </m:r>
                </m:den>
              </m:f>
              <m:r>
                <w:rPr>
                  <w:rFonts w:ascii="Cambria Math" w:eastAsia="Aptos" w:hAnsi="Cambria Math"/>
                  <w:kern w:val="2"/>
                  <w:sz w:val="14"/>
                  <w:szCs w:val="14"/>
                  <w14:ligatures w14:val="standardContextual"/>
                </w:rPr>
                <m:t>×</m:t>
              </m:r>
              <m:d>
                <m:dPr>
                  <m:ctrlPr>
                    <w:rPr>
                      <w:rFonts w:ascii="Cambria Math" w:eastAsia="Aptos" w:hAnsi="Cambria Math"/>
                      <w:i/>
                      <w:kern w:val="2"/>
                      <w:sz w:val="14"/>
                      <w:szCs w:val="14"/>
                      <w14:ligatures w14:val="standardContextual"/>
                    </w:rPr>
                  </m:ctrlPr>
                </m:dPr>
                <m:e>
                  <m:r>
                    <w:rPr>
                      <w:rFonts w:ascii="Cambria Math" w:eastAsia="Aptos" w:hAnsi="Cambria Math"/>
                      <w:kern w:val="2"/>
                      <w:sz w:val="14"/>
                      <w:szCs w:val="14"/>
                      <w14:ligatures w14:val="standardContextual"/>
                    </w:rPr>
                    <m:t>1-</m:t>
                  </m:r>
                  <m:f>
                    <m:fPr>
                      <m:ctrlPr>
                        <w:rPr>
                          <w:rFonts w:ascii="Cambria Math" w:eastAsia="Aptos" w:hAnsi="Cambria Math"/>
                          <w:i/>
                          <w:kern w:val="2"/>
                          <w:sz w:val="14"/>
                          <w:szCs w:val="14"/>
                          <w14:ligatures w14:val="standardContextual"/>
                        </w:rPr>
                      </m:ctrlPr>
                    </m:fPr>
                    <m:num>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з</m:t>
                          </m:r>
                        </m:sub>
                      </m:sSub>
                      <m:r>
                        <w:rPr>
                          <w:rFonts w:ascii="Cambria Math" w:eastAsia="Aptos" w:hAnsi="Cambria Math"/>
                          <w:kern w:val="2"/>
                          <w:sz w:val="14"/>
                          <w:szCs w:val="14"/>
                          <w14:ligatures w14:val="standardContextual"/>
                        </w:rPr>
                        <m:t>+</m:t>
                      </m:r>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інд</m:t>
                          </m:r>
                        </m:sub>
                      </m:sSub>
                    </m:num>
                    <m:den>
                      <m:r>
                        <w:rPr>
                          <w:rFonts w:ascii="Cambria Math" w:eastAsia="Aptos" w:hAnsi="Cambria Math"/>
                          <w:kern w:val="2"/>
                          <w:sz w:val="14"/>
                          <w:szCs w:val="14"/>
                          <w14:ligatures w14:val="standardContextual"/>
                        </w:rPr>
                        <m:t>100</m:t>
                      </m:r>
                    </m:den>
                  </m:f>
                </m:e>
              </m:d>
              <m:r>
                <w:rPr>
                  <w:rFonts w:ascii="Cambria Math" w:eastAsia="Aptos" w:hAnsi="Cambria Math"/>
                  <w:kern w:val="2"/>
                  <w:sz w:val="14"/>
                  <w:szCs w:val="14"/>
                  <w14:ligatures w14:val="standardContextual"/>
                </w:rPr>
                <m:t>+</m:t>
              </m:r>
              <m:sSubSup>
                <m:sSubSupPr>
                  <m:ctrlPr>
                    <w:rPr>
                      <w:rFonts w:ascii="Cambria Math" w:eastAsia="Aptos" w:hAnsi="Cambria Math"/>
                      <w:i/>
                      <w:kern w:val="2"/>
                      <w:sz w:val="14"/>
                      <w:szCs w:val="14"/>
                      <w14:ligatures w14:val="standardContextual"/>
                    </w:rPr>
                  </m:ctrlPr>
                </m:sSubSupPr>
                <m:e>
                  <m:r>
                    <w:rPr>
                      <w:rFonts w:ascii="Cambria Math" w:eastAsia="Aptos" w:hAnsi="Cambria Math"/>
                      <w:kern w:val="2"/>
                      <w:sz w:val="14"/>
                      <w:szCs w:val="14"/>
                      <w14:ligatures w14:val="standardContextual"/>
                    </w:rPr>
                    <m:t>ФОП</m:t>
                  </m:r>
                </m:e>
                <m:sub>
                  <m:r>
                    <w:rPr>
                      <w:rFonts w:ascii="Cambria Math" w:eastAsia="Aptos" w:hAnsi="Cambria Math"/>
                      <w:kern w:val="2"/>
                      <w:sz w:val="14"/>
                      <w:szCs w:val="14"/>
                      <w14:ligatures w14:val="standardContextual"/>
                    </w:rPr>
                    <m:t>t</m:t>
                  </m:r>
                </m:sub>
                <m:sup>
                  <m:r>
                    <w:rPr>
                      <w:rFonts w:ascii="Cambria Math" w:eastAsia="Aptos" w:hAnsi="Cambria Math"/>
                      <w:kern w:val="2"/>
                      <w:sz w:val="14"/>
                      <w:szCs w:val="14"/>
                      <w14:ligatures w14:val="standardContextual"/>
                    </w:rPr>
                    <m:t>n</m:t>
                  </m:r>
                </m:sup>
              </m:sSubSup>
              <m:r>
                <w:rPr>
                  <w:rFonts w:ascii="Cambria Math" w:eastAsia="Aptos" w:hAnsi="Cambria Math"/>
                  <w:kern w:val="2"/>
                  <w:sz w:val="14"/>
                  <w:szCs w:val="14"/>
                  <w14:ligatures w14:val="standardContextual"/>
                </w:rPr>
                <m:t>×</m:t>
              </m:r>
              <m:d>
                <m:dPr>
                  <m:ctrlPr>
                    <w:rPr>
                      <w:rFonts w:ascii="Cambria Math" w:eastAsia="Aptos" w:hAnsi="Cambria Math"/>
                      <w:i/>
                      <w:kern w:val="2"/>
                      <w:sz w:val="14"/>
                      <w:szCs w:val="14"/>
                      <w14:ligatures w14:val="standardContextual"/>
                    </w:rPr>
                  </m:ctrlPr>
                </m:dPr>
                <m:e>
                  <m:r>
                    <w:rPr>
                      <w:rFonts w:ascii="Cambria Math" w:eastAsia="Aptos" w:hAnsi="Cambria Math"/>
                      <w:kern w:val="2"/>
                      <w:sz w:val="14"/>
                      <w:szCs w:val="14"/>
                      <w14:ligatures w14:val="standardContextual"/>
                    </w:rPr>
                    <m:t>1-</m:t>
                  </m:r>
                  <m:f>
                    <m:fPr>
                      <m:ctrlPr>
                        <w:rPr>
                          <w:rFonts w:ascii="Cambria Math" w:eastAsia="Aptos" w:hAnsi="Cambria Math"/>
                          <w:i/>
                          <w:kern w:val="2"/>
                          <w:sz w:val="14"/>
                          <w:szCs w:val="14"/>
                          <w14:ligatures w14:val="standardContextual"/>
                        </w:rPr>
                      </m:ctrlPr>
                    </m:fPr>
                    <m:num>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з</m:t>
                          </m:r>
                        </m:sub>
                      </m:sSub>
                      <m:r>
                        <w:rPr>
                          <w:rFonts w:ascii="Cambria Math" w:eastAsia="Aptos" w:hAnsi="Cambria Math"/>
                          <w:kern w:val="2"/>
                          <w:sz w:val="14"/>
                          <w:szCs w:val="14"/>
                          <w14:ligatures w14:val="standardContextual"/>
                        </w:rPr>
                        <m:t>+</m:t>
                      </m:r>
                      <m:sSub>
                        <m:sSubPr>
                          <m:ctrlPr>
                            <w:rPr>
                              <w:rFonts w:ascii="Cambria Math" w:eastAsia="Aptos" w:hAnsi="Cambria Math"/>
                              <w:i/>
                              <w:kern w:val="2"/>
                              <w:sz w:val="14"/>
                              <w:szCs w:val="14"/>
                              <w14:ligatures w14:val="standardContextual"/>
                            </w:rPr>
                          </m:ctrlPr>
                        </m:sSubPr>
                        <m:e>
                          <m:r>
                            <w:rPr>
                              <w:rFonts w:ascii="Cambria Math" w:eastAsia="Aptos" w:hAnsi="Cambria Math"/>
                              <w:kern w:val="2"/>
                              <w:sz w:val="14"/>
                              <w:szCs w:val="14"/>
                              <w14:ligatures w14:val="standardContextual"/>
                            </w:rPr>
                            <m:t>ПЕ</m:t>
                          </m:r>
                        </m:e>
                        <m:sub>
                          <m:r>
                            <w:rPr>
                              <w:rFonts w:ascii="Cambria Math" w:eastAsia="Aptos" w:hAnsi="Cambria Math"/>
                              <w:kern w:val="2"/>
                              <w:sz w:val="14"/>
                              <w:szCs w:val="14"/>
                              <w14:ligatures w14:val="standardContextual"/>
                            </w:rPr>
                            <m:t>інд</m:t>
                          </m:r>
                        </m:sub>
                      </m:sSub>
                    </m:num>
                    <m:den>
                      <m:r>
                        <w:rPr>
                          <w:rFonts w:ascii="Cambria Math" w:eastAsia="Aptos" w:hAnsi="Cambria Math"/>
                          <w:kern w:val="2"/>
                          <w:sz w:val="14"/>
                          <w:szCs w:val="14"/>
                          <w14:ligatures w14:val="standardContextual"/>
                        </w:rPr>
                        <m:t>100</m:t>
                      </m:r>
                    </m:den>
                  </m:f>
                </m:e>
              </m:d>
              <m:r>
                <w:rPr>
                  <w:rFonts w:ascii="Cambria Math" w:eastAsia="Aptos" w:hAnsi="Cambria Math"/>
                  <w:kern w:val="2"/>
                  <w:sz w:val="14"/>
                  <w:szCs w:val="14"/>
                  <w14:ligatures w14:val="standardContextual"/>
                </w:rPr>
                <m:t>, тис.грн,</m:t>
              </m:r>
            </m:oMath>
            <w:r w:rsidR="00CF2AC1" w:rsidRPr="005A615E">
              <w:rPr>
                <w:rFonts w:ascii="Aptos" w:eastAsia="Aptos" w:hAnsi="Aptos"/>
                <w:kern w:val="2"/>
                <w:sz w:val="24"/>
                <w:szCs w:val="24"/>
                <w14:ligatures w14:val="standardContextual"/>
              </w:rPr>
              <w:t xml:space="preserve"> </w:t>
            </w:r>
            <w:r w:rsidR="00CF2AC1" w:rsidRPr="005A615E">
              <w:rPr>
                <w:rFonts w:ascii="Aptos" w:eastAsia="Aptos" w:hAnsi="Aptos"/>
                <w:kern w:val="2"/>
                <w14:ligatures w14:val="standardContextual"/>
              </w:rPr>
              <w:t>(7)</w:t>
            </w:r>
          </w:p>
          <w:p w:rsidR="00CF2AC1" w:rsidRPr="005A615E" w:rsidRDefault="00CF2AC1" w:rsidP="00CF2AC1">
            <w:pPr>
              <w:shd w:val="clear" w:color="auto" w:fill="FFFFFF"/>
              <w:ind w:firstLine="28"/>
              <w:jc w:val="both"/>
              <w:rPr>
                <w:rFonts w:ascii="Times New Roman" w:hAnsi="Times New Roman"/>
                <w:lang w:eastAsia="uk-UA"/>
              </w:rPr>
            </w:pPr>
            <w:r w:rsidRPr="005A615E">
              <w:rPr>
                <w:rFonts w:ascii="Times New Roman" w:hAnsi="Times New Roman"/>
                <w:shd w:val="clear" w:color="auto" w:fill="FFFFFF"/>
              </w:rPr>
              <w:t>де ОКВ</w:t>
            </w:r>
            <w:r w:rsidRPr="005A615E">
              <w:rPr>
                <w:rFonts w:ascii="Times New Roman" w:hAnsi="Times New Roman"/>
                <w:shd w:val="clear" w:color="auto" w:fill="FFFFFF"/>
                <w:vertAlign w:val="superscript"/>
              </w:rPr>
              <w:t>n</w:t>
            </w:r>
            <w:r w:rsidRPr="005A615E">
              <w:rPr>
                <w:rFonts w:ascii="Times New Roman" w:hAnsi="Times New Roman"/>
                <w:shd w:val="clear" w:color="auto" w:fill="FFFFFF"/>
                <w:vertAlign w:val="subscript"/>
              </w:rPr>
              <w:t>t</w:t>
            </w:r>
            <w:r w:rsidRPr="005A615E">
              <w:rPr>
                <w:rFonts w:ascii="Times New Roman" w:hAnsi="Times New Roman"/>
                <w:shd w:val="clear" w:color="auto" w:fill="FFFFFF"/>
              </w:rPr>
              <w:t>-</w:t>
            </w:r>
            <w:r w:rsidRPr="005A615E">
              <w:rPr>
                <w:rFonts w:ascii="Times New Roman" w:hAnsi="Times New Roman"/>
                <w:shd w:val="clear" w:color="auto" w:fill="FFFFFF"/>
                <w:vertAlign w:val="subscript"/>
              </w:rPr>
              <w:t>1</w:t>
            </w:r>
            <w:r w:rsidRPr="005A615E">
              <w:rPr>
                <w:rFonts w:ascii="Times New Roman" w:hAnsi="Times New Roman"/>
                <w:shd w:val="clear" w:color="auto" w:fill="FFFFFF"/>
              </w:rPr>
              <w:t xml:space="preserve"> - </w:t>
            </w:r>
            <w:r w:rsidRPr="005A615E">
              <w:rPr>
                <w:rFonts w:ascii="Times New Roman" w:hAnsi="Times New Roman"/>
                <w:lang w:eastAsia="uk-UA"/>
              </w:rPr>
              <w:t>прогнозовані операційні контрольовані витрати в році t-1 (для першого року першого періоду регулювання ОКВnt-1 = ОКВ0, ОКВ0 визначається з урахуванням </w:t>
            </w:r>
            <w:hyperlink r:id="rId105" w:anchor="n138" w:history="1">
              <w:r w:rsidRPr="005A615E">
                <w:rPr>
                  <w:rStyle w:val="a9"/>
                  <w:rFonts w:ascii="Times New Roman" w:hAnsi="Times New Roman"/>
                  <w:color w:val="auto"/>
                  <w:lang w:eastAsia="uk-UA"/>
                </w:rPr>
                <w:t>пункту 5.6</w:t>
              </w:r>
            </w:hyperlink>
            <w:r w:rsidRPr="005A615E">
              <w:rPr>
                <w:rFonts w:ascii="Times New Roman" w:hAnsi="Times New Roman"/>
                <w:lang w:eastAsia="uk-UA"/>
              </w:rPr>
              <w:t xml:space="preserve"> цієї глави; для першого року другого та наступних </w:t>
            </w:r>
            <w:r w:rsidRPr="005A615E">
              <w:rPr>
                <w:rFonts w:ascii="Times New Roman" w:hAnsi="Times New Roman"/>
                <w:b/>
                <w:lang w:eastAsia="uk-UA"/>
              </w:rPr>
              <w:t>регуляторних періодів</w:t>
            </w:r>
            <w:r w:rsidRPr="005A615E">
              <w:rPr>
                <w:rFonts w:ascii="Times New Roman" w:hAnsi="Times New Roman"/>
                <w:lang w:eastAsia="uk-UA"/>
              </w:rPr>
              <w:t xml:space="preserve"> визначається з урахуванням </w:t>
            </w:r>
            <w:hyperlink r:id="rId106" w:anchor="n140" w:history="1">
              <w:r w:rsidRPr="005A615E">
                <w:rPr>
                  <w:rStyle w:val="a9"/>
                  <w:rFonts w:ascii="Times New Roman" w:hAnsi="Times New Roman"/>
                  <w:color w:val="auto"/>
                  <w:lang w:eastAsia="uk-UA"/>
                </w:rPr>
                <w:t>пункту 5.7</w:t>
              </w:r>
            </w:hyperlink>
            <w:r w:rsidRPr="005A615E">
              <w:rPr>
                <w:rFonts w:ascii="Times New Roman" w:hAnsi="Times New Roman"/>
                <w:lang w:eastAsia="uk-UA"/>
              </w:rPr>
              <w:t> </w:t>
            </w:r>
            <w:r w:rsidRPr="005A615E">
              <w:rPr>
                <w:rFonts w:ascii="Times New Roman" w:hAnsi="Times New Roman"/>
                <w:b/>
                <w:bCs/>
                <w:lang w:eastAsia="uk-UA"/>
              </w:rPr>
              <w:t>формули 11, а для другого року другого та наступних регуляторних періодів визначається з урахуванням </w:t>
            </w:r>
            <w:hyperlink r:id="rId107" w:anchor="n140" w:history="1">
              <w:r w:rsidRPr="005A615E">
                <w:rPr>
                  <w:rStyle w:val="a9"/>
                  <w:rFonts w:ascii="Times New Roman" w:hAnsi="Times New Roman"/>
                  <w:b/>
                  <w:bCs/>
                  <w:color w:val="auto"/>
                  <w:lang w:eastAsia="uk-UA"/>
                </w:rPr>
                <w:t>пункту 5.7</w:t>
              </w:r>
            </w:hyperlink>
            <w:r w:rsidRPr="005A615E">
              <w:rPr>
                <w:rFonts w:ascii="Times New Roman" w:hAnsi="Times New Roman"/>
                <w:b/>
                <w:bCs/>
                <w:lang w:eastAsia="uk-UA"/>
              </w:rPr>
              <w:t xml:space="preserve"> формули 15</w:t>
            </w:r>
            <w:r w:rsidRPr="005A615E">
              <w:rPr>
                <w:rFonts w:ascii="Times New Roman" w:hAnsi="Times New Roman"/>
                <w:lang w:eastAsia="uk-UA"/>
              </w:rPr>
              <w:t> цієї глави), тис. грн;</w:t>
            </w: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shd w:val="clear" w:color="auto" w:fill="FFFFFF"/>
              </w:rPr>
              <w:t>ФОПnt-1 прогнозований фонд оплати праці (витрати на оплату праці) у році t-1, що розрахований відповідно до </w:t>
            </w:r>
            <w:hyperlink r:id="rId108" w:anchor="n12" w:tgtFrame="_blank" w:history="1">
              <w:r w:rsidRPr="005A615E">
                <w:rPr>
                  <w:rStyle w:val="a9"/>
                  <w:rFonts w:ascii="Times New Roman" w:hAnsi="Times New Roman"/>
                  <w:color w:val="auto"/>
                  <w:shd w:val="clear" w:color="auto" w:fill="FFFFFF"/>
                </w:rPr>
                <w:t>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5A615E">
              <w:rPr>
                <w:rFonts w:ascii="Times New Roman" w:hAnsi="Times New Roman"/>
                <w:shd w:val="clear" w:color="auto" w:fill="FFFFFF"/>
              </w:rPr>
              <w:t xml:space="preserve">, затвердженого постановою НКРЕКП від 26 жовтня 2015 року № 2645, зареєстрованого в Міністерстві юстиції України 13 листопада 2015 року за № 1431/27876 (далі - Порядок визначення витрат на оплату праці) </w:t>
            </w:r>
            <w:r w:rsidRPr="005A615E">
              <w:rPr>
                <w:rFonts w:ascii="Times New Roman" w:hAnsi="Times New Roman"/>
                <w:b/>
                <w:bCs/>
                <w:shd w:val="clear" w:color="auto" w:fill="FFFFFF"/>
              </w:rPr>
              <w:t>з урахуванням показників ефективності для операційних контрольованих витрат (</w:t>
            </w:r>
            <w:r w:rsidRPr="005A615E">
              <w:rPr>
                <w:rFonts w:ascii="Times New Roman" w:hAnsi="Times New Roman"/>
                <w:shd w:val="clear" w:color="auto" w:fill="FFFFFF"/>
              </w:rPr>
              <w:t>ПЕз</w:t>
            </w:r>
            <w:r w:rsidRPr="005A615E">
              <w:rPr>
                <w:rFonts w:ascii="Times New Roman" w:hAnsi="Times New Roman"/>
                <w:b/>
                <w:bCs/>
                <w:shd w:val="clear" w:color="auto" w:fill="FFFFFF"/>
              </w:rPr>
              <w:t xml:space="preserve">t та </w:t>
            </w:r>
            <w:r w:rsidRPr="005A615E">
              <w:rPr>
                <w:rFonts w:ascii="Times New Roman" w:hAnsi="Times New Roman"/>
                <w:shd w:val="clear" w:color="auto" w:fill="FFFFFF"/>
              </w:rPr>
              <w:t>ПЕі</w:t>
            </w:r>
            <w:r w:rsidRPr="005A615E">
              <w:rPr>
                <w:rFonts w:ascii="Times New Roman" w:hAnsi="Times New Roman"/>
                <w:b/>
                <w:bCs/>
                <w:shd w:val="clear" w:color="auto" w:fill="FFFFFF"/>
              </w:rPr>
              <w:t>t), встановлений НКРЕКП для року t-1</w:t>
            </w:r>
            <w:r w:rsidRPr="005A615E">
              <w:rPr>
                <w:rFonts w:ascii="Times New Roman" w:hAnsi="Times New Roman"/>
                <w:shd w:val="clear" w:color="auto" w:fill="FFFFFF"/>
              </w:rPr>
              <w:t>; для першого року другого та наступних регуляторних періодів визначається з урахуванням пункту 5.7</w:t>
            </w:r>
            <w:r w:rsidRPr="005A615E">
              <w:rPr>
                <w:rFonts w:ascii="Times New Roman" w:hAnsi="Times New Roman"/>
                <w:b/>
                <w:bCs/>
                <w:shd w:val="clear" w:color="auto" w:fill="FFFFFF"/>
              </w:rPr>
              <w:t xml:space="preserve"> формули , для другого року другого та наступних регуляторних періодів визначається з урахуванням </w:t>
            </w:r>
            <w:hyperlink r:id="rId109" w:anchor="n140" w:history="1">
              <w:r w:rsidRPr="005A615E">
                <w:rPr>
                  <w:rStyle w:val="a9"/>
                  <w:rFonts w:ascii="Times New Roman" w:hAnsi="Times New Roman"/>
                  <w:b/>
                  <w:bCs/>
                  <w:color w:val="auto"/>
                  <w:shd w:val="clear" w:color="auto" w:fill="FFFFFF"/>
                </w:rPr>
                <w:t>пункту 5.7</w:t>
              </w:r>
            </w:hyperlink>
            <w:r w:rsidRPr="005A615E">
              <w:rPr>
                <w:rFonts w:ascii="Times New Roman" w:hAnsi="Times New Roman"/>
                <w:b/>
                <w:bCs/>
                <w:shd w:val="clear" w:color="auto" w:fill="FFFFFF"/>
              </w:rPr>
              <w:t xml:space="preserve"> </w:t>
            </w:r>
            <w:r w:rsidRPr="005A615E">
              <w:rPr>
                <w:rFonts w:ascii="Times New Roman" w:hAnsi="Times New Roman"/>
                <w:b/>
                <w:bCs/>
                <w:u w:val="single"/>
                <w:shd w:val="clear" w:color="auto" w:fill="FFFFFF"/>
              </w:rPr>
              <w:t>формули 16</w:t>
            </w:r>
            <w:r w:rsidRPr="005A615E">
              <w:rPr>
                <w:rFonts w:ascii="Times New Roman" w:hAnsi="Times New Roman"/>
                <w:b/>
                <w:bCs/>
                <w:shd w:val="clear" w:color="auto" w:fill="FFFFFF"/>
              </w:rPr>
              <w:t> цієї глави), тис. грн;</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shd w:val="clear" w:color="auto" w:fill="FFFFFF"/>
              </w:rPr>
              <w:t>ФОП</w:t>
            </w:r>
            <w:r w:rsidRPr="005A615E">
              <w:rPr>
                <w:rFonts w:ascii="Times New Roman" w:hAnsi="Times New Roman"/>
                <w:shd w:val="clear" w:color="auto" w:fill="FFFFFF"/>
                <w:vertAlign w:val="superscript"/>
              </w:rPr>
              <w:t>n</w:t>
            </w:r>
            <w:r w:rsidRPr="005A615E">
              <w:rPr>
                <w:rFonts w:ascii="Times New Roman" w:hAnsi="Times New Roman"/>
                <w:shd w:val="clear" w:color="auto" w:fill="FFFFFF"/>
                <w:vertAlign w:val="subscript"/>
              </w:rPr>
              <w:t xml:space="preserve">t </w:t>
            </w:r>
            <w:r w:rsidRPr="005A615E">
              <w:rPr>
                <w:rFonts w:ascii="Times New Roman" w:hAnsi="Times New Roman"/>
                <w:shd w:val="clear" w:color="auto" w:fill="FFFFFF"/>
              </w:rPr>
              <w:t>прогнозований фонд оплати праці (витрати на оплату праці) у році t, що розрахований відповідно до </w:t>
            </w:r>
            <w:hyperlink r:id="rId110" w:anchor="n12" w:tgtFrame="_blank" w:history="1">
              <w:r w:rsidRPr="005A615E">
                <w:rPr>
                  <w:rStyle w:val="a9"/>
                  <w:rFonts w:ascii="Times New Roman" w:hAnsi="Times New Roman"/>
                  <w:color w:val="auto"/>
                  <w:shd w:val="clear" w:color="auto" w:fill="FFFFFF"/>
                </w:rPr>
                <w:t>Порядку визначення витрат на оплату праці</w:t>
              </w:r>
            </w:hyperlink>
            <w:r w:rsidRPr="005A615E">
              <w:t xml:space="preserve">; </w:t>
            </w:r>
            <w:r w:rsidRPr="005A615E">
              <w:rPr>
                <w:rFonts w:ascii="Times New Roman" w:hAnsi="Times New Roman"/>
                <w:shd w:val="clear" w:color="auto" w:fill="FFFFFF"/>
              </w:rPr>
              <w:t xml:space="preserve">для першого року другого та наступних регуляторних періодів визначається з урахуванням пункту 5.7 </w:t>
            </w:r>
            <w:r w:rsidRPr="005A615E">
              <w:rPr>
                <w:rFonts w:ascii="Times New Roman" w:hAnsi="Times New Roman"/>
                <w:b/>
                <w:bCs/>
                <w:shd w:val="clear" w:color="auto" w:fill="FFFFFF"/>
              </w:rPr>
              <w:t>формули 14, для другого року другого та наступних регуляторних періодів визначається з урахуванням </w:t>
            </w:r>
            <w:hyperlink r:id="rId111" w:anchor="n140" w:history="1">
              <w:r w:rsidRPr="005A615E">
                <w:rPr>
                  <w:rStyle w:val="a9"/>
                  <w:rFonts w:ascii="Times New Roman" w:hAnsi="Times New Roman"/>
                  <w:b/>
                  <w:bCs/>
                  <w:color w:val="auto"/>
                  <w:shd w:val="clear" w:color="auto" w:fill="FFFFFF"/>
                </w:rPr>
                <w:t>пункту 5.7</w:t>
              </w:r>
            </w:hyperlink>
            <w:r w:rsidRPr="005A615E">
              <w:rPr>
                <w:rFonts w:ascii="Times New Roman" w:hAnsi="Times New Roman"/>
                <w:b/>
                <w:bCs/>
                <w:shd w:val="clear" w:color="auto" w:fill="FFFFFF"/>
              </w:rPr>
              <w:t xml:space="preserve"> </w:t>
            </w:r>
            <w:r w:rsidRPr="005A615E">
              <w:rPr>
                <w:rFonts w:ascii="Times New Roman" w:hAnsi="Times New Roman"/>
                <w:b/>
                <w:bCs/>
                <w:u w:val="single"/>
                <w:shd w:val="clear" w:color="auto" w:fill="FFFFFF"/>
              </w:rPr>
              <w:t>формули 16</w:t>
            </w:r>
            <w:r w:rsidRPr="005A615E">
              <w:rPr>
                <w:rFonts w:ascii="Times New Roman" w:hAnsi="Times New Roman"/>
                <w:b/>
                <w:bCs/>
                <w:shd w:val="clear" w:color="auto" w:fill="FFFFFF"/>
              </w:rPr>
              <w:t> цієї глави), тис. грн;</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rPr>
              <w:t>ІЦВ</w:t>
            </w:r>
            <w:r w:rsidRPr="005A615E">
              <w:rPr>
                <w:rFonts w:ascii="Times New Roman" w:hAnsi="Times New Roman"/>
                <w:b/>
                <w:bCs/>
                <w:vertAlign w:val="superscript"/>
              </w:rPr>
              <w:t>n</w:t>
            </w:r>
            <w:r w:rsidRPr="005A615E">
              <w:rPr>
                <w:rFonts w:ascii="Times New Roman" w:hAnsi="Times New Roman"/>
                <w:b/>
                <w:bCs/>
                <w:vertAlign w:val="subscript"/>
              </w:rPr>
              <w:t>t</w:t>
            </w:r>
            <w:r w:rsidRPr="005A615E">
              <w:rPr>
                <w:rFonts w:ascii="Times New Roman" w:hAnsi="Times New Roman"/>
                <w:shd w:val="clear" w:color="auto" w:fill="FFFFFF"/>
              </w:rPr>
              <w:t xml:space="preserve"> прогнозований індекс цін виробників промислової продукції для року t, %</w:t>
            </w:r>
          </w:p>
          <w:p w:rsidR="00CF2AC1" w:rsidRPr="005A615E" w:rsidRDefault="00CF2AC1" w:rsidP="00CF2AC1">
            <w:pPr>
              <w:shd w:val="clear" w:color="auto" w:fill="FFFFFF"/>
              <w:ind w:firstLine="28"/>
              <w:jc w:val="both"/>
              <w:rPr>
                <w:rFonts w:ascii="Times New Roman" w:hAnsi="Times New Roman"/>
                <w:shd w:val="clear" w:color="auto" w:fill="FFFFFF"/>
              </w:rPr>
            </w:pPr>
            <w:r w:rsidRPr="005A615E">
              <w:rPr>
                <w:rFonts w:ascii="Times New Roman" w:hAnsi="Times New Roman"/>
                <w:shd w:val="clear" w:color="auto" w:fill="FFFFFF"/>
              </w:rPr>
              <w:t>ПЕз</w:t>
            </w:r>
            <w:r w:rsidRPr="005A615E">
              <w:rPr>
                <w:rFonts w:ascii="Times New Roman" w:hAnsi="Times New Roman"/>
                <w:b/>
                <w:bCs/>
                <w:shd w:val="clear" w:color="auto" w:fill="FFFFFF"/>
              </w:rPr>
              <w:t>t</w:t>
            </w:r>
            <w:r w:rsidRPr="005A615E">
              <w:rPr>
                <w:rFonts w:ascii="Times New Roman" w:hAnsi="Times New Roman"/>
                <w:shd w:val="clear" w:color="auto" w:fill="FFFFFF"/>
              </w:rPr>
              <w:t xml:space="preserve"> загальний показник ефективності для операційних контрольованих витрат, встановлений НКРЕКП </w:t>
            </w:r>
            <w:r w:rsidRPr="005A615E">
              <w:rPr>
                <w:rFonts w:ascii="Times New Roman" w:hAnsi="Times New Roman"/>
                <w:b/>
                <w:bCs/>
                <w:shd w:val="clear" w:color="auto" w:fill="FFFFFF"/>
              </w:rPr>
              <w:t>для року t</w:t>
            </w:r>
            <w:r w:rsidRPr="005A615E">
              <w:rPr>
                <w:rFonts w:ascii="Times New Roman" w:hAnsi="Times New Roman"/>
                <w:shd w:val="clear" w:color="auto" w:fill="FFFFFF"/>
              </w:rPr>
              <w:t>, %;</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ПЕінд</w:t>
            </w:r>
            <w:r w:rsidRPr="005A615E">
              <w:rPr>
                <w:rFonts w:ascii="Times New Roman" w:hAnsi="Times New Roman"/>
                <w:b/>
                <w:bCs/>
                <w:shd w:val="clear" w:color="auto" w:fill="FFFFFF"/>
              </w:rPr>
              <w:t>t</w:t>
            </w:r>
            <w:r w:rsidRPr="005A615E">
              <w:rPr>
                <w:rFonts w:ascii="Times New Roman" w:hAnsi="Times New Roman"/>
                <w:shd w:val="clear" w:color="auto" w:fill="FFFFFF"/>
              </w:rPr>
              <w:t xml:space="preserve"> індивідуальний показник ефективності для контрольованих операційних витрат окремого ліцензіата, встановлений НКРЕКП </w:t>
            </w:r>
            <w:r w:rsidRPr="005A615E">
              <w:rPr>
                <w:rFonts w:ascii="Times New Roman" w:hAnsi="Times New Roman"/>
                <w:b/>
                <w:bCs/>
                <w:shd w:val="clear" w:color="auto" w:fill="FFFFFF"/>
              </w:rPr>
              <w:t>для року t</w:t>
            </w:r>
            <w:r w:rsidRPr="005A615E">
              <w:rPr>
                <w:rFonts w:ascii="Times New Roman" w:hAnsi="Times New Roman"/>
                <w:shd w:val="clear" w:color="auto" w:fill="FFFFFF"/>
              </w:rPr>
              <w:t>, %.</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jc w:val="both"/>
              <w:rPr>
                <w:rFonts w:ascii="Times New Roman" w:hAnsi="Times New Roman"/>
                <w:b/>
                <w:bCs/>
                <w:shd w:val="clear" w:color="auto" w:fill="FFFFFF"/>
              </w:rPr>
            </w:pPr>
            <w:r w:rsidRPr="005A615E">
              <w:rPr>
                <w:rFonts w:ascii="Times New Roman" w:hAnsi="Times New Roman"/>
                <w:b/>
                <w:bCs/>
                <w:shd w:val="clear" w:color="auto" w:fill="FFFFFF"/>
              </w:rPr>
              <w:t>Прогнозовані операційні контрольовані витрати з розподілу електричної енергії розраховуються на другий рік другого та наступних регуляторних періодів за формулою за формулою</w:t>
            </w:r>
          </w:p>
          <w:p w:rsidR="00CF2AC1" w:rsidRPr="005A615E" w:rsidRDefault="00CF2AC1" w:rsidP="00CF2AC1">
            <w:pPr>
              <w:ind w:firstLine="308"/>
              <w:jc w:val="both"/>
              <w:rPr>
                <w:rFonts w:ascii="Times New Roman" w:hAnsi="Times New Roman"/>
                <w:shd w:val="clear" w:color="auto" w:fill="FFFFFF"/>
              </w:rPr>
            </w:pPr>
          </w:p>
          <w:p w:rsidR="00CF2AC1" w:rsidRPr="005A615E" w:rsidRDefault="000D13C5" w:rsidP="00CF2AC1">
            <w:pPr>
              <w:rPr>
                <w:rFonts w:ascii="Times New Roman" w:hAnsi="Times New Roman"/>
                <w:b/>
                <w:bCs/>
              </w:rPr>
            </w:pPr>
            <m:oMath>
              <m:sSubSup>
                <m:sSubSupPr>
                  <m:ctrlPr>
                    <w:rPr>
                      <w:rFonts w:ascii="Cambria Math" w:hAnsi="Cambria Math"/>
                      <w:i/>
                    </w:rPr>
                  </m:ctrlPr>
                </m:sSubSupPr>
                <m:e>
                  <m:r>
                    <w:rPr>
                      <w:rFonts w:ascii="Cambria Math" w:hAnsi="Cambria Math"/>
                    </w:rPr>
                    <m:t>ОКВ</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ОКВ</m:t>
                      </m:r>
                    </m:e>
                    <m:sub>
                      <m:r>
                        <w:rPr>
                          <w:rFonts w:ascii="Cambria Math" w:hAnsi="Cambria Math"/>
                        </w:rPr>
                        <m:t>t-2</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ФОП</m:t>
                      </m:r>
                    </m:e>
                    <m:sub>
                      <m:r>
                        <w:rPr>
                          <w:rFonts w:ascii="Cambria Math" w:hAnsi="Cambria Math"/>
                        </w:rPr>
                        <m:t>t-2</m:t>
                      </m:r>
                    </m:sub>
                    <m:sup>
                      <m:r>
                        <w:rPr>
                          <w:rFonts w:ascii="Cambria Math" w:hAnsi="Cambria Math"/>
                        </w:rPr>
                        <m:t>n</m:t>
                      </m:r>
                    </m:sup>
                  </m:sSubSup>
                </m:e>
              </m:d>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ІЦВ</m:t>
                      </m:r>
                    </m:e>
                    <m:sub>
                      <m:r>
                        <w:rPr>
                          <w:rFonts w:ascii="Cambria Math" w:hAnsi="Cambria Math"/>
                        </w:rPr>
                        <m:t>t</m:t>
                      </m:r>
                    </m:sub>
                    <m:sup>
                      <m:r>
                        <w:rPr>
                          <w:rFonts w:ascii="Cambria Math" w:hAnsi="Cambria Math"/>
                        </w:rPr>
                        <m:t>n</m:t>
                      </m:r>
                    </m:sup>
                  </m:sSubSup>
                </m:num>
                <m:den>
                  <m:r>
                    <w:rPr>
                      <w:rFonts w:ascii="Cambria Math" w:hAnsi="Cambria Math"/>
                    </w:rPr>
                    <m:t>100</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ІЦВ</m:t>
                      </m:r>
                    </m:e>
                    <m:sub>
                      <m:r>
                        <w:rPr>
                          <w:rFonts w:ascii="Cambria Math" w:hAnsi="Cambria Math"/>
                        </w:rPr>
                        <m:t>t-1</m:t>
                      </m:r>
                    </m:sub>
                    <m:sup>
                      <m:r>
                        <w:rPr>
                          <w:rFonts w:ascii="Cambria Math" w:hAnsi="Cambria Math"/>
                        </w:rPr>
                        <m:t>n</m:t>
                      </m:r>
                    </m:sup>
                  </m:sSubSup>
                </m:num>
                <m:den>
                  <m:r>
                    <w:rPr>
                      <w:rFonts w:ascii="Cambria Math" w:hAnsi="Cambria Math"/>
                    </w:rPr>
                    <m:t>100</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Sup>
                        <m:sSubSupPr>
                          <m:ctrlPr>
                            <w:rPr>
                              <w:rFonts w:ascii="Cambria Math" w:hAnsi="Cambria Math"/>
                              <w:i/>
                            </w:rPr>
                          </m:ctrlPr>
                        </m:sSubSupPr>
                        <m:e>
                          <m:r>
                            <w:rPr>
                              <w:rFonts w:ascii="Cambria Math" w:hAnsi="Cambria Math"/>
                            </w:rPr>
                            <m:t>ПЕ</m:t>
                          </m:r>
                        </m:e>
                        <m:sub>
                          <m:r>
                            <w:rPr>
                              <w:rFonts w:ascii="Cambria Math" w:hAnsi="Cambria Math"/>
                            </w:rPr>
                            <m:t>t-1</m:t>
                          </m:r>
                        </m:sub>
                        <m:sup>
                          <m:r>
                            <w:rPr>
                              <w:rFonts w:ascii="Cambria Math" w:hAnsi="Cambria Math"/>
                            </w:rPr>
                            <m:t>3</m:t>
                          </m:r>
                        </m:sup>
                      </m:sSubSup>
                      <m:r>
                        <w:rPr>
                          <w:rFonts w:ascii="Cambria Math" w:hAnsi="Cambria Math"/>
                        </w:rPr>
                        <m:t>+</m:t>
                      </m:r>
                      <m:sSubSup>
                        <m:sSubSupPr>
                          <m:ctrlPr>
                            <w:rPr>
                              <w:rFonts w:ascii="Cambria Math" w:hAnsi="Cambria Math"/>
                              <w:i/>
                            </w:rPr>
                          </m:ctrlPr>
                        </m:sSubSupPr>
                        <m:e>
                          <m:r>
                            <w:rPr>
                              <w:rFonts w:ascii="Cambria Math" w:hAnsi="Cambria Math"/>
                            </w:rPr>
                            <m:t>ПЕ</m:t>
                          </m:r>
                        </m:e>
                        <m:sub>
                          <m:r>
                            <w:rPr>
                              <w:rFonts w:ascii="Cambria Math" w:hAnsi="Cambria Math"/>
                            </w:rPr>
                            <m:t>t-1</m:t>
                          </m:r>
                        </m:sub>
                        <m:sup>
                          <m:r>
                            <w:rPr>
                              <w:rFonts w:ascii="Cambria Math" w:hAnsi="Cambria Math"/>
                            </w:rPr>
                            <m:t>інд</m:t>
                          </m:r>
                        </m:sup>
                      </m:sSubSup>
                    </m:num>
                    <m:den>
                      <m:r>
                        <w:rPr>
                          <w:rFonts w:ascii="Cambria Math" w:hAnsi="Cambria Math"/>
                        </w:rPr>
                        <m:t>100</m:t>
                      </m:r>
                    </m:den>
                  </m:f>
                </m:e>
              </m:d>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зt</m:t>
                          </m:r>
                        </m:sub>
                      </m:sSub>
                      <m:r>
                        <w:rPr>
                          <w:rFonts w:ascii="Cambria Math" w:hAnsi="Cambria Math"/>
                        </w:rPr>
                        <m:t>+</m:t>
                      </m:r>
                      <m:sSub>
                        <m:sSubPr>
                          <m:ctrlPr>
                            <w:rPr>
                              <w:rFonts w:ascii="Cambria Math" w:hAnsi="Cambria Math"/>
                              <w:i/>
                            </w:rPr>
                          </m:ctrlPr>
                        </m:sSubPr>
                        <m:e>
                          <m:r>
                            <w:rPr>
                              <w:rFonts w:ascii="Cambria Math" w:hAnsi="Cambria Math"/>
                            </w:rPr>
                            <m:t>ПЕ</m:t>
                          </m:r>
                        </m:e>
                        <m:sub>
                          <m:r>
                            <w:rPr>
                              <w:rFonts w:ascii="Cambria Math" w:hAnsi="Cambria Math"/>
                            </w:rPr>
                            <m:t>індt</m:t>
                          </m:r>
                        </m:sub>
                      </m:sSub>
                    </m:num>
                    <m:den>
                      <m:r>
                        <w:rPr>
                          <w:rFonts w:ascii="Cambria Math" w:hAnsi="Cambria Math"/>
                        </w:rPr>
                        <m:t>100</m:t>
                      </m:r>
                    </m:den>
                  </m:f>
                </m:e>
              </m:d>
              <m:r>
                <w:rPr>
                  <w:rFonts w:ascii="Cambria Math" w:hAnsi="Cambria Math"/>
                </w:rPr>
                <m:t>+</m:t>
              </m:r>
              <m:sSubSup>
                <m:sSubSupPr>
                  <m:ctrlPr>
                    <w:rPr>
                      <w:rFonts w:ascii="Cambria Math" w:hAnsi="Cambria Math"/>
                      <w:i/>
                    </w:rPr>
                  </m:ctrlPr>
                </m:sSubSupPr>
                <m:e>
                  <m:r>
                    <w:rPr>
                      <w:rFonts w:ascii="Cambria Math" w:hAnsi="Cambria Math"/>
                    </w:rPr>
                    <m:t>ФОП</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зt</m:t>
                          </m:r>
                        </m:sub>
                      </m:sSub>
                      <m:r>
                        <w:rPr>
                          <w:rFonts w:ascii="Cambria Math" w:hAnsi="Cambria Math"/>
                        </w:rPr>
                        <m:t>+</m:t>
                      </m:r>
                      <m:sSub>
                        <m:sSubPr>
                          <m:ctrlPr>
                            <w:rPr>
                              <w:rFonts w:ascii="Cambria Math" w:hAnsi="Cambria Math"/>
                              <w:i/>
                            </w:rPr>
                          </m:ctrlPr>
                        </m:sSubPr>
                        <m:e>
                          <m:r>
                            <w:rPr>
                              <w:rFonts w:ascii="Cambria Math" w:hAnsi="Cambria Math"/>
                            </w:rPr>
                            <m:t>ПЕ</m:t>
                          </m:r>
                        </m:e>
                        <m:sub>
                          <m:r>
                            <w:rPr>
                              <w:rFonts w:ascii="Cambria Math" w:hAnsi="Cambria Math"/>
                            </w:rPr>
                            <m:t>індt</m:t>
                          </m:r>
                        </m:sub>
                      </m:sSub>
                    </m:num>
                    <m:den>
                      <m:r>
                        <w:rPr>
                          <w:rFonts w:ascii="Cambria Math" w:hAnsi="Cambria Math"/>
                        </w:rPr>
                        <m:t>100</m:t>
                      </m:r>
                    </m:den>
                  </m:f>
                </m:e>
              </m:d>
              <m:r>
                <w:rPr>
                  <w:rFonts w:ascii="Cambria Math" w:hAnsi="Cambria Math"/>
                </w:rPr>
                <m:t>, тис.грн,</m:t>
              </m:r>
            </m:oMath>
            <w:r w:rsidR="00CF2AC1" w:rsidRPr="005A615E">
              <w:rPr>
                <w:rFonts w:ascii="Times New Roman" w:eastAsiaTheme="minorEastAsia" w:hAnsi="Times New Roman"/>
              </w:rPr>
              <w:t xml:space="preserve"> </w:t>
            </w:r>
            <w:r w:rsidR="00CF2AC1" w:rsidRPr="005A615E">
              <w:rPr>
                <w:rFonts w:ascii="Times New Roman" w:hAnsi="Times New Roman"/>
                <w:b/>
                <w:bCs/>
              </w:rPr>
              <w:t>(7.1)</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Cs/>
                <w:shd w:val="clear" w:color="auto" w:fill="FFFFFF"/>
              </w:rPr>
            </w:pPr>
            <w:r w:rsidRPr="005A615E">
              <w:rPr>
                <w:rFonts w:ascii="Times New Roman" w:hAnsi="Times New Roman"/>
                <w:bCs/>
                <w:shd w:val="clear" w:color="auto" w:fill="FFFFFF"/>
              </w:rPr>
              <w:t>Пропонується уточнення. Вважаємо недоцільним застосовувати коефіцієнт ефективності до ФОП персоналу ОСР в зв’язку із наступним:</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bCs/>
                <w:shd w:val="clear" w:color="auto" w:fill="FFFFFF"/>
              </w:rPr>
              <w:t xml:space="preserve">1.Розрахунок ФОП регулюється постановою НКРЕКП </w:t>
            </w:r>
            <w:r w:rsidRPr="005A615E">
              <w:rPr>
                <w:rFonts w:ascii="Times New Roman" w:hAnsi="Times New Roman"/>
                <w:shd w:val="clear" w:color="auto" w:fill="FFFFFF"/>
              </w:rPr>
              <w:t>від 26 жовтня 2015 року № 2645, яка передбачає механізм  коригування ФОП застосуванням коефіцієнта β;</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2.Фактична середня заробітна плата персоналу ОСР навіть за діючих умов стимулюючого регулювання є досить низькою через застосування при її розрахунку не фактичних, а прогнозованих  індексів інфляції.  Додаткове застосування коефіцієнту ефективності до ФОП призведе до мінімізації зусиль ОСР щодо утримання/залучення кваліфікованих спеціалістів та внаслідок цього до проблем, пов’язаних із якісним виконанням ОСР своїх завдань та функцій  в умовах воєнного стану.</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shd w:val="clear" w:color="auto" w:fill="FFFFFF"/>
              <w:ind w:firstLine="173"/>
              <w:jc w:val="both"/>
              <w:rPr>
                <w:rFonts w:ascii="Times New Roman" w:hAnsi="Times New Roman"/>
                <w:lang w:eastAsia="uk-UA"/>
              </w:rPr>
            </w:pPr>
            <w:r w:rsidRPr="005A615E">
              <w:rPr>
                <w:rFonts w:ascii="Times New Roman" w:hAnsi="Times New Roman"/>
                <w:lang w:eastAsia="uk-UA"/>
              </w:rPr>
              <w:t>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за формулою</w:t>
            </w:r>
          </w:p>
          <w:p w:rsidR="00CF2AC1" w:rsidRPr="005A615E" w:rsidRDefault="00CF2AC1" w:rsidP="00CF2AC1">
            <w:pPr>
              <w:shd w:val="clear" w:color="auto" w:fill="FFFFFF"/>
              <w:ind w:firstLine="450"/>
              <w:jc w:val="both"/>
              <w:rPr>
                <w:rFonts w:ascii="Times New Roman" w:hAnsi="Times New Roman"/>
                <w:lang w:eastAsia="uk-UA"/>
              </w:rPr>
            </w:pPr>
          </w:p>
          <w:tbl>
            <w:tblPr>
              <w:tblW w:w="5000" w:type="pct"/>
              <w:tblLayout w:type="fixed"/>
              <w:tblCellMar>
                <w:left w:w="0" w:type="dxa"/>
                <w:right w:w="0" w:type="dxa"/>
              </w:tblCellMar>
              <w:tblLook w:val="04A0" w:firstRow="1" w:lastRow="0" w:firstColumn="1" w:lastColumn="0" w:noHBand="0" w:noVBand="1"/>
            </w:tblPr>
            <w:tblGrid>
              <w:gridCol w:w="4613"/>
              <w:gridCol w:w="552"/>
            </w:tblGrid>
            <w:tr w:rsidR="00CF2AC1" w:rsidRPr="005A615E" w:rsidTr="00051024">
              <w:tc>
                <w:tcPr>
                  <w:tcW w:w="8430" w:type="dxa"/>
                  <w:tcBorders>
                    <w:top w:val="single" w:sz="2" w:space="0" w:color="auto"/>
                    <w:left w:val="single" w:sz="2" w:space="0" w:color="auto"/>
                    <w:bottom w:val="single" w:sz="2" w:space="0" w:color="auto"/>
                    <w:right w:val="single" w:sz="2" w:space="0" w:color="auto"/>
                  </w:tcBorders>
                  <w:hideMark/>
                </w:tcPr>
                <w:p w:rsidR="00CF2AC1" w:rsidRPr="005A615E" w:rsidRDefault="000D13C5" w:rsidP="00CF2AC1">
                  <w:pPr>
                    <w:rPr>
                      <w:lang w:eastAsia="uk-UA"/>
                    </w:rPr>
                  </w:pPr>
                  <m:oMathPara>
                    <m:oMath>
                      <m:sSubSup>
                        <m:sSubSupPr>
                          <m:ctrlPr>
                            <w:rPr>
                              <w:rFonts w:ascii="Cambria Math" w:hAnsi="Cambria Math"/>
                              <w:i/>
                              <w:lang w:eastAsia="uk-UA"/>
                            </w:rPr>
                          </m:ctrlPr>
                        </m:sSubSupPr>
                        <m:e>
                          <m:r>
                            <w:rPr>
                              <w:rFonts w:ascii="Cambria Math" w:hAnsi="Cambria Math"/>
                              <w:lang w:eastAsia="uk-UA"/>
                            </w:rPr>
                            <m:t>ОКВ</m:t>
                          </m:r>
                        </m:e>
                        <m:sub>
                          <m:r>
                            <w:rPr>
                              <w:rFonts w:ascii="Cambria Math" w:hAnsi="Cambria Math"/>
                              <w:lang w:eastAsia="uk-UA"/>
                            </w:rPr>
                            <m:t>t</m:t>
                          </m:r>
                        </m:sub>
                        <m:sup>
                          <m:r>
                            <w:rPr>
                              <w:rFonts w:ascii="Cambria Math" w:hAnsi="Cambria Math"/>
                              <w:lang w:eastAsia="uk-UA"/>
                            </w:rPr>
                            <m:t>n</m:t>
                          </m:r>
                        </m:sup>
                      </m:sSubSup>
                      <m:r>
                        <w:rPr>
                          <w:rFonts w:ascii="Cambria Math" w:hAnsi="Cambria Math"/>
                          <w:lang w:eastAsia="uk-UA"/>
                        </w:rPr>
                        <m:t>=</m:t>
                      </m:r>
                      <m:d>
                        <m:dPr>
                          <m:ctrlPr>
                            <w:rPr>
                              <w:rFonts w:ascii="Cambria Math" w:hAnsi="Cambria Math"/>
                              <w:i/>
                              <w:lang w:eastAsia="uk-UA"/>
                            </w:rPr>
                          </m:ctrlPr>
                        </m:dPr>
                        <m:e>
                          <m:sSubSup>
                            <m:sSubSupPr>
                              <m:ctrlPr>
                                <w:rPr>
                                  <w:rFonts w:ascii="Cambria Math" w:hAnsi="Cambria Math"/>
                                  <w:i/>
                                  <w:lang w:eastAsia="uk-UA"/>
                                </w:rPr>
                              </m:ctrlPr>
                            </m:sSubSupPr>
                            <m:e>
                              <m:r>
                                <w:rPr>
                                  <w:rFonts w:ascii="Cambria Math" w:hAnsi="Cambria Math"/>
                                  <w:lang w:eastAsia="uk-UA"/>
                                </w:rPr>
                                <m:t>ОКВ</m:t>
                              </m:r>
                            </m:e>
                            <m:sub>
                              <m:r>
                                <w:rPr>
                                  <w:rFonts w:ascii="Cambria Math" w:hAnsi="Cambria Math"/>
                                  <w:lang w:eastAsia="uk-UA"/>
                                </w:rPr>
                                <m:t>t-1</m:t>
                              </m:r>
                            </m:sub>
                            <m:sup>
                              <m:r>
                                <w:rPr>
                                  <w:rFonts w:ascii="Cambria Math" w:hAnsi="Cambria Math"/>
                                  <w:lang w:eastAsia="uk-UA"/>
                                </w:rPr>
                                <m:t>n</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ФОП</m:t>
                              </m:r>
                            </m:e>
                            <m:sub>
                              <m:r>
                                <w:rPr>
                                  <w:rFonts w:ascii="Cambria Math" w:hAnsi="Cambria Math"/>
                                  <w:lang w:eastAsia="uk-UA"/>
                                </w:rPr>
                                <m:t>t-1</m:t>
                              </m:r>
                            </m:sub>
                            <m:sup>
                              <m:r>
                                <w:rPr>
                                  <w:rFonts w:ascii="Cambria Math" w:hAnsi="Cambria Math"/>
                                  <w:lang w:eastAsia="uk-UA"/>
                                </w:rPr>
                                <m:t>n</m:t>
                              </m:r>
                            </m:sup>
                          </m:sSubSup>
                        </m:e>
                      </m:d>
                      <m:r>
                        <w:rPr>
                          <w:rFonts w:ascii="Cambria Math" w:hAnsi="Cambria Math"/>
                          <w:lang w:eastAsia="uk-UA"/>
                        </w:rPr>
                        <m:t>×</m:t>
                      </m:r>
                      <m:f>
                        <m:fPr>
                          <m:ctrlPr>
                            <w:rPr>
                              <w:rFonts w:ascii="Cambria Math" w:hAnsi="Cambria Math"/>
                              <w:i/>
                              <w:lang w:eastAsia="uk-UA"/>
                            </w:rPr>
                          </m:ctrlPr>
                        </m:fPr>
                        <m:num>
                          <m:sSubSup>
                            <m:sSubSupPr>
                              <m:ctrlPr>
                                <w:rPr>
                                  <w:rFonts w:ascii="Cambria Math" w:hAnsi="Cambria Math"/>
                                  <w:i/>
                                  <w:lang w:eastAsia="uk-UA"/>
                                </w:rPr>
                              </m:ctrlPr>
                            </m:sSubSupPr>
                            <m:e>
                              <m:r>
                                <w:rPr>
                                  <w:rFonts w:ascii="Cambria Math" w:hAnsi="Cambria Math"/>
                                  <w:lang w:eastAsia="uk-UA"/>
                                </w:rPr>
                                <m:t>ІЦВ</m:t>
                              </m:r>
                            </m:e>
                            <m:sub>
                              <m:r>
                                <w:rPr>
                                  <w:rFonts w:ascii="Cambria Math" w:hAnsi="Cambria Math"/>
                                  <w:lang w:eastAsia="uk-UA"/>
                                </w:rPr>
                                <m:t>t</m:t>
                              </m:r>
                            </m:sub>
                            <m:sup>
                              <m:r>
                                <w:rPr>
                                  <w:rFonts w:ascii="Cambria Math" w:hAnsi="Cambria Math"/>
                                  <w:lang w:eastAsia="uk-UA"/>
                                </w:rPr>
                                <m:t>n</m:t>
                              </m:r>
                            </m:sup>
                          </m:sSubSup>
                        </m:num>
                        <m:den>
                          <m:r>
                            <w:rPr>
                              <w:rFonts w:ascii="Cambria Math" w:hAnsi="Cambria Math"/>
                              <w:lang w:eastAsia="uk-UA"/>
                            </w:rPr>
                            <m:t>100</m:t>
                          </m:r>
                        </m:den>
                      </m:f>
                      <m:r>
                        <w:rPr>
                          <w:rFonts w:ascii="Cambria Math" w:hAnsi="Cambria Math"/>
                          <w:lang w:eastAsia="uk-UA"/>
                        </w:rPr>
                        <m:t xml:space="preserve"> ×</m:t>
                      </m:r>
                      <m:d>
                        <m:dPr>
                          <m:ctrlPr>
                            <w:rPr>
                              <w:rFonts w:ascii="Cambria Math" w:hAnsi="Cambria Math"/>
                              <w:i/>
                              <w:lang w:eastAsia="uk-UA"/>
                            </w:rPr>
                          </m:ctrlPr>
                        </m:dPr>
                        <m:e>
                          <m:r>
                            <w:rPr>
                              <w:rFonts w:ascii="Cambria Math" w:hAnsi="Cambria Math"/>
                              <w:lang w:eastAsia="uk-UA"/>
                            </w:rPr>
                            <m:t>1-</m:t>
                          </m:r>
                          <m:f>
                            <m:fPr>
                              <m:ctrlPr>
                                <w:rPr>
                                  <w:rFonts w:ascii="Cambria Math" w:hAnsi="Cambria Math"/>
                                  <w:i/>
                                  <w:lang w:eastAsia="uk-UA"/>
                                </w:rPr>
                              </m:ctrlPr>
                            </m:fPr>
                            <m:num>
                              <m:sSub>
                                <m:sSubPr>
                                  <m:ctrlPr>
                                    <w:rPr>
                                      <w:rFonts w:ascii="Cambria Math" w:hAnsi="Cambria Math"/>
                                      <w:i/>
                                      <w:lang w:eastAsia="uk-UA"/>
                                    </w:rPr>
                                  </m:ctrlPr>
                                </m:sSubPr>
                                <m:e>
                                  <m:r>
                                    <w:rPr>
                                      <w:rFonts w:ascii="Cambria Math" w:hAnsi="Cambria Math"/>
                                      <w:lang w:eastAsia="uk-UA"/>
                                    </w:rPr>
                                    <m:t>ПЕ</m:t>
                                  </m:r>
                                </m:e>
                                <m:sub>
                                  <m:r>
                                    <w:rPr>
                                      <w:rFonts w:ascii="Cambria Math" w:hAnsi="Cambria Math"/>
                                      <w:lang w:eastAsia="uk-UA"/>
                                    </w:rPr>
                                    <m:t>з</m:t>
                                  </m:r>
                                </m:sub>
                              </m:sSub>
                              <m:r>
                                <w:rPr>
                                  <w:rFonts w:ascii="Cambria Math" w:hAnsi="Cambria Math"/>
                                  <w:lang w:eastAsia="uk-UA"/>
                                </w:rPr>
                                <m:t>+</m:t>
                              </m:r>
                              <m:sSub>
                                <m:sSubPr>
                                  <m:ctrlPr>
                                    <w:rPr>
                                      <w:rFonts w:ascii="Cambria Math" w:hAnsi="Cambria Math"/>
                                      <w:i/>
                                      <w:lang w:eastAsia="uk-UA"/>
                                    </w:rPr>
                                  </m:ctrlPr>
                                </m:sSubPr>
                                <m:e>
                                  <m:r>
                                    <w:rPr>
                                      <w:rFonts w:ascii="Cambria Math" w:hAnsi="Cambria Math"/>
                                      <w:lang w:eastAsia="uk-UA"/>
                                    </w:rPr>
                                    <m:t>ПЕ</m:t>
                                  </m:r>
                                </m:e>
                                <m:sub>
                                  <m:r>
                                    <w:rPr>
                                      <w:rFonts w:ascii="Cambria Math" w:hAnsi="Cambria Math"/>
                                      <w:lang w:eastAsia="uk-UA"/>
                                    </w:rPr>
                                    <m:t>інд</m:t>
                                  </m:r>
                                </m:sub>
                              </m:sSub>
                            </m:num>
                            <m:den>
                              <m:r>
                                <w:rPr>
                                  <w:rFonts w:ascii="Cambria Math" w:hAnsi="Cambria Math"/>
                                  <w:lang w:eastAsia="uk-UA"/>
                                </w:rPr>
                                <m:t>100</m:t>
                              </m:r>
                            </m:den>
                          </m:f>
                        </m:e>
                      </m:d>
                      <m:r>
                        <w:rPr>
                          <w:rFonts w:ascii="Cambria Math" w:hAnsi="Cambria Math"/>
                          <w:lang w:eastAsia="uk-UA"/>
                        </w:rPr>
                        <m:t xml:space="preserve">  </m:t>
                      </m:r>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ФОП</m:t>
                          </m:r>
                        </m:e>
                        <m:sub>
                          <m:r>
                            <m:rPr>
                              <m:sty m:val="bi"/>
                            </m:rPr>
                            <w:rPr>
                              <w:rFonts w:ascii="Cambria Math" w:hAnsi="Cambria Math"/>
                              <w:lang w:eastAsia="uk-UA"/>
                            </w:rPr>
                            <m:t>t</m:t>
                          </m:r>
                        </m:sub>
                        <m:sup>
                          <m:r>
                            <m:rPr>
                              <m:sty m:val="bi"/>
                            </m:rPr>
                            <w:rPr>
                              <w:rFonts w:ascii="Cambria Math" w:hAnsi="Cambria Math"/>
                              <w:lang w:eastAsia="uk-UA"/>
                            </w:rPr>
                            <m:t>n</m:t>
                          </m:r>
                        </m:sup>
                      </m:sSubSup>
                      <m:r>
                        <w:rPr>
                          <w:rFonts w:ascii="Cambria Math" w:hAnsi="Cambria Math"/>
                          <w:lang w:eastAsia="uk-UA"/>
                        </w:rPr>
                        <m:t>,  тис.грн,</m:t>
                      </m:r>
                    </m:oMath>
                  </m:oMathPara>
                </w:p>
              </w:tc>
              <w:tc>
                <w:tcPr>
                  <w:tcW w:w="99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lang w:eastAsia="uk-UA"/>
                    </w:rPr>
                  </w:pPr>
                  <w:r w:rsidRPr="005A615E">
                    <w:rPr>
                      <w:lang w:eastAsia="uk-UA"/>
                    </w:rPr>
                    <w:t>(7)</w:t>
                  </w:r>
                </w:p>
              </w:tc>
            </w:tr>
          </w:tbl>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hd w:val="clear" w:color="auto" w:fill="FFFFFF"/>
              <w:ind w:firstLine="173"/>
              <w:jc w:val="both"/>
              <w:rPr>
                <w:rFonts w:ascii="Times New Roman" w:hAnsi="Times New Roman"/>
                <w:lang w:eastAsia="uk-UA"/>
              </w:rPr>
            </w:pPr>
            <w:r w:rsidRPr="005A615E">
              <w:rPr>
                <w:rFonts w:ascii="Times New Roman" w:hAnsi="Times New Roman"/>
                <w:lang w:eastAsia="uk-UA"/>
              </w:rPr>
              <w:t xml:space="preserve">Пропонуємо не враховувати застосування показників ефективності </w:t>
            </w:r>
            <m:oMath>
              <m:d>
                <m:dPr>
                  <m:ctrlPr>
                    <w:rPr>
                      <w:rFonts w:ascii="Cambria Math" w:hAnsi="Cambria Math"/>
                      <w:i/>
                      <w:lang w:eastAsia="uk-UA"/>
                    </w:rPr>
                  </m:ctrlPr>
                </m:dPr>
                <m:e>
                  <m:r>
                    <w:rPr>
                      <w:rFonts w:ascii="Cambria Math" w:hAnsi="Cambria Math"/>
                      <w:lang w:eastAsia="uk-UA"/>
                    </w:rPr>
                    <m:t>1-</m:t>
                  </m:r>
                  <m:f>
                    <m:fPr>
                      <m:ctrlPr>
                        <w:rPr>
                          <w:rFonts w:ascii="Cambria Math" w:hAnsi="Cambria Math"/>
                          <w:i/>
                          <w:lang w:eastAsia="uk-UA"/>
                        </w:rPr>
                      </m:ctrlPr>
                    </m:fPr>
                    <m:num>
                      <m:sSub>
                        <m:sSubPr>
                          <m:ctrlPr>
                            <w:rPr>
                              <w:rFonts w:ascii="Cambria Math" w:hAnsi="Cambria Math"/>
                              <w:i/>
                              <w:lang w:eastAsia="uk-UA"/>
                            </w:rPr>
                          </m:ctrlPr>
                        </m:sSubPr>
                        <m:e>
                          <m:r>
                            <w:rPr>
                              <w:rFonts w:ascii="Cambria Math" w:hAnsi="Cambria Math"/>
                              <w:lang w:eastAsia="uk-UA"/>
                            </w:rPr>
                            <m:t>ПЕ</m:t>
                          </m:r>
                        </m:e>
                        <m:sub>
                          <m:r>
                            <w:rPr>
                              <w:rFonts w:ascii="Cambria Math" w:hAnsi="Cambria Math"/>
                              <w:lang w:eastAsia="uk-UA"/>
                            </w:rPr>
                            <m:t>з</m:t>
                          </m:r>
                        </m:sub>
                      </m:sSub>
                      <m:r>
                        <w:rPr>
                          <w:rFonts w:ascii="Cambria Math" w:hAnsi="Cambria Math"/>
                          <w:lang w:eastAsia="uk-UA"/>
                        </w:rPr>
                        <m:t>+</m:t>
                      </m:r>
                      <m:sSub>
                        <m:sSubPr>
                          <m:ctrlPr>
                            <w:rPr>
                              <w:rFonts w:ascii="Cambria Math" w:hAnsi="Cambria Math"/>
                              <w:i/>
                              <w:lang w:eastAsia="uk-UA"/>
                            </w:rPr>
                          </m:ctrlPr>
                        </m:sSubPr>
                        <m:e>
                          <m:r>
                            <w:rPr>
                              <w:rFonts w:ascii="Cambria Math" w:hAnsi="Cambria Math"/>
                              <w:lang w:eastAsia="uk-UA"/>
                            </w:rPr>
                            <m:t>ПЕ</m:t>
                          </m:r>
                        </m:e>
                        <m:sub>
                          <m:r>
                            <w:rPr>
                              <w:rFonts w:ascii="Cambria Math" w:hAnsi="Cambria Math"/>
                              <w:lang w:eastAsia="uk-UA"/>
                            </w:rPr>
                            <m:t>інд</m:t>
                          </m:r>
                        </m:sub>
                      </m:sSub>
                    </m:num>
                    <m:den>
                      <m:r>
                        <w:rPr>
                          <w:rFonts w:ascii="Cambria Math" w:hAnsi="Cambria Math"/>
                          <w:lang w:eastAsia="uk-UA"/>
                        </w:rPr>
                        <m:t>100</m:t>
                      </m:r>
                    </m:den>
                  </m:f>
                </m:e>
              </m:d>
            </m:oMath>
            <w:r w:rsidRPr="005A615E">
              <w:rPr>
                <w:rFonts w:ascii="Times New Roman" w:eastAsiaTheme="minorEastAsia" w:hAnsi="Times New Roman"/>
                <w:lang w:eastAsia="uk-UA"/>
              </w:rPr>
              <w:t xml:space="preserve"> </w:t>
            </w:r>
            <w:r w:rsidRPr="005A615E">
              <w:rPr>
                <w:rFonts w:ascii="Times New Roman" w:hAnsi="Times New Roman"/>
                <w:lang w:eastAsia="uk-UA"/>
              </w:rPr>
              <w:t xml:space="preserve">до </w:t>
            </w:r>
            <m:oMath>
              <m:sSubSup>
                <m:sSubSupPr>
                  <m:ctrlPr>
                    <w:rPr>
                      <w:rFonts w:ascii="Cambria Math" w:hAnsi="Cambria Math"/>
                      <w:b/>
                      <w:i/>
                      <w:lang w:eastAsia="uk-UA"/>
                    </w:rPr>
                  </m:ctrlPr>
                </m:sSubSupPr>
                <m:e>
                  <m:r>
                    <m:rPr>
                      <m:sty m:val="bi"/>
                    </m:rPr>
                    <w:rPr>
                      <w:rFonts w:ascii="Cambria Math" w:hAnsi="Cambria Math"/>
                      <w:lang w:eastAsia="uk-UA"/>
                    </w:rPr>
                    <m:t>ФОП</m:t>
                  </m:r>
                </m:e>
                <m:sub>
                  <m:r>
                    <m:rPr>
                      <m:sty m:val="bi"/>
                    </m:rPr>
                    <w:rPr>
                      <w:rFonts w:ascii="Cambria Math" w:hAnsi="Cambria Math"/>
                      <w:lang w:eastAsia="uk-UA"/>
                    </w:rPr>
                    <m:t>t</m:t>
                  </m:r>
                </m:sub>
                <m:sup>
                  <m:r>
                    <m:rPr>
                      <m:sty m:val="bi"/>
                    </m:rPr>
                    <w:rPr>
                      <w:rFonts w:ascii="Cambria Math" w:hAnsi="Cambria Math"/>
                      <w:lang w:eastAsia="uk-UA"/>
                    </w:rPr>
                    <m:t>n</m:t>
                  </m:r>
                </m:sup>
              </m:sSubSup>
              <m:r>
                <w:rPr>
                  <w:rFonts w:ascii="Cambria Math" w:hAnsi="Cambria Math"/>
                  <w:lang w:eastAsia="uk-UA"/>
                </w:rPr>
                <m:t>,</m:t>
              </m:r>
            </m:oMath>
          </w:p>
          <w:p w:rsidR="00CF2AC1" w:rsidRPr="005A615E" w:rsidRDefault="00CF2AC1" w:rsidP="00CF2AC1">
            <w:pPr>
              <w:shd w:val="clear" w:color="auto" w:fill="FFFFFF"/>
              <w:ind w:firstLine="173"/>
              <w:jc w:val="both"/>
              <w:rPr>
                <w:rFonts w:ascii="Times New Roman" w:hAnsi="Times New Roman"/>
                <w:noProof/>
                <w:lang w:eastAsia="uk-UA"/>
              </w:rPr>
            </w:pPr>
            <w:r w:rsidRPr="005A615E">
              <w:rPr>
                <w:rFonts w:ascii="Times New Roman" w:hAnsi="Times New Roman"/>
                <w:lang w:eastAsia="uk-UA"/>
              </w:rPr>
              <w:t xml:space="preserve">Оскільки, </w:t>
            </w:r>
            <w:r w:rsidRPr="005A615E">
              <w:rPr>
                <w:rFonts w:ascii="Times New Roman" w:hAnsi="Times New Roman"/>
                <w:noProof/>
                <w:lang w:eastAsia="uk-UA"/>
              </w:rPr>
              <w:t xml:space="preserve">при розрахунку ФОП </w:t>
            </w:r>
            <w:r w:rsidRPr="005A615E">
              <w:rPr>
                <w:rFonts w:ascii="Times New Roman" w:hAnsi="Times New Roman"/>
                <w:lang w:eastAsia="uk-UA"/>
              </w:rPr>
              <w:t>у році t-1, що розрахований відповідно до </w:t>
            </w:r>
            <w:hyperlink r:id="rId112" w:anchor="n12" w:tgtFrame="_blank" w:history="1">
              <w:r w:rsidRPr="005A615E">
                <w:rPr>
                  <w:rFonts w:ascii="Times New Roman" w:hAnsi="Times New Roman"/>
                  <w:u w:val="single"/>
                  <w:lang w:eastAsia="uk-UA"/>
                </w:rPr>
                <w:t>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5A615E">
              <w:rPr>
                <w:rFonts w:ascii="Times New Roman" w:hAnsi="Times New Roman"/>
                <w:lang w:eastAsia="uk-UA"/>
              </w:rPr>
              <w:t xml:space="preserve">, затвердженого постановою від 26.10.2015 р. № 2645 НКРЕКП постійно застосовує коригування коефіцієнту бета, шляхом прийняття його значення менше за 1. </w:t>
            </w:r>
          </w:p>
          <w:p w:rsidR="00CF2AC1" w:rsidRPr="005A615E" w:rsidRDefault="00CF2AC1" w:rsidP="00CF2AC1">
            <w:pPr>
              <w:shd w:val="clear" w:color="auto" w:fill="FFFFFF"/>
              <w:ind w:firstLine="173"/>
              <w:jc w:val="both"/>
              <w:rPr>
                <w:rFonts w:ascii="Times New Roman" w:hAnsi="Times New Roman"/>
                <w:lang w:eastAsia="uk-UA"/>
              </w:rPr>
            </w:pPr>
            <w:r w:rsidRPr="005A615E">
              <w:rPr>
                <w:rFonts w:ascii="Times New Roman" w:hAnsi="Times New Roman"/>
                <w:lang w:eastAsia="uk-UA"/>
              </w:rPr>
              <w:t>Відповідно, НКРЕКП вже застосовує важелі коригування ФОП. Застосування надалі коефіцієнту ефективності зменшує вже скориговану прогнозовану ФОП. Отже НКРЕКП два рази застосовує коригування ФОП.</w:t>
            </w:r>
          </w:p>
          <w:p w:rsidR="00CF2AC1" w:rsidRPr="005A615E" w:rsidRDefault="00CF2AC1" w:rsidP="00CF2AC1">
            <w:pPr>
              <w:shd w:val="clear" w:color="auto" w:fill="FFFFFF"/>
              <w:ind w:firstLine="173"/>
              <w:jc w:val="both"/>
              <w:rPr>
                <w:rFonts w:ascii="Times New Roman" w:hAnsi="Times New Roman"/>
                <w:lang w:eastAsia="uk-UA"/>
              </w:rPr>
            </w:pPr>
            <w:r w:rsidRPr="005A615E">
              <w:rPr>
                <w:rFonts w:ascii="Times New Roman" w:hAnsi="Times New Roman"/>
                <w:lang w:eastAsia="uk-UA"/>
              </w:rPr>
              <w:t xml:space="preserve">Враховуючи наведене Товариство пропонує не враховувати застосування показників ефективності. </w:t>
            </w:r>
          </w:p>
          <w:p w:rsidR="00CF2AC1" w:rsidRPr="005A615E" w:rsidRDefault="00CF2AC1" w:rsidP="00CF2AC1">
            <w:pPr>
              <w:shd w:val="clear" w:color="auto" w:fill="FFFFFF"/>
              <w:ind w:firstLine="173"/>
              <w:jc w:val="both"/>
              <w:rPr>
                <w:rFonts w:ascii="Times New Roman" w:hAnsi="Times New Roman"/>
                <w:lang w:eastAsia="uk-UA"/>
              </w:rPr>
            </w:pPr>
            <w:r w:rsidRPr="005A615E">
              <w:rPr>
                <w:rFonts w:ascii="Times New Roman" w:hAnsi="Times New Roman"/>
                <w:lang w:eastAsia="uk-UA"/>
              </w:rPr>
              <w:t>Окрім цього, згідно з формулами 14 і 17 новий ФОП вже буде прив’язаний до чисельності персоналу (яка за цими формулами теж коригувалася на показник ефективності). Зміна чисельності відбуватиметься відповідно до зміни умовних одиниць технологічного обладнання.</w:t>
            </w:r>
          </w:p>
          <w:p w:rsidR="00CF2AC1" w:rsidRPr="005A615E" w:rsidRDefault="00CF2AC1" w:rsidP="00CF2AC1">
            <w:pPr>
              <w:shd w:val="clear" w:color="auto" w:fill="FFFFFF"/>
              <w:ind w:firstLine="173"/>
              <w:jc w:val="both"/>
              <w:rPr>
                <w:rFonts w:ascii="Times New Roman" w:hAnsi="Times New Roman"/>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b/>
                <w:sz w:val="24"/>
                <w:u w:val="single"/>
              </w:rPr>
              <w:t>ПрАТ «Закарпаттяобленерго» (лист від 27.07.2026 № 154-25/7715)</w:t>
            </w:r>
            <w:r w:rsidRPr="005A615E">
              <w:rPr>
                <w:rFonts w:ascii="Times New Roman" w:eastAsia="Times New Roman" w:hAnsi="Times New Roman"/>
                <w:sz w:val="24"/>
                <w:szCs w:val="24"/>
                <w:lang w:eastAsia="ru-RU"/>
              </w:rPr>
              <w:t xml:space="preserve">                    </w:t>
            </w:r>
          </w:p>
          <w:p w:rsidR="00CF2AC1" w:rsidRPr="005A615E" w:rsidRDefault="00CF2AC1" w:rsidP="00CF2AC1">
            <w:pPr>
              <w:shd w:val="clear" w:color="auto" w:fill="FFFFFF"/>
              <w:spacing w:after="150"/>
              <w:ind w:firstLine="173"/>
              <w:jc w:val="both"/>
              <w:rPr>
                <w:rFonts w:ascii="Times New Roman" w:hAnsi="Times New Roman"/>
                <w:sz w:val="20"/>
                <w:szCs w:val="20"/>
                <w:lang w:eastAsia="uk-UA"/>
              </w:rPr>
            </w:pPr>
            <w:r w:rsidRPr="005A615E">
              <w:rPr>
                <w:rFonts w:ascii="Times New Roman" w:hAnsi="Times New Roman"/>
                <w:sz w:val="20"/>
                <w:szCs w:val="20"/>
                <w:lang w:eastAsia="uk-UA"/>
              </w:rPr>
              <w:t>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за формулою</w:t>
            </w:r>
          </w:p>
          <w:p w:rsidR="00CF2AC1" w:rsidRPr="005A615E" w:rsidRDefault="00CF2AC1" w:rsidP="00CF2AC1">
            <w:pPr>
              <w:shd w:val="clear" w:color="auto" w:fill="FFFFFF"/>
              <w:spacing w:after="150"/>
              <w:ind w:firstLine="450"/>
              <w:jc w:val="both"/>
              <w:rPr>
                <w:rFonts w:ascii="Times New Roman" w:hAnsi="Times New Roman"/>
                <w:sz w:val="20"/>
                <w:szCs w:val="20"/>
                <w:lang w:eastAsia="uk-UA"/>
              </w:rPr>
            </w:pPr>
          </w:p>
          <w:tbl>
            <w:tblPr>
              <w:tblW w:w="4875" w:type="dxa"/>
              <w:tblLayout w:type="fixed"/>
              <w:tblCellMar>
                <w:left w:w="0" w:type="dxa"/>
                <w:right w:w="0" w:type="dxa"/>
              </w:tblCellMar>
              <w:tblLook w:val="04A0" w:firstRow="1" w:lastRow="0" w:firstColumn="1" w:lastColumn="0" w:noHBand="0" w:noVBand="1"/>
            </w:tblPr>
            <w:tblGrid>
              <w:gridCol w:w="4850"/>
              <w:gridCol w:w="25"/>
            </w:tblGrid>
            <w:tr w:rsidR="00CF2AC1" w:rsidRPr="005A615E" w:rsidTr="00597EE9">
              <w:tc>
                <w:tcPr>
                  <w:tcW w:w="4850" w:type="dxa"/>
                  <w:tcBorders>
                    <w:top w:val="single" w:sz="2" w:space="0" w:color="auto"/>
                    <w:left w:val="single" w:sz="2" w:space="0" w:color="auto"/>
                    <w:bottom w:val="single" w:sz="2" w:space="0" w:color="auto"/>
                    <w:right w:val="single" w:sz="2" w:space="0" w:color="auto"/>
                  </w:tcBorders>
                  <w:hideMark/>
                </w:tcPr>
                <w:p w:rsidR="00CF2AC1" w:rsidRPr="005A615E" w:rsidRDefault="000D13C5" w:rsidP="00CF2AC1">
                  <w:pPr>
                    <w:spacing w:before="150" w:after="150"/>
                    <w:rPr>
                      <w:rFonts w:ascii="Times New Roman" w:hAnsi="Times New Roman"/>
                      <w:sz w:val="20"/>
                      <w:szCs w:val="20"/>
                      <w:lang w:eastAsia="uk-UA"/>
                    </w:rPr>
                  </w:pPr>
                  <m:oMathPara>
                    <m:oMath>
                      <m:sSubSup>
                        <m:sSubSupPr>
                          <m:ctrlPr>
                            <w:rPr>
                              <w:rFonts w:ascii="Cambria Math" w:hAnsi="Cambria Math"/>
                              <w:i/>
                              <w:sz w:val="20"/>
                              <w:szCs w:val="20"/>
                            </w:rPr>
                          </m:ctrlPr>
                        </m:sSubSupPr>
                        <m:e>
                          <m:r>
                            <w:rPr>
                              <w:rFonts w:ascii="Cambria Math" w:hAnsi="Cambria Math"/>
                              <w:sz w:val="20"/>
                              <w:szCs w:val="20"/>
                              <w:lang w:eastAsia="uk-UA"/>
                            </w:rPr>
                            <m:t>ОКВ</m:t>
                          </m:r>
                        </m:e>
                        <m:sub>
                          <m:r>
                            <w:rPr>
                              <w:rFonts w:ascii="Cambria Math" w:hAnsi="Cambria Math"/>
                              <w:sz w:val="20"/>
                              <w:szCs w:val="20"/>
                              <w:lang w:eastAsia="uk-UA"/>
                            </w:rPr>
                            <m:t>t</m:t>
                          </m:r>
                        </m:sub>
                        <m:sup>
                          <m:r>
                            <w:rPr>
                              <w:rFonts w:ascii="Cambria Math" w:hAnsi="Cambria Math"/>
                              <w:sz w:val="20"/>
                              <w:szCs w:val="20"/>
                              <w:lang w:eastAsia="uk-UA"/>
                            </w:rPr>
                            <m:t>n</m:t>
                          </m:r>
                        </m:sup>
                      </m:sSubSup>
                      <m:r>
                        <w:rPr>
                          <w:rFonts w:ascii="Cambria Math" w:hAnsi="Cambria Math"/>
                          <w:sz w:val="20"/>
                          <w:szCs w:val="20"/>
                          <w:lang w:eastAsia="uk-UA"/>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lang w:eastAsia="uk-UA"/>
                                </w:rPr>
                                <m:t>ОКВ</m:t>
                              </m:r>
                            </m:e>
                            <m:sub>
                              <m:r>
                                <w:rPr>
                                  <w:rFonts w:ascii="Cambria Math" w:hAnsi="Cambria Math"/>
                                  <w:sz w:val="20"/>
                                  <w:szCs w:val="20"/>
                                  <w:lang w:eastAsia="uk-UA"/>
                                </w:rPr>
                                <m:t>t-1</m:t>
                              </m:r>
                            </m:sub>
                            <m:sup>
                              <m:r>
                                <w:rPr>
                                  <w:rFonts w:ascii="Cambria Math" w:hAnsi="Cambria Math"/>
                                  <w:sz w:val="20"/>
                                  <w:szCs w:val="20"/>
                                  <w:lang w:eastAsia="uk-UA"/>
                                </w:rPr>
                                <m:t>n</m:t>
                              </m:r>
                            </m:sup>
                          </m:sSubSup>
                          <m:r>
                            <w:rPr>
                              <w:rFonts w:ascii="Cambria Math" w:hAnsi="Cambria Math"/>
                              <w:sz w:val="20"/>
                              <w:szCs w:val="20"/>
                              <w:lang w:eastAsia="uk-UA"/>
                            </w:rPr>
                            <m:t>-</m:t>
                          </m:r>
                          <m:sSubSup>
                            <m:sSubSupPr>
                              <m:ctrlPr>
                                <w:rPr>
                                  <w:rFonts w:ascii="Cambria Math" w:hAnsi="Cambria Math"/>
                                  <w:b/>
                                  <w:bCs/>
                                  <w:i/>
                                  <w:sz w:val="20"/>
                                  <w:szCs w:val="20"/>
                                </w:rPr>
                              </m:ctrlPr>
                            </m:sSubSupPr>
                            <m:e>
                              <m:r>
                                <m:rPr>
                                  <m:sty m:val="bi"/>
                                </m:rPr>
                                <w:rPr>
                                  <w:rFonts w:ascii="Cambria Math" w:hAnsi="Cambria Math"/>
                                  <w:sz w:val="20"/>
                                  <w:szCs w:val="20"/>
                                  <w:lang w:eastAsia="uk-UA"/>
                                </w:rPr>
                                <m:t>ФОП</m:t>
                              </m:r>
                            </m:e>
                            <m:sub>
                              <m:r>
                                <m:rPr>
                                  <m:sty m:val="bi"/>
                                </m:rPr>
                                <w:rPr>
                                  <w:rFonts w:ascii="Cambria Math" w:hAnsi="Cambria Math"/>
                                  <w:sz w:val="20"/>
                                  <w:szCs w:val="20"/>
                                  <w:lang w:eastAsia="uk-UA"/>
                                </w:rPr>
                                <m:t>t-1</m:t>
                              </m:r>
                            </m:sub>
                            <m:sup>
                              <m:r>
                                <m:rPr>
                                  <m:sty m:val="bi"/>
                                </m:rPr>
                                <w:rPr>
                                  <w:rFonts w:ascii="Cambria Math" w:hAnsi="Cambria Math"/>
                                  <w:sz w:val="20"/>
                                  <w:szCs w:val="20"/>
                                  <w:lang w:eastAsia="uk-UA"/>
                                </w:rPr>
                                <m:t>n</m:t>
                              </m:r>
                            </m:sup>
                          </m:sSubSup>
                          <m:r>
                            <m:rPr>
                              <m:sty m:val="bi"/>
                            </m:rPr>
                            <w:rPr>
                              <w:rFonts w:ascii="Cambria Math" w:hAnsi="Cambria Math"/>
                              <w:sz w:val="20"/>
                              <w:szCs w:val="20"/>
                              <w:lang w:eastAsia="uk-UA"/>
                            </w:rPr>
                            <m:t>×</m:t>
                          </m:r>
                          <m:d>
                            <m:dPr>
                              <m:ctrlPr>
                                <w:rPr>
                                  <w:rFonts w:ascii="Cambria Math" w:hAnsi="Cambria Math"/>
                                  <w:b/>
                                  <w:bCs/>
                                  <w:i/>
                                  <w:sz w:val="20"/>
                                  <w:szCs w:val="20"/>
                                </w:rPr>
                              </m:ctrlPr>
                            </m:dPr>
                            <m:e>
                              <m:r>
                                <m:rPr>
                                  <m:sty m:val="bi"/>
                                </m:rPr>
                                <w:rPr>
                                  <w:rFonts w:ascii="Cambria Math" w:hAnsi="Cambria Math"/>
                                  <w:sz w:val="20"/>
                                  <w:szCs w:val="20"/>
                                  <w:lang w:eastAsia="uk-UA"/>
                                </w:rPr>
                                <m:t>1-</m:t>
                              </m:r>
                              <m:f>
                                <m:fPr>
                                  <m:ctrlPr>
                                    <w:rPr>
                                      <w:rFonts w:ascii="Cambria Math" w:hAnsi="Cambria Math"/>
                                      <w:b/>
                                      <w:bCs/>
                                      <w:i/>
                                      <w:sz w:val="20"/>
                                      <w:szCs w:val="20"/>
                                    </w:rPr>
                                  </m:ctrlPr>
                                </m:fPr>
                                <m:num>
                                  <m:sSub>
                                    <m:sSubPr>
                                      <m:ctrlPr>
                                        <w:rPr>
                                          <w:rFonts w:ascii="Cambria Math" w:hAnsi="Cambria Math"/>
                                          <w:b/>
                                          <w:bCs/>
                                          <w:i/>
                                          <w:sz w:val="20"/>
                                          <w:szCs w:val="20"/>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з</m:t>
                                      </m:r>
                                    </m:sub>
                                  </m:sSub>
                                  <m:r>
                                    <m:rPr>
                                      <m:sty m:val="bi"/>
                                    </m:rPr>
                                    <w:rPr>
                                      <w:rFonts w:ascii="Cambria Math" w:hAnsi="Cambria Math"/>
                                      <w:sz w:val="20"/>
                                      <w:szCs w:val="20"/>
                                      <w:lang w:eastAsia="uk-UA"/>
                                    </w:rPr>
                                    <m:t>+</m:t>
                                  </m:r>
                                  <m:sSub>
                                    <m:sSubPr>
                                      <m:ctrlPr>
                                        <w:rPr>
                                          <w:rFonts w:ascii="Cambria Math" w:hAnsi="Cambria Math"/>
                                          <w:b/>
                                          <w:bCs/>
                                          <w:i/>
                                          <w:sz w:val="20"/>
                                          <w:szCs w:val="20"/>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інд</m:t>
                                      </m:r>
                                    </m:sub>
                                  </m:sSub>
                                </m:num>
                                <m:den>
                                  <m:r>
                                    <m:rPr>
                                      <m:sty m:val="bi"/>
                                    </m:rPr>
                                    <w:rPr>
                                      <w:rFonts w:ascii="Cambria Math" w:hAnsi="Cambria Math"/>
                                      <w:sz w:val="20"/>
                                      <w:szCs w:val="20"/>
                                      <w:lang w:eastAsia="uk-UA"/>
                                    </w:rPr>
                                    <m:t>100</m:t>
                                  </m:r>
                                </m:den>
                              </m:f>
                            </m:e>
                          </m:d>
                          <m:r>
                            <m:rPr>
                              <m:scr m:val="monospace"/>
                            </m:rPr>
                            <w:rPr>
                              <w:rFonts w:ascii="Cambria Math" w:hAnsi="Cambria Math"/>
                              <w:sz w:val="20"/>
                              <w:szCs w:val="20"/>
                            </w:rPr>
                            <m:t>t-</m:t>
                          </m:r>
                          <m:r>
                            <w:rPr>
                              <w:rFonts w:ascii="Cambria Math" w:hAnsi="Cambria Math"/>
                              <w:sz w:val="20"/>
                              <w:szCs w:val="20"/>
                            </w:rPr>
                            <m:t>1</m:t>
                          </m:r>
                        </m:e>
                      </m:d>
                      <m:r>
                        <w:rPr>
                          <w:rFonts w:ascii="Cambria Math" w:hAnsi="Cambria Math"/>
                          <w:sz w:val="20"/>
                          <w:szCs w:val="20"/>
                          <w:lang w:eastAsia="uk-UA"/>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lang w:eastAsia="uk-UA"/>
                                </w:rPr>
                                <m:t>ІЦВ</m:t>
                              </m:r>
                            </m:e>
                            <m:sub>
                              <m:r>
                                <w:rPr>
                                  <w:rFonts w:ascii="Cambria Math" w:hAnsi="Cambria Math"/>
                                  <w:sz w:val="20"/>
                                  <w:szCs w:val="20"/>
                                  <w:lang w:eastAsia="uk-UA"/>
                                </w:rPr>
                                <m:t>t</m:t>
                              </m:r>
                            </m:sub>
                            <m:sup>
                              <m:r>
                                <w:rPr>
                                  <w:rFonts w:ascii="Cambria Math" w:hAnsi="Cambria Math"/>
                                  <w:sz w:val="20"/>
                                  <w:szCs w:val="20"/>
                                  <w:lang w:eastAsia="uk-UA"/>
                                </w:rPr>
                                <m:t>n</m:t>
                              </m:r>
                            </m:sup>
                          </m:sSubSup>
                        </m:num>
                        <m:den>
                          <m:r>
                            <w:rPr>
                              <w:rFonts w:ascii="Cambria Math" w:hAnsi="Cambria Math"/>
                              <w:sz w:val="20"/>
                              <w:szCs w:val="20"/>
                              <w:lang w:eastAsia="uk-UA"/>
                            </w:rPr>
                            <m:t>100</m:t>
                          </m:r>
                        </m:den>
                      </m:f>
                      <m:r>
                        <w:rPr>
                          <w:rFonts w:ascii="Cambria Math" w:hAnsi="Cambria Math"/>
                          <w:sz w:val="20"/>
                          <w:szCs w:val="20"/>
                          <w:lang w:eastAsia="uk-UA"/>
                        </w:rPr>
                        <m:t>×</m:t>
                      </m:r>
                      <m:d>
                        <m:dPr>
                          <m:ctrlPr>
                            <w:rPr>
                              <w:rFonts w:ascii="Cambria Math" w:hAnsi="Cambria Math"/>
                              <w:i/>
                              <w:sz w:val="20"/>
                              <w:szCs w:val="20"/>
                            </w:rPr>
                          </m:ctrlPr>
                        </m:dPr>
                        <m:e>
                          <m:r>
                            <w:rPr>
                              <w:rFonts w:ascii="Cambria Math" w:hAnsi="Cambria Math"/>
                              <w:sz w:val="20"/>
                              <w:szCs w:val="20"/>
                              <w:lang w:eastAsia="uk-UA"/>
                            </w:rPr>
                            <m:t>1-</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eastAsia="uk-UA"/>
                                    </w:rPr>
                                    <m:t>ПЕ</m:t>
                                  </m:r>
                                </m:e>
                                <m:sub>
                                  <m:r>
                                    <w:rPr>
                                      <w:rFonts w:ascii="Cambria Math" w:hAnsi="Cambria Math"/>
                                      <w:sz w:val="20"/>
                                      <w:szCs w:val="20"/>
                                      <w:lang w:eastAsia="uk-UA"/>
                                    </w:rPr>
                                    <m:t>з</m:t>
                                  </m:r>
                                </m:sub>
                              </m:sSub>
                              <m:r>
                                <w:rPr>
                                  <w:rFonts w:ascii="Cambria Math" w:hAnsi="Cambria Math"/>
                                  <w:sz w:val="20"/>
                                  <w:szCs w:val="20"/>
                                  <w:lang w:eastAsia="uk-UA"/>
                                </w:rPr>
                                <m:t>+</m:t>
                              </m:r>
                              <m:sSub>
                                <m:sSubPr>
                                  <m:ctrlPr>
                                    <w:rPr>
                                      <w:rFonts w:ascii="Cambria Math" w:hAnsi="Cambria Math"/>
                                      <w:i/>
                                      <w:sz w:val="20"/>
                                      <w:szCs w:val="20"/>
                                    </w:rPr>
                                  </m:ctrlPr>
                                </m:sSubPr>
                                <m:e>
                                  <m:r>
                                    <w:rPr>
                                      <w:rFonts w:ascii="Cambria Math" w:hAnsi="Cambria Math"/>
                                      <w:sz w:val="20"/>
                                      <w:szCs w:val="20"/>
                                      <w:lang w:eastAsia="uk-UA"/>
                                    </w:rPr>
                                    <m:t>ПЕ</m:t>
                                  </m:r>
                                </m:e>
                                <m:sub>
                                  <m:r>
                                    <w:rPr>
                                      <w:rFonts w:ascii="Cambria Math" w:hAnsi="Cambria Math"/>
                                      <w:sz w:val="20"/>
                                      <w:szCs w:val="20"/>
                                      <w:lang w:eastAsia="uk-UA"/>
                                    </w:rPr>
                                    <m:t>інд</m:t>
                                  </m:r>
                                </m:sub>
                              </m:sSub>
                            </m:num>
                            <m:den>
                              <m:r>
                                <w:rPr>
                                  <w:rFonts w:ascii="Cambria Math" w:hAnsi="Cambria Math"/>
                                  <w:sz w:val="20"/>
                                  <w:szCs w:val="20"/>
                                  <w:lang w:eastAsia="uk-UA"/>
                                </w:rPr>
                                <m:t>100</m:t>
                              </m:r>
                            </m:den>
                          </m:f>
                        </m:e>
                      </m:d>
                      <m:r>
                        <w:rPr>
                          <w:rFonts w:ascii="Cambria Math" w:hAnsi="Cambria Math"/>
                          <w:sz w:val="20"/>
                          <w:szCs w:val="20"/>
                          <w:lang w:eastAsia="uk-UA"/>
                        </w:rPr>
                        <m:t>+</m:t>
                      </m:r>
                      <m:sSubSup>
                        <m:sSubSupPr>
                          <m:ctrlPr>
                            <w:rPr>
                              <w:rFonts w:ascii="Cambria Math" w:hAnsi="Cambria Math"/>
                              <w:i/>
                              <w:sz w:val="20"/>
                              <w:szCs w:val="20"/>
                            </w:rPr>
                          </m:ctrlPr>
                        </m:sSubSupPr>
                        <m:e>
                          <m:r>
                            <w:rPr>
                              <w:rFonts w:ascii="Cambria Math" w:hAnsi="Cambria Math"/>
                              <w:sz w:val="20"/>
                              <w:szCs w:val="20"/>
                              <w:lang w:eastAsia="uk-UA"/>
                            </w:rPr>
                            <m:t>ФОП</m:t>
                          </m:r>
                        </m:e>
                        <m:sub>
                          <m:r>
                            <w:rPr>
                              <w:rFonts w:ascii="Cambria Math" w:hAnsi="Cambria Math"/>
                              <w:sz w:val="20"/>
                              <w:szCs w:val="20"/>
                              <w:lang w:eastAsia="uk-UA"/>
                            </w:rPr>
                            <m:t>t</m:t>
                          </m:r>
                        </m:sub>
                        <m:sup>
                          <m:r>
                            <w:rPr>
                              <w:rFonts w:ascii="Cambria Math" w:hAnsi="Cambria Math"/>
                              <w:sz w:val="20"/>
                              <w:szCs w:val="20"/>
                              <w:lang w:eastAsia="uk-UA"/>
                            </w:rPr>
                            <m:t>n</m:t>
                          </m:r>
                        </m:sup>
                      </m:sSubSup>
                      <m:r>
                        <w:rPr>
                          <w:rFonts w:ascii="Cambria Math" w:hAnsi="Cambria Math"/>
                          <w:sz w:val="20"/>
                          <w:szCs w:val="20"/>
                          <w:lang w:eastAsia="uk-UA"/>
                        </w:rPr>
                        <m:t>×</m:t>
                      </m:r>
                      <m:d>
                        <m:dPr>
                          <m:ctrlPr>
                            <w:rPr>
                              <w:rFonts w:ascii="Cambria Math" w:hAnsi="Cambria Math"/>
                              <w:i/>
                              <w:sz w:val="20"/>
                              <w:szCs w:val="20"/>
                            </w:rPr>
                          </m:ctrlPr>
                        </m:dPr>
                        <m:e>
                          <m:r>
                            <w:rPr>
                              <w:rFonts w:ascii="Cambria Math" w:hAnsi="Cambria Math"/>
                              <w:sz w:val="20"/>
                              <w:szCs w:val="20"/>
                              <w:lang w:eastAsia="uk-UA"/>
                            </w:rPr>
                            <m:t>1-</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eastAsia="uk-UA"/>
                                    </w:rPr>
                                    <m:t>ПЕ</m:t>
                                  </m:r>
                                </m:e>
                                <m:sub>
                                  <m:r>
                                    <w:rPr>
                                      <w:rFonts w:ascii="Cambria Math" w:hAnsi="Cambria Math"/>
                                      <w:sz w:val="20"/>
                                      <w:szCs w:val="20"/>
                                      <w:lang w:eastAsia="uk-UA"/>
                                    </w:rPr>
                                    <m:t>з</m:t>
                                  </m:r>
                                </m:sub>
                              </m:sSub>
                              <m:r>
                                <w:rPr>
                                  <w:rFonts w:ascii="Cambria Math" w:hAnsi="Cambria Math"/>
                                  <w:sz w:val="20"/>
                                  <w:szCs w:val="20"/>
                                  <w:lang w:eastAsia="uk-UA"/>
                                </w:rPr>
                                <m:t>+</m:t>
                              </m:r>
                              <m:sSub>
                                <m:sSubPr>
                                  <m:ctrlPr>
                                    <w:rPr>
                                      <w:rFonts w:ascii="Cambria Math" w:hAnsi="Cambria Math"/>
                                      <w:i/>
                                      <w:sz w:val="20"/>
                                      <w:szCs w:val="20"/>
                                    </w:rPr>
                                  </m:ctrlPr>
                                </m:sSubPr>
                                <m:e>
                                  <m:r>
                                    <w:rPr>
                                      <w:rFonts w:ascii="Cambria Math" w:hAnsi="Cambria Math"/>
                                      <w:sz w:val="20"/>
                                      <w:szCs w:val="20"/>
                                      <w:lang w:eastAsia="uk-UA"/>
                                    </w:rPr>
                                    <m:t>ПЕ</m:t>
                                  </m:r>
                                </m:e>
                                <m:sub>
                                  <m:r>
                                    <w:rPr>
                                      <w:rFonts w:ascii="Cambria Math" w:hAnsi="Cambria Math"/>
                                      <w:sz w:val="20"/>
                                      <w:szCs w:val="20"/>
                                      <w:lang w:eastAsia="uk-UA"/>
                                    </w:rPr>
                                    <m:t>інд</m:t>
                                  </m:r>
                                </m:sub>
                              </m:sSub>
                            </m:num>
                            <m:den>
                              <m:r>
                                <w:rPr>
                                  <w:rFonts w:ascii="Cambria Math" w:hAnsi="Cambria Math"/>
                                  <w:sz w:val="20"/>
                                  <w:szCs w:val="20"/>
                                  <w:lang w:eastAsia="uk-UA"/>
                                </w:rPr>
                                <m:t>100</m:t>
                              </m:r>
                            </m:den>
                          </m:f>
                        </m:e>
                      </m:d>
                      <m:r>
                        <w:rPr>
                          <w:rFonts w:ascii="Cambria Math" w:hAnsi="Cambria Math"/>
                          <w:sz w:val="20"/>
                          <w:szCs w:val="20"/>
                          <w:lang w:eastAsia="uk-UA"/>
                        </w:rPr>
                        <m:t>, тис.грн,</m:t>
                      </m:r>
                    </m:oMath>
                  </m:oMathPara>
                </w:p>
              </w:tc>
              <w:tc>
                <w:tcPr>
                  <w:tcW w:w="25"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sz w:val="20"/>
                      <w:szCs w:val="20"/>
                      <w:lang w:eastAsia="uk-UA"/>
                    </w:rPr>
                  </w:pPr>
                  <w:r w:rsidRPr="005A615E">
                    <w:rPr>
                      <w:rFonts w:ascii="Times New Roman" w:hAnsi="Times New Roman"/>
                      <w:sz w:val="20"/>
                      <w:szCs w:val="20"/>
                      <w:lang w:eastAsia="uk-UA"/>
                    </w:rPr>
                    <w:t>(7)</w:t>
                  </w:r>
                </w:p>
              </w:tc>
            </w:tr>
          </w:tbl>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spacing w:after="150"/>
              <w:ind w:firstLine="173"/>
              <w:jc w:val="both"/>
              <w:rPr>
                <w:rFonts w:ascii="Times New Roman" w:hAnsi="Times New Roman"/>
                <w:sz w:val="20"/>
                <w:szCs w:val="20"/>
                <w:lang w:eastAsia="uk-UA"/>
              </w:rPr>
            </w:pPr>
            <w:r w:rsidRPr="005A615E">
              <w:rPr>
                <w:rFonts w:ascii="Times New Roman" w:hAnsi="Times New Roman"/>
                <w:sz w:val="20"/>
                <w:szCs w:val="20"/>
                <w:lang w:eastAsia="uk-UA"/>
              </w:rPr>
              <w:t>Для ліцензіатів, перелік яких наведено в додатку 30 до цього Порядку, прогнозовані операційні контрольовані витрати з розподілу електричної енергії на 2025  та 2026 роки та на кожний наступний рік розраховуються за формулою</w:t>
            </w:r>
          </w:p>
          <w:tbl>
            <w:tblPr>
              <w:tblW w:w="6124" w:type="dxa"/>
              <w:tblLayout w:type="fixed"/>
              <w:tblCellMar>
                <w:left w:w="0" w:type="dxa"/>
                <w:right w:w="0" w:type="dxa"/>
              </w:tblCellMar>
              <w:tblLook w:val="04A0" w:firstRow="1" w:lastRow="0" w:firstColumn="1" w:lastColumn="0" w:noHBand="0" w:noVBand="1"/>
            </w:tblPr>
            <w:tblGrid>
              <w:gridCol w:w="6097"/>
              <w:gridCol w:w="27"/>
            </w:tblGrid>
            <w:tr w:rsidR="00CF2AC1" w:rsidRPr="005A615E" w:rsidTr="00C20308">
              <w:tc>
                <w:tcPr>
                  <w:tcW w:w="6097" w:type="dxa"/>
                  <w:tcBorders>
                    <w:top w:val="single" w:sz="2" w:space="0" w:color="auto"/>
                    <w:left w:val="single" w:sz="2" w:space="0" w:color="auto"/>
                    <w:bottom w:val="single" w:sz="2" w:space="0" w:color="auto"/>
                    <w:right w:val="single" w:sz="2" w:space="0" w:color="auto"/>
                  </w:tcBorders>
                  <w:hideMark/>
                </w:tcPr>
                <w:p w:rsidR="00CF2AC1" w:rsidRPr="005A615E" w:rsidRDefault="000D13C5" w:rsidP="00CF2AC1">
                  <w:pPr>
                    <w:spacing w:before="150" w:after="150"/>
                    <w:rPr>
                      <w:rFonts w:ascii="Times New Roman" w:hAnsi="Times New Roman"/>
                      <w:b/>
                      <w:sz w:val="20"/>
                      <w:szCs w:val="20"/>
                      <w:lang w:eastAsia="uk-UA"/>
                    </w:rPr>
                  </w:pPr>
                  <m:oMathPara>
                    <m:oMath>
                      <m:sSubSup>
                        <m:sSubSupPr>
                          <m:ctrlPr>
                            <w:rPr>
                              <w:rFonts w:ascii="Cambria Math" w:hAnsi="Cambria Math"/>
                              <w:b/>
                              <w:i/>
                              <w:sz w:val="20"/>
                              <w:szCs w:val="20"/>
                            </w:rPr>
                          </m:ctrlPr>
                        </m:sSubSupPr>
                        <m:e>
                          <m:r>
                            <m:rPr>
                              <m:sty m:val="bi"/>
                            </m:rPr>
                            <w:rPr>
                              <w:rFonts w:ascii="Cambria Math" w:hAnsi="Cambria Math"/>
                              <w:sz w:val="20"/>
                              <w:szCs w:val="20"/>
                              <w:lang w:eastAsia="uk-UA"/>
                            </w:rPr>
                            <m:t>ОКВ</m:t>
                          </m:r>
                        </m:e>
                        <m:sub>
                          <m:r>
                            <m:rPr>
                              <m:sty m:val="bi"/>
                            </m:rPr>
                            <w:rPr>
                              <w:rFonts w:ascii="Cambria Math" w:hAnsi="Cambria Math"/>
                              <w:sz w:val="20"/>
                              <w:szCs w:val="20"/>
                              <w:lang w:eastAsia="uk-UA"/>
                            </w:rPr>
                            <m:t>t</m:t>
                          </m:r>
                        </m:sub>
                        <m:sup>
                          <m:r>
                            <m:rPr>
                              <m:sty m:val="bi"/>
                            </m:rPr>
                            <w:rPr>
                              <w:rFonts w:ascii="Cambria Math" w:hAnsi="Cambria Math"/>
                              <w:sz w:val="20"/>
                              <w:szCs w:val="20"/>
                              <w:lang w:eastAsia="uk-UA"/>
                            </w:rPr>
                            <m:t>n</m:t>
                          </m:r>
                        </m:sup>
                      </m:sSubSup>
                      <m:r>
                        <m:rPr>
                          <m:sty m:val="bi"/>
                        </m:rPr>
                        <w:rPr>
                          <w:rFonts w:ascii="Cambria Math" w:hAnsi="Cambria Math"/>
                          <w:sz w:val="20"/>
                          <w:szCs w:val="20"/>
                          <w:lang w:eastAsia="uk-UA"/>
                        </w:rPr>
                        <m:t>=</m:t>
                      </m:r>
                      <m:d>
                        <m:dPr>
                          <m:ctrlPr>
                            <w:rPr>
                              <w:rFonts w:ascii="Cambria Math" w:hAnsi="Cambria Math"/>
                              <w:b/>
                              <w:i/>
                              <w:sz w:val="20"/>
                              <w:szCs w:val="20"/>
                            </w:rPr>
                          </m:ctrlPr>
                        </m:dPr>
                        <m:e>
                          <m:sSubSup>
                            <m:sSubSupPr>
                              <m:ctrlPr>
                                <w:rPr>
                                  <w:rFonts w:ascii="Cambria Math" w:hAnsi="Cambria Math"/>
                                  <w:b/>
                                  <w:i/>
                                  <w:sz w:val="20"/>
                                  <w:szCs w:val="20"/>
                                </w:rPr>
                              </m:ctrlPr>
                            </m:sSubSupPr>
                            <m:e>
                              <m:r>
                                <m:rPr>
                                  <m:sty m:val="bi"/>
                                </m:rPr>
                                <w:rPr>
                                  <w:rFonts w:ascii="Cambria Math" w:hAnsi="Cambria Math"/>
                                  <w:sz w:val="20"/>
                                  <w:szCs w:val="20"/>
                                  <w:lang w:eastAsia="uk-UA"/>
                                </w:rPr>
                                <m:t>ОКВ</m:t>
                              </m:r>
                            </m:e>
                            <m:sub>
                              <m:r>
                                <m:rPr>
                                  <m:sty m:val="bi"/>
                                </m:rPr>
                                <w:rPr>
                                  <w:rFonts w:ascii="Cambria Math" w:hAnsi="Cambria Math"/>
                                  <w:sz w:val="20"/>
                                  <w:szCs w:val="20"/>
                                  <w:lang w:eastAsia="uk-UA"/>
                                </w:rPr>
                                <m:t>t-1</m:t>
                              </m:r>
                            </m:sub>
                            <m:sup>
                              <m:r>
                                <m:rPr>
                                  <m:sty m:val="bi"/>
                                </m:rPr>
                                <w:rPr>
                                  <w:rFonts w:ascii="Cambria Math" w:hAnsi="Cambria Math"/>
                                  <w:sz w:val="20"/>
                                  <w:szCs w:val="20"/>
                                  <w:lang w:eastAsia="uk-UA"/>
                                </w:rPr>
                                <m:t>n</m:t>
                              </m:r>
                            </m:sup>
                          </m:sSubSup>
                          <m:r>
                            <m:rPr>
                              <m:sty m:val="bi"/>
                            </m:rPr>
                            <w:rPr>
                              <w:rFonts w:ascii="Cambria Math" w:hAnsi="Cambria Math"/>
                              <w:sz w:val="20"/>
                              <w:szCs w:val="20"/>
                              <w:lang w:eastAsia="uk-UA"/>
                            </w:rPr>
                            <m:t>-</m:t>
                          </m:r>
                          <m:sSubSup>
                            <m:sSubSupPr>
                              <m:ctrlPr>
                                <w:rPr>
                                  <w:rFonts w:ascii="Cambria Math" w:hAnsi="Cambria Math"/>
                                  <w:i/>
                                  <w:sz w:val="20"/>
                                  <w:szCs w:val="20"/>
                                </w:rPr>
                              </m:ctrlPr>
                            </m:sSubSupPr>
                            <m:e>
                              <m:r>
                                <w:rPr>
                                  <w:rFonts w:ascii="Cambria Math" w:hAnsi="Cambria Math"/>
                                  <w:sz w:val="20"/>
                                  <w:szCs w:val="20"/>
                                  <w:lang w:eastAsia="uk-UA"/>
                                </w:rPr>
                                <m:t>ФОП</m:t>
                              </m:r>
                            </m:e>
                            <m:sub>
                              <m:r>
                                <w:rPr>
                                  <w:rFonts w:ascii="Cambria Math" w:hAnsi="Cambria Math"/>
                                  <w:sz w:val="20"/>
                                  <w:szCs w:val="20"/>
                                  <w:lang w:eastAsia="uk-UA"/>
                                </w:rPr>
                                <m:t>t-1</m:t>
                              </m:r>
                            </m:sub>
                            <m:sup>
                              <m:r>
                                <w:rPr>
                                  <w:rFonts w:ascii="Cambria Math" w:hAnsi="Cambria Math"/>
                                  <w:sz w:val="20"/>
                                  <w:szCs w:val="20"/>
                                  <w:lang w:eastAsia="uk-UA"/>
                                </w:rPr>
                                <m:t>n</m:t>
                              </m:r>
                            </m:sup>
                          </m:sSubSup>
                          <m:r>
                            <w:rPr>
                              <w:rFonts w:ascii="Cambria Math" w:hAnsi="Cambria Math"/>
                              <w:sz w:val="20"/>
                              <w:szCs w:val="20"/>
                              <w:lang w:eastAsia="uk-UA"/>
                            </w:rPr>
                            <m:t>×</m:t>
                          </m:r>
                          <m:d>
                            <m:dPr>
                              <m:ctrlPr>
                                <w:rPr>
                                  <w:rFonts w:ascii="Cambria Math" w:hAnsi="Cambria Math"/>
                                  <w:i/>
                                  <w:sz w:val="20"/>
                                  <w:szCs w:val="20"/>
                                </w:rPr>
                              </m:ctrlPr>
                            </m:dPr>
                            <m:e>
                              <m:r>
                                <w:rPr>
                                  <w:rFonts w:ascii="Cambria Math" w:hAnsi="Cambria Math"/>
                                  <w:sz w:val="20"/>
                                  <w:szCs w:val="20"/>
                                  <w:lang w:eastAsia="uk-UA"/>
                                </w:rPr>
                                <m:t>1-</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eastAsia="uk-UA"/>
                                        </w:rPr>
                                        <m:t>ПЕ</m:t>
                                      </m:r>
                                    </m:e>
                                    <m:sub>
                                      <m:r>
                                        <w:rPr>
                                          <w:rFonts w:ascii="Cambria Math" w:hAnsi="Cambria Math"/>
                                          <w:sz w:val="20"/>
                                          <w:szCs w:val="20"/>
                                          <w:lang w:eastAsia="uk-UA"/>
                                        </w:rPr>
                                        <m:t>з</m:t>
                                      </m:r>
                                    </m:sub>
                                  </m:sSub>
                                  <m:r>
                                    <w:rPr>
                                      <w:rFonts w:ascii="Cambria Math" w:hAnsi="Cambria Math"/>
                                      <w:sz w:val="20"/>
                                      <w:szCs w:val="20"/>
                                      <w:lang w:eastAsia="uk-UA"/>
                                    </w:rPr>
                                    <m:t>+</m:t>
                                  </m:r>
                                  <m:sSub>
                                    <m:sSubPr>
                                      <m:ctrlPr>
                                        <w:rPr>
                                          <w:rFonts w:ascii="Cambria Math" w:hAnsi="Cambria Math"/>
                                          <w:i/>
                                          <w:sz w:val="20"/>
                                          <w:szCs w:val="20"/>
                                        </w:rPr>
                                      </m:ctrlPr>
                                    </m:sSubPr>
                                    <m:e>
                                      <m:r>
                                        <w:rPr>
                                          <w:rFonts w:ascii="Cambria Math" w:hAnsi="Cambria Math"/>
                                          <w:sz w:val="20"/>
                                          <w:szCs w:val="20"/>
                                          <w:lang w:eastAsia="uk-UA"/>
                                        </w:rPr>
                                        <m:t>ПЕ</m:t>
                                      </m:r>
                                    </m:e>
                                    <m:sub>
                                      <m:r>
                                        <w:rPr>
                                          <w:rFonts w:ascii="Cambria Math" w:hAnsi="Cambria Math"/>
                                          <w:sz w:val="20"/>
                                          <w:szCs w:val="20"/>
                                          <w:lang w:eastAsia="uk-UA"/>
                                        </w:rPr>
                                        <m:t>інд</m:t>
                                      </m:r>
                                    </m:sub>
                                  </m:sSub>
                                </m:num>
                                <m:den>
                                  <m:r>
                                    <w:rPr>
                                      <w:rFonts w:ascii="Cambria Math" w:hAnsi="Cambria Math"/>
                                      <w:sz w:val="20"/>
                                      <w:szCs w:val="20"/>
                                      <w:lang w:eastAsia="uk-UA"/>
                                    </w:rPr>
                                    <m:t>100</m:t>
                                  </m:r>
                                </m:den>
                              </m:f>
                            </m:e>
                          </m:d>
                          <m:r>
                            <m:rPr>
                              <m:scr m:val="monospace"/>
                            </m:rPr>
                            <w:rPr>
                              <w:rFonts w:ascii="Cambria Math" w:hAnsi="Cambria Math"/>
                              <w:sz w:val="20"/>
                              <w:szCs w:val="20"/>
                            </w:rPr>
                            <m:t>t-</m:t>
                          </m:r>
                          <m:r>
                            <w:rPr>
                              <w:rFonts w:ascii="Cambria Math" w:hAnsi="Cambria Math"/>
                              <w:sz w:val="20"/>
                              <w:szCs w:val="20"/>
                            </w:rPr>
                            <m:t>1</m:t>
                          </m:r>
                        </m:e>
                      </m:d>
                      <m:r>
                        <m:rPr>
                          <m:sty m:val="bi"/>
                        </m:rPr>
                        <w:rPr>
                          <w:rFonts w:ascii="Cambria Math" w:hAnsi="Cambria Math"/>
                          <w:sz w:val="20"/>
                          <w:szCs w:val="20"/>
                          <w:lang w:eastAsia="uk-UA"/>
                        </w:rPr>
                        <m:t>×</m:t>
                      </m:r>
                      <m:f>
                        <m:fPr>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sz w:val="20"/>
                                  <w:szCs w:val="20"/>
                                  <w:lang w:eastAsia="uk-UA"/>
                                </w:rPr>
                                <m:t>ІЦВ</m:t>
                              </m:r>
                            </m:e>
                            <m:sub>
                              <m:r>
                                <m:rPr>
                                  <m:sty m:val="bi"/>
                                </m:rPr>
                                <w:rPr>
                                  <w:rFonts w:ascii="Cambria Math" w:hAnsi="Cambria Math"/>
                                  <w:sz w:val="20"/>
                                  <w:szCs w:val="20"/>
                                  <w:lang w:eastAsia="uk-UA"/>
                                </w:rPr>
                                <m:t>t</m:t>
                              </m:r>
                            </m:sub>
                            <m:sup>
                              <m:r>
                                <m:rPr>
                                  <m:sty m:val="bi"/>
                                </m:rPr>
                                <w:rPr>
                                  <w:rFonts w:ascii="Cambria Math" w:hAnsi="Cambria Math"/>
                                  <w:sz w:val="20"/>
                                  <w:szCs w:val="20"/>
                                  <w:lang w:eastAsia="uk-UA"/>
                                </w:rPr>
                                <m:t>n</m:t>
                              </m:r>
                            </m:sup>
                          </m:sSubSup>
                        </m:num>
                        <m:den>
                          <m:r>
                            <m:rPr>
                              <m:sty m:val="bi"/>
                            </m:rPr>
                            <w:rPr>
                              <w:rFonts w:ascii="Cambria Math" w:hAnsi="Cambria Math"/>
                              <w:sz w:val="20"/>
                              <w:szCs w:val="20"/>
                              <w:lang w:eastAsia="uk-UA"/>
                            </w:rPr>
                            <m:t>100</m:t>
                          </m:r>
                        </m:den>
                      </m:f>
                      <m:r>
                        <m:rPr>
                          <m:sty m:val="bi"/>
                        </m:rPr>
                        <w:rPr>
                          <w:rFonts w:ascii="Cambria Math" w:hAnsi="Cambria Math"/>
                          <w:sz w:val="20"/>
                          <w:szCs w:val="20"/>
                          <w:lang w:eastAsia="uk-UA"/>
                        </w:rPr>
                        <m:t xml:space="preserve">×КФУ× </m:t>
                      </m:r>
                      <m:d>
                        <m:dPr>
                          <m:ctrlPr>
                            <w:rPr>
                              <w:rFonts w:ascii="Cambria Math" w:hAnsi="Cambria Math"/>
                              <w:b/>
                              <w:i/>
                              <w:sz w:val="20"/>
                              <w:szCs w:val="20"/>
                            </w:rPr>
                          </m:ctrlPr>
                        </m:dPr>
                        <m:e>
                          <m:r>
                            <m:rPr>
                              <m:sty m:val="bi"/>
                            </m:rPr>
                            <w:rPr>
                              <w:rFonts w:ascii="Cambria Math" w:hAnsi="Cambria Math"/>
                              <w:sz w:val="20"/>
                              <w:szCs w:val="20"/>
                              <w:lang w:eastAsia="uk-UA"/>
                            </w:rPr>
                            <m:t>1-</m:t>
                          </m:r>
                          <m:f>
                            <m:fPr>
                              <m:ctrlPr>
                                <w:rPr>
                                  <w:rFonts w:ascii="Cambria Math" w:hAnsi="Cambria Math"/>
                                  <w:b/>
                                  <w:i/>
                                  <w:sz w:val="20"/>
                                  <w:szCs w:val="20"/>
                                </w:rPr>
                              </m:ctrlPr>
                            </m:fPr>
                            <m:num>
                              <m:sSub>
                                <m:sSubPr>
                                  <m:ctrlPr>
                                    <w:rPr>
                                      <w:rFonts w:ascii="Cambria Math" w:hAnsi="Cambria Math"/>
                                      <w:b/>
                                      <w:i/>
                                      <w:sz w:val="20"/>
                                      <w:szCs w:val="20"/>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з</m:t>
                                  </m:r>
                                </m:sub>
                              </m:sSub>
                              <m:r>
                                <m:rPr>
                                  <m:sty m:val="bi"/>
                                </m:rPr>
                                <w:rPr>
                                  <w:rFonts w:ascii="Cambria Math" w:hAnsi="Cambria Math"/>
                                  <w:sz w:val="20"/>
                                  <w:szCs w:val="20"/>
                                  <w:lang w:eastAsia="uk-UA"/>
                                </w:rPr>
                                <m:t>+</m:t>
                              </m:r>
                              <m:sSub>
                                <m:sSubPr>
                                  <m:ctrlPr>
                                    <w:rPr>
                                      <w:rFonts w:ascii="Cambria Math" w:hAnsi="Cambria Math"/>
                                      <w:b/>
                                      <w:i/>
                                      <w:sz w:val="20"/>
                                      <w:szCs w:val="20"/>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інд</m:t>
                                  </m:r>
                                </m:sub>
                              </m:sSub>
                            </m:num>
                            <m:den>
                              <m:r>
                                <m:rPr>
                                  <m:sty m:val="bi"/>
                                </m:rPr>
                                <w:rPr>
                                  <w:rFonts w:ascii="Cambria Math" w:hAnsi="Cambria Math"/>
                                  <w:sz w:val="20"/>
                                  <w:szCs w:val="20"/>
                                  <w:lang w:eastAsia="uk-UA"/>
                                </w:rPr>
                                <m:t>100</m:t>
                              </m:r>
                            </m:den>
                          </m:f>
                        </m:e>
                      </m:d>
                      <m:r>
                        <m:rPr>
                          <m:sty m:val="bi"/>
                        </m:rPr>
                        <w:rPr>
                          <w:rFonts w:ascii="Cambria Math" w:hAnsi="Cambria Math"/>
                          <w:sz w:val="20"/>
                          <w:szCs w:val="20"/>
                          <w:lang w:eastAsia="uk-UA"/>
                        </w:rPr>
                        <m:t>+</m:t>
                      </m:r>
                      <m:sSubSup>
                        <m:sSubSupPr>
                          <m:ctrlPr>
                            <w:rPr>
                              <w:rFonts w:ascii="Cambria Math" w:hAnsi="Cambria Math"/>
                              <w:b/>
                              <w:i/>
                              <w:sz w:val="20"/>
                              <w:szCs w:val="20"/>
                            </w:rPr>
                          </m:ctrlPr>
                        </m:sSubSupPr>
                        <m:e>
                          <m:r>
                            <m:rPr>
                              <m:sty m:val="bi"/>
                            </m:rPr>
                            <w:rPr>
                              <w:rFonts w:ascii="Cambria Math" w:hAnsi="Cambria Math"/>
                              <w:sz w:val="20"/>
                              <w:szCs w:val="20"/>
                              <w:lang w:eastAsia="uk-UA"/>
                            </w:rPr>
                            <m:t>ФОП</m:t>
                          </m:r>
                        </m:e>
                        <m:sub>
                          <m:r>
                            <m:rPr>
                              <m:sty m:val="bi"/>
                            </m:rPr>
                            <w:rPr>
                              <w:rFonts w:ascii="Cambria Math" w:hAnsi="Cambria Math"/>
                              <w:sz w:val="20"/>
                              <w:szCs w:val="20"/>
                              <w:lang w:eastAsia="uk-UA"/>
                            </w:rPr>
                            <m:t>t</m:t>
                          </m:r>
                        </m:sub>
                        <m:sup>
                          <m:r>
                            <m:rPr>
                              <m:sty m:val="bi"/>
                            </m:rPr>
                            <w:rPr>
                              <w:rFonts w:ascii="Cambria Math" w:hAnsi="Cambria Math"/>
                              <w:sz w:val="20"/>
                              <w:szCs w:val="20"/>
                              <w:lang w:eastAsia="uk-UA"/>
                            </w:rPr>
                            <m:t>n</m:t>
                          </m:r>
                        </m:sup>
                      </m:sSubSup>
                      <m:r>
                        <m:rPr>
                          <m:sty m:val="bi"/>
                        </m:rPr>
                        <w:rPr>
                          <w:rFonts w:ascii="Cambria Math" w:hAnsi="Cambria Math"/>
                          <w:sz w:val="20"/>
                          <w:szCs w:val="20"/>
                          <w:lang w:eastAsia="uk-UA"/>
                        </w:rPr>
                        <m:t>×</m:t>
                      </m:r>
                      <m:d>
                        <m:dPr>
                          <m:ctrlPr>
                            <w:rPr>
                              <w:rFonts w:ascii="Cambria Math" w:hAnsi="Cambria Math"/>
                              <w:b/>
                              <w:i/>
                              <w:sz w:val="20"/>
                              <w:szCs w:val="20"/>
                            </w:rPr>
                          </m:ctrlPr>
                        </m:dPr>
                        <m:e>
                          <m:r>
                            <m:rPr>
                              <m:sty m:val="bi"/>
                            </m:rPr>
                            <w:rPr>
                              <w:rFonts w:ascii="Cambria Math" w:hAnsi="Cambria Math"/>
                              <w:sz w:val="20"/>
                              <w:szCs w:val="20"/>
                              <w:lang w:eastAsia="uk-UA"/>
                            </w:rPr>
                            <m:t>1-</m:t>
                          </m:r>
                          <m:f>
                            <m:fPr>
                              <m:ctrlPr>
                                <w:rPr>
                                  <w:rFonts w:ascii="Cambria Math" w:hAnsi="Cambria Math"/>
                                  <w:b/>
                                  <w:i/>
                                  <w:sz w:val="20"/>
                                  <w:szCs w:val="20"/>
                                </w:rPr>
                              </m:ctrlPr>
                            </m:fPr>
                            <m:num>
                              <m:sSub>
                                <m:sSubPr>
                                  <m:ctrlPr>
                                    <w:rPr>
                                      <w:rFonts w:ascii="Cambria Math" w:hAnsi="Cambria Math"/>
                                      <w:b/>
                                      <w:i/>
                                      <w:sz w:val="20"/>
                                      <w:szCs w:val="20"/>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з</m:t>
                                  </m:r>
                                </m:sub>
                              </m:sSub>
                              <m:r>
                                <m:rPr>
                                  <m:sty m:val="bi"/>
                                </m:rPr>
                                <w:rPr>
                                  <w:rFonts w:ascii="Cambria Math" w:hAnsi="Cambria Math"/>
                                  <w:sz w:val="20"/>
                                  <w:szCs w:val="20"/>
                                  <w:lang w:eastAsia="uk-UA"/>
                                </w:rPr>
                                <m:t>+</m:t>
                              </m:r>
                              <m:sSub>
                                <m:sSubPr>
                                  <m:ctrlPr>
                                    <w:rPr>
                                      <w:rFonts w:ascii="Cambria Math" w:hAnsi="Cambria Math"/>
                                      <w:b/>
                                      <w:i/>
                                      <w:sz w:val="20"/>
                                      <w:szCs w:val="20"/>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інд</m:t>
                                  </m:r>
                                </m:sub>
                              </m:sSub>
                            </m:num>
                            <m:den>
                              <m:r>
                                <m:rPr>
                                  <m:sty m:val="bi"/>
                                </m:rPr>
                                <w:rPr>
                                  <w:rFonts w:ascii="Cambria Math" w:hAnsi="Cambria Math"/>
                                  <w:sz w:val="20"/>
                                  <w:szCs w:val="20"/>
                                  <w:lang w:eastAsia="uk-UA"/>
                                </w:rPr>
                                <m:t>100</m:t>
                              </m:r>
                            </m:den>
                          </m:f>
                        </m:e>
                      </m:d>
                      <m:r>
                        <m:rPr>
                          <m:sty m:val="bi"/>
                        </m:rPr>
                        <w:rPr>
                          <w:rFonts w:ascii="Cambria Math" w:hAnsi="Cambria Math"/>
                          <w:sz w:val="20"/>
                          <w:szCs w:val="20"/>
                          <w:lang w:eastAsia="uk-UA"/>
                        </w:rPr>
                        <m:t>, тис.грн</m:t>
                      </m:r>
                    </m:oMath>
                  </m:oMathPara>
                </w:p>
              </w:tc>
              <w:tc>
                <w:tcPr>
                  <w:tcW w:w="27"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sz w:val="20"/>
                      <w:szCs w:val="20"/>
                      <w:lang w:eastAsia="uk-UA"/>
                    </w:rPr>
                  </w:pPr>
                  <w:r w:rsidRPr="005A615E">
                    <w:rPr>
                      <w:rFonts w:ascii="Times New Roman" w:hAnsi="Times New Roman"/>
                      <w:sz w:val="20"/>
                      <w:szCs w:val="20"/>
                      <w:lang w:eastAsia="uk-UA"/>
                    </w:rPr>
                    <w:t>(8)</w:t>
                  </w:r>
                </w:p>
              </w:tc>
            </w:tr>
          </w:tbl>
          <w:p w:rsidR="00CF2AC1" w:rsidRPr="005A615E" w:rsidRDefault="00CF2AC1" w:rsidP="00CF2AC1">
            <w:pPr>
              <w:shd w:val="clear" w:color="auto" w:fill="FFFFFF"/>
              <w:ind w:firstLine="173"/>
              <w:jc w:val="both"/>
              <w:rPr>
                <w:rFonts w:ascii="Times New Roman" w:hAnsi="Times New Roman"/>
              </w:rPr>
            </w:pPr>
          </w:p>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hd w:val="clear" w:color="auto" w:fill="FFFFFF"/>
              <w:ind w:firstLine="173"/>
              <w:jc w:val="both"/>
              <w:rPr>
                <w:rFonts w:ascii="Times New Roman" w:hAnsi="Times New Roman"/>
              </w:rPr>
            </w:pPr>
          </w:p>
          <w:p w:rsidR="00CF2AC1" w:rsidRPr="005A615E" w:rsidRDefault="00CF2AC1" w:rsidP="00CF2AC1">
            <w:pPr>
              <w:jc w:val="both"/>
              <w:outlineLvl w:val="2"/>
              <w:rPr>
                <w:rFonts w:ascii="Times New Roman" w:hAnsi="Times New Roman"/>
              </w:rPr>
            </w:pPr>
            <w:r w:rsidRPr="005A615E">
              <w:rPr>
                <w:rFonts w:ascii="Times New Roman" w:hAnsi="Times New Roman"/>
              </w:rPr>
              <w:t xml:space="preserve">З метою уникнення подвійного коригування ОКВ. </w:t>
            </w:r>
          </w:p>
          <w:p w:rsidR="00CF2AC1" w:rsidRPr="005A615E" w:rsidRDefault="00CF2AC1" w:rsidP="00CF2AC1">
            <w:pPr>
              <w:jc w:val="both"/>
              <w:outlineLvl w:val="2"/>
              <w:rPr>
                <w:rFonts w:ascii="Times New Roman" w:hAnsi="Times New Roman"/>
              </w:rPr>
            </w:pPr>
            <w:r w:rsidRPr="005A615E">
              <w:rPr>
                <w:rFonts w:ascii="Times New Roman" w:hAnsi="Times New Roman"/>
              </w:rPr>
              <w:t>Існуюча формула обрахунку ОКВ не враховує , що до ФОП в складі ОКВ протягом 1-го регуляторного періоду також застосовувався загальний показник ефективності . Тобто при формуванні ОКВ</w:t>
            </w:r>
            <w:r w:rsidRPr="005A615E">
              <w:rPr>
                <w:rFonts w:ascii="Cambria Math" w:hAnsi="Cambria Math" w:cs="Cambria Math"/>
              </w:rPr>
              <w:t>𝚝</w:t>
            </w:r>
            <w:r w:rsidRPr="005A615E">
              <w:rPr>
                <w:rFonts w:ascii="Times New Roman" w:hAnsi="Times New Roman"/>
              </w:rPr>
              <w:t xml:space="preserve"> не враховується той факт, що у складі ОКВ </w:t>
            </w:r>
            <w:r w:rsidRPr="005A615E">
              <w:rPr>
                <w:rFonts w:ascii="Cambria Math" w:hAnsi="Cambria Math" w:cs="Cambria Math"/>
              </w:rPr>
              <w:t>𝚝</w:t>
            </w:r>
            <w:r w:rsidRPr="005A615E">
              <w:rPr>
                <w:rFonts w:ascii="Times New Roman" w:hAnsi="Times New Roman"/>
              </w:rPr>
              <w:t xml:space="preserve">-1 , ФОП </w:t>
            </w:r>
            <w:r w:rsidRPr="005A615E">
              <w:rPr>
                <w:rFonts w:ascii="Cambria Math" w:hAnsi="Cambria Math" w:cs="Cambria Math"/>
              </w:rPr>
              <w:t>𝚝</w:t>
            </w:r>
            <w:r w:rsidRPr="005A615E">
              <w:rPr>
                <w:rFonts w:ascii="Times New Roman" w:hAnsi="Times New Roman"/>
              </w:rPr>
              <w:t xml:space="preserve">-1 знижений на загальний показник ефективності ПЕɜ </w:t>
            </w:r>
            <w:r w:rsidRPr="005A615E">
              <w:rPr>
                <w:rFonts w:ascii="Cambria Math" w:hAnsi="Cambria Math" w:cs="Cambria Math"/>
              </w:rPr>
              <w:t>𝚝</w:t>
            </w:r>
            <w:r w:rsidRPr="005A615E">
              <w:rPr>
                <w:rFonts w:ascii="Times New Roman" w:hAnsi="Times New Roman"/>
              </w:rPr>
              <w:t xml:space="preserve">-1. </w:t>
            </w:r>
          </w:p>
        </w:tc>
        <w:tc>
          <w:tcPr>
            <w:tcW w:w="3969" w:type="dxa"/>
            <w:gridSpan w:val="2"/>
          </w:tcPr>
          <w:p w:rsidR="00E7676D" w:rsidRPr="005A615E" w:rsidRDefault="00E7676D" w:rsidP="00E7676D">
            <w:pPr>
              <w:ind w:firstLine="308"/>
              <w:jc w:val="both"/>
              <w:rPr>
                <w:rFonts w:ascii="Times New Roman" w:hAnsi="Times New Roman"/>
                <w:lang w:eastAsia="uk-UA"/>
              </w:rPr>
            </w:pPr>
            <w:r w:rsidRPr="005A615E">
              <w:rPr>
                <w:rFonts w:ascii="Times New Roman" w:hAnsi="Times New Roman"/>
                <w:b/>
              </w:rPr>
              <w:t xml:space="preserve">Запропонована редакція </w:t>
            </w:r>
          </w:p>
          <w:p w:rsidR="001F767A" w:rsidRPr="005A615E" w:rsidRDefault="001F767A" w:rsidP="001F767A">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 xml:space="preserve">5.4. </w:t>
            </w:r>
            <w:r w:rsidRPr="005A615E">
              <w:rPr>
                <w:rFonts w:ascii="Times New Roman" w:eastAsia="Times New Roman" w:hAnsi="Times New Roman"/>
                <w:lang w:eastAsia="uk-UA"/>
              </w:rPr>
              <w:t xml:space="preserve">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w:t>
            </w:r>
            <w:r w:rsidRPr="005A615E">
              <w:rPr>
                <w:rFonts w:ascii="Times New Roman" w:hAnsi="Times New Roman"/>
                <w:b/>
                <w:bCs/>
                <w:shd w:val="clear" w:color="auto" w:fill="FFFFFF"/>
              </w:rPr>
              <w:t>крім другого року другого та наступних регуляторних періодів</w:t>
            </w:r>
            <w:r w:rsidRPr="005A615E">
              <w:rPr>
                <w:rFonts w:ascii="Times New Roman" w:hAnsi="Times New Roman"/>
                <w:shd w:val="clear" w:color="auto" w:fill="FFFFFF"/>
              </w:rPr>
              <w:t xml:space="preserve"> </w:t>
            </w:r>
            <w:r w:rsidRPr="005A615E">
              <w:rPr>
                <w:rFonts w:ascii="Times New Roman" w:eastAsia="Times New Roman" w:hAnsi="Times New Roman"/>
                <w:lang w:eastAsia="uk-UA"/>
              </w:rPr>
              <w:t>за формулою</w:t>
            </w:r>
          </w:p>
          <w:tbl>
            <w:tblPr>
              <w:tblW w:w="4950" w:type="pct"/>
              <w:tblLayout w:type="fixed"/>
              <w:tblCellMar>
                <w:left w:w="0" w:type="dxa"/>
                <w:right w:w="0" w:type="dxa"/>
              </w:tblCellMar>
              <w:tblLook w:val="04A0" w:firstRow="1" w:lastRow="0" w:firstColumn="1" w:lastColumn="0" w:noHBand="0" w:noVBand="1"/>
            </w:tblPr>
            <w:tblGrid>
              <w:gridCol w:w="196"/>
              <w:gridCol w:w="490"/>
              <w:gridCol w:w="156"/>
              <w:gridCol w:w="2498"/>
              <w:gridCol w:w="370"/>
            </w:tblGrid>
            <w:tr w:rsidR="001F767A" w:rsidRPr="005A615E" w:rsidTr="001F767A">
              <w:tc>
                <w:tcPr>
                  <w:tcW w:w="3349" w:type="dxa"/>
                  <w:gridSpan w:val="4"/>
                  <w:tcBorders>
                    <w:top w:val="single" w:sz="2" w:space="0" w:color="auto"/>
                    <w:left w:val="single" w:sz="2" w:space="0" w:color="auto"/>
                    <w:bottom w:val="single" w:sz="2" w:space="0" w:color="auto"/>
                    <w:right w:val="single" w:sz="2" w:space="0" w:color="auto"/>
                  </w:tcBorders>
                  <w:hideMark/>
                </w:tcPr>
                <w:p w:rsidR="001F767A" w:rsidRPr="005A615E" w:rsidRDefault="000D13C5" w:rsidP="001F767A">
                  <w:pPr>
                    <w:spacing w:before="150" w:after="150"/>
                    <w:rPr>
                      <w:rFonts w:ascii="Times New Roman" w:hAnsi="Times New Roman"/>
                      <w:lang w:eastAsia="uk-UA"/>
                    </w:rPr>
                  </w:pPr>
                  <m:oMathPara>
                    <m:oMath>
                      <m:sSubSup>
                        <m:sSubSupPr>
                          <m:ctrlPr>
                            <w:rPr>
                              <w:rFonts w:ascii="Cambria Math" w:hAnsi="Cambria Math"/>
                              <w:b/>
                              <w:i/>
                              <w:sz w:val="14"/>
                            </w:rPr>
                          </m:ctrlPr>
                        </m:sSubSupPr>
                        <m:e>
                          <m:r>
                            <m:rPr>
                              <m:sty m:val="bi"/>
                            </m:rPr>
                            <w:rPr>
                              <w:rFonts w:ascii="Cambria Math" w:hAnsi="Cambria Math"/>
                              <w:sz w:val="14"/>
                              <w:szCs w:val="20"/>
                              <w:lang w:eastAsia="uk-UA"/>
                            </w:rPr>
                            <m:t>ОКВ</m:t>
                          </m:r>
                        </m:e>
                        <m:sub>
                          <m:r>
                            <m:rPr>
                              <m:sty m:val="bi"/>
                            </m:rPr>
                            <w:rPr>
                              <w:rFonts w:ascii="Cambria Math" w:hAnsi="Cambria Math"/>
                              <w:sz w:val="14"/>
                              <w:szCs w:val="20"/>
                              <w:lang w:eastAsia="uk-UA"/>
                            </w:rPr>
                            <m:t>t</m:t>
                          </m:r>
                        </m:sub>
                        <m:sup>
                          <m:r>
                            <m:rPr>
                              <m:sty m:val="bi"/>
                            </m:rPr>
                            <w:rPr>
                              <w:rFonts w:ascii="Cambria Math" w:hAnsi="Cambria Math"/>
                              <w:sz w:val="14"/>
                              <w:szCs w:val="20"/>
                              <w:lang w:eastAsia="uk-UA"/>
                            </w:rPr>
                            <m:t>n</m:t>
                          </m:r>
                        </m:sup>
                      </m:sSubSup>
                      <m:r>
                        <m:rPr>
                          <m:sty m:val="bi"/>
                        </m:rPr>
                        <w:rPr>
                          <w:rFonts w:ascii="Cambria Math" w:hAnsi="Cambria Math"/>
                          <w:sz w:val="14"/>
                          <w:szCs w:val="20"/>
                          <w:lang w:eastAsia="uk-UA"/>
                        </w:rPr>
                        <m:t>=</m:t>
                      </m:r>
                      <m:d>
                        <m:dPr>
                          <m:ctrlPr>
                            <w:rPr>
                              <w:rFonts w:ascii="Cambria Math" w:hAnsi="Cambria Math"/>
                              <w:b/>
                              <w:i/>
                              <w:sz w:val="14"/>
                            </w:rPr>
                          </m:ctrlPr>
                        </m:dPr>
                        <m:e>
                          <m:sSubSup>
                            <m:sSubSupPr>
                              <m:ctrlPr>
                                <w:rPr>
                                  <w:rFonts w:ascii="Cambria Math" w:hAnsi="Cambria Math"/>
                                  <w:b/>
                                  <w:i/>
                                  <w:sz w:val="14"/>
                                </w:rPr>
                              </m:ctrlPr>
                            </m:sSubSupPr>
                            <m:e>
                              <m:r>
                                <m:rPr>
                                  <m:sty m:val="bi"/>
                                </m:rPr>
                                <w:rPr>
                                  <w:rFonts w:ascii="Cambria Math" w:hAnsi="Cambria Math"/>
                                  <w:sz w:val="14"/>
                                  <w:szCs w:val="20"/>
                                  <w:lang w:eastAsia="uk-UA"/>
                                </w:rPr>
                                <m:t>ОКВ</m:t>
                              </m:r>
                            </m:e>
                            <m:sub>
                              <m:r>
                                <m:rPr>
                                  <m:sty m:val="bi"/>
                                </m:rPr>
                                <w:rPr>
                                  <w:rFonts w:ascii="Cambria Math" w:hAnsi="Cambria Math"/>
                                  <w:sz w:val="14"/>
                                  <w:szCs w:val="20"/>
                                  <w:lang w:eastAsia="uk-UA"/>
                                </w:rPr>
                                <m:t>t-1</m:t>
                              </m:r>
                            </m:sub>
                            <m:sup>
                              <m:r>
                                <m:rPr>
                                  <m:sty m:val="bi"/>
                                </m:rPr>
                                <w:rPr>
                                  <w:rFonts w:ascii="Cambria Math" w:hAnsi="Cambria Math"/>
                                  <w:sz w:val="14"/>
                                  <w:szCs w:val="20"/>
                                  <w:lang w:eastAsia="uk-UA"/>
                                </w:rPr>
                                <m:t>n</m:t>
                              </m:r>
                            </m:sup>
                          </m:sSubSup>
                          <m:r>
                            <m:rPr>
                              <m:sty m:val="bi"/>
                            </m:rPr>
                            <w:rPr>
                              <w:rFonts w:ascii="Cambria Math" w:hAnsi="Cambria Math"/>
                              <w:sz w:val="14"/>
                              <w:szCs w:val="20"/>
                              <w:lang w:eastAsia="uk-UA"/>
                            </w:rPr>
                            <m:t>-</m:t>
                          </m:r>
                          <m:sSubSup>
                            <m:sSubSupPr>
                              <m:ctrlPr>
                                <w:rPr>
                                  <w:rFonts w:ascii="Cambria Math" w:hAnsi="Cambria Math"/>
                                  <w:i/>
                                  <w:sz w:val="14"/>
                                </w:rPr>
                              </m:ctrlPr>
                            </m:sSubSupPr>
                            <m:e>
                              <m:r>
                                <w:rPr>
                                  <w:rFonts w:ascii="Cambria Math" w:hAnsi="Cambria Math"/>
                                  <w:sz w:val="14"/>
                                  <w:szCs w:val="20"/>
                                  <w:lang w:eastAsia="uk-UA"/>
                                </w:rPr>
                                <m:t>ФОП</m:t>
                              </m:r>
                            </m:e>
                            <m:sub>
                              <m:r>
                                <w:rPr>
                                  <w:rFonts w:ascii="Cambria Math" w:hAnsi="Cambria Math"/>
                                  <w:sz w:val="14"/>
                                  <w:szCs w:val="20"/>
                                  <w:lang w:eastAsia="uk-UA"/>
                                </w:rPr>
                                <m:t>t-1</m:t>
                              </m:r>
                            </m:sub>
                            <m:sup>
                              <m:r>
                                <w:rPr>
                                  <w:rFonts w:ascii="Cambria Math" w:hAnsi="Cambria Math"/>
                                  <w:sz w:val="14"/>
                                  <w:szCs w:val="20"/>
                                  <w:lang w:eastAsia="uk-UA"/>
                                </w:rPr>
                                <m:t>n</m:t>
                              </m:r>
                            </m:sup>
                          </m:sSubSup>
                          <m:r>
                            <w:rPr>
                              <w:rFonts w:ascii="Cambria Math" w:hAnsi="Cambria Math"/>
                              <w:sz w:val="14"/>
                              <w:szCs w:val="20"/>
                              <w:lang w:eastAsia="uk-UA"/>
                            </w:rPr>
                            <m:t>×</m:t>
                          </m:r>
                          <m:d>
                            <m:dPr>
                              <m:ctrlPr>
                                <w:rPr>
                                  <w:rFonts w:ascii="Cambria Math" w:hAnsi="Cambria Math"/>
                                  <w:i/>
                                  <w:sz w:val="14"/>
                                </w:rPr>
                              </m:ctrlPr>
                            </m:dPr>
                            <m:e>
                              <m:r>
                                <w:rPr>
                                  <w:rFonts w:ascii="Cambria Math" w:hAnsi="Cambria Math"/>
                                  <w:sz w:val="14"/>
                                  <w:szCs w:val="20"/>
                                  <w:lang w:eastAsia="uk-UA"/>
                                </w:rPr>
                                <m:t>1-</m:t>
                              </m:r>
                              <m:f>
                                <m:fPr>
                                  <m:ctrlPr>
                                    <w:rPr>
                                      <w:rFonts w:ascii="Cambria Math" w:hAnsi="Cambria Math"/>
                                      <w:i/>
                                      <w:sz w:val="14"/>
                                    </w:rPr>
                                  </m:ctrlPr>
                                </m:fPr>
                                <m:num>
                                  <m:sSub>
                                    <m:sSubPr>
                                      <m:ctrlPr>
                                        <w:rPr>
                                          <w:rFonts w:ascii="Cambria Math" w:hAnsi="Cambria Math"/>
                                          <w:i/>
                                          <w:sz w:val="14"/>
                                        </w:rPr>
                                      </m:ctrlPr>
                                    </m:sSubPr>
                                    <m:e>
                                      <m:r>
                                        <w:rPr>
                                          <w:rFonts w:ascii="Cambria Math" w:hAnsi="Cambria Math"/>
                                          <w:sz w:val="14"/>
                                          <w:szCs w:val="20"/>
                                          <w:lang w:eastAsia="uk-UA"/>
                                        </w:rPr>
                                        <m:t>ПЕ</m:t>
                                      </m:r>
                                    </m:e>
                                    <m:sub>
                                      <m:r>
                                        <w:rPr>
                                          <w:rFonts w:ascii="Cambria Math" w:hAnsi="Cambria Math"/>
                                          <w:sz w:val="14"/>
                                          <w:szCs w:val="20"/>
                                          <w:lang w:eastAsia="uk-UA"/>
                                        </w:rPr>
                                        <m:t>з</m:t>
                                      </m:r>
                                    </m:sub>
                                  </m:sSub>
                                  <m:r>
                                    <w:rPr>
                                      <w:rFonts w:ascii="Cambria Math" w:hAnsi="Cambria Math"/>
                                      <w:sz w:val="14"/>
                                      <w:szCs w:val="20"/>
                                      <w:lang w:eastAsia="uk-UA"/>
                                    </w:rPr>
                                    <m:t>+</m:t>
                                  </m:r>
                                  <m:sSub>
                                    <m:sSubPr>
                                      <m:ctrlPr>
                                        <w:rPr>
                                          <w:rFonts w:ascii="Cambria Math" w:hAnsi="Cambria Math"/>
                                          <w:i/>
                                          <w:sz w:val="14"/>
                                        </w:rPr>
                                      </m:ctrlPr>
                                    </m:sSubPr>
                                    <m:e>
                                      <m:r>
                                        <w:rPr>
                                          <w:rFonts w:ascii="Cambria Math" w:hAnsi="Cambria Math"/>
                                          <w:sz w:val="14"/>
                                          <w:szCs w:val="20"/>
                                          <w:lang w:eastAsia="uk-UA"/>
                                        </w:rPr>
                                        <m:t>ПЕ</m:t>
                                      </m:r>
                                    </m:e>
                                    <m:sub>
                                      <m:r>
                                        <w:rPr>
                                          <w:rFonts w:ascii="Cambria Math" w:hAnsi="Cambria Math"/>
                                          <w:sz w:val="14"/>
                                          <w:szCs w:val="20"/>
                                          <w:lang w:eastAsia="uk-UA"/>
                                        </w:rPr>
                                        <m:t>інд</m:t>
                                      </m:r>
                                    </m:sub>
                                  </m:sSub>
                                </m:num>
                                <m:den>
                                  <m:r>
                                    <w:rPr>
                                      <w:rFonts w:ascii="Cambria Math" w:hAnsi="Cambria Math"/>
                                      <w:sz w:val="14"/>
                                      <w:szCs w:val="20"/>
                                      <w:lang w:eastAsia="uk-UA"/>
                                    </w:rPr>
                                    <m:t>100</m:t>
                                  </m:r>
                                </m:den>
                              </m:f>
                            </m:e>
                          </m:d>
                          <m:r>
                            <m:rPr>
                              <m:scr m:val="monospace"/>
                            </m:rPr>
                            <w:rPr>
                              <w:rFonts w:ascii="Cambria Math" w:hAnsi="Cambria Math"/>
                              <w:sz w:val="14"/>
                              <w:szCs w:val="20"/>
                            </w:rPr>
                            <m:t>t-</m:t>
                          </m:r>
                          <m:r>
                            <w:rPr>
                              <w:rFonts w:ascii="Cambria Math" w:hAnsi="Cambria Math"/>
                              <w:sz w:val="14"/>
                              <w:szCs w:val="20"/>
                            </w:rPr>
                            <m:t>1</m:t>
                          </m:r>
                        </m:e>
                      </m:d>
                      <m:r>
                        <m:rPr>
                          <m:sty m:val="bi"/>
                        </m:rPr>
                        <w:rPr>
                          <w:rFonts w:ascii="Cambria Math" w:hAnsi="Cambria Math"/>
                          <w:sz w:val="14"/>
                          <w:szCs w:val="20"/>
                          <w:lang w:eastAsia="uk-UA"/>
                        </w:rPr>
                        <m:t>×</m:t>
                      </m:r>
                      <m:f>
                        <m:fPr>
                          <m:ctrlPr>
                            <w:rPr>
                              <w:rFonts w:ascii="Cambria Math" w:hAnsi="Cambria Math"/>
                              <w:b/>
                              <w:i/>
                              <w:sz w:val="14"/>
                            </w:rPr>
                          </m:ctrlPr>
                        </m:fPr>
                        <m:num>
                          <m:sSubSup>
                            <m:sSubSupPr>
                              <m:ctrlPr>
                                <w:rPr>
                                  <w:rFonts w:ascii="Cambria Math" w:hAnsi="Cambria Math"/>
                                  <w:b/>
                                  <w:i/>
                                  <w:sz w:val="14"/>
                                </w:rPr>
                              </m:ctrlPr>
                            </m:sSubSupPr>
                            <m:e>
                              <m:r>
                                <m:rPr>
                                  <m:sty m:val="bi"/>
                                </m:rPr>
                                <w:rPr>
                                  <w:rFonts w:ascii="Cambria Math" w:hAnsi="Cambria Math"/>
                                  <w:sz w:val="14"/>
                                  <w:szCs w:val="20"/>
                                  <w:lang w:eastAsia="uk-UA"/>
                                </w:rPr>
                                <m:t>ІЦВ</m:t>
                              </m:r>
                            </m:e>
                            <m:sub>
                              <m:r>
                                <m:rPr>
                                  <m:sty m:val="bi"/>
                                </m:rPr>
                                <w:rPr>
                                  <w:rFonts w:ascii="Cambria Math" w:hAnsi="Cambria Math"/>
                                  <w:sz w:val="14"/>
                                  <w:szCs w:val="20"/>
                                  <w:lang w:eastAsia="uk-UA"/>
                                </w:rPr>
                                <m:t>t</m:t>
                              </m:r>
                            </m:sub>
                            <m:sup>
                              <m:r>
                                <m:rPr>
                                  <m:sty m:val="bi"/>
                                </m:rPr>
                                <w:rPr>
                                  <w:rFonts w:ascii="Cambria Math" w:hAnsi="Cambria Math"/>
                                  <w:sz w:val="14"/>
                                  <w:szCs w:val="20"/>
                                  <w:lang w:eastAsia="uk-UA"/>
                                </w:rPr>
                                <m:t>n</m:t>
                              </m:r>
                            </m:sup>
                          </m:sSubSup>
                        </m:num>
                        <m:den>
                          <m:r>
                            <m:rPr>
                              <m:sty m:val="bi"/>
                            </m:rPr>
                            <w:rPr>
                              <w:rFonts w:ascii="Cambria Math" w:hAnsi="Cambria Math"/>
                              <w:sz w:val="14"/>
                              <w:szCs w:val="20"/>
                              <w:lang w:eastAsia="uk-UA"/>
                            </w:rPr>
                            <m:t>100</m:t>
                          </m:r>
                        </m:den>
                      </m:f>
                      <m:r>
                        <m:rPr>
                          <m:sty m:val="bi"/>
                        </m:rPr>
                        <w:rPr>
                          <w:rFonts w:ascii="Cambria Math" w:hAnsi="Cambria Math"/>
                          <w:sz w:val="14"/>
                          <w:szCs w:val="20"/>
                          <w:lang w:eastAsia="uk-UA"/>
                        </w:rPr>
                        <m:t xml:space="preserve">× </m:t>
                      </m:r>
                      <m:d>
                        <m:dPr>
                          <m:ctrlPr>
                            <w:rPr>
                              <w:rFonts w:ascii="Cambria Math" w:hAnsi="Cambria Math"/>
                              <w:b/>
                              <w:i/>
                              <w:sz w:val="14"/>
                            </w:rPr>
                          </m:ctrlPr>
                        </m:dPr>
                        <m:e>
                          <m:r>
                            <m:rPr>
                              <m:sty m:val="bi"/>
                            </m:rPr>
                            <w:rPr>
                              <w:rFonts w:ascii="Cambria Math" w:hAnsi="Cambria Math"/>
                              <w:sz w:val="14"/>
                              <w:szCs w:val="20"/>
                              <w:lang w:eastAsia="uk-UA"/>
                            </w:rPr>
                            <m:t>1-</m:t>
                          </m:r>
                          <m:f>
                            <m:fPr>
                              <m:ctrlPr>
                                <w:rPr>
                                  <w:rFonts w:ascii="Cambria Math" w:hAnsi="Cambria Math"/>
                                  <w:b/>
                                  <w:i/>
                                  <w:sz w:val="14"/>
                                </w:rPr>
                              </m:ctrlPr>
                            </m:fPr>
                            <m:num>
                              <m:sSub>
                                <m:sSubPr>
                                  <m:ctrlPr>
                                    <w:rPr>
                                      <w:rFonts w:ascii="Cambria Math" w:hAnsi="Cambria Math"/>
                                      <w:b/>
                                      <w:i/>
                                      <w:sz w:val="14"/>
                                    </w:rPr>
                                  </m:ctrlPr>
                                </m:sSubPr>
                                <m:e>
                                  <m:r>
                                    <m:rPr>
                                      <m:sty m:val="bi"/>
                                    </m:rPr>
                                    <w:rPr>
                                      <w:rFonts w:ascii="Cambria Math" w:hAnsi="Cambria Math"/>
                                      <w:sz w:val="14"/>
                                      <w:szCs w:val="20"/>
                                      <w:lang w:eastAsia="uk-UA"/>
                                    </w:rPr>
                                    <m:t>ПЕ</m:t>
                                  </m:r>
                                </m:e>
                                <m:sub>
                                  <m:r>
                                    <m:rPr>
                                      <m:sty m:val="bi"/>
                                    </m:rPr>
                                    <w:rPr>
                                      <w:rFonts w:ascii="Cambria Math" w:hAnsi="Cambria Math"/>
                                      <w:sz w:val="14"/>
                                      <w:szCs w:val="20"/>
                                      <w:lang w:eastAsia="uk-UA"/>
                                    </w:rPr>
                                    <m:t>з</m:t>
                                  </m:r>
                                </m:sub>
                              </m:sSub>
                              <m:r>
                                <m:rPr>
                                  <m:sty m:val="bi"/>
                                </m:rPr>
                                <w:rPr>
                                  <w:rFonts w:ascii="Cambria Math" w:hAnsi="Cambria Math"/>
                                  <w:sz w:val="14"/>
                                  <w:szCs w:val="20"/>
                                  <w:lang w:eastAsia="uk-UA"/>
                                </w:rPr>
                                <m:t>+</m:t>
                              </m:r>
                              <m:sSub>
                                <m:sSubPr>
                                  <m:ctrlPr>
                                    <w:rPr>
                                      <w:rFonts w:ascii="Cambria Math" w:hAnsi="Cambria Math"/>
                                      <w:b/>
                                      <w:i/>
                                      <w:sz w:val="14"/>
                                    </w:rPr>
                                  </m:ctrlPr>
                                </m:sSubPr>
                                <m:e>
                                  <m:r>
                                    <m:rPr>
                                      <m:sty m:val="bi"/>
                                    </m:rPr>
                                    <w:rPr>
                                      <w:rFonts w:ascii="Cambria Math" w:hAnsi="Cambria Math"/>
                                      <w:sz w:val="14"/>
                                      <w:szCs w:val="20"/>
                                      <w:lang w:eastAsia="uk-UA"/>
                                    </w:rPr>
                                    <m:t>ПЕ</m:t>
                                  </m:r>
                                </m:e>
                                <m:sub>
                                  <m:r>
                                    <m:rPr>
                                      <m:sty m:val="bi"/>
                                    </m:rPr>
                                    <w:rPr>
                                      <w:rFonts w:ascii="Cambria Math" w:hAnsi="Cambria Math"/>
                                      <w:sz w:val="14"/>
                                      <w:szCs w:val="20"/>
                                      <w:lang w:eastAsia="uk-UA"/>
                                    </w:rPr>
                                    <m:t>інд</m:t>
                                  </m:r>
                                </m:sub>
                              </m:sSub>
                            </m:num>
                            <m:den>
                              <m:r>
                                <m:rPr>
                                  <m:sty m:val="bi"/>
                                </m:rPr>
                                <w:rPr>
                                  <w:rFonts w:ascii="Cambria Math" w:hAnsi="Cambria Math"/>
                                  <w:sz w:val="14"/>
                                  <w:szCs w:val="20"/>
                                  <w:lang w:eastAsia="uk-UA"/>
                                </w:rPr>
                                <m:t>100</m:t>
                              </m:r>
                            </m:den>
                          </m:f>
                        </m:e>
                      </m:d>
                      <m:r>
                        <m:rPr>
                          <m:sty m:val="bi"/>
                        </m:rPr>
                        <w:rPr>
                          <w:rFonts w:ascii="Cambria Math" w:hAnsi="Cambria Math"/>
                          <w:sz w:val="14"/>
                          <w:szCs w:val="20"/>
                          <w:lang w:eastAsia="uk-UA"/>
                        </w:rPr>
                        <m:t>+</m:t>
                      </m:r>
                      <m:sSubSup>
                        <m:sSubSupPr>
                          <m:ctrlPr>
                            <w:rPr>
                              <w:rFonts w:ascii="Cambria Math" w:hAnsi="Cambria Math"/>
                              <w:b/>
                              <w:i/>
                              <w:sz w:val="14"/>
                            </w:rPr>
                          </m:ctrlPr>
                        </m:sSubSupPr>
                        <m:e>
                          <m:r>
                            <m:rPr>
                              <m:sty m:val="bi"/>
                            </m:rPr>
                            <w:rPr>
                              <w:rFonts w:ascii="Cambria Math" w:hAnsi="Cambria Math"/>
                              <w:sz w:val="14"/>
                              <w:szCs w:val="20"/>
                              <w:lang w:eastAsia="uk-UA"/>
                            </w:rPr>
                            <m:t>ФОП</m:t>
                          </m:r>
                        </m:e>
                        <m:sub>
                          <m:r>
                            <m:rPr>
                              <m:sty m:val="bi"/>
                            </m:rPr>
                            <w:rPr>
                              <w:rFonts w:ascii="Cambria Math" w:hAnsi="Cambria Math"/>
                              <w:sz w:val="14"/>
                              <w:szCs w:val="20"/>
                              <w:lang w:eastAsia="uk-UA"/>
                            </w:rPr>
                            <m:t>t</m:t>
                          </m:r>
                        </m:sub>
                        <m:sup>
                          <m:r>
                            <m:rPr>
                              <m:sty m:val="bi"/>
                            </m:rPr>
                            <w:rPr>
                              <w:rFonts w:ascii="Cambria Math" w:hAnsi="Cambria Math"/>
                              <w:sz w:val="14"/>
                              <w:szCs w:val="20"/>
                              <w:lang w:eastAsia="uk-UA"/>
                            </w:rPr>
                            <m:t>n</m:t>
                          </m:r>
                        </m:sup>
                      </m:sSubSup>
                      <m:r>
                        <m:rPr>
                          <m:sty m:val="bi"/>
                        </m:rPr>
                        <w:rPr>
                          <w:rFonts w:ascii="Cambria Math" w:hAnsi="Cambria Math"/>
                          <w:sz w:val="14"/>
                          <w:szCs w:val="20"/>
                          <w:lang w:eastAsia="uk-UA"/>
                        </w:rPr>
                        <m:t>×</m:t>
                      </m:r>
                      <m:d>
                        <m:dPr>
                          <m:ctrlPr>
                            <w:rPr>
                              <w:rFonts w:ascii="Cambria Math" w:hAnsi="Cambria Math"/>
                              <w:b/>
                              <w:i/>
                              <w:sz w:val="14"/>
                            </w:rPr>
                          </m:ctrlPr>
                        </m:dPr>
                        <m:e>
                          <m:r>
                            <m:rPr>
                              <m:sty m:val="bi"/>
                            </m:rPr>
                            <w:rPr>
                              <w:rFonts w:ascii="Cambria Math" w:hAnsi="Cambria Math"/>
                              <w:sz w:val="14"/>
                              <w:szCs w:val="20"/>
                              <w:lang w:eastAsia="uk-UA"/>
                            </w:rPr>
                            <m:t>1-</m:t>
                          </m:r>
                          <m:f>
                            <m:fPr>
                              <m:ctrlPr>
                                <w:rPr>
                                  <w:rFonts w:ascii="Cambria Math" w:hAnsi="Cambria Math"/>
                                  <w:b/>
                                  <w:i/>
                                  <w:sz w:val="14"/>
                                </w:rPr>
                              </m:ctrlPr>
                            </m:fPr>
                            <m:num>
                              <m:sSub>
                                <m:sSubPr>
                                  <m:ctrlPr>
                                    <w:rPr>
                                      <w:rFonts w:ascii="Cambria Math" w:hAnsi="Cambria Math"/>
                                      <w:b/>
                                      <w:i/>
                                      <w:sz w:val="14"/>
                                    </w:rPr>
                                  </m:ctrlPr>
                                </m:sSubPr>
                                <m:e>
                                  <m:r>
                                    <m:rPr>
                                      <m:sty m:val="bi"/>
                                    </m:rPr>
                                    <w:rPr>
                                      <w:rFonts w:ascii="Cambria Math" w:hAnsi="Cambria Math"/>
                                      <w:sz w:val="14"/>
                                      <w:szCs w:val="20"/>
                                      <w:lang w:eastAsia="uk-UA"/>
                                    </w:rPr>
                                    <m:t>ПЕ</m:t>
                                  </m:r>
                                </m:e>
                                <m:sub>
                                  <m:r>
                                    <m:rPr>
                                      <m:sty m:val="bi"/>
                                    </m:rPr>
                                    <w:rPr>
                                      <w:rFonts w:ascii="Cambria Math" w:hAnsi="Cambria Math"/>
                                      <w:sz w:val="14"/>
                                      <w:szCs w:val="20"/>
                                      <w:lang w:eastAsia="uk-UA"/>
                                    </w:rPr>
                                    <m:t>з</m:t>
                                  </m:r>
                                </m:sub>
                              </m:sSub>
                              <m:r>
                                <m:rPr>
                                  <m:sty m:val="bi"/>
                                </m:rPr>
                                <w:rPr>
                                  <w:rFonts w:ascii="Cambria Math" w:hAnsi="Cambria Math"/>
                                  <w:sz w:val="14"/>
                                  <w:szCs w:val="20"/>
                                  <w:lang w:eastAsia="uk-UA"/>
                                </w:rPr>
                                <m:t>+</m:t>
                              </m:r>
                              <m:sSub>
                                <m:sSubPr>
                                  <m:ctrlPr>
                                    <w:rPr>
                                      <w:rFonts w:ascii="Cambria Math" w:hAnsi="Cambria Math"/>
                                      <w:b/>
                                      <w:i/>
                                      <w:sz w:val="14"/>
                                    </w:rPr>
                                  </m:ctrlPr>
                                </m:sSubPr>
                                <m:e>
                                  <m:r>
                                    <m:rPr>
                                      <m:sty m:val="bi"/>
                                    </m:rPr>
                                    <w:rPr>
                                      <w:rFonts w:ascii="Cambria Math" w:hAnsi="Cambria Math"/>
                                      <w:sz w:val="14"/>
                                      <w:szCs w:val="20"/>
                                      <w:lang w:eastAsia="uk-UA"/>
                                    </w:rPr>
                                    <m:t>ПЕ</m:t>
                                  </m:r>
                                </m:e>
                                <m:sub>
                                  <m:r>
                                    <m:rPr>
                                      <m:sty m:val="bi"/>
                                    </m:rPr>
                                    <w:rPr>
                                      <w:rFonts w:ascii="Cambria Math" w:hAnsi="Cambria Math"/>
                                      <w:sz w:val="14"/>
                                      <w:szCs w:val="20"/>
                                      <w:lang w:eastAsia="uk-UA"/>
                                    </w:rPr>
                                    <m:t>інд</m:t>
                                  </m:r>
                                </m:sub>
                              </m:sSub>
                            </m:num>
                            <m:den>
                              <m:r>
                                <m:rPr>
                                  <m:sty m:val="bi"/>
                                </m:rPr>
                                <w:rPr>
                                  <w:rFonts w:ascii="Cambria Math" w:hAnsi="Cambria Math"/>
                                  <w:sz w:val="14"/>
                                  <w:szCs w:val="20"/>
                                  <w:lang w:eastAsia="uk-UA"/>
                                </w:rPr>
                                <m:t>100</m:t>
                              </m:r>
                            </m:den>
                          </m:f>
                        </m:e>
                      </m:d>
                      <m:r>
                        <m:rPr>
                          <m:sty m:val="bi"/>
                        </m:rPr>
                        <w:rPr>
                          <w:rFonts w:ascii="Cambria Math" w:hAnsi="Cambria Math"/>
                          <w:sz w:val="14"/>
                          <w:szCs w:val="20"/>
                          <w:lang w:eastAsia="uk-UA"/>
                        </w:rPr>
                        <m:t>, тис.грн</m:t>
                      </m:r>
                    </m:oMath>
                  </m:oMathPara>
                </w:p>
              </w:tc>
              <w:tc>
                <w:tcPr>
                  <w:tcW w:w="37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lang w:eastAsia="uk-UA"/>
                    </w:rPr>
                  </w:pPr>
                  <w:r w:rsidRPr="005A615E">
                    <w:rPr>
                      <w:rFonts w:ascii="Times New Roman" w:hAnsi="Times New Roman"/>
                      <w:lang w:eastAsia="uk-UA"/>
                    </w:rPr>
                    <w:t>(7)</w:t>
                  </w:r>
                </w:p>
              </w:tc>
            </w:tr>
            <w:tr w:rsidR="001F767A" w:rsidRPr="005A615E" w:rsidTr="001F767A">
              <w:tc>
                <w:tcPr>
                  <w:tcW w:w="197" w:type="dxa"/>
                  <w:vMerge w:val="restart"/>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jc w:val="right"/>
                    <w:rPr>
                      <w:rFonts w:ascii="Times New Roman" w:hAnsi="Times New Roman"/>
                      <w:sz w:val="20"/>
                      <w:szCs w:val="20"/>
                      <w:lang w:eastAsia="uk-UA"/>
                    </w:rPr>
                  </w:pPr>
                  <w:r w:rsidRPr="005A615E">
                    <w:rPr>
                      <w:rFonts w:ascii="Times New Roman" w:hAnsi="Times New Roman"/>
                      <w:sz w:val="20"/>
                      <w:szCs w:val="20"/>
                      <w:lang w:eastAsia="uk-UA"/>
                    </w:rPr>
                    <w:t>де</w:t>
                  </w:r>
                </w:p>
              </w:tc>
              <w:tc>
                <w:tcPr>
                  <w:tcW w:w="49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466725" cy="257175"/>
                        <wp:effectExtent l="0" t="0" r="9525" b="9525"/>
                        <wp:docPr id="271230481" name="Рисунок 271230481" descr="https://zakon.rada.gov.ua/laws/file/imgs/99/p478167n136v3-23.gif">
                          <a:hlinkClick xmlns:a="http://schemas.openxmlformats.org/drawingml/2006/main" r:id="rId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4" descr="https://zakon.rada.gov.ua/laws/file/imgs/99/p478167n136v3-23.gif">
                                  <a:hlinkClick r:id="rId64"/>
                                </pic:cNvPr>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p>
              </w:tc>
              <w:tc>
                <w:tcPr>
                  <w:tcW w:w="156"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2876"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jc w:val="both"/>
                    <w:rPr>
                      <w:rFonts w:ascii="Times New Roman" w:hAnsi="Times New Roman" w:cs="Times New Roman"/>
                      <w:sz w:val="20"/>
                      <w:szCs w:val="20"/>
                      <w:lang w:eastAsia="uk-UA"/>
                    </w:rPr>
                  </w:pPr>
                  <w:r w:rsidRPr="005A615E">
                    <w:rPr>
                      <w:rFonts w:ascii="Times New Roman" w:hAnsi="Times New Roman" w:cs="Times New Roman"/>
                      <w:sz w:val="20"/>
                      <w:szCs w:val="20"/>
                      <w:lang w:eastAsia="uk-UA"/>
                    </w:rPr>
                    <w:t>прогнозовані операційні контрольовані витрати в році t-1 (для першого року першого періоду регулювання ОКВnt-1 = ОКВ0, ОКВ0 визначається з урахуванням </w:t>
                  </w:r>
                  <w:hyperlink r:id="rId113" w:anchor="n138" w:history="1">
                    <w:r w:rsidRPr="005A615E">
                      <w:rPr>
                        <w:rStyle w:val="a9"/>
                        <w:rFonts w:ascii="Times New Roman" w:hAnsi="Times New Roman" w:cs="Times New Roman"/>
                        <w:color w:val="auto"/>
                        <w:sz w:val="20"/>
                        <w:szCs w:val="20"/>
                        <w:lang w:eastAsia="uk-UA"/>
                      </w:rPr>
                      <w:t>пункту 5.6</w:t>
                    </w:r>
                  </w:hyperlink>
                  <w:r w:rsidRPr="005A615E">
                    <w:rPr>
                      <w:rFonts w:ascii="Times New Roman" w:hAnsi="Times New Roman" w:cs="Times New Roman"/>
                      <w:sz w:val="20"/>
                      <w:szCs w:val="20"/>
                      <w:lang w:eastAsia="uk-UA"/>
                    </w:rPr>
                    <w:t xml:space="preserve"> цієї глави; </w:t>
                  </w:r>
                  <w:r w:rsidRPr="005A615E">
                    <w:rPr>
                      <w:rFonts w:ascii="Times New Roman" w:hAnsi="Times New Roman" w:cs="Times New Roman"/>
                      <w:b/>
                      <w:bCs/>
                      <w:sz w:val="20"/>
                      <w:szCs w:val="20"/>
                      <w:lang w:eastAsia="uk-UA"/>
                    </w:rPr>
                    <w:t>для першого року другого та наступних регуляторних періодів визначається з урахуванням </w:t>
                  </w:r>
                  <w:hyperlink r:id="rId114" w:anchor="n140" w:history="1">
                    <w:r w:rsidRPr="005A615E">
                      <w:rPr>
                        <w:rStyle w:val="a9"/>
                        <w:rFonts w:ascii="Times New Roman" w:hAnsi="Times New Roman" w:cs="Times New Roman"/>
                        <w:b/>
                        <w:bCs/>
                        <w:color w:val="auto"/>
                        <w:sz w:val="20"/>
                        <w:szCs w:val="20"/>
                        <w:lang w:eastAsia="uk-UA"/>
                      </w:rPr>
                      <w:t>пункту 5.7</w:t>
                    </w:r>
                  </w:hyperlink>
                  <w:r w:rsidRPr="005A615E">
                    <w:rPr>
                      <w:rFonts w:ascii="Times New Roman" w:hAnsi="Times New Roman" w:cs="Times New Roman"/>
                      <w:b/>
                      <w:bCs/>
                      <w:sz w:val="20"/>
                      <w:szCs w:val="20"/>
                      <w:lang w:eastAsia="uk-UA"/>
                    </w:rPr>
                    <w:t> формули 11, а для другого року другого та наступних регуляторних періодів визначається з урахуванням </w:t>
                  </w:r>
                  <w:hyperlink r:id="rId115" w:anchor="n140" w:history="1">
                    <w:r w:rsidRPr="005A615E">
                      <w:rPr>
                        <w:rStyle w:val="a9"/>
                        <w:rFonts w:ascii="Times New Roman" w:hAnsi="Times New Roman" w:cs="Times New Roman"/>
                        <w:b/>
                        <w:bCs/>
                        <w:color w:val="auto"/>
                        <w:sz w:val="20"/>
                        <w:szCs w:val="20"/>
                        <w:lang w:eastAsia="uk-UA"/>
                      </w:rPr>
                      <w:t>пункту 5.7</w:t>
                    </w:r>
                  </w:hyperlink>
                  <w:r w:rsidRPr="005A615E">
                    <w:rPr>
                      <w:rFonts w:ascii="Times New Roman" w:hAnsi="Times New Roman" w:cs="Times New Roman"/>
                      <w:b/>
                      <w:bCs/>
                      <w:sz w:val="20"/>
                      <w:szCs w:val="20"/>
                      <w:lang w:eastAsia="uk-UA"/>
                    </w:rPr>
                    <w:t xml:space="preserve"> формули 15 цієї глави), тис. грн;</w:t>
                  </w:r>
                </w:p>
              </w:tc>
            </w:tr>
            <w:tr w:rsidR="001F767A" w:rsidRPr="005A615E" w:rsidTr="001F767A">
              <w:tc>
                <w:tcPr>
                  <w:tcW w:w="3349" w:type="dxa"/>
                  <w:vMerge/>
                  <w:tcBorders>
                    <w:top w:val="single" w:sz="2" w:space="0" w:color="auto"/>
                    <w:left w:val="single" w:sz="2" w:space="0" w:color="auto"/>
                    <w:bottom w:val="single" w:sz="2" w:space="0" w:color="auto"/>
                    <w:right w:val="single" w:sz="2" w:space="0" w:color="auto"/>
                  </w:tcBorders>
                  <w:vAlign w:val="center"/>
                  <w:hideMark/>
                </w:tcPr>
                <w:p w:rsidR="001F767A" w:rsidRPr="005A615E" w:rsidRDefault="001F767A" w:rsidP="001F767A">
                  <w:pPr>
                    <w:spacing w:after="0"/>
                    <w:rPr>
                      <w:rFonts w:ascii="Times New Roman" w:hAnsi="Times New Roman"/>
                      <w:sz w:val="20"/>
                      <w:szCs w:val="20"/>
                      <w:lang w:eastAsia="uk-UA"/>
                    </w:rPr>
                  </w:pPr>
                </w:p>
              </w:tc>
              <w:tc>
                <w:tcPr>
                  <w:tcW w:w="49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466725" cy="238125"/>
                        <wp:effectExtent l="0" t="0" r="9525" b="9525"/>
                        <wp:docPr id="271230480" name="Рисунок 271230480" descr="https://zakon.rada.gov.ua/laws/file/imgs/99/p478167n136v3-24.gif">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5" descr="https://zakon.rada.gov.ua/laws/file/imgs/99/p478167n136v3-24.gif">
                                  <a:hlinkClick r:id="rId68"/>
                                </pic:cNvPr>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p>
              </w:tc>
              <w:tc>
                <w:tcPr>
                  <w:tcW w:w="156"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2876"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hd w:val="clear" w:color="auto" w:fill="FFFFFF"/>
                    <w:ind w:firstLine="28"/>
                    <w:jc w:val="both"/>
                    <w:rPr>
                      <w:rFonts w:ascii="Times New Roman" w:hAnsi="Times New Roman" w:cs="Times New Roman"/>
                      <w:b/>
                      <w:bCs/>
                      <w:sz w:val="20"/>
                      <w:szCs w:val="20"/>
                      <w:shd w:val="clear" w:color="auto" w:fill="FFFFFF"/>
                    </w:rPr>
                  </w:pPr>
                  <w:r w:rsidRPr="005A615E">
                    <w:rPr>
                      <w:rFonts w:ascii="Times New Roman" w:hAnsi="Times New Roman" w:cs="Times New Roman"/>
                      <w:sz w:val="20"/>
                      <w:szCs w:val="20"/>
                      <w:shd w:val="clear" w:color="auto" w:fill="FFFFFF"/>
                    </w:rPr>
                    <w:t>прогнозований фонд оплати праці (витрати на оплату праці) у році t-1, що розрахований відповідно до </w:t>
                  </w:r>
                  <w:hyperlink r:id="rId116" w:anchor="n12" w:tgtFrame="_blank" w:history="1">
                    <w:r w:rsidRPr="005A615E">
                      <w:rPr>
                        <w:rStyle w:val="a9"/>
                        <w:rFonts w:ascii="Times New Roman" w:hAnsi="Times New Roman" w:cs="Times New Roman"/>
                        <w:color w:val="auto"/>
                        <w:sz w:val="20"/>
                        <w:szCs w:val="20"/>
                        <w:shd w:val="clear" w:color="auto" w:fill="FFFFFF"/>
                      </w:rPr>
                      <w:t>Порядку визначення витрат на оплату праці, які 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5A615E">
                    <w:rPr>
                      <w:rFonts w:ascii="Times New Roman" w:hAnsi="Times New Roman" w:cs="Times New Roman"/>
                      <w:sz w:val="20"/>
                      <w:szCs w:val="20"/>
                      <w:shd w:val="clear" w:color="auto" w:fill="FFFFFF"/>
                    </w:rPr>
                    <w:t>, затвердженого постановою НКРЕКП від 26 жовтня 2015 року № 2645, зареєстрованого в Міністерстві юстиції України 13 листопада 2015 року за № 1431/27876 (далі - Порядок визначення витрат на оплату праці)</w:t>
                  </w:r>
                  <w:r w:rsidRPr="005A615E">
                    <w:rPr>
                      <w:rFonts w:ascii="Times New Roman" w:hAnsi="Times New Roman" w:cs="Times New Roman"/>
                      <w:b/>
                      <w:bCs/>
                      <w:sz w:val="20"/>
                      <w:szCs w:val="20"/>
                      <w:shd w:val="clear" w:color="auto" w:fill="FFFFFF"/>
                    </w:rPr>
                    <w:t xml:space="preserve"> з урахуванням показників ефективності для операційних контрольованих витрат (ПЕз</w:t>
                  </w:r>
                  <w:r w:rsidRPr="005A615E">
                    <w:rPr>
                      <w:rFonts w:ascii="Times New Roman" w:hAnsi="Times New Roman" w:cs="Times New Roman"/>
                      <w:b/>
                      <w:bCs/>
                      <w:sz w:val="20"/>
                      <w:szCs w:val="20"/>
                      <w:shd w:val="clear" w:color="auto" w:fill="FFFFFF"/>
                      <w:lang w:val="en-US"/>
                    </w:rPr>
                    <w:t>t</w:t>
                  </w:r>
                  <w:r w:rsidRPr="005A615E">
                    <w:rPr>
                      <w:rFonts w:ascii="Times New Roman" w:hAnsi="Times New Roman" w:cs="Times New Roman"/>
                      <w:b/>
                      <w:bCs/>
                      <w:sz w:val="20"/>
                      <w:szCs w:val="20"/>
                      <w:shd w:val="clear" w:color="auto" w:fill="FFFFFF"/>
                    </w:rPr>
                    <w:t xml:space="preserve"> та ПЕі</w:t>
                  </w:r>
                  <w:r w:rsidRPr="005A615E">
                    <w:rPr>
                      <w:rFonts w:ascii="Times New Roman" w:hAnsi="Times New Roman" w:cs="Times New Roman"/>
                      <w:b/>
                      <w:bCs/>
                      <w:sz w:val="20"/>
                      <w:szCs w:val="20"/>
                      <w:shd w:val="clear" w:color="auto" w:fill="FFFFFF"/>
                      <w:lang w:val="en-US"/>
                    </w:rPr>
                    <w:t>t</w:t>
                  </w:r>
                  <w:r w:rsidRPr="005A615E">
                    <w:rPr>
                      <w:rFonts w:ascii="Times New Roman" w:hAnsi="Times New Roman" w:cs="Times New Roman"/>
                      <w:b/>
                      <w:bCs/>
                      <w:sz w:val="20"/>
                      <w:szCs w:val="20"/>
                      <w:shd w:val="clear" w:color="auto" w:fill="FFFFFF"/>
                    </w:rPr>
                    <w:t>), що встановлені НКРЕКП для року t-1; для першого року другого та наступних регуляторних періодів визначається з урахуванням пункту 5.7 формули 14 для другого року другого та наступних регуляторних періодів визначається з урахуванням </w:t>
                  </w:r>
                  <w:hyperlink r:id="rId117" w:anchor="n140" w:history="1">
                    <w:r w:rsidRPr="005A615E">
                      <w:rPr>
                        <w:rStyle w:val="a9"/>
                        <w:rFonts w:ascii="Times New Roman" w:hAnsi="Times New Roman" w:cs="Times New Roman"/>
                        <w:b/>
                        <w:bCs/>
                        <w:color w:val="auto"/>
                        <w:sz w:val="20"/>
                        <w:szCs w:val="20"/>
                        <w:shd w:val="clear" w:color="auto" w:fill="FFFFFF"/>
                      </w:rPr>
                      <w:t>пункту 5.7</w:t>
                    </w:r>
                  </w:hyperlink>
                  <w:r w:rsidRPr="005A615E">
                    <w:rPr>
                      <w:rFonts w:ascii="Times New Roman" w:hAnsi="Times New Roman" w:cs="Times New Roman"/>
                      <w:b/>
                      <w:bCs/>
                      <w:sz w:val="20"/>
                      <w:szCs w:val="20"/>
                      <w:shd w:val="clear" w:color="auto" w:fill="FFFFFF"/>
                    </w:rPr>
                    <w:t xml:space="preserve"> формули 17 цієї глави), тис. грн;</w:t>
                  </w:r>
                </w:p>
              </w:tc>
            </w:tr>
            <w:tr w:rsidR="001F767A" w:rsidRPr="005A615E" w:rsidTr="001F767A">
              <w:tc>
                <w:tcPr>
                  <w:tcW w:w="3349" w:type="dxa"/>
                  <w:vMerge/>
                  <w:tcBorders>
                    <w:top w:val="single" w:sz="2" w:space="0" w:color="auto"/>
                    <w:left w:val="single" w:sz="2" w:space="0" w:color="auto"/>
                    <w:bottom w:val="single" w:sz="2" w:space="0" w:color="auto"/>
                    <w:right w:val="single" w:sz="2" w:space="0" w:color="auto"/>
                  </w:tcBorders>
                  <w:vAlign w:val="center"/>
                  <w:hideMark/>
                </w:tcPr>
                <w:p w:rsidR="001F767A" w:rsidRPr="005A615E" w:rsidRDefault="001F767A" w:rsidP="001F767A">
                  <w:pPr>
                    <w:spacing w:after="0"/>
                    <w:rPr>
                      <w:rFonts w:ascii="Times New Roman" w:hAnsi="Times New Roman"/>
                      <w:sz w:val="20"/>
                      <w:szCs w:val="20"/>
                      <w:lang w:eastAsia="uk-UA"/>
                    </w:rPr>
                  </w:pPr>
                </w:p>
              </w:tc>
              <w:tc>
                <w:tcPr>
                  <w:tcW w:w="49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342900" cy="180975"/>
                        <wp:effectExtent l="0" t="0" r="0" b="9525"/>
                        <wp:docPr id="271230479" name="Рисунок 271230479" descr="https://zakon.rada.gov.ua/laws/file/imgs/99/p478167n136v3-25.gif">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6" descr="https://zakon.rada.gov.ua/laws/file/imgs/99/p478167n136v3-25.gif">
                                  <a:hlinkClick r:id="rId71"/>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p>
              </w:tc>
              <w:tc>
                <w:tcPr>
                  <w:tcW w:w="156"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2876"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jc w:val="both"/>
                    <w:rPr>
                      <w:rFonts w:ascii="Times New Roman" w:hAnsi="Times New Roman" w:cs="Times New Roman"/>
                      <w:i/>
                      <w:sz w:val="20"/>
                      <w:szCs w:val="20"/>
                      <w:lang w:eastAsia="uk-UA"/>
                    </w:rPr>
                  </w:pPr>
                  <w:r w:rsidRPr="005A615E">
                    <w:rPr>
                      <w:rFonts w:ascii="Times New Roman" w:hAnsi="Times New Roman" w:cs="Times New Roman"/>
                      <w:sz w:val="20"/>
                      <w:szCs w:val="20"/>
                      <w:shd w:val="clear" w:color="auto" w:fill="FFFFFF"/>
                    </w:rPr>
                    <w:t>прогнозований фонд оплати праці (витрати на оплату праці) у році t, що розрахований відповідно до </w:t>
                  </w:r>
                  <w:hyperlink r:id="rId118" w:anchor="n12" w:tgtFrame="_blank" w:history="1">
                    <w:r w:rsidRPr="005A615E">
                      <w:rPr>
                        <w:rStyle w:val="a9"/>
                        <w:rFonts w:ascii="Times New Roman" w:hAnsi="Times New Roman" w:cs="Times New Roman"/>
                        <w:color w:val="auto"/>
                        <w:sz w:val="20"/>
                        <w:szCs w:val="20"/>
                        <w:shd w:val="clear" w:color="auto" w:fill="FFFFFF"/>
                      </w:rPr>
                      <w:t>Порядку визначення витрат на оплату праці</w:t>
                    </w:r>
                  </w:hyperlink>
                  <w:r w:rsidRPr="005A615E">
                    <w:rPr>
                      <w:rFonts w:ascii="Times New Roman" w:hAnsi="Times New Roman" w:cs="Times New Roman"/>
                      <w:sz w:val="20"/>
                      <w:szCs w:val="20"/>
                    </w:rPr>
                    <w:t xml:space="preserve">; </w:t>
                  </w:r>
                  <w:r w:rsidRPr="005A615E">
                    <w:rPr>
                      <w:rFonts w:ascii="Times New Roman" w:hAnsi="Times New Roman" w:cs="Times New Roman"/>
                      <w:sz w:val="20"/>
                      <w:szCs w:val="20"/>
                      <w:shd w:val="clear" w:color="auto" w:fill="FFFFFF"/>
                    </w:rPr>
                    <w:t xml:space="preserve">для першого року другого та наступних регуляторних періодів визначається з урахуванням пункту 5.7 </w:t>
                  </w:r>
                  <w:r w:rsidRPr="005A615E">
                    <w:rPr>
                      <w:rFonts w:ascii="Times New Roman" w:hAnsi="Times New Roman" w:cs="Times New Roman"/>
                      <w:b/>
                      <w:bCs/>
                      <w:sz w:val="20"/>
                      <w:szCs w:val="20"/>
                      <w:shd w:val="clear" w:color="auto" w:fill="FFFFFF"/>
                    </w:rPr>
                    <w:t>формули 14, для другого року другого та наступних регуляторних періодів визначається з урахуванням </w:t>
                  </w:r>
                  <w:hyperlink r:id="rId119" w:anchor="n140" w:history="1">
                    <w:r w:rsidRPr="005A615E">
                      <w:rPr>
                        <w:rStyle w:val="a9"/>
                        <w:rFonts w:ascii="Times New Roman" w:hAnsi="Times New Roman" w:cs="Times New Roman"/>
                        <w:b/>
                        <w:bCs/>
                        <w:color w:val="auto"/>
                        <w:sz w:val="20"/>
                        <w:szCs w:val="20"/>
                        <w:shd w:val="clear" w:color="auto" w:fill="FFFFFF"/>
                      </w:rPr>
                      <w:t>пункту 5.7</w:t>
                    </w:r>
                  </w:hyperlink>
                  <w:r w:rsidRPr="005A615E">
                    <w:rPr>
                      <w:rFonts w:ascii="Times New Roman" w:hAnsi="Times New Roman" w:cs="Times New Roman"/>
                      <w:b/>
                      <w:bCs/>
                      <w:sz w:val="20"/>
                      <w:szCs w:val="20"/>
                      <w:shd w:val="clear" w:color="auto" w:fill="FFFFFF"/>
                    </w:rPr>
                    <w:t xml:space="preserve"> формули 17 цієї глави), тис. грн;</w:t>
                  </w:r>
                </w:p>
              </w:tc>
            </w:tr>
            <w:tr w:rsidR="001F767A" w:rsidRPr="005A615E" w:rsidTr="001F767A">
              <w:tc>
                <w:tcPr>
                  <w:tcW w:w="3349" w:type="dxa"/>
                  <w:vMerge/>
                  <w:tcBorders>
                    <w:top w:val="single" w:sz="2" w:space="0" w:color="auto"/>
                    <w:left w:val="single" w:sz="2" w:space="0" w:color="auto"/>
                    <w:bottom w:val="single" w:sz="2" w:space="0" w:color="auto"/>
                    <w:right w:val="single" w:sz="2" w:space="0" w:color="auto"/>
                  </w:tcBorders>
                  <w:vAlign w:val="center"/>
                  <w:hideMark/>
                </w:tcPr>
                <w:p w:rsidR="001F767A" w:rsidRPr="005A615E" w:rsidRDefault="001F767A" w:rsidP="001F767A">
                  <w:pPr>
                    <w:spacing w:after="0"/>
                    <w:rPr>
                      <w:rFonts w:ascii="Times New Roman" w:hAnsi="Times New Roman"/>
                      <w:sz w:val="20"/>
                      <w:szCs w:val="20"/>
                      <w:lang w:eastAsia="uk-UA"/>
                    </w:rPr>
                  </w:pPr>
                </w:p>
              </w:tc>
              <w:tc>
                <w:tcPr>
                  <w:tcW w:w="49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295275" cy="190500"/>
                        <wp:effectExtent l="0" t="0" r="9525" b="0"/>
                        <wp:docPr id="271230478" name="Рисунок 271230478" descr="https://zakon.rada.gov.ua/laws/file/imgs/99/p478167n136v3-26.gif">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7" descr="https://zakon.rada.gov.ua/laws/file/imgs/99/p478167n136v3-26.gif">
                                  <a:hlinkClick r:id="rId74"/>
                                </pic:cNvPr>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156"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2876"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прогнозований індекс цін виробників промислової продукції для року </w:t>
                  </w:r>
                  <w:r w:rsidRPr="005A615E">
                    <w:rPr>
                      <w:rFonts w:ascii="Times New Roman" w:hAnsi="Times New Roman"/>
                      <w:i/>
                      <w:iCs/>
                      <w:sz w:val="20"/>
                      <w:szCs w:val="20"/>
                      <w:lang w:eastAsia="uk-UA"/>
                    </w:rPr>
                    <w:t>t</w:t>
                  </w:r>
                  <w:r w:rsidRPr="005A615E">
                    <w:rPr>
                      <w:rFonts w:ascii="Times New Roman" w:hAnsi="Times New Roman"/>
                      <w:sz w:val="20"/>
                      <w:szCs w:val="20"/>
                      <w:lang w:eastAsia="uk-UA"/>
                    </w:rPr>
                    <w:t>, %;</w:t>
                  </w:r>
                </w:p>
              </w:tc>
            </w:tr>
            <w:tr w:rsidR="001F767A" w:rsidRPr="005A615E" w:rsidTr="001F767A">
              <w:tc>
                <w:tcPr>
                  <w:tcW w:w="3349" w:type="dxa"/>
                  <w:vMerge/>
                  <w:tcBorders>
                    <w:top w:val="single" w:sz="2" w:space="0" w:color="auto"/>
                    <w:left w:val="single" w:sz="2" w:space="0" w:color="auto"/>
                    <w:bottom w:val="single" w:sz="2" w:space="0" w:color="auto"/>
                    <w:right w:val="single" w:sz="2" w:space="0" w:color="auto"/>
                  </w:tcBorders>
                  <w:vAlign w:val="center"/>
                  <w:hideMark/>
                </w:tcPr>
                <w:p w:rsidR="001F767A" w:rsidRPr="005A615E" w:rsidRDefault="001F767A" w:rsidP="001F767A">
                  <w:pPr>
                    <w:spacing w:after="0"/>
                    <w:rPr>
                      <w:rFonts w:ascii="Times New Roman" w:hAnsi="Times New Roman"/>
                      <w:sz w:val="20"/>
                      <w:szCs w:val="20"/>
                      <w:lang w:eastAsia="uk-UA"/>
                    </w:rPr>
                  </w:pPr>
                </w:p>
              </w:tc>
              <w:tc>
                <w:tcPr>
                  <w:tcW w:w="49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323850" cy="238125"/>
                        <wp:effectExtent l="0" t="0" r="0" b="9525"/>
                        <wp:docPr id="271230477" name="Рисунок 271230477" descr="https://zakon.rada.gov.ua/laws/file/imgs/99/p478167n136v3-27.gif">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8" descr="https://zakon.rada.gov.ua/laws/file/imgs/99/p478167n136v3-27.gif">
                                  <a:hlinkClick r:id="rId76"/>
                                </pic:cNvPr>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p>
              </w:tc>
              <w:tc>
                <w:tcPr>
                  <w:tcW w:w="156"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2876"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загальний показник ефективності для операційних контрольованих витрат, встановлений НКРЕКП, %;</w:t>
                  </w:r>
                </w:p>
              </w:tc>
            </w:tr>
            <w:tr w:rsidR="001F767A" w:rsidRPr="005A615E" w:rsidTr="001F767A">
              <w:tc>
                <w:tcPr>
                  <w:tcW w:w="3349" w:type="dxa"/>
                  <w:vMerge/>
                  <w:tcBorders>
                    <w:top w:val="single" w:sz="2" w:space="0" w:color="auto"/>
                    <w:left w:val="single" w:sz="2" w:space="0" w:color="auto"/>
                    <w:bottom w:val="single" w:sz="2" w:space="0" w:color="auto"/>
                    <w:right w:val="single" w:sz="2" w:space="0" w:color="auto"/>
                  </w:tcBorders>
                  <w:vAlign w:val="center"/>
                  <w:hideMark/>
                </w:tcPr>
                <w:p w:rsidR="001F767A" w:rsidRPr="005A615E" w:rsidRDefault="001F767A" w:rsidP="001F767A">
                  <w:pPr>
                    <w:spacing w:after="0"/>
                    <w:rPr>
                      <w:rFonts w:ascii="Times New Roman" w:hAnsi="Times New Roman"/>
                      <w:sz w:val="20"/>
                      <w:szCs w:val="20"/>
                      <w:lang w:eastAsia="uk-UA"/>
                    </w:rPr>
                  </w:pPr>
                </w:p>
              </w:tc>
              <w:tc>
                <w:tcPr>
                  <w:tcW w:w="49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400050" cy="238125"/>
                        <wp:effectExtent l="0" t="0" r="0" b="9525"/>
                        <wp:docPr id="271230476" name="Рисунок 271230476" descr="https://zakon.rada.gov.ua/laws/file/imgs/99/p478167n136v3-28.gif">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9" descr="https://zakon.rada.gov.ua/laws/file/imgs/99/p478167n136v3-28.gif">
                                  <a:hlinkClick r:id="rId78"/>
                                </pic:cNvPr>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p>
              </w:tc>
              <w:tc>
                <w:tcPr>
                  <w:tcW w:w="156"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2876"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індивідуальний показник ефективності для контрольованих операційних витрат окремого ліцензіата, встановлений НКРЕКП, %.</w:t>
                  </w:r>
                </w:p>
              </w:tc>
            </w:tr>
          </w:tbl>
          <w:p w:rsidR="001F767A" w:rsidRPr="005A615E" w:rsidRDefault="001F767A" w:rsidP="001F767A">
            <w:pPr>
              <w:shd w:val="clear" w:color="auto" w:fill="FFFFFF"/>
              <w:spacing w:after="150"/>
              <w:ind w:firstLine="173"/>
              <w:jc w:val="both"/>
              <w:rPr>
                <w:rFonts w:ascii="Times New Roman" w:hAnsi="Times New Roman"/>
                <w:sz w:val="20"/>
                <w:szCs w:val="20"/>
                <w:lang w:eastAsia="uk-UA"/>
              </w:rPr>
            </w:pPr>
          </w:p>
          <w:p w:rsidR="001F767A" w:rsidRPr="005A615E" w:rsidRDefault="001F767A" w:rsidP="001F767A">
            <w:pPr>
              <w:shd w:val="clear" w:color="auto" w:fill="FFFFFF"/>
              <w:jc w:val="both"/>
              <w:rPr>
                <w:rFonts w:ascii="Times New Roman" w:hAnsi="Times New Roman"/>
                <w:b/>
                <w:bCs/>
                <w:sz w:val="20"/>
                <w:szCs w:val="20"/>
                <w:shd w:val="clear" w:color="auto" w:fill="FFFFFF"/>
              </w:rPr>
            </w:pPr>
            <w:r w:rsidRPr="005A615E">
              <w:rPr>
                <w:rFonts w:ascii="Times New Roman" w:hAnsi="Times New Roman"/>
                <w:b/>
                <w:bCs/>
                <w:sz w:val="20"/>
                <w:szCs w:val="20"/>
                <w:shd w:val="clear" w:color="auto" w:fill="FFFFFF"/>
              </w:rPr>
              <w:t>Прогнозовані операційні контрольовані витрати з розподілу електричної енергії розраховуються на другий рік другого та наступних регуляторних періодів за формулою</w:t>
            </w:r>
          </w:p>
          <w:p w:rsidR="001F767A" w:rsidRPr="005A615E" w:rsidRDefault="001F767A" w:rsidP="001F767A">
            <w:pPr>
              <w:ind w:firstLine="308"/>
              <w:jc w:val="both"/>
              <w:rPr>
                <w:rFonts w:ascii="Times New Roman" w:hAnsi="Times New Roman"/>
                <w:shd w:val="clear" w:color="auto" w:fill="FFFFFF"/>
              </w:rPr>
            </w:pPr>
          </w:p>
          <w:p w:rsidR="001F767A" w:rsidRPr="005A615E" w:rsidRDefault="000D13C5" w:rsidP="001F767A">
            <m:oMath>
              <m:sSubSup>
                <m:sSubSupPr>
                  <m:ctrlPr>
                    <w:rPr>
                      <w:rFonts w:ascii="Cambria Math" w:hAnsi="Cambria Math"/>
                      <w:i/>
                    </w:rPr>
                  </m:ctrlPr>
                </m:sSubSupPr>
                <m:e>
                  <m:r>
                    <w:rPr>
                      <w:rFonts w:ascii="Cambria Math" w:hAnsi="Cambria Math"/>
                    </w:rPr>
                    <m:t>ОКВ</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ОКВ</m:t>
                      </m:r>
                    </m:e>
                    <m:sub>
                      <m:r>
                        <w:rPr>
                          <w:rFonts w:ascii="Cambria Math" w:hAnsi="Cambria Math"/>
                        </w:rPr>
                        <m:t>t-2</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ФОП</m:t>
                      </m:r>
                    </m:e>
                    <m:sub>
                      <m:r>
                        <w:rPr>
                          <w:rFonts w:ascii="Cambria Math" w:hAnsi="Cambria Math"/>
                        </w:rPr>
                        <m:t>t-2</m:t>
                      </m:r>
                    </m:sub>
                    <m:sup>
                      <m:r>
                        <w:rPr>
                          <w:rFonts w:ascii="Cambria Math" w:hAnsi="Cambria Math"/>
                        </w:rPr>
                        <m:t>n</m:t>
                      </m:r>
                    </m:sup>
                  </m:sSubSup>
                  <m:r>
                    <w:rPr>
                      <w:rFonts w:ascii="Cambria Math" w:hAnsi="Cambria Math"/>
                    </w:rPr>
                    <m:t xml:space="preserve"> </m:t>
                  </m:r>
                </m:e>
              </m:d>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ІЦВ</m:t>
                      </m:r>
                    </m:e>
                    <m:sub>
                      <m:r>
                        <w:rPr>
                          <w:rFonts w:ascii="Cambria Math" w:hAnsi="Cambria Math"/>
                        </w:rPr>
                        <m:t>t</m:t>
                      </m:r>
                    </m:sub>
                    <m:sup>
                      <m:r>
                        <w:rPr>
                          <w:rFonts w:ascii="Cambria Math" w:hAnsi="Cambria Math"/>
                        </w:rPr>
                        <m:t>n</m:t>
                      </m:r>
                    </m:sup>
                  </m:sSubSup>
                </m:num>
                <m:den>
                  <m:r>
                    <w:rPr>
                      <w:rFonts w:ascii="Cambria Math" w:hAnsi="Cambria Math"/>
                    </w:rPr>
                    <m:t>100</m:t>
                  </m:r>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ІЦВ</m:t>
                      </m:r>
                    </m:e>
                    <m:sub>
                      <m:r>
                        <w:rPr>
                          <w:rFonts w:ascii="Cambria Math" w:hAnsi="Cambria Math"/>
                        </w:rPr>
                        <m:t>t-1</m:t>
                      </m:r>
                    </m:sub>
                    <m:sup>
                      <m:r>
                        <w:rPr>
                          <w:rFonts w:ascii="Cambria Math" w:hAnsi="Cambria Math"/>
                        </w:rPr>
                        <m:t>n</m:t>
                      </m:r>
                    </m:sup>
                  </m:sSubSup>
                </m:num>
                <m:den>
                  <m:r>
                    <w:rPr>
                      <w:rFonts w:ascii="Cambria Math" w:hAnsi="Cambria Math"/>
                    </w:rPr>
                    <m:t>100</m:t>
                  </m:r>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Sup>
                        <m:sSubSupPr>
                          <m:ctrlPr>
                            <w:rPr>
                              <w:rFonts w:ascii="Cambria Math" w:hAnsi="Cambria Math"/>
                              <w:i/>
                            </w:rPr>
                          </m:ctrlPr>
                        </m:sSubSupPr>
                        <m:e>
                          <m:r>
                            <w:rPr>
                              <w:rFonts w:ascii="Cambria Math" w:hAnsi="Cambria Math"/>
                            </w:rPr>
                            <m:t>ПЕ</m:t>
                          </m:r>
                        </m:e>
                        <m:sub>
                          <m:r>
                            <w:rPr>
                              <w:rFonts w:ascii="Cambria Math" w:hAnsi="Cambria Math"/>
                              <w:lang w:val="en-US"/>
                            </w:rPr>
                            <m:t>t</m:t>
                          </m:r>
                          <m:r>
                            <w:rPr>
                              <w:rFonts w:ascii="Cambria Math" w:hAnsi="Cambria Math"/>
                            </w:rPr>
                            <m:t>-1</m:t>
                          </m:r>
                        </m:sub>
                        <m:sup>
                          <m:r>
                            <w:rPr>
                              <w:rFonts w:ascii="Cambria Math" w:hAnsi="Cambria Math"/>
                            </w:rPr>
                            <m:t>3</m:t>
                          </m:r>
                        </m:sup>
                      </m:sSubSup>
                      <m:r>
                        <w:rPr>
                          <w:rFonts w:ascii="Cambria Math" w:hAnsi="Cambria Math"/>
                        </w:rPr>
                        <m:t>+</m:t>
                      </m:r>
                      <m:sSubSup>
                        <m:sSubSupPr>
                          <m:ctrlPr>
                            <w:rPr>
                              <w:rFonts w:ascii="Cambria Math" w:hAnsi="Cambria Math"/>
                              <w:i/>
                            </w:rPr>
                          </m:ctrlPr>
                        </m:sSubSupPr>
                        <m:e>
                          <m:r>
                            <w:rPr>
                              <w:rFonts w:ascii="Cambria Math" w:hAnsi="Cambria Math"/>
                            </w:rPr>
                            <m:t>ПЕ</m:t>
                          </m:r>
                        </m:e>
                        <m:sub>
                          <m:r>
                            <w:rPr>
                              <w:rFonts w:ascii="Cambria Math" w:hAnsi="Cambria Math"/>
                              <w:lang w:val="en-US"/>
                            </w:rPr>
                            <m:t>t</m:t>
                          </m:r>
                          <m:r>
                            <w:rPr>
                              <w:rFonts w:ascii="Cambria Math" w:hAnsi="Cambria Math"/>
                            </w:rPr>
                            <m:t>-1</m:t>
                          </m:r>
                        </m:sub>
                        <m:sup>
                          <m:r>
                            <w:rPr>
                              <w:rFonts w:ascii="Cambria Math" w:hAnsi="Cambria Math"/>
                            </w:rPr>
                            <m:t>інд</m:t>
                          </m:r>
                        </m:sup>
                      </m:sSubSup>
                    </m:num>
                    <m:den>
                      <m:r>
                        <w:rPr>
                          <w:rFonts w:ascii="Cambria Math" w:hAnsi="Cambria Math"/>
                        </w:rPr>
                        <m:t>100</m:t>
                      </m:r>
                    </m:den>
                  </m:f>
                </m:e>
              </m:d>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зt</m:t>
                          </m:r>
                        </m:sub>
                      </m:sSub>
                      <m:r>
                        <w:rPr>
                          <w:rFonts w:ascii="Cambria Math" w:hAnsi="Cambria Math"/>
                        </w:rPr>
                        <m:t>+</m:t>
                      </m:r>
                      <m:sSub>
                        <m:sSubPr>
                          <m:ctrlPr>
                            <w:rPr>
                              <w:rFonts w:ascii="Cambria Math" w:hAnsi="Cambria Math"/>
                              <w:i/>
                            </w:rPr>
                          </m:ctrlPr>
                        </m:sSubPr>
                        <m:e>
                          <m:r>
                            <w:rPr>
                              <w:rFonts w:ascii="Cambria Math" w:hAnsi="Cambria Math"/>
                            </w:rPr>
                            <m:t>ПЕ</m:t>
                          </m:r>
                        </m:e>
                        <m:sub>
                          <m:r>
                            <w:rPr>
                              <w:rFonts w:ascii="Cambria Math" w:hAnsi="Cambria Math"/>
                            </w:rPr>
                            <m:t>індt</m:t>
                          </m:r>
                        </m:sub>
                      </m:sSub>
                    </m:num>
                    <m:den>
                      <m:r>
                        <w:rPr>
                          <w:rFonts w:ascii="Cambria Math" w:hAnsi="Cambria Math"/>
                        </w:rPr>
                        <m:t>100</m:t>
                      </m:r>
                    </m:den>
                  </m:f>
                </m:e>
              </m:d>
              <m:r>
                <w:rPr>
                  <w:rFonts w:ascii="Cambria Math" w:hAnsi="Cambria Math"/>
                </w:rPr>
                <m:t>+</m:t>
              </m:r>
              <m:sSubSup>
                <m:sSubSupPr>
                  <m:ctrlPr>
                    <w:rPr>
                      <w:rFonts w:ascii="Cambria Math" w:hAnsi="Cambria Math"/>
                      <w:i/>
                    </w:rPr>
                  </m:ctrlPr>
                </m:sSubSupPr>
                <m:e>
                  <m:r>
                    <w:rPr>
                      <w:rFonts w:ascii="Cambria Math" w:hAnsi="Cambria Math"/>
                    </w:rPr>
                    <m:t>ФОП</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зt</m:t>
                          </m:r>
                        </m:sub>
                      </m:sSub>
                      <m:r>
                        <w:rPr>
                          <w:rFonts w:ascii="Cambria Math" w:hAnsi="Cambria Math"/>
                        </w:rPr>
                        <m:t>+</m:t>
                      </m:r>
                      <m:sSub>
                        <m:sSubPr>
                          <m:ctrlPr>
                            <w:rPr>
                              <w:rFonts w:ascii="Cambria Math" w:hAnsi="Cambria Math"/>
                              <w:i/>
                            </w:rPr>
                          </m:ctrlPr>
                        </m:sSubPr>
                        <m:e>
                          <m:r>
                            <w:rPr>
                              <w:rFonts w:ascii="Cambria Math" w:hAnsi="Cambria Math"/>
                            </w:rPr>
                            <m:t>ПЕ</m:t>
                          </m:r>
                        </m:e>
                        <m:sub>
                          <m:r>
                            <w:rPr>
                              <w:rFonts w:ascii="Cambria Math" w:hAnsi="Cambria Math"/>
                            </w:rPr>
                            <m:t>індt</m:t>
                          </m:r>
                        </m:sub>
                      </m:sSub>
                    </m:num>
                    <m:den>
                      <m:r>
                        <w:rPr>
                          <w:rFonts w:ascii="Cambria Math" w:hAnsi="Cambria Math"/>
                        </w:rPr>
                        <m:t>100</m:t>
                      </m:r>
                    </m:den>
                  </m:f>
                </m:e>
              </m:d>
              <m:r>
                <w:rPr>
                  <w:rFonts w:ascii="Cambria Math" w:hAnsi="Cambria Math"/>
                </w:rPr>
                <m:t>, тис.грн,</m:t>
              </m:r>
            </m:oMath>
            <w:r w:rsidR="001F767A" w:rsidRPr="005A615E">
              <w:rPr>
                <w:rFonts w:eastAsiaTheme="minorEastAsia"/>
              </w:rPr>
              <w:t xml:space="preserve"> </w:t>
            </w:r>
            <w:r w:rsidR="001F767A" w:rsidRPr="005A615E">
              <w:t>(7.1)</w:t>
            </w:r>
          </w:p>
          <w:p w:rsidR="001F767A" w:rsidRPr="005A615E" w:rsidRDefault="001F767A" w:rsidP="001F767A">
            <w:pPr>
              <w:shd w:val="clear" w:color="auto" w:fill="FFFFFF"/>
              <w:spacing w:after="150"/>
              <w:ind w:firstLine="173"/>
              <w:jc w:val="both"/>
              <w:rPr>
                <w:rFonts w:ascii="Times New Roman" w:hAnsi="Times New Roman"/>
                <w:sz w:val="20"/>
                <w:szCs w:val="20"/>
                <w:lang w:eastAsia="uk-UA"/>
              </w:rPr>
            </w:pPr>
            <w:r w:rsidRPr="005A615E">
              <w:rPr>
                <w:rFonts w:ascii="Times New Roman" w:hAnsi="Times New Roman"/>
                <w:sz w:val="20"/>
                <w:szCs w:val="20"/>
                <w:lang w:eastAsia="uk-UA"/>
              </w:rPr>
              <w:t xml:space="preserve">Для ліцензіатів, перелік яких наведено в додатку 30 до цього Порядку, прогнозовані операційні контрольовані витрати з розподілу електричної енергії на 2025  </w:t>
            </w:r>
            <w:r w:rsidRPr="005A615E">
              <w:rPr>
                <w:rFonts w:ascii="Times New Roman" w:hAnsi="Times New Roman"/>
                <w:b/>
                <w:sz w:val="20"/>
                <w:szCs w:val="20"/>
                <w:lang w:eastAsia="uk-UA"/>
              </w:rPr>
              <w:t>та 2026 роки</w:t>
            </w:r>
            <w:r w:rsidRPr="005A615E">
              <w:rPr>
                <w:rFonts w:ascii="Times New Roman" w:hAnsi="Times New Roman"/>
                <w:sz w:val="20"/>
                <w:szCs w:val="20"/>
                <w:lang w:eastAsia="uk-UA"/>
              </w:rPr>
              <w:t xml:space="preserve"> </w:t>
            </w:r>
            <w:r w:rsidRPr="005A615E">
              <w:rPr>
                <w:rFonts w:ascii="Times New Roman" w:hAnsi="Times New Roman"/>
                <w:b/>
                <w:strike/>
                <w:sz w:val="20"/>
                <w:szCs w:val="20"/>
                <w:lang w:eastAsia="uk-UA"/>
              </w:rPr>
              <w:t>та на кожний наступний рік</w:t>
            </w:r>
            <w:r w:rsidRPr="005A615E">
              <w:rPr>
                <w:rFonts w:ascii="Times New Roman" w:hAnsi="Times New Roman"/>
                <w:sz w:val="20"/>
                <w:szCs w:val="20"/>
                <w:lang w:eastAsia="uk-UA"/>
              </w:rPr>
              <w:t xml:space="preserve"> розраховуються за формулою</w:t>
            </w:r>
          </w:p>
          <w:tbl>
            <w:tblPr>
              <w:tblW w:w="5000" w:type="pct"/>
              <w:tblLayout w:type="fixed"/>
              <w:tblCellMar>
                <w:left w:w="0" w:type="dxa"/>
                <w:right w:w="0" w:type="dxa"/>
              </w:tblCellMar>
              <w:tblLook w:val="04A0" w:firstRow="1" w:lastRow="0" w:firstColumn="1" w:lastColumn="0" w:noHBand="0" w:noVBand="1"/>
            </w:tblPr>
            <w:tblGrid>
              <w:gridCol w:w="236"/>
              <w:gridCol w:w="415"/>
              <w:gridCol w:w="147"/>
              <w:gridCol w:w="6"/>
              <w:gridCol w:w="2649"/>
              <w:gridCol w:w="73"/>
              <w:gridCol w:w="221"/>
            </w:tblGrid>
            <w:tr w:rsidR="001F767A" w:rsidRPr="005A615E" w:rsidTr="001F767A">
              <w:tc>
                <w:tcPr>
                  <w:tcW w:w="7014" w:type="dxa"/>
                  <w:gridSpan w:val="6"/>
                  <w:tcBorders>
                    <w:top w:val="single" w:sz="2" w:space="0" w:color="auto"/>
                    <w:left w:val="single" w:sz="2" w:space="0" w:color="auto"/>
                    <w:bottom w:val="single" w:sz="2" w:space="0" w:color="auto"/>
                    <w:right w:val="single" w:sz="2" w:space="0" w:color="auto"/>
                  </w:tcBorders>
                  <w:hideMark/>
                </w:tcPr>
                <w:p w:rsidR="001F767A" w:rsidRPr="005A615E" w:rsidRDefault="000D13C5" w:rsidP="001F767A">
                  <w:pPr>
                    <w:spacing w:before="150" w:after="150"/>
                    <w:rPr>
                      <w:rFonts w:ascii="Times New Roman" w:hAnsi="Times New Roman"/>
                      <w:b/>
                      <w:sz w:val="20"/>
                      <w:szCs w:val="20"/>
                      <w:lang w:eastAsia="uk-UA"/>
                    </w:rPr>
                  </w:pPr>
                  <m:oMathPara>
                    <m:oMath>
                      <m:sSubSup>
                        <m:sSubSupPr>
                          <m:ctrlPr>
                            <w:rPr>
                              <w:rFonts w:ascii="Cambria Math" w:hAnsi="Cambria Math"/>
                              <w:b/>
                              <w:i/>
                            </w:rPr>
                          </m:ctrlPr>
                        </m:sSubSupPr>
                        <m:e>
                          <m:r>
                            <m:rPr>
                              <m:sty m:val="bi"/>
                            </m:rPr>
                            <w:rPr>
                              <w:rFonts w:ascii="Cambria Math" w:hAnsi="Cambria Math"/>
                              <w:sz w:val="20"/>
                              <w:szCs w:val="20"/>
                              <w:lang w:eastAsia="uk-UA"/>
                            </w:rPr>
                            <m:t>ОКВ</m:t>
                          </m:r>
                        </m:e>
                        <m:sub>
                          <m:r>
                            <m:rPr>
                              <m:sty m:val="bi"/>
                            </m:rPr>
                            <w:rPr>
                              <w:rFonts w:ascii="Cambria Math" w:hAnsi="Cambria Math"/>
                              <w:sz w:val="20"/>
                              <w:szCs w:val="20"/>
                              <w:lang w:eastAsia="uk-UA"/>
                            </w:rPr>
                            <m:t>t</m:t>
                          </m:r>
                        </m:sub>
                        <m:sup>
                          <m:r>
                            <m:rPr>
                              <m:sty m:val="bi"/>
                            </m:rPr>
                            <w:rPr>
                              <w:rFonts w:ascii="Cambria Math" w:hAnsi="Cambria Math"/>
                              <w:sz w:val="20"/>
                              <w:szCs w:val="20"/>
                              <w:lang w:eastAsia="uk-UA"/>
                            </w:rPr>
                            <m:t>n</m:t>
                          </m:r>
                        </m:sup>
                      </m:sSubSup>
                      <m:r>
                        <m:rPr>
                          <m:sty m:val="bi"/>
                        </m:rPr>
                        <w:rPr>
                          <w:rFonts w:ascii="Cambria Math" w:hAnsi="Cambria Math"/>
                          <w:sz w:val="20"/>
                          <w:szCs w:val="20"/>
                          <w:lang w:eastAsia="uk-UA"/>
                        </w:rPr>
                        <m:t>=</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sz w:val="20"/>
                                  <w:szCs w:val="20"/>
                                  <w:lang w:eastAsia="uk-UA"/>
                                </w:rPr>
                                <m:t>ОКВ</m:t>
                              </m:r>
                            </m:e>
                            <m:sub>
                              <m:r>
                                <m:rPr>
                                  <m:sty m:val="bi"/>
                                </m:rPr>
                                <w:rPr>
                                  <w:rFonts w:ascii="Cambria Math" w:hAnsi="Cambria Math"/>
                                  <w:sz w:val="20"/>
                                  <w:szCs w:val="20"/>
                                  <w:lang w:eastAsia="uk-UA"/>
                                </w:rPr>
                                <m:t>t-1</m:t>
                              </m:r>
                            </m:sub>
                            <m:sup>
                              <m:r>
                                <m:rPr>
                                  <m:sty m:val="bi"/>
                                </m:rPr>
                                <w:rPr>
                                  <w:rFonts w:ascii="Cambria Math" w:hAnsi="Cambria Math"/>
                                  <w:sz w:val="20"/>
                                  <w:szCs w:val="20"/>
                                  <w:lang w:eastAsia="uk-UA"/>
                                </w:rPr>
                                <m:t>n</m:t>
                              </m:r>
                            </m:sup>
                          </m:sSubSup>
                          <m:r>
                            <m:rPr>
                              <m:sty m:val="bi"/>
                            </m:rPr>
                            <w:rPr>
                              <w:rFonts w:ascii="Cambria Math" w:hAnsi="Cambria Math"/>
                              <w:sz w:val="20"/>
                              <w:szCs w:val="20"/>
                              <w:lang w:eastAsia="uk-UA"/>
                            </w:rPr>
                            <m:t>-</m:t>
                          </m:r>
                          <m:sSubSup>
                            <m:sSubSupPr>
                              <m:ctrlPr>
                                <w:rPr>
                                  <w:rFonts w:ascii="Cambria Math" w:hAnsi="Cambria Math"/>
                                  <w:b/>
                                  <w:i/>
                                </w:rPr>
                              </m:ctrlPr>
                            </m:sSubSupPr>
                            <m:e>
                              <m:r>
                                <m:rPr>
                                  <m:sty m:val="bi"/>
                                </m:rPr>
                                <w:rPr>
                                  <w:rFonts w:ascii="Cambria Math" w:hAnsi="Cambria Math"/>
                                  <w:sz w:val="20"/>
                                  <w:szCs w:val="20"/>
                                  <w:lang w:eastAsia="uk-UA"/>
                                </w:rPr>
                                <m:t>ФОП</m:t>
                              </m:r>
                            </m:e>
                            <m:sub>
                              <m:r>
                                <m:rPr>
                                  <m:sty m:val="bi"/>
                                </m:rPr>
                                <w:rPr>
                                  <w:rFonts w:ascii="Cambria Math" w:hAnsi="Cambria Math"/>
                                  <w:sz w:val="20"/>
                                  <w:szCs w:val="20"/>
                                  <w:lang w:eastAsia="uk-UA"/>
                                </w:rPr>
                                <m:t>t-1</m:t>
                              </m:r>
                            </m:sub>
                            <m:sup>
                              <m:r>
                                <m:rPr>
                                  <m:sty m:val="bi"/>
                                </m:rPr>
                                <w:rPr>
                                  <w:rFonts w:ascii="Cambria Math" w:hAnsi="Cambria Math"/>
                                  <w:sz w:val="20"/>
                                  <w:szCs w:val="20"/>
                                  <w:lang w:eastAsia="uk-UA"/>
                                </w:rPr>
                                <m:t>n</m:t>
                              </m:r>
                            </m:sup>
                          </m:sSubSup>
                        </m:e>
                      </m:d>
                      <m:r>
                        <m:rPr>
                          <m:sty m:val="bi"/>
                        </m:rPr>
                        <w:rPr>
                          <w:rFonts w:ascii="Cambria Math" w:hAnsi="Cambria Math"/>
                          <w:sz w:val="20"/>
                          <w:szCs w:val="20"/>
                          <w:lang w:eastAsia="uk-UA"/>
                        </w:rPr>
                        <m:t>×</m:t>
                      </m:r>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sz w:val="20"/>
                                  <w:szCs w:val="20"/>
                                  <w:lang w:eastAsia="uk-UA"/>
                                </w:rPr>
                                <m:t>ІЦВ</m:t>
                              </m:r>
                            </m:e>
                            <m:sub>
                              <m:r>
                                <m:rPr>
                                  <m:sty m:val="bi"/>
                                </m:rPr>
                                <w:rPr>
                                  <w:rFonts w:ascii="Cambria Math" w:hAnsi="Cambria Math"/>
                                  <w:sz w:val="20"/>
                                  <w:szCs w:val="20"/>
                                  <w:lang w:eastAsia="uk-UA"/>
                                </w:rPr>
                                <m:t>t</m:t>
                              </m:r>
                            </m:sub>
                            <m:sup>
                              <m:r>
                                <m:rPr>
                                  <m:sty m:val="bi"/>
                                </m:rPr>
                                <w:rPr>
                                  <w:rFonts w:ascii="Cambria Math" w:hAnsi="Cambria Math"/>
                                  <w:sz w:val="20"/>
                                  <w:szCs w:val="20"/>
                                  <w:lang w:eastAsia="uk-UA"/>
                                </w:rPr>
                                <m:t>n</m:t>
                              </m:r>
                            </m:sup>
                          </m:sSubSup>
                        </m:num>
                        <m:den>
                          <m:r>
                            <m:rPr>
                              <m:sty m:val="bi"/>
                            </m:rPr>
                            <w:rPr>
                              <w:rFonts w:ascii="Cambria Math" w:hAnsi="Cambria Math"/>
                              <w:sz w:val="20"/>
                              <w:szCs w:val="20"/>
                              <w:lang w:eastAsia="uk-UA"/>
                            </w:rPr>
                            <m:t>100</m:t>
                          </m:r>
                        </m:den>
                      </m:f>
                      <m:r>
                        <m:rPr>
                          <m:sty m:val="bi"/>
                        </m:rPr>
                        <w:rPr>
                          <w:rFonts w:ascii="Cambria Math" w:hAnsi="Cambria Math"/>
                          <w:sz w:val="20"/>
                          <w:szCs w:val="20"/>
                          <w:lang w:eastAsia="uk-UA"/>
                        </w:rPr>
                        <m:t xml:space="preserve">×КФУ× </m:t>
                      </m:r>
                      <m:d>
                        <m:dPr>
                          <m:ctrlPr>
                            <w:rPr>
                              <w:rFonts w:ascii="Cambria Math" w:hAnsi="Cambria Math"/>
                              <w:b/>
                              <w:i/>
                            </w:rPr>
                          </m:ctrlPr>
                        </m:dPr>
                        <m:e>
                          <m:r>
                            <m:rPr>
                              <m:sty m:val="bi"/>
                            </m:rPr>
                            <w:rPr>
                              <w:rFonts w:ascii="Cambria Math" w:hAnsi="Cambria Math"/>
                              <w:sz w:val="20"/>
                              <w:szCs w:val="20"/>
                              <w:lang w:eastAsia="uk-UA"/>
                            </w:rPr>
                            <m:t>1-</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з</m:t>
                                  </m:r>
                                </m:sub>
                              </m:sSub>
                              <m:r>
                                <m:rPr>
                                  <m:sty m:val="bi"/>
                                </m:rPr>
                                <w:rPr>
                                  <w:rFonts w:ascii="Cambria Math" w:hAnsi="Cambria Math"/>
                                  <w:sz w:val="20"/>
                                  <w:szCs w:val="20"/>
                                  <w:lang w:eastAsia="uk-UA"/>
                                </w:rPr>
                                <m:t>+</m:t>
                              </m:r>
                              <m:sSub>
                                <m:sSubPr>
                                  <m:ctrlPr>
                                    <w:rPr>
                                      <w:rFonts w:ascii="Cambria Math" w:hAnsi="Cambria Math"/>
                                      <w:b/>
                                      <w:i/>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інд</m:t>
                                  </m:r>
                                </m:sub>
                              </m:sSub>
                            </m:num>
                            <m:den>
                              <m:r>
                                <m:rPr>
                                  <m:sty m:val="bi"/>
                                </m:rPr>
                                <w:rPr>
                                  <w:rFonts w:ascii="Cambria Math" w:hAnsi="Cambria Math"/>
                                  <w:sz w:val="20"/>
                                  <w:szCs w:val="20"/>
                                  <w:lang w:eastAsia="uk-UA"/>
                                </w:rPr>
                                <m:t>100</m:t>
                              </m:r>
                            </m:den>
                          </m:f>
                        </m:e>
                      </m:d>
                      <m:r>
                        <m:rPr>
                          <m:sty m:val="bi"/>
                        </m:rPr>
                        <w:rPr>
                          <w:rFonts w:ascii="Cambria Math" w:hAnsi="Cambria Math"/>
                          <w:sz w:val="20"/>
                          <w:szCs w:val="20"/>
                          <w:lang w:eastAsia="uk-UA"/>
                        </w:rPr>
                        <m:t>+</m:t>
                      </m:r>
                      <m:sSubSup>
                        <m:sSubSupPr>
                          <m:ctrlPr>
                            <w:rPr>
                              <w:rFonts w:ascii="Cambria Math" w:hAnsi="Cambria Math"/>
                              <w:b/>
                              <w:i/>
                            </w:rPr>
                          </m:ctrlPr>
                        </m:sSubSupPr>
                        <m:e>
                          <m:r>
                            <m:rPr>
                              <m:sty m:val="bi"/>
                            </m:rPr>
                            <w:rPr>
                              <w:rFonts w:ascii="Cambria Math" w:hAnsi="Cambria Math"/>
                              <w:sz w:val="20"/>
                              <w:szCs w:val="20"/>
                              <w:lang w:eastAsia="uk-UA"/>
                            </w:rPr>
                            <m:t>ФОП</m:t>
                          </m:r>
                        </m:e>
                        <m:sub>
                          <m:r>
                            <m:rPr>
                              <m:sty m:val="bi"/>
                            </m:rPr>
                            <w:rPr>
                              <w:rFonts w:ascii="Cambria Math" w:hAnsi="Cambria Math"/>
                              <w:sz w:val="20"/>
                              <w:szCs w:val="20"/>
                              <w:lang w:eastAsia="uk-UA"/>
                            </w:rPr>
                            <m:t>t</m:t>
                          </m:r>
                        </m:sub>
                        <m:sup>
                          <m:r>
                            <m:rPr>
                              <m:sty m:val="bi"/>
                            </m:rPr>
                            <w:rPr>
                              <w:rFonts w:ascii="Cambria Math" w:hAnsi="Cambria Math"/>
                              <w:sz w:val="20"/>
                              <w:szCs w:val="20"/>
                              <w:lang w:eastAsia="uk-UA"/>
                            </w:rPr>
                            <m:t>n</m:t>
                          </m:r>
                        </m:sup>
                      </m:sSubSup>
                      <m:r>
                        <m:rPr>
                          <m:sty m:val="bi"/>
                        </m:rPr>
                        <w:rPr>
                          <w:rFonts w:ascii="Cambria Math" w:hAnsi="Cambria Math"/>
                          <w:sz w:val="20"/>
                          <w:szCs w:val="20"/>
                          <w:lang w:eastAsia="uk-UA"/>
                        </w:rPr>
                        <m:t>×</m:t>
                      </m:r>
                      <m:d>
                        <m:dPr>
                          <m:ctrlPr>
                            <w:rPr>
                              <w:rFonts w:ascii="Cambria Math" w:hAnsi="Cambria Math"/>
                              <w:b/>
                              <w:i/>
                            </w:rPr>
                          </m:ctrlPr>
                        </m:dPr>
                        <m:e>
                          <m:r>
                            <m:rPr>
                              <m:sty m:val="bi"/>
                            </m:rPr>
                            <w:rPr>
                              <w:rFonts w:ascii="Cambria Math" w:hAnsi="Cambria Math"/>
                              <w:sz w:val="20"/>
                              <w:szCs w:val="20"/>
                              <w:lang w:eastAsia="uk-UA"/>
                            </w:rPr>
                            <m:t>1-</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з</m:t>
                                  </m:r>
                                </m:sub>
                              </m:sSub>
                              <m:r>
                                <m:rPr>
                                  <m:sty m:val="bi"/>
                                </m:rPr>
                                <w:rPr>
                                  <w:rFonts w:ascii="Cambria Math" w:hAnsi="Cambria Math"/>
                                  <w:sz w:val="20"/>
                                  <w:szCs w:val="20"/>
                                  <w:lang w:eastAsia="uk-UA"/>
                                </w:rPr>
                                <m:t>+</m:t>
                              </m:r>
                              <m:sSub>
                                <m:sSubPr>
                                  <m:ctrlPr>
                                    <w:rPr>
                                      <w:rFonts w:ascii="Cambria Math" w:hAnsi="Cambria Math"/>
                                      <w:b/>
                                      <w:i/>
                                    </w:rPr>
                                  </m:ctrlPr>
                                </m:sSubPr>
                                <m:e>
                                  <m:r>
                                    <m:rPr>
                                      <m:sty m:val="bi"/>
                                    </m:rPr>
                                    <w:rPr>
                                      <w:rFonts w:ascii="Cambria Math" w:hAnsi="Cambria Math"/>
                                      <w:sz w:val="20"/>
                                      <w:szCs w:val="20"/>
                                      <w:lang w:eastAsia="uk-UA"/>
                                    </w:rPr>
                                    <m:t>ПЕ</m:t>
                                  </m:r>
                                </m:e>
                                <m:sub>
                                  <m:r>
                                    <m:rPr>
                                      <m:sty m:val="bi"/>
                                    </m:rPr>
                                    <w:rPr>
                                      <w:rFonts w:ascii="Cambria Math" w:hAnsi="Cambria Math"/>
                                      <w:sz w:val="20"/>
                                      <w:szCs w:val="20"/>
                                      <w:lang w:eastAsia="uk-UA"/>
                                    </w:rPr>
                                    <m:t>інд</m:t>
                                  </m:r>
                                </m:sub>
                              </m:sSub>
                            </m:num>
                            <m:den>
                              <m:r>
                                <m:rPr>
                                  <m:sty m:val="bi"/>
                                </m:rPr>
                                <w:rPr>
                                  <w:rFonts w:ascii="Cambria Math" w:hAnsi="Cambria Math"/>
                                  <w:sz w:val="20"/>
                                  <w:szCs w:val="20"/>
                                  <w:lang w:eastAsia="uk-UA"/>
                                </w:rPr>
                                <m:t>100</m:t>
                              </m:r>
                            </m:den>
                          </m:f>
                        </m:e>
                      </m:d>
                      <m:r>
                        <m:rPr>
                          <m:sty m:val="bi"/>
                        </m:rPr>
                        <w:rPr>
                          <w:rFonts w:ascii="Cambria Math" w:hAnsi="Cambria Math"/>
                          <w:sz w:val="20"/>
                          <w:szCs w:val="20"/>
                          <w:lang w:eastAsia="uk-UA"/>
                        </w:rPr>
                        <m:t>, тис.грн</m:t>
                      </m:r>
                    </m:oMath>
                  </m:oMathPara>
                </w:p>
              </w:tc>
              <w:tc>
                <w:tcPr>
                  <w:tcW w:w="419"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(8)</w:t>
                  </w:r>
                </w:p>
              </w:tc>
            </w:tr>
            <w:tr w:rsidR="001F767A" w:rsidRPr="005A615E" w:rsidTr="001F767A">
              <w:tc>
                <w:tcPr>
                  <w:tcW w:w="45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де</w:t>
                  </w:r>
                </w:p>
              </w:tc>
              <w:tc>
                <w:tcPr>
                  <w:tcW w:w="81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КФУ</w:t>
                  </w:r>
                </w:p>
              </w:tc>
              <w:tc>
                <w:tcPr>
                  <w:tcW w:w="270"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5901" w:type="dxa"/>
                  <w:gridSpan w:val="4"/>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коригуючий коефіцієнт зміни фактичних умовних одиниць енергетичного обладнання ліцензіата, що знаходиться на контрольованій території держави, що розраховується за формулою</w:t>
                  </w:r>
                </w:p>
              </w:tc>
            </w:tr>
            <w:tr w:rsidR="001F767A" w:rsidRPr="005A615E" w:rsidTr="001F767A">
              <w:tc>
                <w:tcPr>
                  <w:tcW w:w="6872" w:type="dxa"/>
                  <w:gridSpan w:val="5"/>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2600325" cy="257175"/>
                        <wp:effectExtent l="0" t="0" r="9525" b="9525"/>
                        <wp:docPr id="271230475" name="Рисунок 271230475" descr="https://zakon.rada.gov.ua/laws/file/imgs/120/p478167n708-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80" descr="https://zakon.rada.gov.ua/laws/file/imgs/120/p478167n708-30.jpg"/>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600325" cy="257175"/>
                                </a:xfrm>
                                <a:prstGeom prst="rect">
                                  <a:avLst/>
                                </a:prstGeom>
                                <a:noFill/>
                                <a:ln>
                                  <a:noFill/>
                                </a:ln>
                              </pic:spPr>
                            </pic:pic>
                          </a:graphicData>
                        </a:graphic>
                      </wp:inline>
                    </w:drawing>
                  </w:r>
                </w:p>
              </w:tc>
              <w:tc>
                <w:tcPr>
                  <w:tcW w:w="561"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(9)</w:t>
                  </w:r>
                </w:p>
              </w:tc>
            </w:tr>
            <w:tr w:rsidR="001F767A" w:rsidRPr="005A615E" w:rsidTr="001F767A">
              <w:tc>
                <w:tcPr>
                  <w:tcW w:w="45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де</w:t>
                  </w:r>
                </w:p>
              </w:tc>
              <w:tc>
                <w:tcPr>
                  <w:tcW w:w="81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КУ</w:t>
                  </w:r>
                </w:p>
              </w:tc>
              <w:tc>
                <w:tcPr>
                  <w:tcW w:w="278"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коефіцієнт поправки на зміну кількості умовних одиниць обладнання (0 &lt; КУ  &lt; 1), встановлений НКРЕКП;</w:t>
                  </w:r>
                </w:p>
              </w:tc>
            </w:tr>
            <w:tr w:rsidR="001F767A" w:rsidRPr="005A615E" w:rsidTr="001F767A">
              <w:tc>
                <w:tcPr>
                  <w:tcW w:w="7433" w:type="dxa"/>
                  <w:gridSpan w:val="7"/>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rPr>
                      <w:rFonts w:ascii="Times New Roman" w:hAnsi="Times New Roman"/>
                      <w:sz w:val="20"/>
                      <w:szCs w:val="20"/>
                      <w:lang w:eastAsia="uk-UA"/>
                    </w:rPr>
                  </w:pPr>
                </w:p>
              </w:tc>
            </w:tr>
            <w:tr w:rsidR="001F767A" w:rsidRPr="005A615E" w:rsidTr="001F767A">
              <w:tc>
                <w:tcPr>
                  <w:tcW w:w="45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after="0"/>
                    <w:rPr>
                      <w:sz w:val="20"/>
                      <w:szCs w:val="20"/>
                      <w:lang w:eastAsia="uk-UA"/>
                    </w:rPr>
                  </w:pPr>
                </w:p>
              </w:tc>
              <w:tc>
                <w:tcPr>
                  <w:tcW w:w="81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400050" cy="219075"/>
                        <wp:effectExtent l="0" t="0" r="0" b="9525"/>
                        <wp:docPr id="271230474" name="Рисунок 271230474" descr="https://zakon.rada.gov.ua/laws/file/imgs/120/p478167n70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81" descr="https://zakon.rada.gov.ua/laws/file/imgs/120/p478167n709-31.jp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p>
              </w:tc>
              <w:tc>
                <w:tcPr>
                  <w:tcW w:w="278"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зміна фактичної кількості умовних одиниць енергетичного обладнання, що знаходиться на контрольованій території держави, до кількості умовних одиниць енергетичного обладнання ліцензіата, врахованої у діючих тарифах;</w:t>
                  </w:r>
                </w:p>
              </w:tc>
            </w:tr>
            <w:tr w:rsidR="001F767A" w:rsidRPr="005A615E" w:rsidTr="001F767A">
              <w:tc>
                <w:tcPr>
                  <w:tcW w:w="7433" w:type="dxa"/>
                  <w:gridSpan w:val="7"/>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rPr>
                      <w:rFonts w:ascii="Times New Roman" w:hAnsi="Times New Roman"/>
                      <w:sz w:val="20"/>
                      <w:szCs w:val="20"/>
                      <w:lang w:eastAsia="uk-UA"/>
                    </w:rPr>
                  </w:pPr>
                </w:p>
              </w:tc>
            </w:tr>
            <w:tr w:rsidR="001F767A" w:rsidRPr="005A615E" w:rsidTr="001F767A">
              <w:tc>
                <w:tcPr>
                  <w:tcW w:w="45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after="0"/>
                    <w:rPr>
                      <w:sz w:val="20"/>
                      <w:szCs w:val="20"/>
                      <w:lang w:eastAsia="uk-UA"/>
                    </w:rPr>
                  </w:pPr>
                </w:p>
              </w:tc>
              <w:tc>
                <w:tcPr>
                  <w:tcW w:w="81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УО</w:t>
                  </w:r>
                  <w:r w:rsidRPr="005A615E">
                    <w:rPr>
                      <w:rFonts w:ascii="Times New Roman" w:hAnsi="Times New Roman"/>
                      <w:b/>
                      <w:bCs/>
                      <w:sz w:val="20"/>
                      <w:szCs w:val="20"/>
                      <w:vertAlign w:val="superscript"/>
                      <w:lang w:eastAsia="uk-UA"/>
                    </w:rPr>
                    <w:t>тар</w:t>
                  </w:r>
                </w:p>
              </w:tc>
              <w:tc>
                <w:tcPr>
                  <w:tcW w:w="278"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кількість умовних одиниць  енергетичного обладнання  ліцензіата, врахована у діючих тарифах.</w:t>
                  </w:r>
                </w:p>
              </w:tc>
            </w:tr>
            <w:tr w:rsidR="001F767A" w:rsidRPr="005A615E" w:rsidTr="001F767A">
              <w:tc>
                <w:tcPr>
                  <w:tcW w:w="7433" w:type="dxa"/>
                  <w:gridSpan w:val="7"/>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rPr>
                      <w:rFonts w:ascii="Times New Roman" w:hAnsi="Times New Roman"/>
                      <w:sz w:val="20"/>
                      <w:szCs w:val="20"/>
                      <w:lang w:eastAsia="uk-UA"/>
                    </w:rPr>
                  </w:pPr>
                </w:p>
              </w:tc>
            </w:tr>
          </w:tbl>
          <w:p w:rsidR="001F767A" w:rsidRPr="005A615E" w:rsidRDefault="001F767A" w:rsidP="001F767A">
            <w:pPr>
              <w:shd w:val="clear" w:color="auto" w:fill="FFFFFF"/>
              <w:spacing w:after="150"/>
              <w:ind w:firstLine="450"/>
              <w:jc w:val="both"/>
              <w:rPr>
                <w:rFonts w:ascii="Times New Roman" w:hAnsi="Times New Roman"/>
                <w:sz w:val="20"/>
                <w:szCs w:val="20"/>
                <w:lang w:eastAsia="uk-UA"/>
              </w:rPr>
            </w:pPr>
          </w:p>
          <w:p w:rsidR="001F767A" w:rsidRPr="005A615E" w:rsidRDefault="001F767A" w:rsidP="001F767A">
            <w:pPr>
              <w:shd w:val="clear" w:color="auto" w:fill="FFFFFF"/>
              <w:spacing w:after="150"/>
              <w:ind w:firstLine="173"/>
              <w:jc w:val="both"/>
              <w:rPr>
                <w:rFonts w:ascii="Times New Roman" w:hAnsi="Times New Roman"/>
                <w:sz w:val="20"/>
                <w:szCs w:val="20"/>
                <w:lang w:eastAsia="uk-UA"/>
              </w:rPr>
            </w:pPr>
            <w:r w:rsidRPr="005A615E">
              <w:rPr>
                <w:rFonts w:ascii="Times New Roman" w:hAnsi="Times New Roman"/>
                <w:sz w:val="20"/>
                <w:szCs w:val="20"/>
                <w:lang w:eastAsia="uk-UA"/>
              </w:rPr>
              <w:t>Для ліцензіатів, перелік яких наведено в додатку 30 до цього Порядку, при визначенні прогнозованого фонду оплати праці (витрат на оплату праці) у році t (ФОП</w:t>
            </w:r>
            <w:r w:rsidRPr="005A615E">
              <w:rPr>
                <w:rFonts w:ascii="Times New Roman" w:hAnsi="Times New Roman"/>
                <w:b/>
                <w:bCs/>
                <w:sz w:val="20"/>
                <w:szCs w:val="20"/>
                <w:vertAlign w:val="subscript"/>
                <w:lang w:eastAsia="uk-UA"/>
              </w:rPr>
              <w:t>t</w:t>
            </w:r>
            <w:r w:rsidRPr="005A615E">
              <w:rPr>
                <w:rFonts w:ascii="Times New Roman" w:hAnsi="Times New Roman"/>
                <w:b/>
                <w:bCs/>
                <w:sz w:val="20"/>
                <w:szCs w:val="20"/>
                <w:vertAlign w:val="superscript"/>
                <w:lang w:eastAsia="uk-UA"/>
              </w:rPr>
              <w:t>n</w:t>
            </w:r>
            <w:r w:rsidRPr="005A615E">
              <w:rPr>
                <w:rFonts w:ascii="Times New Roman" w:hAnsi="Times New Roman"/>
                <w:sz w:val="20"/>
                <w:szCs w:val="20"/>
                <w:lang w:eastAsia="uk-UA"/>
              </w:rPr>
              <w:t xml:space="preserve">) , що розраховується відповідно до Порядку визначення витрат на оплату праці, на 2025 </w:t>
            </w:r>
            <w:r w:rsidRPr="005A615E">
              <w:rPr>
                <w:rFonts w:ascii="Times New Roman" w:hAnsi="Times New Roman"/>
                <w:b/>
                <w:sz w:val="20"/>
                <w:szCs w:val="20"/>
                <w:lang w:eastAsia="uk-UA"/>
              </w:rPr>
              <w:t>та 2026 роки</w:t>
            </w:r>
            <w:r w:rsidRPr="005A615E">
              <w:rPr>
                <w:rFonts w:ascii="Times New Roman" w:hAnsi="Times New Roman"/>
                <w:sz w:val="20"/>
                <w:szCs w:val="20"/>
                <w:lang w:eastAsia="uk-UA"/>
              </w:rPr>
              <w:t xml:space="preserve"> </w:t>
            </w:r>
            <w:r w:rsidRPr="005A615E">
              <w:rPr>
                <w:rFonts w:ascii="Times New Roman" w:hAnsi="Times New Roman"/>
                <w:strike/>
                <w:sz w:val="20"/>
                <w:szCs w:val="20"/>
                <w:lang w:eastAsia="uk-UA"/>
              </w:rPr>
              <w:t>та на кожний наступний рік</w:t>
            </w:r>
            <w:r w:rsidRPr="005A615E">
              <w:rPr>
                <w:rFonts w:ascii="Times New Roman" w:hAnsi="Times New Roman"/>
                <w:sz w:val="20"/>
                <w:szCs w:val="20"/>
                <w:lang w:eastAsia="uk-UA"/>
              </w:rPr>
              <w:t xml:space="preserve"> тарифна чисельність працівників у році t (ТЧП</w:t>
            </w:r>
            <w:r w:rsidRPr="005A615E">
              <w:rPr>
                <w:rFonts w:ascii="Times New Roman" w:hAnsi="Times New Roman"/>
                <w:bCs/>
                <w:sz w:val="20"/>
                <w:szCs w:val="20"/>
                <w:vertAlign w:val="subscript"/>
                <w:lang w:eastAsia="uk-UA"/>
              </w:rPr>
              <w:t>t</w:t>
            </w:r>
            <w:r w:rsidRPr="005A615E">
              <w:rPr>
                <w:rFonts w:ascii="Times New Roman" w:hAnsi="Times New Roman"/>
                <w:bCs/>
                <w:sz w:val="20"/>
                <w:szCs w:val="20"/>
                <w:vertAlign w:val="superscript"/>
                <w:lang w:eastAsia="uk-UA"/>
              </w:rPr>
              <w:t>тар</w:t>
            </w:r>
            <w:r w:rsidRPr="005A615E">
              <w:rPr>
                <w:rFonts w:ascii="Times New Roman" w:hAnsi="Times New Roman"/>
                <w:sz w:val="20"/>
                <w:szCs w:val="20"/>
                <w:lang w:eastAsia="uk-UA"/>
              </w:rPr>
              <w:t xml:space="preserve">) (розраховується за формулою </w:t>
            </w:r>
          </w:p>
          <w:tbl>
            <w:tblPr>
              <w:tblW w:w="5000" w:type="pct"/>
              <w:tblLayout w:type="fixed"/>
              <w:tblCellMar>
                <w:left w:w="0" w:type="dxa"/>
                <w:right w:w="0" w:type="dxa"/>
              </w:tblCellMar>
              <w:tblLook w:val="04A0" w:firstRow="1" w:lastRow="0" w:firstColumn="1" w:lastColumn="0" w:noHBand="0" w:noVBand="1"/>
            </w:tblPr>
            <w:tblGrid>
              <w:gridCol w:w="231"/>
              <w:gridCol w:w="416"/>
              <w:gridCol w:w="159"/>
              <w:gridCol w:w="2614"/>
              <w:gridCol w:w="327"/>
            </w:tblGrid>
            <w:tr w:rsidR="001F767A" w:rsidRPr="005A615E" w:rsidTr="001F767A">
              <w:tc>
                <w:tcPr>
                  <w:tcW w:w="6801" w:type="dxa"/>
                  <w:gridSpan w:val="4"/>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2133600" cy="238125"/>
                        <wp:effectExtent l="0" t="0" r="0" b="9525"/>
                        <wp:docPr id="271230473" name="Рисунок 271230473" descr="https://zakon.rada.gov.ua/laws/file/imgs/120/p478167n71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82" descr="https://zakon.rada.gov.ua/laws/file/imgs/120/p478167n711-32.jpg"/>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133600" cy="238125"/>
                                </a:xfrm>
                                <a:prstGeom prst="rect">
                                  <a:avLst/>
                                </a:prstGeom>
                                <a:noFill/>
                                <a:ln>
                                  <a:noFill/>
                                </a:ln>
                              </pic:spPr>
                            </pic:pic>
                          </a:graphicData>
                        </a:graphic>
                      </wp:inline>
                    </w:drawing>
                  </w:r>
                </w:p>
              </w:tc>
              <w:tc>
                <w:tcPr>
                  <w:tcW w:w="632"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jc w:val="right"/>
                    <w:rPr>
                      <w:rFonts w:ascii="Times New Roman" w:hAnsi="Times New Roman"/>
                      <w:sz w:val="20"/>
                      <w:szCs w:val="20"/>
                      <w:lang w:eastAsia="uk-UA"/>
                    </w:rPr>
                  </w:pPr>
                  <w:r w:rsidRPr="005A615E">
                    <w:rPr>
                      <w:rFonts w:ascii="Times New Roman" w:hAnsi="Times New Roman"/>
                      <w:sz w:val="20"/>
                      <w:szCs w:val="20"/>
                      <w:lang w:eastAsia="uk-UA"/>
                    </w:rPr>
                    <w:t>(10)</w:t>
                  </w:r>
                </w:p>
              </w:tc>
            </w:tr>
            <w:tr w:rsidR="001F767A" w:rsidRPr="005A615E" w:rsidTr="001F767A">
              <w:tc>
                <w:tcPr>
                  <w:tcW w:w="442"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де</w:t>
                  </w:r>
                </w:p>
              </w:tc>
              <w:tc>
                <w:tcPr>
                  <w:tcW w:w="811"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noProof/>
                      <w:sz w:val="20"/>
                      <w:szCs w:val="20"/>
                      <w:lang w:eastAsia="uk-UA"/>
                    </w:rPr>
                    <w:drawing>
                      <wp:inline distT="0" distB="0" distL="0" distR="0">
                        <wp:extent cx="400050" cy="171450"/>
                        <wp:effectExtent l="0" t="0" r="0" b="0"/>
                        <wp:docPr id="271230472" name="Рисунок 271230472" descr="https://zakon.rada.gov.ua/laws/file/imgs/120/p478167n71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83" descr="https://zakon.rada.gov.ua/laws/file/imgs/120/p478167n712-33.jpg"/>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00050" cy="171450"/>
                                </a:xfrm>
                                <a:prstGeom prst="rect">
                                  <a:avLst/>
                                </a:prstGeom>
                                <a:noFill/>
                                <a:ln>
                                  <a:noFill/>
                                </a:ln>
                              </pic:spPr>
                            </pic:pic>
                          </a:graphicData>
                        </a:graphic>
                      </wp:inline>
                    </w:drawing>
                  </w:r>
                </w:p>
              </w:tc>
              <w:tc>
                <w:tcPr>
                  <w:tcW w:w="294" w:type="dxa"/>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w:t>
                  </w:r>
                </w:p>
              </w:tc>
              <w:tc>
                <w:tcPr>
                  <w:tcW w:w="5886" w:type="dxa"/>
                  <w:gridSpan w:val="2"/>
                  <w:tcBorders>
                    <w:top w:val="single" w:sz="2" w:space="0" w:color="auto"/>
                    <w:left w:val="single" w:sz="2" w:space="0" w:color="auto"/>
                    <w:bottom w:val="single" w:sz="2" w:space="0" w:color="auto"/>
                    <w:right w:val="single" w:sz="2" w:space="0" w:color="auto"/>
                  </w:tcBorders>
                  <w:hideMark/>
                </w:tcPr>
                <w:p w:rsidR="001F767A" w:rsidRPr="005A615E" w:rsidRDefault="001F767A" w:rsidP="001F767A">
                  <w:pPr>
                    <w:spacing w:before="150" w:after="150"/>
                    <w:rPr>
                      <w:rFonts w:ascii="Times New Roman" w:hAnsi="Times New Roman"/>
                      <w:sz w:val="20"/>
                      <w:szCs w:val="20"/>
                      <w:lang w:eastAsia="uk-UA"/>
                    </w:rPr>
                  </w:pPr>
                  <w:r w:rsidRPr="005A615E">
                    <w:rPr>
                      <w:rFonts w:ascii="Times New Roman" w:hAnsi="Times New Roman"/>
                      <w:sz w:val="20"/>
                      <w:szCs w:val="20"/>
                      <w:lang w:eastAsia="uk-UA"/>
                    </w:rPr>
                    <w:t>тарифна чисельність працівників, що врахована у діючих тарифах, осіб.</w:t>
                  </w:r>
                </w:p>
              </w:tc>
            </w:tr>
          </w:tbl>
          <w:p w:rsidR="00CF2AC1" w:rsidRPr="005A615E" w:rsidRDefault="00CF2AC1" w:rsidP="00CF2AC1">
            <w:pPr>
              <w:rPr>
                <w:rFonts w:ascii="Times New Roman" w:hAnsi="Times New Roman"/>
                <w:b/>
                <w:sz w:val="24"/>
              </w:rPr>
            </w:pPr>
          </w:p>
        </w:tc>
      </w:tr>
      <w:tr w:rsidR="00CF2AC1" w:rsidRPr="005A615E" w:rsidTr="00A56FEE">
        <w:trPr>
          <w:trHeight w:val="841"/>
        </w:trPr>
        <w:tc>
          <w:tcPr>
            <w:tcW w:w="6232" w:type="dxa"/>
            <w:shd w:val="clear" w:color="auto" w:fill="auto"/>
          </w:tcPr>
          <w:p w:rsidR="00CF2AC1" w:rsidRPr="005A615E" w:rsidRDefault="00CF2AC1" w:rsidP="00CF2AC1">
            <w:pPr>
              <w:ind w:firstLine="173"/>
              <w:jc w:val="both"/>
              <w:rPr>
                <w:rFonts w:ascii="Times New Roman" w:hAnsi="Times New Roman"/>
                <w:szCs w:val="28"/>
              </w:rPr>
            </w:pPr>
            <w:r w:rsidRPr="005A615E">
              <w:rPr>
                <w:rFonts w:ascii="Times New Roman" w:hAnsi="Times New Roman"/>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tbl>
            <w:tblPr>
              <w:tblW w:w="7392"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4433"/>
              <w:gridCol w:w="1259"/>
              <w:gridCol w:w="1700"/>
            </w:tblGrid>
            <w:tr w:rsidR="00CF2AC1" w:rsidRPr="005A615E" w:rsidTr="0040082C">
              <w:trPr>
                <w:tblCellSpacing w:w="22" w:type="dxa"/>
              </w:trPr>
              <w:tc>
                <w:tcPr>
                  <w:tcW w:w="2954" w:type="pct"/>
                  <w:vAlign w:val="center"/>
                  <w:hideMark/>
                </w:tcPr>
                <w:p w:rsidR="00CF2AC1" w:rsidRPr="005A615E" w:rsidRDefault="00CF2AC1" w:rsidP="00CF2AC1">
                  <w:pPr>
                    <w:jc w:val="both"/>
                    <w:rPr>
                      <w:rFonts w:ascii="Times New Roman" w:hAnsi="Times New Roman"/>
                      <w:szCs w:val="28"/>
                    </w:rPr>
                  </w:pPr>
                  <w:r w:rsidRPr="005A615E">
                    <w:rPr>
                      <w:rFonts w:ascii="Times New Roman" w:hAnsi="Times New Roman"/>
                      <w:noProof/>
                      <w:szCs w:val="28"/>
                    </w:rPr>
                    <w:drawing>
                      <wp:inline distT="0" distB="0" distL="0" distR="0" wp14:anchorId="5BEC4840" wp14:editId="129C986B">
                        <wp:extent cx="2464904" cy="327615"/>
                        <wp:effectExtent l="0" t="0" r="0" b="0"/>
                        <wp:docPr id="23" name="Рисунок 23" descr="https://zakon-pro.ligazakon.net/l_flib1.nsf/LookupFiles/GK40721_IMG_369.GIF/$file/GK40721_IMG_369.GIF">
                          <a:hlinkClick xmlns:a="http://schemas.openxmlformats.org/drawingml/2006/main" r:id="rId1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zakon-pro.ligazakon.net/l_flib1.nsf/LookupFiles/GK40721_IMG_369.GIF/$file/GK40721_IMG_369.GIF">
                                  <a:hlinkClick r:id="rId120" tgtFrame="&quot;_blank&quot;"/>
                                </pic:cNvPr>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524698" cy="335562"/>
                                </a:xfrm>
                                <a:prstGeom prst="rect">
                                  <a:avLst/>
                                </a:prstGeom>
                                <a:noFill/>
                                <a:ln>
                                  <a:noFill/>
                                </a:ln>
                              </pic:spPr>
                            </pic:pic>
                          </a:graphicData>
                        </a:graphic>
                      </wp:inline>
                    </w:drawing>
                  </w:r>
                </w:p>
              </w:tc>
              <w:tc>
                <w:tcPr>
                  <w:tcW w:w="822" w:type="pct"/>
                  <w:vAlign w:val="center"/>
                  <w:hideMark/>
                </w:tcPr>
                <w:p w:rsidR="00CF2AC1" w:rsidRPr="005A615E" w:rsidRDefault="000D13C5" w:rsidP="00CF2AC1">
                  <w:pPr>
                    <w:jc w:val="both"/>
                    <w:rPr>
                      <w:rFonts w:ascii="Times New Roman" w:hAnsi="Times New Roman"/>
                      <w:szCs w:val="28"/>
                    </w:rPr>
                  </w:pPr>
                  <w:hyperlink r:id="rId122" w:tgtFrame="_blank" w:history="1">
                    <w:r w:rsidR="00CF2AC1" w:rsidRPr="005A615E">
                      <w:rPr>
                        <w:rFonts w:ascii="Times New Roman" w:hAnsi="Times New Roman"/>
                        <w:szCs w:val="28"/>
                      </w:rPr>
                      <w:t>, тис. грн,</w:t>
                    </w:r>
                  </w:hyperlink>
                </w:p>
              </w:tc>
              <w:tc>
                <w:tcPr>
                  <w:tcW w:w="1105" w:type="pct"/>
                  <w:vAlign w:val="center"/>
                  <w:hideMark/>
                </w:tcPr>
                <w:p w:rsidR="00CF2AC1" w:rsidRPr="005A615E" w:rsidRDefault="000D13C5" w:rsidP="00CF2AC1">
                  <w:pPr>
                    <w:jc w:val="both"/>
                    <w:rPr>
                      <w:rFonts w:ascii="Times New Roman" w:hAnsi="Times New Roman"/>
                      <w:szCs w:val="28"/>
                    </w:rPr>
                  </w:pPr>
                  <w:hyperlink r:id="rId123" w:tgtFrame="_blank" w:history="1">
                    <w:r w:rsidR="00CF2AC1" w:rsidRPr="005A615E">
                      <w:rPr>
                        <w:rFonts w:ascii="Times New Roman" w:hAnsi="Times New Roman"/>
                        <w:szCs w:val="28"/>
                      </w:rPr>
                      <w:t>(11)</w:t>
                    </w:r>
                  </w:hyperlink>
                </w:p>
              </w:tc>
            </w:tr>
          </w:tbl>
          <w:p w:rsidR="00CF2AC1" w:rsidRPr="005A615E" w:rsidRDefault="00CF2AC1" w:rsidP="00CF2AC1">
            <w:pPr>
              <w:ind w:firstLine="567"/>
              <w:jc w:val="both"/>
              <w:rPr>
                <w:rFonts w:ascii="Times New Roman" w:hAnsi="Times New Roman"/>
                <w:szCs w:val="28"/>
              </w:rPr>
            </w:pPr>
          </w:p>
          <w:p w:rsidR="00CF2AC1" w:rsidRPr="005A615E" w:rsidRDefault="00CF2AC1" w:rsidP="00CF2AC1">
            <w:pPr>
              <w:ind w:firstLine="173"/>
              <w:jc w:val="both"/>
              <w:rPr>
                <w:rFonts w:ascii="Times New Roman" w:hAnsi="Times New Roman"/>
                <w:szCs w:val="28"/>
              </w:rPr>
            </w:pPr>
            <w:r w:rsidRPr="005A615E">
              <w:rPr>
                <w:rFonts w:ascii="Times New Roman" w:hAnsi="Times New Roman"/>
                <w:szCs w:val="28"/>
              </w:rPr>
              <w:t>де </w:t>
            </w:r>
            <w:r w:rsidRPr="005A615E">
              <w:rPr>
                <w:rFonts w:ascii="Times New Roman" w:hAnsi="Times New Roman"/>
                <w:noProof/>
                <w:szCs w:val="28"/>
              </w:rPr>
              <w:drawing>
                <wp:inline distT="0" distB="0" distL="0" distR="0" wp14:anchorId="1C8FFA32" wp14:editId="5A7E01EA">
                  <wp:extent cx="469127" cy="167545"/>
                  <wp:effectExtent l="0" t="0" r="7620" b="4445"/>
                  <wp:docPr id="59" name="Рисунок 59" descr="https://zakon-pro.ligazakon.net/l_flib1.nsf/LookupFiles/GK40721_IMG_370.GIF/$file/GK40721_IMG_370.GIF">
                    <a:hlinkClick xmlns:a="http://schemas.openxmlformats.org/drawingml/2006/main" r:id="rId1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akon-pro.ligazakon.net/l_flib1.nsf/LookupFiles/GK40721_IMG_370.GIF/$file/GK40721_IMG_370.GIF">
                            <a:hlinkClick r:id="rId124" tgtFrame="&quot;_blank&quot;"/>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77751" cy="170625"/>
                          </a:xfrm>
                          <a:prstGeom prst="rect">
                            <a:avLst/>
                          </a:prstGeom>
                          <a:noFill/>
                          <a:ln>
                            <a:noFill/>
                          </a:ln>
                        </pic:spPr>
                      </pic:pic>
                    </a:graphicData>
                  </a:graphic>
                </wp:inline>
              </w:drawing>
            </w:r>
            <w:r w:rsidRPr="005A615E">
              <w:rPr>
                <w:rFonts w:ascii="Times New Roman" w:hAnsi="Times New Roman"/>
                <w:szCs w:val="28"/>
              </w:rPr>
              <w:t> </w:t>
            </w:r>
            <m:oMath>
              <m:r>
                <m:rPr>
                  <m:sty m:val="p"/>
                </m:rPr>
                <w:rPr>
                  <w:rFonts w:ascii="Cambria Math" w:hAnsi="Cambria Math"/>
                  <w:sz w:val="18"/>
                  <w:szCs w:val="20"/>
                  <w:lang w:eastAsia="uk-UA"/>
                </w:rPr>
                <m:t>-</m:t>
              </m:r>
            </m:oMath>
            <w:r w:rsidRPr="005A615E">
              <w:rPr>
                <w:rFonts w:ascii="Times New Roman" w:hAnsi="Times New Roman"/>
                <w:szCs w:val="28"/>
              </w:rPr>
              <w:t xml:space="preserve"> прогнозовані операційні контрольовані витрати в останньому році попереднього регуляторного періоду, тис. грн;</w:t>
            </w:r>
          </w:p>
          <w:p w:rsidR="00CF2AC1" w:rsidRPr="005A615E" w:rsidRDefault="00CF2AC1" w:rsidP="00CF2AC1">
            <w:pPr>
              <w:ind w:firstLine="173"/>
              <w:jc w:val="both"/>
              <w:rPr>
                <w:rFonts w:ascii="Times New Roman" w:hAnsi="Times New Roman"/>
                <w:szCs w:val="28"/>
              </w:rPr>
            </w:pPr>
          </w:p>
          <w:p w:rsidR="00CF2AC1" w:rsidRPr="005A615E" w:rsidRDefault="00CF2AC1" w:rsidP="00CF2AC1">
            <w:pPr>
              <w:ind w:firstLine="173"/>
              <w:jc w:val="both"/>
              <w:rPr>
                <w:rFonts w:ascii="Times New Roman" w:hAnsi="Times New Roman"/>
                <w:szCs w:val="28"/>
              </w:rPr>
            </w:pPr>
            <w:r w:rsidRPr="005A615E">
              <w:rPr>
                <w:rFonts w:ascii="Times New Roman" w:hAnsi="Times New Roman"/>
                <w:noProof/>
                <w:szCs w:val="28"/>
              </w:rPr>
              <w:drawing>
                <wp:inline distT="0" distB="0" distL="0" distR="0" wp14:anchorId="2F1C5F3A" wp14:editId="6E7DF927">
                  <wp:extent cx="429371" cy="137399"/>
                  <wp:effectExtent l="0" t="0" r="0" b="0"/>
                  <wp:docPr id="1993780096" name="Рисунок 1993780096" descr="https://zakon-pro.ligazakon.net/l_flib1.nsf/LookupFiles/GK40721_IMG_371.GIF/$file/GK40721_IMG_371.GIF">
                    <a:hlinkClick xmlns:a="http://schemas.openxmlformats.org/drawingml/2006/main" r:id="rId1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zakon-pro.ligazakon.net/l_flib1.nsf/LookupFiles/GK40721_IMG_371.GIF/$file/GK40721_IMG_371.GIF">
                            <a:hlinkClick r:id="rId126" tgtFrame="&quot;_blank&quot;"/>
                          </pic:cNvPr>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433121" cy="138599"/>
                          </a:xfrm>
                          <a:prstGeom prst="rect">
                            <a:avLst/>
                          </a:prstGeom>
                          <a:noFill/>
                          <a:ln>
                            <a:noFill/>
                          </a:ln>
                        </pic:spPr>
                      </pic:pic>
                    </a:graphicData>
                  </a:graphic>
                </wp:inline>
              </w:drawing>
            </w:r>
            <w:r w:rsidRPr="005A615E">
              <w:rPr>
                <w:rFonts w:ascii="Times New Roman" w:hAnsi="Times New Roman"/>
                <w:szCs w:val="28"/>
              </w:rPr>
              <w:t> - економія операційних контрольованих витрат за попередній регуляторний період (за винятком останнього року), що розраховується за формулою</w:t>
            </w:r>
          </w:p>
          <w:p w:rsidR="00CF2AC1" w:rsidRPr="005A615E" w:rsidRDefault="00CF2AC1" w:rsidP="00CF2AC1">
            <w:pPr>
              <w:ind w:firstLine="567"/>
              <w:jc w:val="both"/>
              <w:rPr>
                <w:rFonts w:ascii="Times New Roman" w:hAnsi="Times New Roman"/>
                <w:szCs w:val="28"/>
              </w:rPr>
            </w:pPr>
          </w:p>
          <w:tbl>
            <w:tblPr>
              <w:tblW w:w="5909"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4179"/>
              <w:gridCol w:w="1730"/>
            </w:tblGrid>
            <w:tr w:rsidR="00CF2AC1" w:rsidRPr="005A615E" w:rsidTr="0040082C">
              <w:trPr>
                <w:tblCellSpacing w:w="22" w:type="dxa"/>
                <w:jc w:val="center"/>
              </w:trPr>
              <w:tc>
                <w:tcPr>
                  <w:tcW w:w="3480" w:type="pct"/>
                  <w:vAlign w:val="center"/>
                  <w:hideMark/>
                </w:tcPr>
                <w:p w:rsidR="00CF2AC1" w:rsidRPr="005A615E" w:rsidRDefault="00CF2AC1" w:rsidP="00CF2AC1">
                  <w:pPr>
                    <w:jc w:val="right"/>
                    <w:rPr>
                      <w:rFonts w:ascii="Times New Roman" w:hAnsi="Times New Roman"/>
                      <w:szCs w:val="28"/>
                    </w:rPr>
                  </w:pPr>
                  <w:r w:rsidRPr="005A615E">
                    <w:rPr>
                      <w:rFonts w:ascii="Times New Roman" w:hAnsi="Times New Roman"/>
                      <w:noProof/>
                      <w:szCs w:val="28"/>
                    </w:rPr>
                    <w:drawing>
                      <wp:inline distT="0" distB="0" distL="0" distR="0" wp14:anchorId="71CC3923" wp14:editId="42B8EA2D">
                        <wp:extent cx="2337684" cy="224931"/>
                        <wp:effectExtent l="0" t="0" r="5715" b="3810"/>
                        <wp:docPr id="2" name="Рисунок 2" descr="https://zakon-pro.ligazakon.net/l_flib1.nsf/LookupFiles/GK40721_IMG_372.GIF/$file/GK40721_IMG_3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descr="https://zakon-pro.ligazakon.net/l_flib1.nsf/LookupFiles/GK40721_IMG_372.GIF/$file/GK40721_IMG_372.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373385" cy="228366"/>
                                </a:xfrm>
                                <a:prstGeom prst="rect">
                                  <a:avLst/>
                                </a:prstGeom>
                                <a:noFill/>
                                <a:ln>
                                  <a:noFill/>
                                </a:ln>
                              </pic:spPr>
                            </pic:pic>
                          </a:graphicData>
                        </a:graphic>
                      </wp:inline>
                    </w:drawing>
                  </w:r>
                </w:p>
              </w:tc>
              <w:tc>
                <w:tcPr>
                  <w:tcW w:w="1408" w:type="pct"/>
                  <w:vAlign w:val="center"/>
                  <w:hideMark/>
                </w:tcPr>
                <w:p w:rsidR="00CF2AC1" w:rsidRPr="005A615E" w:rsidRDefault="000D13C5" w:rsidP="00CF2AC1">
                  <w:pPr>
                    <w:jc w:val="both"/>
                    <w:rPr>
                      <w:rFonts w:ascii="Times New Roman" w:hAnsi="Times New Roman"/>
                      <w:szCs w:val="28"/>
                    </w:rPr>
                  </w:pPr>
                  <w:hyperlink r:id="rId129" w:tgtFrame="_blank" w:history="1">
                    <w:r w:rsidR="00CF2AC1" w:rsidRPr="005A615E">
                      <w:rPr>
                        <w:rFonts w:ascii="Times New Roman" w:hAnsi="Times New Roman"/>
                        <w:szCs w:val="28"/>
                      </w:rPr>
                      <w:t>, тис. грн,</w:t>
                    </w:r>
                  </w:hyperlink>
                  <w:r w:rsidR="00CF2AC1" w:rsidRPr="005A615E">
                    <w:rPr>
                      <w:rFonts w:ascii="Times New Roman" w:hAnsi="Times New Roman"/>
                      <w:szCs w:val="28"/>
                    </w:rPr>
                    <w:t xml:space="preserve">   </w:t>
                  </w:r>
                  <w:hyperlink r:id="rId130" w:tgtFrame="_blank" w:history="1">
                    <w:r w:rsidR="00CF2AC1" w:rsidRPr="005A615E">
                      <w:rPr>
                        <w:rFonts w:ascii="Times New Roman" w:hAnsi="Times New Roman"/>
                        <w:szCs w:val="28"/>
                      </w:rPr>
                      <w:t>(12)</w:t>
                    </w:r>
                  </w:hyperlink>
                </w:p>
              </w:tc>
            </w:tr>
          </w:tbl>
          <w:p w:rsidR="00CF2AC1" w:rsidRPr="005A615E" w:rsidRDefault="00CF2AC1" w:rsidP="00CF2AC1">
            <w:pPr>
              <w:jc w:val="both"/>
              <w:rPr>
                <w:rFonts w:ascii="Times New Roman" w:hAnsi="Times New Roman"/>
                <w:szCs w:val="28"/>
              </w:rPr>
            </w:pPr>
          </w:p>
          <w:p w:rsidR="00CF2AC1" w:rsidRPr="005A615E" w:rsidRDefault="00CF2AC1" w:rsidP="00CF2AC1">
            <w:pPr>
              <w:ind w:firstLine="173"/>
              <w:jc w:val="both"/>
              <w:rPr>
                <w:rFonts w:ascii="Times New Roman" w:hAnsi="Times New Roman"/>
                <w:szCs w:val="28"/>
              </w:rPr>
            </w:pPr>
            <w:r w:rsidRPr="005A615E">
              <w:rPr>
                <w:rFonts w:ascii="Times New Roman" w:hAnsi="Times New Roman"/>
                <w:noProof/>
                <w:szCs w:val="28"/>
              </w:rPr>
              <w:drawing>
                <wp:inline distT="0" distB="0" distL="0" distR="0" wp14:anchorId="4AFCA0EE" wp14:editId="58B6A978">
                  <wp:extent cx="266700" cy="200025"/>
                  <wp:effectExtent l="0" t="0" r="0" b="9525"/>
                  <wp:docPr id="1993780108" name="Рисунок 1993780108" descr="https://zakon-pro.ligazakon.net/l_flib1.nsf/LookupFiles/GK40721_IMG_373.GIF/$file/GK40721_IMG_373.GIF">
                    <a:hlinkClick xmlns:a="http://schemas.openxmlformats.org/drawingml/2006/main" r:id="rId1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zakon-pro.ligazakon.net/l_flib1.nsf/LookupFiles/GK40721_IMG_373.GIF/$file/GK40721_IMG_373.GIF">
                            <a:hlinkClick r:id="rId131" tgtFrame="&quot;_blank&quot;"/>
                          </pic:cNvPr>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5A615E">
              <w:rPr>
                <w:rFonts w:ascii="Times New Roman" w:hAnsi="Times New Roman"/>
                <w:szCs w:val="28"/>
              </w:rPr>
              <w:t> </w:t>
            </w:r>
            <m:oMath>
              <m:r>
                <m:rPr>
                  <m:sty m:val="p"/>
                </m:rPr>
                <w:rPr>
                  <w:rFonts w:ascii="Cambria Math" w:hAnsi="Cambria Math"/>
                  <w:sz w:val="18"/>
                  <w:szCs w:val="20"/>
                  <w:lang w:eastAsia="uk-UA"/>
                </w:rPr>
                <m:t>-</m:t>
              </m:r>
            </m:oMath>
            <w:r w:rsidRPr="005A615E">
              <w:rPr>
                <w:rFonts w:ascii="Times New Roman" w:hAnsi="Times New Roman"/>
                <w:szCs w:val="28"/>
              </w:rPr>
              <w:t xml:space="preserve"> коефіцієнт, що враховує зміну умовних одиниць обладнання за попередній регуляторний період (за винятком останнього року), що розраховується за формулою </w:t>
            </w:r>
          </w:p>
          <w:p w:rsidR="00CF2AC1" w:rsidRPr="005A615E" w:rsidRDefault="00CF2AC1" w:rsidP="00CF2AC1">
            <w:pPr>
              <w:ind w:firstLine="567"/>
              <w:jc w:val="both"/>
              <w:rPr>
                <w:rFonts w:ascii="Times New Roman" w:hAnsi="Times New Roman"/>
                <w:szCs w:val="28"/>
              </w:rPr>
            </w:pPr>
          </w:p>
          <w:p w:rsidR="00CF2AC1" w:rsidRPr="005A615E" w:rsidRDefault="000D13C5" w:rsidP="00CF2AC1">
            <w:pPr>
              <w:ind w:firstLine="567"/>
              <w:jc w:val="both"/>
              <w:rPr>
                <w:rFonts w:ascii="Times New Roman" w:hAnsi="Times New Roman"/>
              </w:rPr>
            </w:pPr>
            <m:oMathPara>
              <m:oMathParaPr>
                <m:jc m:val="center"/>
              </m:oMathParaPr>
              <m:oMath>
                <m:sSubSup>
                  <m:sSubSupPr>
                    <m:ctrlPr>
                      <w:rPr>
                        <w:rFonts w:ascii="Cambria Math" w:hAnsi="Cambria Math"/>
                        <w:i/>
                      </w:rPr>
                    </m:ctrlPr>
                  </m:sSubSupPr>
                  <m:e>
                    <m:r>
                      <w:rPr>
                        <w:rFonts w:ascii="Cambria Math" w:hAnsi="Cambria Math"/>
                      </w:rPr>
                      <m:t>К</m:t>
                    </m:r>
                  </m:e>
                  <m:sub>
                    <m:r>
                      <w:rPr>
                        <w:rFonts w:ascii="Cambria Math" w:hAnsi="Cambria Math"/>
                      </w:rPr>
                      <m:t>УО</m:t>
                    </m:r>
                  </m:sub>
                  <m:sup>
                    <m:r>
                      <w:rPr>
                        <w:rFonts w:ascii="Cambria Math" w:hAnsi="Cambria Math"/>
                      </w:rPr>
                      <m:t>І</m:t>
                    </m:r>
                  </m:sup>
                </m:sSubSup>
                <m:r>
                  <w:rPr>
                    <w:rFonts w:ascii="Cambria Math" w:hAnsi="Cambria Math"/>
                  </w:rPr>
                  <m:t>=1+КУ×</m:t>
                </m:r>
                <m:f>
                  <m:fPr>
                    <m:ctrlPr>
                      <w:rPr>
                        <w:rFonts w:ascii="Cambria Math" w:hAnsi="Cambria Math"/>
                        <w:i/>
                      </w:rPr>
                    </m:ctrlPr>
                  </m:fPr>
                  <m:num>
                    <m:sSup>
                      <m:sSupPr>
                        <m:ctrlPr>
                          <w:rPr>
                            <w:rFonts w:ascii="Cambria Math" w:hAnsi="Cambria Math"/>
                            <w:i/>
                          </w:rPr>
                        </m:ctrlPr>
                      </m:sSupPr>
                      <m:e>
                        <m:r>
                          <w:rPr>
                            <w:rFonts w:ascii="Cambria Math" w:hAnsi="Cambria Math"/>
                          </w:rPr>
                          <m:t>∆УО</m:t>
                        </m:r>
                      </m:e>
                      <m:sup>
                        <m:r>
                          <w:rPr>
                            <w:rFonts w:ascii="Cambria Math" w:hAnsi="Cambria Math"/>
                          </w:rPr>
                          <m:t>І</m:t>
                        </m:r>
                      </m:sup>
                    </m:sSup>
                  </m:num>
                  <m:den>
                    <m:sSubSup>
                      <m:sSubSupPr>
                        <m:ctrlPr>
                          <w:rPr>
                            <w:rFonts w:ascii="Cambria Math" w:hAnsi="Cambria Math"/>
                            <w:i/>
                          </w:rPr>
                        </m:ctrlPr>
                      </m:sSubSupPr>
                      <m:e>
                        <m:r>
                          <w:rPr>
                            <w:rFonts w:ascii="Cambria Math" w:hAnsi="Cambria Math"/>
                          </w:rPr>
                          <m:t>УО</m:t>
                        </m:r>
                      </m:e>
                      <m:sub>
                        <m:r>
                          <w:rPr>
                            <w:rFonts w:ascii="Cambria Math" w:hAnsi="Cambria Math"/>
                            <w:lang w:val="en-US"/>
                          </w:rPr>
                          <m:t>t</m:t>
                        </m:r>
                        <m:r>
                          <w:rPr>
                            <w:rFonts w:ascii="Cambria Math" w:hAnsi="Cambria Math"/>
                          </w:rPr>
                          <m:t>=1</m:t>
                        </m:r>
                      </m:sub>
                      <m:sup>
                        <m:r>
                          <w:rPr>
                            <w:rFonts w:ascii="Cambria Math" w:hAnsi="Cambria Math"/>
                          </w:rPr>
                          <m:t>поч</m:t>
                        </m:r>
                      </m:sup>
                    </m:sSubSup>
                  </m:den>
                </m:f>
                <m:r>
                  <w:rPr>
                    <w:rFonts w:ascii="Cambria Math" w:hAnsi="Cambria Math"/>
                  </w:rPr>
                  <m:t xml:space="preserve">, </m:t>
                </m:r>
                <m:r>
                  <m:rPr>
                    <m:sty m:val="p"/>
                  </m:rPr>
                  <w:rPr>
                    <w:rFonts w:ascii="Cambria Math" w:hAnsi="Cambria Math"/>
                    <w:szCs w:val="28"/>
                  </w:rPr>
                  <m:t xml:space="preserve">відносних одиниць,   </m:t>
                </m:r>
                <w:hyperlink r:id="rId133" w:tgtFrame="_blank" w:history="1">
                  <m:r>
                    <m:rPr>
                      <m:sty m:val="p"/>
                    </m:rPr>
                    <w:rPr>
                      <w:rFonts w:ascii="Cambria Math" w:hAnsi="Cambria Math"/>
                      <w:szCs w:val="28"/>
                      <w:u w:val="single"/>
                    </w:rPr>
                    <m:t>(13)</m:t>
                  </m:r>
                </w:hyperlink>
              </m:oMath>
            </m:oMathPara>
          </w:p>
          <w:p w:rsidR="00CF2AC1" w:rsidRPr="005A615E" w:rsidRDefault="00CF2AC1" w:rsidP="00CF2AC1">
            <w:pPr>
              <w:ind w:firstLine="173"/>
              <w:jc w:val="both"/>
              <w:rPr>
                <w:rFonts w:ascii="Times New Roman" w:hAnsi="Times New Roman"/>
              </w:rPr>
            </w:pPr>
          </w:p>
          <w:p w:rsidR="00CF2AC1" w:rsidRPr="005A615E" w:rsidRDefault="00CF2AC1" w:rsidP="00CF2AC1">
            <w:pPr>
              <w:ind w:firstLine="173"/>
              <w:jc w:val="both"/>
              <w:rPr>
                <w:rFonts w:ascii="Times New Roman" w:hAnsi="Times New Roman"/>
                <w:szCs w:val="28"/>
              </w:rPr>
            </w:pPr>
            <w:r w:rsidRPr="005A615E">
              <w:rPr>
                <w:rFonts w:ascii="Times New Roman" w:hAnsi="Times New Roman"/>
                <w:szCs w:val="28"/>
              </w:rPr>
              <w:t>де </w:t>
            </w:r>
            <w:r w:rsidRPr="005A615E">
              <w:rPr>
                <w:rFonts w:ascii="Times New Roman" w:hAnsi="Times New Roman"/>
                <w:noProof/>
                <w:szCs w:val="28"/>
              </w:rPr>
              <w:drawing>
                <wp:inline distT="0" distB="0" distL="0" distR="0" wp14:anchorId="729046B8" wp14:editId="23F5F0CA">
                  <wp:extent cx="447675" cy="161925"/>
                  <wp:effectExtent l="0" t="0" r="9525" b="9525"/>
                  <wp:docPr id="1993780119" name="Рисунок 1993780119" descr="https://zakon-pro.ligazakon.net/l_flib1.nsf/LookupFiles/GK40721_IMG_375.GIF/$file/GK40721_IMG_375.GIF">
                    <a:hlinkClick xmlns:a="http://schemas.openxmlformats.org/drawingml/2006/main" r:id="rId13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zakon-pro.ligazakon.net/l_flib1.nsf/LookupFiles/GK40721_IMG_375.GIF/$file/GK40721_IMG_375.GIF">
                            <a:hlinkClick r:id="rId134" tgtFrame="&quot;_blank&quot;"/>
                          </pic:cNvPr>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447675" cy="161925"/>
                          </a:xfrm>
                          <a:prstGeom prst="rect">
                            <a:avLst/>
                          </a:prstGeom>
                          <a:noFill/>
                          <a:ln>
                            <a:noFill/>
                          </a:ln>
                        </pic:spPr>
                      </pic:pic>
                    </a:graphicData>
                  </a:graphic>
                </wp:inline>
              </w:drawing>
            </w:r>
            <w:r w:rsidRPr="005A615E">
              <w:rPr>
                <w:rFonts w:ascii="Times New Roman" w:hAnsi="Times New Roman"/>
                <w:szCs w:val="28"/>
              </w:rPr>
              <w:t xml:space="preserve"> </w:t>
            </w:r>
            <m:oMath>
              <m:r>
                <m:rPr>
                  <m:sty m:val="p"/>
                </m:rPr>
                <w:rPr>
                  <w:rFonts w:ascii="Cambria Math" w:hAnsi="Cambria Math"/>
                  <w:sz w:val="18"/>
                  <w:szCs w:val="20"/>
                  <w:lang w:eastAsia="uk-UA"/>
                </w:rPr>
                <m:t>-</m:t>
              </m:r>
            </m:oMath>
            <w:r w:rsidRPr="005A615E">
              <w:rPr>
                <w:rFonts w:ascii="Times New Roman" w:hAnsi="Times New Roman"/>
                <w:szCs w:val="28"/>
              </w:rPr>
              <w:t xml:space="preserve"> кількість умовних одиниць обладнання на початок першого року попереднього регуляторного періоду (для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 рік t-1);</w:t>
            </w:r>
          </w:p>
          <w:p w:rsidR="00CF2AC1" w:rsidRPr="005A615E" w:rsidRDefault="000D13C5" w:rsidP="00CF2AC1">
            <w:pPr>
              <w:ind w:firstLine="173"/>
              <w:jc w:val="both"/>
              <w:rPr>
                <w:rFonts w:ascii="Times New Roman" w:hAnsi="Times New Roman"/>
                <w:szCs w:val="28"/>
              </w:rPr>
            </w:pPr>
            <m:oMath>
              <m:sSup>
                <m:sSupPr>
                  <m:ctrlPr>
                    <w:rPr>
                      <w:rFonts w:ascii="Cambria Math" w:hAnsi="Cambria Math"/>
                      <w:i/>
                      <w:noProof/>
                      <w:lang w:eastAsia="uk-UA"/>
                    </w:rPr>
                  </m:ctrlPr>
                </m:sSupPr>
                <m:e>
                  <m:r>
                    <w:rPr>
                      <w:rFonts w:ascii="Cambria Math" w:hAnsi="Cambria Math"/>
                      <w:noProof/>
                      <w:lang w:eastAsia="uk-UA"/>
                    </w:rPr>
                    <m:t>∆УО</m:t>
                  </m:r>
                </m:e>
                <m:sup>
                  <m:r>
                    <w:rPr>
                      <w:rFonts w:ascii="Cambria Math" w:hAnsi="Cambria Math"/>
                      <w:noProof/>
                      <w:lang w:eastAsia="uk-UA"/>
                    </w:rPr>
                    <m:t>І</m:t>
                  </m:r>
                </m:sup>
              </m:sSup>
              <m:r>
                <w:rPr>
                  <w:rFonts w:ascii="Cambria Math" w:hAnsi="Cambria Math"/>
                  <w:noProof/>
                  <w:lang w:eastAsia="uk-UA"/>
                </w:rPr>
                <m:t xml:space="preserve"> </m:t>
              </m:r>
              <m:r>
                <w:rPr>
                  <w:rFonts w:ascii="Cambria Math" w:hAnsi="Cambria Math"/>
                  <w:sz w:val="18"/>
                  <w:szCs w:val="20"/>
                  <w:lang w:eastAsia="uk-UA"/>
                </w:rPr>
                <m:t xml:space="preserve">- </m:t>
              </m:r>
            </m:oMath>
            <w:r w:rsidR="00CF2AC1" w:rsidRPr="005A615E">
              <w:rPr>
                <w:rFonts w:ascii="Times New Roman" w:hAnsi="Times New Roman"/>
                <w:szCs w:val="28"/>
              </w:rPr>
              <w:t>зміна фактичної кількості умовних одиниць енергетичного обладнання, на початок першого року попереднього регуляторного періоду, до  фактичної кількості умовних одиниць енергетичного обладнання ліцензіата на кінець року t-2 (для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 рік t-1 до фактичної кількості умовних одиниць енергетичного обладнання ліцензіата  на кінець року t-2).</w:t>
            </w:r>
          </w:p>
          <w:p w:rsidR="00CF2AC1" w:rsidRPr="005A615E" w:rsidRDefault="00CF2AC1" w:rsidP="00CF2AC1">
            <w:pPr>
              <w:shd w:val="clear" w:color="auto" w:fill="FFFFFF"/>
              <w:ind w:firstLine="173"/>
              <w:contextualSpacing/>
              <w:jc w:val="both"/>
              <w:rPr>
                <w:rFonts w:ascii="Times New Roman" w:hAnsi="Times New Roman"/>
              </w:rPr>
            </w:pPr>
            <w:r w:rsidRPr="005A615E">
              <w:rPr>
                <w:rFonts w:ascii="Times New Roman" w:hAnsi="Times New Roman"/>
              </w:rPr>
              <w:t xml:space="preserve">Для першого року другого та наступних  регуляторних періодів при визначенні прогнозованого фонду оплати праці (витрат на оплату праці) у році t </w:t>
            </w:r>
            <m:oMath>
              <m:r>
                <w:rPr>
                  <w:rFonts w:ascii="Cambria Math" w:hAnsi="Cambria Math"/>
                </w:rPr>
                <m:t>(</m:t>
              </m:r>
              <m:sSubSup>
                <m:sSubSupPr>
                  <m:ctrlPr>
                    <w:rPr>
                      <w:rFonts w:ascii="Cambria Math" w:hAnsi="Cambria Math"/>
                      <w:i/>
                    </w:rPr>
                  </m:ctrlPr>
                </m:sSubSupPr>
                <m:e>
                  <m:r>
                    <w:rPr>
                      <w:rFonts w:ascii="Cambria Math" w:hAnsi="Cambria Math"/>
                      <w:lang w:eastAsia="uk-UA"/>
                    </w:rPr>
                    <m:t>ФОП</m:t>
                  </m:r>
                </m:e>
                <m:sub>
                  <m:r>
                    <w:rPr>
                      <w:rFonts w:ascii="Cambria Math" w:hAnsi="Cambria Math"/>
                      <w:lang w:eastAsia="uk-UA"/>
                    </w:rPr>
                    <m:t>t</m:t>
                  </m:r>
                </m:sub>
                <m:sup>
                  <m:r>
                    <w:rPr>
                      <w:rFonts w:ascii="Cambria Math" w:hAnsi="Cambria Math"/>
                      <w:lang w:eastAsia="uk-UA"/>
                    </w:rPr>
                    <m:t>n</m:t>
                  </m:r>
                </m:sup>
              </m:sSubSup>
              <m:r>
                <w:rPr>
                  <w:rFonts w:ascii="Cambria Math" w:hAnsi="Cambria Math"/>
                </w:rPr>
                <m:t xml:space="preserve"> )</m:t>
              </m:r>
            </m:oMath>
            <w:r w:rsidRPr="005A615E">
              <w:rPr>
                <w:rFonts w:ascii="Times New Roman" w:hAnsi="Times New Roman"/>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lang w:eastAsia="uk-UA"/>
              </w:rPr>
              <w:t>(</w:t>
            </w:r>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m:t>
                  </m:r>
                </m:sub>
                <m:sup>
                  <m:r>
                    <w:rPr>
                      <w:rFonts w:ascii="Cambria Math" w:hAnsi="Cambria Math"/>
                      <w:lang w:eastAsia="uk-UA"/>
                    </w:rPr>
                    <m:t>тар</m:t>
                  </m:r>
                </m:sup>
              </m:sSubSup>
            </m:oMath>
            <w:r w:rsidRPr="005A615E">
              <w:rPr>
                <w:rFonts w:ascii="Times New Roman" w:hAnsi="Times New Roman"/>
                <w:lang w:eastAsia="uk-UA"/>
              </w:rPr>
              <w:t xml:space="preserve">) </w:t>
            </w:r>
            <w:r w:rsidRPr="005A615E">
              <w:rPr>
                <w:rFonts w:ascii="Times New Roman" w:hAnsi="Times New Roman"/>
              </w:rPr>
              <w:t>розраховується за формулою</w:t>
            </w:r>
          </w:p>
          <w:p w:rsidR="00CF2AC1" w:rsidRPr="005A615E" w:rsidRDefault="00CF2AC1" w:rsidP="00CF2AC1">
            <w:pPr>
              <w:ind w:firstLine="173"/>
              <w:jc w:val="both"/>
              <w:rPr>
                <w:rFonts w:ascii="Times New Roman" w:hAnsi="Times New Roman"/>
                <w:szCs w:val="28"/>
              </w:rPr>
            </w:pPr>
          </w:p>
          <w:bookmarkStart w:id="5" w:name="_Hlk234310411"/>
          <w:p w:rsidR="00CF2AC1" w:rsidRPr="005A615E" w:rsidRDefault="000D13C5" w:rsidP="00CF2AC1">
            <w:pPr>
              <w:shd w:val="clear" w:color="auto" w:fill="FFFFFF"/>
              <w:spacing w:after="150"/>
              <w:ind w:firstLine="450"/>
              <w:jc w:val="both"/>
              <w:rPr>
                <w:rFonts w:ascii="Times New Roman" w:hAnsi="Times New Roman"/>
                <w:szCs w:val="28"/>
                <w:u w:val="single"/>
              </w:rPr>
            </w:pPr>
            <m:oMathPara>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val="en-US" w:eastAsia="uk-UA"/>
                      </w:rPr>
                      <m:t>t</m:t>
                    </m:r>
                  </m:sub>
                  <m:sup>
                    <m:r>
                      <w:rPr>
                        <w:rFonts w:ascii="Cambria Math" w:hAnsi="Cambria Math"/>
                        <w:lang w:eastAsia="uk-UA"/>
                      </w:rPr>
                      <m:t>тар</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t-1</m:t>
                    </m:r>
                  </m:sub>
                  <m:sup>
                    <m:r>
                      <w:rPr>
                        <w:rFonts w:ascii="Cambria Math" w:hAnsi="Cambria Math"/>
                        <w:lang w:eastAsia="uk-UA"/>
                      </w:rPr>
                      <m:t>тар</m:t>
                    </m:r>
                  </m:sup>
                </m:sSubSup>
                <m:r>
                  <w:rPr>
                    <w:rFonts w:ascii="Cambria Math" w:hAnsi="Cambria Math"/>
                    <w:lang w:eastAsia="uk-UA"/>
                  </w:rPr>
                  <m:t>×</m:t>
                </m:r>
                <m:sSup>
                  <m:sSupPr>
                    <m:ctrlPr>
                      <w:rPr>
                        <w:rFonts w:ascii="Cambria Math" w:hAnsi="Cambria Math"/>
                        <w:i/>
                        <w:lang w:eastAsia="uk-UA"/>
                      </w:rPr>
                    </m:ctrlPr>
                  </m:sSupPr>
                  <m:e>
                    <m:r>
                      <w:rPr>
                        <w:rFonts w:ascii="Cambria Math" w:hAnsi="Cambria Math"/>
                        <w:lang w:eastAsia="uk-UA"/>
                      </w:rPr>
                      <m:t>(1-</m:t>
                    </m:r>
                    <m:f>
                      <m:fPr>
                        <m:ctrlPr>
                          <w:rPr>
                            <w:rFonts w:ascii="Cambria Math" w:hAnsi="Cambria Math"/>
                            <w:i/>
                            <w:lang w:eastAsia="uk-UA"/>
                          </w:rPr>
                        </m:ctrlPr>
                      </m:fPr>
                      <m:num>
                        <m:sSub>
                          <m:sSubPr>
                            <m:ctrlPr>
                              <w:rPr>
                                <w:rFonts w:ascii="Cambria Math" w:hAnsi="Cambria Math"/>
                                <w:i/>
                                <w:lang w:eastAsia="uk-UA"/>
                              </w:rPr>
                            </m:ctrlPr>
                          </m:sSubPr>
                          <m:e>
                            <m:r>
                              <w:rPr>
                                <w:rFonts w:ascii="Cambria Math" w:hAnsi="Cambria Math"/>
                                <w:lang w:eastAsia="uk-UA"/>
                              </w:rPr>
                              <m:t>ПЕ</m:t>
                            </m:r>
                          </m:e>
                          <m:sub>
                            <m:r>
                              <w:rPr>
                                <w:rFonts w:ascii="Cambria Math" w:hAnsi="Cambria Math"/>
                                <w:lang w:eastAsia="uk-UA"/>
                              </w:rPr>
                              <m:t>з</m:t>
                            </m:r>
                          </m:sub>
                        </m:sSub>
                      </m:num>
                      <m:den>
                        <m:r>
                          <w:rPr>
                            <w:rFonts w:ascii="Cambria Math" w:hAnsi="Cambria Math"/>
                            <w:lang w:eastAsia="uk-UA"/>
                          </w:rPr>
                          <m:t>100</m:t>
                        </m:r>
                      </m:den>
                    </m:f>
                    <m:r>
                      <w:rPr>
                        <w:rFonts w:ascii="Cambria Math" w:hAnsi="Cambria Math"/>
                        <w:lang w:eastAsia="uk-UA"/>
                      </w:rPr>
                      <m:t>)</m:t>
                    </m:r>
                  </m:e>
                  <m:sup>
                    <m:r>
                      <w:rPr>
                        <w:rFonts w:ascii="Cambria Math" w:hAnsi="Cambria Math"/>
                        <w:lang w:val="en-US" w:eastAsia="uk-UA"/>
                      </w:rPr>
                      <m:t>n</m:t>
                    </m:r>
                  </m:sup>
                </m:sSup>
                <m:r>
                  <w:rPr>
                    <w:rFonts w:ascii="Cambria Math" w:hAnsi="Cambria Math"/>
                    <w:lang w:eastAsia="uk-UA"/>
                  </w:rPr>
                  <m:t xml:space="preserve"> ×</m:t>
                </m:r>
                <m:sSubSup>
                  <m:sSubSupPr>
                    <m:ctrlPr>
                      <w:rPr>
                        <w:rFonts w:ascii="Cambria Math" w:hAnsi="Cambria Math"/>
                        <w:i/>
                        <w:lang w:eastAsia="uk-UA"/>
                      </w:rPr>
                    </m:ctrlPr>
                  </m:sSubSupPr>
                  <m:e>
                    <m:r>
                      <w:rPr>
                        <w:rFonts w:ascii="Cambria Math" w:hAnsi="Cambria Math"/>
                        <w:lang w:eastAsia="uk-UA"/>
                      </w:rPr>
                      <m:t>КУ</m:t>
                    </m:r>
                  </m:e>
                  <m:sub>
                    <m:r>
                      <w:rPr>
                        <w:rFonts w:ascii="Cambria Math" w:hAnsi="Cambria Math"/>
                        <w:lang w:eastAsia="uk-UA"/>
                      </w:rPr>
                      <m:t>УО</m:t>
                    </m:r>
                  </m:sub>
                  <m:sup>
                    <m:r>
                      <w:rPr>
                        <w:rFonts w:ascii="Cambria Math" w:hAnsi="Cambria Math"/>
                        <w:lang w:eastAsia="uk-UA"/>
                      </w:rPr>
                      <m:t>І</m:t>
                    </m:r>
                  </m:sup>
                </m:sSubSup>
                <m:r>
                  <w:rPr>
                    <w:rFonts w:ascii="Cambria Math" w:hAnsi="Cambria Math"/>
                    <w:lang w:eastAsia="uk-UA"/>
                  </w:rPr>
                  <m:t xml:space="preserve">,    </m:t>
                </m:r>
                <m:r>
                  <m:rPr>
                    <m:sty m:val="p"/>
                  </m:rPr>
                  <w:rPr>
                    <w:rFonts w:ascii="Cambria Math" w:hAnsi="Cambria Math"/>
                    <w:szCs w:val="28"/>
                    <w:u w:val="single"/>
                  </w:rPr>
                  <m:t>осіб ,</m:t>
                </m:r>
                <m:r>
                  <m:rPr>
                    <m:sty m:val="p"/>
                  </m:rPr>
                  <w:rPr>
                    <w:rFonts w:ascii="Cambria Math" w:hAnsi="Cambria Math"/>
                    <w:szCs w:val="28"/>
                  </w:rPr>
                  <m:t xml:space="preserve">   </m:t>
                </m:r>
                <w:hyperlink r:id="rId136" w:tgtFrame="_blank" w:history="1">
                  <m:r>
                    <m:rPr>
                      <m:sty m:val="p"/>
                    </m:rPr>
                    <w:rPr>
                      <w:rFonts w:ascii="Cambria Math" w:hAnsi="Cambria Math"/>
                      <w:szCs w:val="28"/>
                      <w:u w:val="single"/>
                    </w:rPr>
                    <m:t>(14)</m:t>
                  </m:r>
                </w:hyperlink>
              </m:oMath>
            </m:oMathPara>
            <w:bookmarkEnd w:id="5"/>
          </w:p>
          <w:p w:rsidR="00CF2AC1" w:rsidRPr="005A615E" w:rsidRDefault="00CF2AC1" w:rsidP="00CF2AC1">
            <w:pPr>
              <w:shd w:val="clear" w:color="auto" w:fill="FFFFFF"/>
              <w:ind w:firstLine="173"/>
              <w:jc w:val="both"/>
              <w:rPr>
                <w:rFonts w:ascii="Times New Roman" w:hAnsi="Times New Roman"/>
                <w:szCs w:val="28"/>
              </w:rPr>
            </w:pPr>
            <w:r w:rsidRPr="005A615E">
              <w:rPr>
                <w:rFonts w:ascii="Times New Roman" w:hAnsi="Times New Roman"/>
                <w:szCs w:val="28"/>
              </w:rPr>
              <w:t xml:space="preserve">де </w:t>
            </w:r>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t-1</m:t>
                  </m:r>
                </m:sub>
                <m:sup>
                  <m:r>
                    <w:rPr>
                      <w:rFonts w:ascii="Cambria Math" w:hAnsi="Cambria Math"/>
                      <w:lang w:eastAsia="uk-UA"/>
                    </w:rPr>
                    <m:t xml:space="preserve">тар </m:t>
                  </m:r>
                </m:sup>
              </m:sSubSup>
              <m:r>
                <w:rPr>
                  <w:rFonts w:ascii="Cambria Math" w:hAnsi="Cambria Math"/>
                  <w:lang w:eastAsia="uk-UA"/>
                </w:rPr>
                <m:t xml:space="preserve"> </m:t>
              </m:r>
              <m:r>
                <w:rPr>
                  <w:rFonts w:ascii="Cambria Math" w:hAnsi="Cambria Math"/>
                  <w:sz w:val="18"/>
                  <w:szCs w:val="20"/>
                  <w:lang w:eastAsia="uk-UA"/>
                </w:rPr>
                <m:t xml:space="preserve">- </m:t>
              </m:r>
            </m:oMath>
            <w:r w:rsidRPr="005A615E">
              <w:rPr>
                <w:rFonts w:ascii="Times New Roman" w:hAnsi="Times New Roman"/>
                <w:szCs w:val="28"/>
              </w:rPr>
              <w:t>тарифна чисельність працівників, що врахована у діючих тарифах, осіб;</w:t>
            </w:r>
          </w:p>
          <w:p w:rsidR="00CF2AC1" w:rsidRPr="005A615E" w:rsidRDefault="00CF2AC1" w:rsidP="00CF2AC1">
            <w:pPr>
              <w:shd w:val="clear" w:color="auto" w:fill="FFFFFF"/>
              <w:spacing w:after="150"/>
              <w:ind w:firstLine="173"/>
              <w:jc w:val="both"/>
              <w:rPr>
                <w:rFonts w:ascii="Times New Roman" w:hAnsi="Times New Roman"/>
                <w:szCs w:val="28"/>
              </w:rPr>
            </w:pPr>
            <w:r w:rsidRPr="005A615E">
              <w:rPr>
                <w:rFonts w:ascii="Times New Roman" w:hAnsi="Times New Roman"/>
                <w:szCs w:val="28"/>
              </w:rPr>
              <w:t xml:space="preserve">n </w:t>
            </w:r>
            <m:oMath>
              <m:r>
                <m:rPr>
                  <m:sty m:val="p"/>
                </m:rPr>
                <w:rPr>
                  <w:rFonts w:ascii="Cambria Math" w:hAnsi="Cambria Math"/>
                  <w:szCs w:val="28"/>
                </w:rPr>
                <m:t>–</m:t>
              </m:r>
            </m:oMath>
            <w:r w:rsidRPr="005A615E">
              <w:rPr>
                <w:rFonts w:ascii="Times New Roman" w:hAnsi="Times New Roman"/>
                <w:szCs w:val="28"/>
              </w:rPr>
              <w:t xml:space="preserve"> кількість років попереднього регуляторного періоду, протягом яких застосовувався загальний показник ефективності для операційних контрольованих витрат, встановлений НКРЕКП (за винятком останнього року), які визначають показник степеня.</w:t>
            </w:r>
          </w:p>
          <w:p w:rsidR="00CF2AC1" w:rsidRPr="005A615E" w:rsidRDefault="00CF2AC1" w:rsidP="00CF2AC1">
            <w:pPr>
              <w:ind w:firstLine="173"/>
              <w:jc w:val="both"/>
              <w:rPr>
                <w:rFonts w:ascii="Times New Roman" w:hAnsi="Times New Roman"/>
                <w:szCs w:val="28"/>
              </w:rPr>
            </w:pPr>
            <w:r w:rsidRPr="005A615E">
              <w:rPr>
                <w:rFonts w:ascii="Times New Roman" w:hAnsi="Times New Roman"/>
                <w:szCs w:val="28"/>
              </w:rPr>
              <w:t>Базові рівні операційних контрольованих витрат на другий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CF2AC1" w:rsidP="00CF2AC1">
            <w:pPr>
              <w:ind w:firstLine="567"/>
              <w:jc w:val="both"/>
              <w:rPr>
                <w:rFonts w:ascii="Times New Roman" w:hAnsi="Times New Roman"/>
                <w:szCs w:val="28"/>
              </w:rPr>
            </w:pPr>
          </w:p>
          <w:tbl>
            <w:tblPr>
              <w:tblW w:w="6135"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4416"/>
              <w:gridCol w:w="1133"/>
              <w:gridCol w:w="586"/>
            </w:tblGrid>
            <w:tr w:rsidR="00CF2AC1" w:rsidRPr="005A615E" w:rsidTr="005E5D2E">
              <w:trPr>
                <w:tblCellSpacing w:w="22" w:type="dxa"/>
              </w:trPr>
              <w:tc>
                <w:tcPr>
                  <w:tcW w:w="3545" w:type="pct"/>
                  <w:vAlign w:val="center"/>
                  <w:hideMark/>
                </w:tcPr>
                <w:p w:rsidR="00CF2AC1" w:rsidRPr="005A615E" w:rsidRDefault="00CF2AC1" w:rsidP="00CF2AC1">
                  <w:pPr>
                    <w:ind w:firstLine="246"/>
                    <w:jc w:val="both"/>
                    <w:rPr>
                      <w:rFonts w:ascii="Times New Roman" w:hAnsi="Times New Roman"/>
                      <w:szCs w:val="28"/>
                    </w:rPr>
                  </w:pPr>
                  <w:r w:rsidRPr="005A615E">
                    <w:rPr>
                      <w:rFonts w:ascii="Times New Roman" w:hAnsi="Times New Roman"/>
                      <w:noProof/>
                      <w:szCs w:val="28"/>
                    </w:rPr>
                    <w:drawing>
                      <wp:inline distT="0" distB="0" distL="0" distR="0" wp14:anchorId="2D23373F" wp14:editId="3B0B38C4">
                        <wp:extent cx="2492872" cy="277495"/>
                        <wp:effectExtent l="0" t="0" r="3175" b="8255"/>
                        <wp:docPr id="1993780120" name="Рисунок 1993780120" descr="https://zakon-pro.ligazakon.net/l_flib1.nsf/LookupFiles/GK40721_IMG_376.GIF/$file/GK40721_IMG_3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0" name="Рисунок 1993780120" descr="https://zakon-pro.ligazakon.net/l_flib1.nsf/LookupFiles/GK40721_IMG_376.GIF/$file/GK40721_IMG_376.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492872" cy="277495"/>
                                </a:xfrm>
                                <a:prstGeom prst="rect">
                                  <a:avLst/>
                                </a:prstGeom>
                                <a:noFill/>
                                <a:ln>
                                  <a:noFill/>
                                </a:ln>
                              </pic:spPr>
                            </pic:pic>
                          </a:graphicData>
                        </a:graphic>
                      </wp:inline>
                    </w:drawing>
                  </w:r>
                </w:p>
              </w:tc>
              <w:tc>
                <w:tcPr>
                  <w:tcW w:w="888" w:type="pct"/>
                  <w:vAlign w:val="center"/>
                  <w:hideMark/>
                </w:tcPr>
                <w:p w:rsidR="00CF2AC1" w:rsidRPr="005A615E" w:rsidRDefault="000D13C5" w:rsidP="00CF2AC1">
                  <w:pPr>
                    <w:jc w:val="both"/>
                    <w:rPr>
                      <w:rFonts w:ascii="Times New Roman" w:hAnsi="Times New Roman"/>
                      <w:szCs w:val="28"/>
                    </w:rPr>
                  </w:pPr>
                  <w:hyperlink r:id="rId138" w:tgtFrame="_blank" w:history="1">
                    <w:r w:rsidR="00CF2AC1" w:rsidRPr="005A615E">
                      <w:rPr>
                        <w:rFonts w:ascii="Times New Roman" w:hAnsi="Times New Roman"/>
                        <w:szCs w:val="28"/>
                      </w:rPr>
                      <w:t>,  тис. грн,</w:t>
                    </w:r>
                  </w:hyperlink>
                </w:p>
              </w:tc>
              <w:tc>
                <w:tcPr>
                  <w:tcW w:w="424" w:type="pct"/>
                  <w:vAlign w:val="center"/>
                  <w:hideMark/>
                </w:tcPr>
                <w:p w:rsidR="00CF2AC1" w:rsidRPr="005A615E" w:rsidRDefault="000D13C5" w:rsidP="00CF2AC1">
                  <w:pPr>
                    <w:jc w:val="both"/>
                    <w:rPr>
                      <w:rFonts w:ascii="Times New Roman" w:hAnsi="Times New Roman"/>
                      <w:szCs w:val="28"/>
                    </w:rPr>
                  </w:pPr>
                  <w:hyperlink r:id="rId139" w:tgtFrame="_blank" w:history="1">
                    <w:r w:rsidR="00CF2AC1" w:rsidRPr="005A615E">
                      <w:rPr>
                        <w:rFonts w:ascii="Times New Roman" w:hAnsi="Times New Roman"/>
                        <w:szCs w:val="28"/>
                      </w:rPr>
                      <w:t>(15)</w:t>
                    </w:r>
                  </w:hyperlink>
                </w:p>
              </w:tc>
            </w:tr>
          </w:tbl>
          <w:p w:rsidR="00CF2AC1" w:rsidRPr="005A615E" w:rsidRDefault="00CF2AC1" w:rsidP="00CF2AC1">
            <w:pPr>
              <w:ind w:firstLine="173"/>
              <w:jc w:val="both"/>
              <w:rPr>
                <w:rFonts w:ascii="Times New Roman" w:hAnsi="Times New Roman"/>
                <w:szCs w:val="28"/>
              </w:rPr>
            </w:pPr>
            <w:r w:rsidRPr="005A615E">
              <w:rPr>
                <w:rFonts w:ascii="Times New Roman" w:hAnsi="Times New Roman"/>
                <w:szCs w:val="28"/>
              </w:rPr>
              <w:t>де</w:t>
            </w:r>
            <w:r w:rsidRPr="005A615E">
              <w:rPr>
                <w:rFonts w:ascii="Times New Roman" w:hAnsi="Times New Roman"/>
                <w:lang w:eastAsia="uk-UA"/>
              </w:rPr>
              <w:t xml:space="preserve"> </w:t>
            </w:r>
            <m:oMath>
              <m:sSubSup>
                <m:sSubSupPr>
                  <m:ctrlPr>
                    <w:rPr>
                      <w:rFonts w:ascii="Cambria Math" w:hAnsi="Cambria Math"/>
                      <w:i/>
                      <w:lang w:eastAsia="uk-UA"/>
                    </w:rPr>
                  </m:ctrlPr>
                </m:sSubSupPr>
                <m:e>
                  <m:r>
                    <w:rPr>
                      <w:rFonts w:ascii="Cambria Math" w:hAnsi="Cambria Math"/>
                      <w:lang w:eastAsia="uk-UA"/>
                    </w:rPr>
                    <m:t>ОКВ</m:t>
                  </m:r>
                </m:e>
                <m:sub>
                  <m:r>
                    <w:rPr>
                      <w:rFonts w:ascii="Cambria Math" w:hAnsi="Cambria Math"/>
                      <w:lang w:eastAsia="uk-UA"/>
                    </w:rPr>
                    <m:t>ост</m:t>
                  </m:r>
                </m:sub>
                <m:sup>
                  <m:r>
                    <w:rPr>
                      <w:rFonts w:ascii="Cambria Math" w:hAnsi="Cambria Math"/>
                      <w:lang w:eastAsia="uk-UA"/>
                    </w:rPr>
                    <m:t>ІІ</m:t>
                  </m:r>
                </m:sup>
              </m:sSubSup>
              <m:r>
                <w:rPr>
                  <w:rFonts w:ascii="Cambria Math" w:hAnsi="Cambria Math"/>
                  <w:sz w:val="18"/>
                  <w:szCs w:val="20"/>
                  <w:lang w:eastAsia="uk-UA"/>
                </w:rPr>
                <m:t xml:space="preserve">- </m:t>
              </m:r>
            </m:oMath>
            <w:r w:rsidRPr="005A615E">
              <w:rPr>
                <w:rFonts w:ascii="Times New Roman" w:hAnsi="Times New Roman"/>
                <w:szCs w:val="28"/>
              </w:rPr>
              <w:t>прогнозовані операційні контрольовані витрати враховані в діючих тарифах, тис. грн;</w:t>
            </w:r>
          </w:p>
          <w:p w:rsidR="00CF2AC1" w:rsidRPr="005A615E" w:rsidRDefault="00CF2AC1" w:rsidP="00CF2AC1">
            <w:pPr>
              <w:ind w:firstLine="173"/>
              <w:jc w:val="both"/>
              <w:rPr>
                <w:rFonts w:ascii="Times New Roman" w:hAnsi="Times New Roman"/>
                <w:szCs w:val="28"/>
              </w:rPr>
            </w:pPr>
            <w:r w:rsidRPr="005A615E">
              <w:rPr>
                <w:rFonts w:ascii="Times New Roman" w:hAnsi="Times New Roman"/>
                <w:szCs w:val="28"/>
              </w:rPr>
              <w:t> </w:t>
            </w:r>
            <w:r w:rsidRPr="005A615E">
              <w:rPr>
                <w:rFonts w:ascii="Times New Roman" w:hAnsi="Times New Roman"/>
                <w:noProof/>
                <w:szCs w:val="28"/>
              </w:rPr>
              <w:drawing>
                <wp:inline distT="0" distB="0" distL="0" distR="0" wp14:anchorId="388D789E" wp14:editId="26590ED4">
                  <wp:extent cx="496543" cy="144449"/>
                  <wp:effectExtent l="0" t="0" r="0" b="8255"/>
                  <wp:docPr id="1993780121" name="Рисунок 1993780121" descr="https://zakon-pro.ligazakon.net/l_flib1.nsf/LookupFiles/GK40721_IMG_377.GIF/$file/GK40721_IMG_377.GIF">
                    <a:hlinkClick xmlns:a="http://schemas.openxmlformats.org/drawingml/2006/main" r:id="rId14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pro.ligazakon.net/l_flib1.nsf/LookupFiles/GK40721_IMG_377.GIF/$file/GK40721_IMG_377.GIF">
                            <a:hlinkClick r:id="rId140" tgtFrame="&quot;_blank&quot;"/>
                          </pic:cNvPr>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97590" cy="144754"/>
                          </a:xfrm>
                          <a:prstGeom prst="rect">
                            <a:avLst/>
                          </a:prstGeom>
                          <a:noFill/>
                          <a:ln>
                            <a:noFill/>
                          </a:ln>
                        </pic:spPr>
                      </pic:pic>
                    </a:graphicData>
                  </a:graphic>
                </wp:inline>
              </w:drawing>
            </w:r>
            <w:r w:rsidRPr="005A615E">
              <w:rPr>
                <w:rFonts w:ascii="Times New Roman" w:hAnsi="Times New Roman"/>
                <w:szCs w:val="28"/>
              </w:rPr>
              <w:t> - економія операційних контрольованих витрат за останній рік попереднього регуляторного періоду, тис. грн;</w:t>
            </w:r>
          </w:p>
          <w:p w:rsidR="00CF2AC1" w:rsidRPr="005A615E" w:rsidRDefault="00CF2AC1" w:rsidP="00CF2AC1">
            <w:pPr>
              <w:ind w:firstLine="173"/>
              <w:jc w:val="both"/>
              <w:rPr>
                <w:rFonts w:ascii="Times New Roman" w:hAnsi="Times New Roman"/>
                <w:szCs w:val="28"/>
              </w:rPr>
            </w:pPr>
            <w:r w:rsidRPr="005A615E">
              <w:rPr>
                <w:rFonts w:ascii="Times New Roman" w:hAnsi="Times New Roman"/>
                <w:noProof/>
                <w:szCs w:val="28"/>
              </w:rPr>
              <w:drawing>
                <wp:inline distT="0" distB="0" distL="0" distR="0" wp14:anchorId="419AB528" wp14:editId="672486B6">
                  <wp:extent cx="250190" cy="178435"/>
                  <wp:effectExtent l="0" t="0" r="0" b="0"/>
                  <wp:docPr id="1993780126" name="Рисунок 1993780126" descr="https://zakon-pro.ligazakon.net/l_flib1.nsf/LookupFiles/GK40721_IMG_379.GIF/$file/GK40721_IMG_379.GIF">
                    <a:hlinkClick xmlns:a="http://schemas.openxmlformats.org/drawingml/2006/main" r:id="rId14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s://zakon-pro.ligazakon.net/l_flib1.nsf/LookupFiles/GK40721_IMG_379.GIF/$file/GK40721_IMG_379.GIF">
                            <a:hlinkClick r:id="rId142" tgtFrame="&quot;_blank&quot;"/>
                          </pic:cNvPr>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50190" cy="178435"/>
                          </a:xfrm>
                          <a:prstGeom prst="rect">
                            <a:avLst/>
                          </a:prstGeom>
                          <a:noFill/>
                          <a:ln>
                            <a:noFill/>
                          </a:ln>
                        </pic:spPr>
                      </pic:pic>
                    </a:graphicData>
                  </a:graphic>
                </wp:inline>
              </w:drawing>
            </w:r>
            <w:r w:rsidRPr="005A615E">
              <w:rPr>
                <w:rFonts w:ascii="Times New Roman" w:hAnsi="Times New Roman"/>
                <w:szCs w:val="28"/>
              </w:rPr>
              <w:t xml:space="preserve"> </w:t>
            </w:r>
            <m:oMath>
              <m:r>
                <w:rPr>
                  <w:rFonts w:ascii="Cambria Math" w:hAnsi="Cambria Math"/>
                  <w:sz w:val="18"/>
                  <w:szCs w:val="20"/>
                  <w:lang w:eastAsia="uk-UA"/>
                </w:rPr>
                <m:t>-</m:t>
              </m:r>
            </m:oMath>
            <w:r w:rsidRPr="005A615E">
              <w:rPr>
                <w:rFonts w:ascii="Times New Roman" w:hAnsi="Times New Roman"/>
                <w:szCs w:val="28"/>
              </w:rPr>
              <w:t xml:space="preserve"> коефіцієнт, що враховує зміну умовних одиниць обладнання за останній рік попереднього регуляторного періоду, що розраховується за формулою </w:t>
            </w:r>
          </w:p>
          <w:p w:rsidR="00CF2AC1" w:rsidRPr="005A615E" w:rsidRDefault="000D13C5" w:rsidP="00CF2AC1">
            <w:pPr>
              <w:shd w:val="clear" w:color="auto" w:fill="FFFFFF"/>
              <w:spacing w:after="150"/>
              <w:ind w:firstLine="450"/>
              <w:jc w:val="both"/>
              <w:rPr>
                <w:rFonts w:ascii="Times New Roman" w:hAnsi="Times New Roman"/>
                <w:szCs w:val="28"/>
              </w:rPr>
            </w:pPr>
            <m:oMath>
              <m:sSubSup>
                <m:sSubSupPr>
                  <m:ctrlPr>
                    <w:rPr>
                      <w:rFonts w:ascii="Cambria Math" w:hAnsi="Cambria Math"/>
                      <w:szCs w:val="28"/>
                    </w:rPr>
                  </m:ctrlPr>
                </m:sSubSupPr>
                <m:e>
                  <m:r>
                    <m:rPr>
                      <m:sty m:val="p"/>
                    </m:rPr>
                    <w:rPr>
                      <w:rFonts w:ascii="Cambria Math" w:hAnsi="Cambria Math"/>
                      <w:szCs w:val="28"/>
                    </w:rPr>
                    <m:t>К</m:t>
                  </m:r>
                </m:e>
                <m:sub>
                  <m:r>
                    <m:rPr>
                      <m:sty m:val="p"/>
                    </m:rPr>
                    <w:rPr>
                      <w:rFonts w:ascii="Cambria Math" w:hAnsi="Cambria Math"/>
                      <w:szCs w:val="28"/>
                    </w:rPr>
                    <m:t>УО</m:t>
                  </m:r>
                </m:sub>
                <m:sup>
                  <m:r>
                    <m:rPr>
                      <m:sty m:val="p"/>
                    </m:rPr>
                    <w:rPr>
                      <w:rFonts w:ascii="Cambria Math" w:hAnsi="Cambria Math"/>
                      <w:szCs w:val="28"/>
                    </w:rPr>
                    <m:t>ІІ</m:t>
                  </m:r>
                </m:sup>
              </m:sSubSup>
              <m:r>
                <m:rPr>
                  <m:sty m:val="p"/>
                </m:rPr>
                <w:rPr>
                  <w:rFonts w:ascii="Cambria Math" w:hAnsi="Cambria Math"/>
                  <w:szCs w:val="28"/>
                </w:rPr>
                <m:t>=1+КУ×</m:t>
              </m:r>
              <m:f>
                <m:fPr>
                  <m:ctrlPr>
                    <w:rPr>
                      <w:rFonts w:ascii="Cambria Math" w:hAnsi="Cambria Math"/>
                      <w:szCs w:val="28"/>
                    </w:rPr>
                  </m:ctrlPr>
                </m:fPr>
                <m:num>
                  <m:sSup>
                    <m:sSupPr>
                      <m:ctrlPr>
                        <w:rPr>
                          <w:rFonts w:ascii="Cambria Math" w:hAnsi="Cambria Math"/>
                          <w:szCs w:val="28"/>
                        </w:rPr>
                      </m:ctrlPr>
                    </m:sSupPr>
                    <m:e>
                      <m:r>
                        <m:rPr>
                          <m:sty m:val="p"/>
                        </m:rPr>
                        <w:rPr>
                          <w:rFonts w:ascii="Cambria Math" w:hAnsi="Cambria Math"/>
                          <w:szCs w:val="28"/>
                        </w:rPr>
                        <m:t>∆УО</m:t>
                      </m:r>
                    </m:e>
                    <m:sup>
                      <m:r>
                        <m:rPr>
                          <m:sty m:val="p"/>
                        </m:rPr>
                        <w:rPr>
                          <w:rFonts w:ascii="Cambria Math" w:hAnsi="Cambria Math"/>
                          <w:szCs w:val="28"/>
                        </w:rPr>
                        <m:t>ІІ</m:t>
                      </m:r>
                    </m:sup>
                  </m:sSup>
                </m:num>
                <m:den>
                  <m:sSubSup>
                    <m:sSubSupPr>
                      <m:ctrlPr>
                        <w:rPr>
                          <w:rFonts w:ascii="Cambria Math" w:hAnsi="Cambria Math"/>
                          <w:szCs w:val="28"/>
                        </w:rPr>
                      </m:ctrlPr>
                    </m:sSubSupPr>
                    <m:e>
                      <m:r>
                        <m:rPr>
                          <m:sty m:val="p"/>
                        </m:rPr>
                        <w:rPr>
                          <w:rFonts w:ascii="Cambria Math" w:hAnsi="Cambria Math"/>
                          <w:szCs w:val="28"/>
                        </w:rPr>
                        <m:t>УО</m:t>
                      </m:r>
                    </m:e>
                    <m:sub>
                      <m:r>
                        <w:rPr>
                          <w:rFonts w:ascii="Cambria Math" w:hAnsi="Cambria Math"/>
                          <w:szCs w:val="28"/>
                        </w:rPr>
                        <m:t>t</m:t>
                      </m:r>
                      <m:r>
                        <m:rPr>
                          <m:sty m:val="p"/>
                        </m:rPr>
                        <w:rPr>
                          <w:rFonts w:ascii="Cambria Math" w:hAnsi="Cambria Math"/>
                          <w:szCs w:val="28"/>
                        </w:rPr>
                        <m:t>-1</m:t>
                      </m:r>
                    </m:sub>
                    <m:sup>
                      <m:r>
                        <m:rPr>
                          <m:sty m:val="p"/>
                        </m:rPr>
                        <w:rPr>
                          <w:rFonts w:ascii="Cambria Math" w:hAnsi="Cambria Math"/>
                          <w:szCs w:val="28"/>
                        </w:rPr>
                        <m:t>поч</m:t>
                      </m:r>
                    </m:sup>
                  </m:sSubSup>
                </m:den>
              </m:f>
            </m:oMath>
            <w:r w:rsidR="00CF2AC1" w:rsidRPr="005A615E">
              <w:rPr>
                <w:rFonts w:ascii="Times New Roman" w:hAnsi="Times New Roman"/>
                <w:szCs w:val="28"/>
              </w:rPr>
              <w:t>, відносних одиниць, (16)</w:t>
            </w:r>
          </w:p>
          <w:p w:rsidR="00CF2AC1" w:rsidRPr="005A615E" w:rsidRDefault="000D13C5" w:rsidP="00CF2AC1">
            <w:pPr>
              <w:ind w:firstLine="173"/>
              <w:jc w:val="both"/>
              <w:rPr>
                <w:rFonts w:ascii="Times New Roman" w:hAnsi="Times New Roman"/>
                <w:szCs w:val="28"/>
              </w:rPr>
            </w:pPr>
            <m:oMath>
              <m:sSup>
                <m:sSupPr>
                  <m:ctrlPr>
                    <w:rPr>
                      <w:rFonts w:ascii="Cambria Math" w:hAnsi="Cambria Math"/>
                      <w:szCs w:val="28"/>
                    </w:rPr>
                  </m:ctrlPr>
                </m:sSupPr>
                <m:e>
                  <m:r>
                    <m:rPr>
                      <m:sty m:val="p"/>
                    </m:rPr>
                    <w:rPr>
                      <w:rFonts w:ascii="Cambria Math" w:hAnsi="Cambria Math"/>
                      <w:szCs w:val="28"/>
                    </w:rPr>
                    <m:t>∆УО</m:t>
                  </m:r>
                </m:e>
                <m:sup>
                  <m:r>
                    <m:rPr>
                      <m:sty m:val="p"/>
                    </m:rPr>
                    <w:rPr>
                      <w:rFonts w:ascii="Cambria Math" w:hAnsi="Cambria Math"/>
                      <w:szCs w:val="28"/>
                    </w:rPr>
                    <m:t>ІІ</m:t>
                  </m:r>
                </m:sup>
              </m:sSup>
              <m:r>
                <m:rPr>
                  <m:sty m:val="p"/>
                </m:rPr>
                <w:rPr>
                  <w:rFonts w:ascii="Cambria Math" w:hAnsi="Cambria Math"/>
                  <w:szCs w:val="28"/>
                </w:rPr>
                <m:t xml:space="preserve">- </m:t>
              </m:r>
            </m:oMath>
            <w:r w:rsidR="00CF2AC1" w:rsidRPr="005A615E">
              <w:rPr>
                <w:rFonts w:ascii="Times New Roman" w:hAnsi="Times New Roman"/>
                <w:szCs w:val="28"/>
              </w:rPr>
              <w:t>зміна фактичної кількості умовних одиниць енергетичного обладнання протягом останнього року попереднього регуляторного періоду.</w:t>
            </w:r>
          </w:p>
          <w:p w:rsidR="00CF2AC1" w:rsidRPr="005A615E" w:rsidRDefault="00CF2AC1" w:rsidP="00CF2AC1">
            <w:pPr>
              <w:shd w:val="clear" w:color="auto" w:fill="FFFFFF"/>
              <w:ind w:firstLine="173"/>
              <w:contextualSpacing/>
              <w:jc w:val="both"/>
              <w:rPr>
                <w:rFonts w:ascii="Times New Roman" w:hAnsi="Times New Roman"/>
              </w:rPr>
            </w:pPr>
            <w:r w:rsidRPr="005A615E">
              <w:rPr>
                <w:rFonts w:ascii="Times New Roman" w:hAnsi="Times New Roman"/>
              </w:rPr>
              <w:t xml:space="preserve">Для другого року другого та наступних регуляторних періодів при визначенні прогнозованого фонду оплати праці (витрат на оплату праці) у році t </w:t>
            </w:r>
            <m:oMath>
              <m:r>
                <w:rPr>
                  <w:rFonts w:ascii="Cambria Math" w:hAnsi="Cambria Math"/>
                </w:rPr>
                <m:t>(</m:t>
              </m:r>
              <m:sSubSup>
                <m:sSubSupPr>
                  <m:ctrlPr>
                    <w:rPr>
                      <w:rFonts w:ascii="Cambria Math" w:hAnsi="Cambria Math"/>
                      <w:i/>
                    </w:rPr>
                  </m:ctrlPr>
                </m:sSubSupPr>
                <m:e>
                  <m:r>
                    <w:rPr>
                      <w:rFonts w:ascii="Cambria Math" w:hAnsi="Cambria Math"/>
                      <w:lang w:eastAsia="uk-UA"/>
                    </w:rPr>
                    <m:t>ФОП</m:t>
                  </m:r>
                </m:e>
                <m:sub>
                  <m:r>
                    <w:rPr>
                      <w:rFonts w:ascii="Cambria Math" w:hAnsi="Cambria Math"/>
                      <w:lang w:eastAsia="uk-UA"/>
                    </w:rPr>
                    <m:t>t</m:t>
                  </m:r>
                </m:sub>
                <m:sup>
                  <m:r>
                    <w:rPr>
                      <w:rFonts w:ascii="Cambria Math" w:hAnsi="Cambria Math"/>
                      <w:lang w:eastAsia="uk-UA"/>
                    </w:rPr>
                    <m:t>n</m:t>
                  </m:r>
                </m:sup>
              </m:sSubSup>
              <m:r>
                <w:rPr>
                  <w:rFonts w:ascii="Cambria Math" w:hAnsi="Cambria Math"/>
                </w:rPr>
                <m:t>)</m:t>
              </m:r>
            </m:oMath>
            <w:r w:rsidRPr="005A615E">
              <w:rPr>
                <w:rFonts w:ascii="Times New Roman" w:hAnsi="Times New Roman"/>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lang w:eastAsia="uk-UA"/>
              </w:rPr>
              <w:t>(</w:t>
            </w:r>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m:t>
                  </m:r>
                </m:sub>
                <m:sup>
                  <m:r>
                    <w:rPr>
                      <w:rFonts w:ascii="Cambria Math" w:hAnsi="Cambria Math"/>
                      <w:lang w:eastAsia="uk-UA"/>
                    </w:rPr>
                    <m:t>тар</m:t>
                  </m:r>
                </m:sup>
              </m:sSubSup>
            </m:oMath>
            <w:r w:rsidRPr="005A615E">
              <w:rPr>
                <w:rFonts w:ascii="Times New Roman" w:hAnsi="Times New Roman"/>
                <w:lang w:eastAsia="uk-UA"/>
              </w:rPr>
              <w:t xml:space="preserve">) </w:t>
            </w:r>
            <w:r w:rsidRPr="005A615E">
              <w:rPr>
                <w:rFonts w:ascii="Times New Roman" w:hAnsi="Times New Roman"/>
              </w:rPr>
              <w:t>розраховується за формулою</w:t>
            </w:r>
          </w:p>
          <w:p w:rsidR="00CF2AC1" w:rsidRPr="005A615E" w:rsidRDefault="00CF2AC1" w:rsidP="00CF2AC1">
            <w:pPr>
              <w:shd w:val="clear" w:color="auto" w:fill="FFFFFF"/>
              <w:ind w:firstLine="173"/>
              <w:contextualSpacing/>
              <w:jc w:val="both"/>
              <w:rPr>
                <w:rFonts w:ascii="Times New Roman" w:hAnsi="Times New Roman"/>
              </w:rPr>
            </w:pPr>
          </w:p>
          <w:p w:rsidR="00CF2AC1" w:rsidRPr="005A615E" w:rsidRDefault="000D13C5" w:rsidP="00CF2AC1">
            <w:pPr>
              <w:shd w:val="clear" w:color="auto" w:fill="FFFFFF"/>
              <w:spacing w:after="150"/>
              <w:ind w:firstLine="450"/>
              <w:jc w:val="both"/>
              <w:rPr>
                <w:rFonts w:ascii="Times New Roman" w:hAnsi="Times New Roman"/>
                <w:szCs w:val="28"/>
                <w:u w:val="single"/>
              </w:rPr>
            </w:pPr>
            <m:oMathPara>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val="en-US" w:eastAsia="uk-UA"/>
                      </w:rPr>
                      <m:t>t</m:t>
                    </m:r>
                  </m:sub>
                  <m:sup>
                    <m:r>
                      <w:rPr>
                        <w:rFonts w:ascii="Cambria Math" w:hAnsi="Cambria Math"/>
                        <w:lang w:eastAsia="uk-UA"/>
                      </w:rPr>
                      <m:t>тар</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t-1</m:t>
                    </m:r>
                  </m:sub>
                  <m:sup>
                    <m:r>
                      <w:rPr>
                        <w:rFonts w:ascii="Cambria Math" w:hAnsi="Cambria Math"/>
                        <w:lang w:eastAsia="uk-UA"/>
                      </w:rPr>
                      <m:t>тар</m:t>
                    </m:r>
                  </m:sup>
                </m:sSubSup>
                <m:r>
                  <w:rPr>
                    <w:rFonts w:ascii="Cambria Math" w:hAnsi="Cambria Math"/>
                    <w:lang w:eastAsia="uk-UA"/>
                  </w:rPr>
                  <m:t>×(1-</m:t>
                </m:r>
                <m:f>
                  <m:fPr>
                    <m:ctrlPr>
                      <w:rPr>
                        <w:rFonts w:ascii="Cambria Math" w:hAnsi="Cambria Math"/>
                        <w:i/>
                        <w:lang w:eastAsia="uk-UA"/>
                      </w:rPr>
                    </m:ctrlPr>
                  </m:fPr>
                  <m:num>
                    <m:sSub>
                      <m:sSubPr>
                        <m:ctrlPr>
                          <w:rPr>
                            <w:rFonts w:ascii="Cambria Math" w:hAnsi="Cambria Math"/>
                            <w:i/>
                            <w:lang w:eastAsia="uk-UA"/>
                          </w:rPr>
                        </m:ctrlPr>
                      </m:sSubPr>
                      <m:e>
                        <m:r>
                          <w:rPr>
                            <w:rFonts w:ascii="Cambria Math" w:hAnsi="Cambria Math"/>
                            <w:lang w:eastAsia="uk-UA"/>
                          </w:rPr>
                          <m:t>ПЕ</m:t>
                        </m:r>
                      </m:e>
                      <m:sub>
                        <m:r>
                          <w:rPr>
                            <w:rFonts w:ascii="Cambria Math" w:hAnsi="Cambria Math"/>
                            <w:lang w:eastAsia="uk-UA"/>
                          </w:rPr>
                          <m:t>з</m:t>
                        </m:r>
                      </m:sub>
                    </m:sSub>
                  </m:num>
                  <m:den>
                    <m:r>
                      <w:rPr>
                        <w:rFonts w:ascii="Cambria Math" w:hAnsi="Cambria Math"/>
                        <w:lang w:eastAsia="uk-UA"/>
                      </w:rPr>
                      <m:t>100</m:t>
                    </m:r>
                  </m:den>
                </m:f>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КУ</m:t>
                    </m:r>
                  </m:e>
                  <m:sub>
                    <m:r>
                      <w:rPr>
                        <w:rFonts w:ascii="Cambria Math" w:hAnsi="Cambria Math"/>
                        <w:lang w:eastAsia="uk-UA"/>
                      </w:rPr>
                      <m:t>УО</m:t>
                    </m:r>
                  </m:sub>
                  <m:sup>
                    <m:r>
                      <w:rPr>
                        <w:rFonts w:ascii="Cambria Math" w:hAnsi="Cambria Math"/>
                        <w:lang w:eastAsia="uk-UA"/>
                      </w:rPr>
                      <m:t>II</m:t>
                    </m:r>
                  </m:sup>
                </m:sSubSup>
                <m:r>
                  <w:rPr>
                    <w:rFonts w:ascii="Cambria Math" w:hAnsi="Cambria Math"/>
                    <w:lang w:eastAsia="uk-UA"/>
                  </w:rPr>
                  <m:t xml:space="preserve">,    </m:t>
                </m:r>
                <m:r>
                  <m:rPr>
                    <m:sty m:val="p"/>
                  </m:rPr>
                  <w:rPr>
                    <w:rFonts w:ascii="Cambria Math" w:hAnsi="Cambria Math"/>
                    <w:szCs w:val="28"/>
                    <w:u w:val="single"/>
                  </w:rPr>
                  <m:t xml:space="preserve">осіб,   </m:t>
                </m:r>
                <w:hyperlink r:id="rId144" w:tgtFrame="_blank" w:history="1">
                  <m:r>
                    <m:rPr>
                      <m:sty m:val="p"/>
                    </m:rPr>
                    <w:rPr>
                      <w:rFonts w:ascii="Cambria Math" w:hAnsi="Cambria Math"/>
                      <w:szCs w:val="28"/>
                      <w:u w:val="single"/>
                    </w:rPr>
                    <m:t>(17)</m:t>
                  </m:r>
                </w:hyperlink>
              </m:oMath>
            </m:oMathPara>
          </w:p>
          <w:p w:rsidR="00CF2AC1" w:rsidRPr="005A615E" w:rsidRDefault="00CF2AC1" w:rsidP="00CF2AC1">
            <w:pPr>
              <w:shd w:val="clear" w:color="auto" w:fill="FFFFFF"/>
              <w:ind w:firstLine="173"/>
              <w:jc w:val="both"/>
              <w:rPr>
                <w:rFonts w:ascii="Times New Roman" w:hAnsi="Times New Roman"/>
                <w:szCs w:val="28"/>
              </w:rPr>
            </w:pPr>
            <w:r w:rsidRPr="005A615E">
              <w:rPr>
                <w:rFonts w:ascii="Times New Roman" w:hAnsi="Times New Roman"/>
                <w:szCs w:val="28"/>
              </w:rPr>
              <w:t>Економія операційних контрольованих витрат за останній рік попереднього регуляторного періоду</w:t>
            </w:r>
            <m:oMath>
              <m:r>
                <w:rPr>
                  <w:rFonts w:ascii="Cambria Math" w:hAnsi="Cambria Math"/>
                  <w:szCs w:val="28"/>
                </w:rPr>
                <m:t xml:space="preserve">  </m:t>
              </m:r>
              <m:sSup>
                <m:sSupPr>
                  <m:ctrlPr>
                    <w:rPr>
                      <w:rFonts w:ascii="Cambria Math" w:hAnsi="Cambria Math"/>
                      <w:szCs w:val="28"/>
                    </w:rPr>
                  </m:ctrlPr>
                </m:sSupPr>
                <m:e>
                  <m:r>
                    <m:rPr>
                      <m:sty m:val="p"/>
                    </m:rPr>
                    <w:rPr>
                      <w:rFonts w:ascii="Cambria Math" w:hAnsi="Cambria Math"/>
                      <w:szCs w:val="28"/>
                    </w:rPr>
                    <m:t xml:space="preserve"> ЕОКВ</m:t>
                  </m:r>
                </m:e>
                <m:sup>
                  <m:r>
                    <m:rPr>
                      <m:sty m:val="p"/>
                    </m:rPr>
                    <w:rPr>
                      <w:rFonts w:ascii="Cambria Math" w:hAnsi="Cambria Math"/>
                      <w:szCs w:val="28"/>
                    </w:rPr>
                    <m:t>ІІ</m:t>
                  </m:r>
                </m:sup>
              </m:sSup>
            </m:oMath>
            <w:r w:rsidRPr="005A615E">
              <w:rPr>
                <w:rFonts w:ascii="Times New Roman" w:hAnsi="Times New Roman"/>
                <w:szCs w:val="28"/>
              </w:rPr>
              <w:t>, тис. грн,  розраховується за формулою</w:t>
            </w:r>
          </w:p>
          <w:p w:rsidR="00CF2AC1" w:rsidRPr="005A615E" w:rsidRDefault="00CF2AC1" w:rsidP="00CF2AC1">
            <w:pPr>
              <w:shd w:val="clear" w:color="auto" w:fill="FFFFFF"/>
              <w:ind w:firstLine="567"/>
              <w:jc w:val="both"/>
              <w:rPr>
                <w:rFonts w:ascii="Times New Roman" w:hAnsi="Times New Roman"/>
                <w:szCs w:val="28"/>
              </w:rPr>
            </w:pPr>
          </w:p>
          <w:p w:rsidR="00CF2AC1" w:rsidRPr="005A615E" w:rsidRDefault="000D13C5" w:rsidP="00CF2AC1">
            <w:pPr>
              <w:shd w:val="clear" w:color="auto" w:fill="FFFFFF"/>
              <w:spacing w:after="150"/>
              <w:ind w:firstLine="567"/>
              <w:jc w:val="both"/>
              <w:rPr>
                <w:rFonts w:ascii="Times New Roman" w:hAnsi="Times New Roman"/>
                <w:i/>
                <w:sz w:val="20"/>
                <w:lang w:eastAsia="uk-UA"/>
              </w:rPr>
            </w:pPr>
            <m:oMath>
              <m:sSup>
                <m:sSupPr>
                  <m:ctrlPr>
                    <w:rPr>
                      <w:rFonts w:ascii="Cambria Math" w:hAnsi="Cambria Math"/>
                      <w:i/>
                      <w:lang w:eastAsia="uk-UA"/>
                    </w:rPr>
                  </m:ctrlPr>
                </m:sSupPr>
                <m:e>
                  <m:r>
                    <w:rPr>
                      <w:rFonts w:ascii="Cambria Math" w:hAnsi="Cambria Math"/>
                      <w:lang w:eastAsia="uk-UA"/>
                    </w:rPr>
                    <m:t>ЕОКВ</m:t>
                  </m:r>
                </m:e>
                <m:sup>
                  <m:r>
                    <w:rPr>
                      <w:rFonts w:ascii="Cambria Math" w:hAnsi="Cambria Math"/>
                      <w:lang w:eastAsia="uk-UA"/>
                    </w:rPr>
                    <m:t>ІІ</m:t>
                  </m:r>
                </m:sup>
              </m:s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ОКВ</m:t>
                  </m:r>
                </m:e>
                <m:sub>
                  <m:r>
                    <w:rPr>
                      <w:rFonts w:ascii="Cambria Math" w:hAnsi="Cambria Math"/>
                      <w:lang w:eastAsia="uk-UA"/>
                    </w:rPr>
                    <m:t>t-1</m:t>
                  </m:r>
                </m:sub>
                <m:sup>
                  <m:r>
                    <w:rPr>
                      <w:rFonts w:ascii="Cambria Math" w:hAnsi="Cambria Math"/>
                      <w:lang w:eastAsia="uk-UA"/>
                    </w:rPr>
                    <m:t>y</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ОКВ</m:t>
                  </m:r>
                </m:e>
                <m:sub>
                  <m:r>
                    <w:rPr>
                      <w:rFonts w:ascii="Cambria Math" w:hAnsi="Cambria Math"/>
                      <w:lang w:eastAsia="uk-UA"/>
                    </w:rPr>
                    <m:t xml:space="preserve">t-1   </m:t>
                  </m:r>
                </m:sub>
                <m:sup>
                  <m:r>
                    <w:rPr>
                      <w:rFonts w:ascii="Cambria Math" w:hAnsi="Cambria Math"/>
                      <w:lang w:eastAsia="uk-UA"/>
                    </w:rPr>
                    <m:t>ф</m:t>
                  </m:r>
                </m:sup>
              </m:sSubSup>
              <m:r>
                <w:rPr>
                  <w:rFonts w:ascii="Cambria Math" w:hAnsi="Cambria Math"/>
                  <w:lang w:eastAsia="uk-UA"/>
                </w:rPr>
                <m:t>,  тис. грн</m:t>
              </m:r>
            </m:oMath>
            <w:r w:rsidR="00CF2AC1" w:rsidRPr="005A615E">
              <w:rPr>
                <w:rFonts w:ascii="Times New Roman" w:eastAsiaTheme="minorEastAsia" w:hAnsi="Times New Roman"/>
                <w:i/>
                <w:lang w:eastAsia="uk-UA"/>
              </w:rPr>
              <w:t xml:space="preserve"> </w:t>
            </w:r>
            <w:r w:rsidR="00CF2AC1" w:rsidRPr="005A615E">
              <w:rPr>
                <w:rFonts w:ascii="Times New Roman" w:hAnsi="Times New Roman"/>
                <w:szCs w:val="28"/>
              </w:rPr>
              <w:t>(18)</w:t>
            </w:r>
          </w:p>
          <w:p w:rsidR="00CF2AC1" w:rsidRPr="005A615E" w:rsidRDefault="00CF2AC1" w:rsidP="00CF2AC1">
            <w:pPr>
              <w:ind w:firstLine="567"/>
              <w:jc w:val="both"/>
              <w:rPr>
                <w:rFonts w:ascii="Times New Roman" w:hAnsi="Times New Roman"/>
                <w:szCs w:val="28"/>
              </w:rPr>
            </w:pPr>
          </w:p>
          <w:p w:rsidR="00CF2AC1" w:rsidRPr="005A615E" w:rsidRDefault="00CF2AC1" w:rsidP="00CF2AC1">
            <w:pPr>
              <w:ind w:firstLine="173"/>
              <w:jc w:val="both"/>
              <w:rPr>
                <w:rFonts w:ascii="Times New Roman" w:hAnsi="Times New Roman"/>
                <w:szCs w:val="28"/>
              </w:rPr>
            </w:pPr>
            <w:r w:rsidRPr="005A615E">
              <w:rPr>
                <w:rFonts w:ascii="Times New Roman" w:hAnsi="Times New Roman"/>
                <w:noProof/>
                <w:szCs w:val="28"/>
              </w:rPr>
              <w:drawing>
                <wp:inline distT="0" distB="0" distL="0" distR="0" wp14:anchorId="7F50E362" wp14:editId="5D301CB0">
                  <wp:extent cx="373711" cy="178362"/>
                  <wp:effectExtent l="0" t="0" r="7620" b="0"/>
                  <wp:docPr id="1993780122" name="Рисунок 1993780122" descr="https://zakon-pro.ligazakon.net/l_flib1.nsf/LookupFiles/GK40721_IMG_381.GIF/$file/GK40721_IMG_3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2" name="Рисунок 1993780122" descr="https://zakon-pro.ligazakon.net/l_flib1.nsf/LookupFiles/GK40721_IMG_381.GIF/$file/GK40721_IMG_381.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376132" cy="179518"/>
                          </a:xfrm>
                          <a:prstGeom prst="rect">
                            <a:avLst/>
                          </a:prstGeom>
                          <a:noFill/>
                          <a:ln>
                            <a:noFill/>
                          </a:ln>
                        </pic:spPr>
                      </pic:pic>
                    </a:graphicData>
                  </a:graphic>
                </wp:inline>
              </w:drawing>
            </w:r>
            <w:r w:rsidRPr="005A615E">
              <w:rPr>
                <w:rFonts w:ascii="Times New Roman" w:hAnsi="Times New Roman"/>
                <w:szCs w:val="28"/>
              </w:rPr>
              <w:t> - уточнені операційні контрольовані витрати у році t, тис. грн (на 2022 - 2024 роки </w:t>
            </w:r>
            <w:r w:rsidRPr="005A615E">
              <w:rPr>
                <w:rFonts w:ascii="Times New Roman" w:hAnsi="Times New Roman"/>
                <w:noProof/>
                <w:szCs w:val="28"/>
              </w:rPr>
              <w:drawing>
                <wp:inline distT="0" distB="0" distL="0" distR="0" wp14:anchorId="19C96FF8" wp14:editId="5FD94360">
                  <wp:extent cx="946205" cy="217019"/>
                  <wp:effectExtent l="0" t="0" r="6350" b="0"/>
                  <wp:docPr id="1993780123" name="Рисунок 1993780123" descr="https://zakon-pro.ligazakon.net/l_flib1.nsf/LookupFiles/GK40721_IMG_382.GIF/$file/GK40721_IMG_3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3" name="Рисунок 1993780123" descr="https://zakon-pro.ligazakon.net/l_flib1.nsf/LookupFiles/GK40721_IMG_382.GIF/$file/GK40721_IMG_382.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948320" cy="217504"/>
                          </a:xfrm>
                          <a:prstGeom prst="rect">
                            <a:avLst/>
                          </a:prstGeom>
                          <a:noFill/>
                          <a:ln>
                            <a:noFill/>
                          </a:ln>
                        </pic:spPr>
                      </pic:pic>
                    </a:graphicData>
                  </a:graphic>
                </wp:inline>
              </w:drawing>
            </w:r>
            <w:r w:rsidRPr="005A615E">
              <w:rPr>
                <w:rFonts w:ascii="Times New Roman" w:hAnsi="Times New Roman"/>
                <w:szCs w:val="28"/>
              </w:rPr>
              <w:t>);</w:t>
            </w:r>
          </w:p>
          <w:p w:rsidR="00CF2AC1" w:rsidRPr="005A615E" w:rsidRDefault="00CF2AC1" w:rsidP="00CF2AC1">
            <w:pPr>
              <w:ind w:firstLine="173"/>
              <w:jc w:val="both"/>
              <w:rPr>
                <w:rFonts w:ascii="Times New Roman" w:hAnsi="Times New Roman"/>
                <w:szCs w:val="28"/>
              </w:rPr>
            </w:pPr>
            <w:r w:rsidRPr="005A615E">
              <w:rPr>
                <w:rFonts w:ascii="Times New Roman" w:hAnsi="Times New Roman"/>
                <w:noProof/>
                <w:szCs w:val="28"/>
              </w:rPr>
              <w:drawing>
                <wp:inline distT="0" distB="0" distL="0" distR="0" wp14:anchorId="2CFAA240" wp14:editId="262F4C11">
                  <wp:extent cx="429371" cy="243961"/>
                  <wp:effectExtent l="0" t="0" r="8890" b="3810"/>
                  <wp:docPr id="1993780124" name="Рисунок 1993780124" descr="https://zakon-pro.ligazakon.net/l_flib1.nsf/LookupFiles/GK40721_IMG_383.GIF/$file/GK40721_IMG_3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4" name="Рисунок 1993780124" descr="https://zakon-pro.ligazakon.net/l_flib1.nsf/LookupFiles/GK40721_IMG_383.GIF/$file/GK40721_IMG_383.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430174" cy="244417"/>
                          </a:xfrm>
                          <a:prstGeom prst="rect">
                            <a:avLst/>
                          </a:prstGeom>
                          <a:noFill/>
                          <a:ln>
                            <a:noFill/>
                          </a:ln>
                        </pic:spPr>
                      </pic:pic>
                    </a:graphicData>
                  </a:graphic>
                </wp:inline>
              </w:drawing>
            </w:r>
            <w:r w:rsidRPr="005A615E">
              <w:rPr>
                <w:rFonts w:ascii="Times New Roman" w:hAnsi="Times New Roman"/>
                <w:szCs w:val="28"/>
              </w:rPr>
              <w:t> - фактичні операційні контрольовані витрати у році t, що враховують обґрунтований перелік складових витрат, підтверджений результатами заходів контролю, які відносяться до діяльності з розподілу, тис. грн.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p>
          <w:p w:rsidR="00CF2AC1" w:rsidRPr="005A615E" w:rsidRDefault="00CF2AC1" w:rsidP="00CF2AC1">
            <w:pPr>
              <w:ind w:firstLine="173"/>
              <w:jc w:val="both"/>
              <w:rPr>
                <w:rFonts w:ascii="Times New Roman" w:hAnsi="Times New Roman"/>
                <w:szCs w:val="28"/>
              </w:rPr>
            </w:pPr>
            <w:r w:rsidRPr="005A615E">
              <w:rPr>
                <w:rFonts w:ascii="Times New Roman" w:hAnsi="Times New Roman"/>
                <w:szCs w:val="28"/>
              </w:rPr>
              <w:t>k - кількість років у попередньому періоді регулювання (без урахування 2022 - 2024 років, для яких </w:t>
            </w:r>
            <w:r w:rsidRPr="005A615E">
              <w:rPr>
                <w:rFonts w:ascii="Times New Roman" w:hAnsi="Times New Roman"/>
                <w:noProof/>
                <w:szCs w:val="28"/>
              </w:rPr>
              <w:drawing>
                <wp:inline distT="0" distB="0" distL="0" distR="0" wp14:anchorId="7F85E158" wp14:editId="4E22DD83">
                  <wp:extent cx="863194" cy="197980"/>
                  <wp:effectExtent l="0" t="0" r="0" b="0"/>
                  <wp:docPr id="1993780125" name="Рисунок 1993780125" descr="https://zakon-pro.ligazakon.net/l_flib1.nsf/LookupFiles/GK40721_IMG_384.GIF/$file/GK40721_IMG_384.GIF">
                    <a:hlinkClick xmlns:a="http://schemas.openxmlformats.org/drawingml/2006/main" r:id="rId14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zakon-pro.ligazakon.net/l_flib1.nsf/LookupFiles/GK40721_IMG_384.GIF/$file/GK40721_IMG_384.GIF">
                            <a:hlinkClick r:id="rId148" tgtFrame="&quot;_blank&quot;"/>
                          </pic:cNvPr>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882273" cy="202356"/>
                          </a:xfrm>
                          <a:prstGeom prst="rect">
                            <a:avLst/>
                          </a:prstGeom>
                          <a:noFill/>
                          <a:ln>
                            <a:noFill/>
                          </a:ln>
                        </pic:spPr>
                      </pic:pic>
                    </a:graphicData>
                  </a:graphic>
                </wp:inline>
              </w:drawing>
            </w:r>
            <w:r w:rsidRPr="005A615E">
              <w:rPr>
                <w:rFonts w:ascii="Times New Roman" w:hAnsi="Times New Roman"/>
                <w:szCs w:val="28"/>
              </w:rPr>
              <w:t>).</w:t>
            </w:r>
          </w:p>
          <w:p w:rsidR="00CF2AC1" w:rsidRPr="005A615E" w:rsidRDefault="00CF2AC1" w:rsidP="00CF2AC1">
            <w:pPr>
              <w:spacing w:before="120"/>
              <w:ind w:firstLine="176"/>
              <w:jc w:val="both"/>
              <w:rPr>
                <w:rFonts w:ascii="Times New Roman" w:hAnsi="Times New Roman"/>
              </w:rPr>
            </w:pPr>
            <w:r w:rsidRPr="005A615E">
              <w:rPr>
                <w:rFonts w:ascii="Times New Roman" w:hAnsi="Times New Roman"/>
              </w:rPr>
              <w:t>Для АТ «ЖИТОМИРОБЛЕНЕРГО», ПРАТ «КІРОВОГРАДОБЛЕНЕРГО», ПРАТ «РІВНЕОБЛЕНЕРГО», АТ «ХЕРСОНОБЛЕНЕРГО», АТ «ЧЕРНІВЦІОБЛЕНЕРГО» економія операційних контрольованих витрат за перший регуляторний період за 2022 – 2026 роки не визначається, а при визначенні економії операційних контрольованих витрат за попередній регуляторний період показник k не враховує 2022 – 2026 роки.</w:t>
            </w:r>
          </w:p>
        </w:tc>
        <w:tc>
          <w:tcPr>
            <w:tcW w:w="5387" w:type="dxa"/>
          </w:tcPr>
          <w:p w:rsidR="00CF2AC1" w:rsidRPr="005A615E" w:rsidRDefault="00CF2AC1" w:rsidP="00CF2AC1">
            <w:pPr>
              <w:jc w:val="both"/>
              <w:rPr>
                <w:rFonts w:ascii="Times New Roman" w:hAnsi="Times New Roman"/>
                <w:b/>
                <w:u w:val="single"/>
              </w:rPr>
            </w:pPr>
            <w:r w:rsidRPr="005A615E">
              <w:rPr>
                <w:rFonts w:ascii="Times New Roman" w:hAnsi="Times New Roman"/>
                <w:b/>
                <w:u w:val="single"/>
              </w:rPr>
              <w:t>Запорізька обласна військова адміністрація (лист від 13.07.2026 № 08-22/6267)</w:t>
            </w:r>
          </w:p>
          <w:p w:rsidR="00CF2AC1" w:rsidRPr="005A615E" w:rsidRDefault="00CF2AC1" w:rsidP="00CF2AC1">
            <w:pPr>
              <w:ind w:firstLine="447"/>
              <w:jc w:val="both"/>
              <w:rPr>
                <w:rFonts w:ascii="Times New Roman" w:hAnsi="Times New Roman"/>
              </w:rPr>
            </w:pPr>
            <w:r w:rsidRPr="005A615E">
              <w:rPr>
                <w:rFonts w:ascii="Times New Roman" w:hAnsi="Times New Roman"/>
              </w:rPr>
              <w:t>Запропоновані НКРЕКП зміни у випадку АТ «Запоріжжяобленерго» призведуть до того, що у Товариства будуть відсутні джерела для покриття витрат для виконання технологічно-експлуатаційних, ремонтних, відновлювальних робіт, закупівлі палива, сировини та матеріалів, здійснення розрахунків по поточним зобов’язанням з НЕК «Укренерго» тощо, так як проєктом рішення, передбачено зменшення (вилучення) для АТ «Запоріжжяобленерго» з 2027 року базових контрольованих витрат на суму економії 348 млн грн, яка складається з економії витрат 2021 та 2025 років, зафіксованої за результатами перевірки НКРЕКП ліцензійної діяльності Товариства.</w:t>
            </w:r>
          </w:p>
          <w:p w:rsidR="00CF2AC1" w:rsidRPr="005A615E" w:rsidRDefault="00CF2AC1" w:rsidP="00CF2AC1">
            <w:pPr>
              <w:jc w:val="both"/>
              <w:rPr>
                <w:rFonts w:ascii="Times New Roman" w:hAnsi="Times New Roman"/>
              </w:rPr>
            </w:pPr>
            <w:r w:rsidRPr="005A615E">
              <w:rPr>
                <w:rFonts w:ascii="Times New Roman" w:hAnsi="Times New Roman"/>
              </w:rPr>
              <w:t>Також, внаслідок бойових дій, Товариство несе значні витрати на постійне відновлення електромереж – адже мережі щоденно неодноразово зазнають катастрофічних руйнувань внаслідок ведення бойових дій. Відновлення пошкодженого обладнання та мереж, здійснення заходів захисту елементів системи розподілу потребує коштів, фінансування яких буде відсутнє у тарифах на розподіл електричної енергії у 2027 році та другому регуляторному періоді. Враховуючи вищенаведене, просимо підтримати пропозицію Товариства щодо визначення базових рівнів операційних контрольованих витрат на другий регуляторний період на період дії воєнного стану без вилучення економії операційних контрольованих витрат першого регуляторного періоду.</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«Запоріжжяобленерго» (лист </w:t>
            </w:r>
            <w:r w:rsidRPr="005A615E">
              <w:rPr>
                <w:rFonts w:ascii="Times New Roman" w:hAnsi="Times New Roman"/>
                <w:b/>
                <w:sz w:val="24"/>
                <w:u w:val="single"/>
              </w:rPr>
              <w:br/>
              <w:t>від 15.07.2026 № 001-33/663)</w:t>
            </w:r>
          </w:p>
          <w:p w:rsidR="00CF2AC1" w:rsidRPr="005A615E" w:rsidRDefault="00CF2AC1" w:rsidP="00CF2AC1">
            <w:pPr>
              <w:ind w:firstLine="173"/>
              <w:jc w:val="both"/>
              <w:rPr>
                <w:rFonts w:ascii="Times New Roman" w:eastAsia="Times New Roman" w:hAnsi="Times New Roman"/>
                <w:b/>
                <w:lang w:eastAsia="ru-RU"/>
              </w:rPr>
            </w:pPr>
            <w:r w:rsidRPr="005A615E">
              <w:rPr>
                <w:rFonts w:ascii="Times New Roman" w:eastAsia="Times New Roman" w:hAnsi="Times New Roman"/>
                <w:b/>
                <w:lang w:eastAsia="ru-RU"/>
              </w:rPr>
              <w:t xml:space="preserve">Пропонується п. 5.7 Порядку викласти в такій редакції: </w:t>
            </w:r>
          </w:p>
          <w:p w:rsidR="00CF2AC1" w:rsidRPr="005A615E" w:rsidRDefault="00CF2AC1" w:rsidP="00CF2AC1">
            <w:pPr>
              <w:ind w:firstLine="173"/>
              <w:jc w:val="both"/>
              <w:rPr>
                <w:rFonts w:ascii="Times New Roman" w:hAnsi="Times New Roman"/>
                <w:b/>
              </w:rPr>
            </w:pPr>
            <w:r w:rsidRPr="005A615E">
              <w:rPr>
                <w:rFonts w:ascii="Times New Roman" w:eastAsia="Times New Roman" w:hAnsi="Times New Roman"/>
                <w:lang w:eastAsia="ru-RU"/>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tbl>
            <w:tblPr>
              <w:tblW w:w="10773" w:type="dxa"/>
              <w:tblLayout w:type="fixed"/>
              <w:tblCellMar>
                <w:top w:w="15" w:type="dxa"/>
                <w:left w:w="15" w:type="dxa"/>
                <w:bottom w:w="15" w:type="dxa"/>
                <w:right w:w="15" w:type="dxa"/>
              </w:tblCellMar>
              <w:tblLook w:val="04A0" w:firstRow="1" w:lastRow="0" w:firstColumn="1" w:lastColumn="0" w:noHBand="0" w:noVBand="1"/>
            </w:tblPr>
            <w:tblGrid>
              <w:gridCol w:w="4432"/>
              <w:gridCol w:w="1417"/>
              <w:gridCol w:w="4924"/>
            </w:tblGrid>
            <w:tr w:rsidR="00CF2AC1" w:rsidRPr="005A615E" w:rsidTr="00E735A5">
              <w:tc>
                <w:tcPr>
                  <w:tcW w:w="4432" w:type="dxa"/>
                  <w:vAlign w:val="center"/>
                </w:tcPr>
                <w:p w:rsidR="00CF2AC1" w:rsidRPr="005A615E" w:rsidRDefault="00CF2AC1" w:rsidP="00CF2AC1">
                  <w:pPr>
                    <w:rPr>
                      <w:rFonts w:ascii="Times New Roman" w:hAnsi="Times New Roman"/>
                      <w:b/>
                    </w:rPr>
                  </w:pPr>
                  <w:r w:rsidRPr="005A615E">
                    <w:rPr>
                      <w:rFonts w:ascii="Times New Roman" w:hAnsi="Times New Roman"/>
                      <w:noProof/>
                    </w:rPr>
                    <w:drawing>
                      <wp:inline distT="0" distB="0" distL="0" distR="0" wp14:anchorId="2A98BDD6" wp14:editId="40B78D04">
                        <wp:extent cx="2465070" cy="327660"/>
                        <wp:effectExtent l="0" t="0" r="0" b="0"/>
                        <wp:docPr id="34" name="Зображення12" descr="https://zakon-pro.ligazakon.net/l_flib1.nsf/LookupFiles/GK40721_IMG_369.GIF/$file/GK40721_IMG_369.GIF">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Зображення12" descr="https://zakon-pro.ligazakon.net/l_flib1.nsf/LookupFiles/GK40721_IMG_369.GIF/$file/GK40721_IMG_369.GIF">
                                  <a:hlinkClick r:id="rId120"/>
                                </pic:cNvPr>
                                <pic:cNvPicPr>
                                  <a:picLocks noChangeAspect="1" noChangeArrowheads="1"/>
                                </pic:cNvPicPr>
                              </pic:nvPicPr>
                              <pic:blipFill>
                                <a:blip r:embed="rId121"/>
                                <a:stretch>
                                  <a:fillRect/>
                                </a:stretch>
                              </pic:blipFill>
                              <pic:spPr bwMode="auto">
                                <a:xfrm>
                                  <a:off x="0" y="0"/>
                                  <a:ext cx="2465070" cy="327660"/>
                                </a:xfrm>
                                <a:prstGeom prst="rect">
                                  <a:avLst/>
                                </a:prstGeom>
                                <a:noFill/>
                              </pic:spPr>
                            </pic:pic>
                          </a:graphicData>
                        </a:graphic>
                      </wp:inline>
                    </w:drawing>
                  </w:r>
                </w:p>
              </w:tc>
              <w:tc>
                <w:tcPr>
                  <w:tcW w:w="1417" w:type="dxa"/>
                  <w:vAlign w:val="center"/>
                </w:tcPr>
                <w:p w:rsidR="00CF2AC1" w:rsidRPr="005A615E" w:rsidRDefault="000D13C5" w:rsidP="00CF2AC1">
                  <w:pPr>
                    <w:rPr>
                      <w:rFonts w:ascii="Times New Roman" w:hAnsi="Times New Roman"/>
                    </w:rPr>
                  </w:pPr>
                  <w:hyperlink r:id="rId150" w:tgtFrame="_blank">
                    <w:r w:rsidR="00CF2AC1" w:rsidRPr="005A615E">
                      <w:rPr>
                        <w:rFonts w:ascii="Times New Roman" w:hAnsi="Times New Roman"/>
                      </w:rPr>
                      <w:t>, тис. грн,</w:t>
                    </w:r>
                  </w:hyperlink>
                </w:p>
              </w:tc>
              <w:tc>
                <w:tcPr>
                  <w:tcW w:w="4924" w:type="dxa"/>
                  <w:vAlign w:val="center"/>
                </w:tcPr>
                <w:p w:rsidR="00CF2AC1" w:rsidRPr="005A615E" w:rsidRDefault="000D13C5" w:rsidP="00CF2AC1">
                  <w:pPr>
                    <w:rPr>
                      <w:rFonts w:ascii="Times New Roman" w:hAnsi="Times New Roman"/>
                    </w:rPr>
                  </w:pPr>
                  <w:hyperlink r:id="rId151" w:tgtFrame="_blank">
                    <w:r w:rsidR="00CF2AC1" w:rsidRPr="005A615E">
                      <w:rPr>
                        <w:rFonts w:ascii="Times New Roman" w:hAnsi="Times New Roman"/>
                      </w:rPr>
                      <w:t>(11)</w:t>
                    </w:r>
                  </w:hyperlink>
                </w:p>
              </w:tc>
            </w:tr>
          </w:tbl>
          <w:p w:rsidR="00CF2AC1" w:rsidRPr="005A615E" w:rsidRDefault="00CF2AC1" w:rsidP="00CF2AC1">
            <w:pPr>
              <w:ind w:firstLine="567"/>
              <w:jc w:val="both"/>
              <w:rPr>
                <w:rFonts w:ascii="Times New Roman" w:hAnsi="Times New Roman"/>
                <w:b/>
              </w:rPr>
            </w:pPr>
          </w:p>
          <w:p w:rsidR="00CF2AC1" w:rsidRPr="005A615E" w:rsidRDefault="00CF2AC1" w:rsidP="00CF2AC1">
            <w:pPr>
              <w:ind w:firstLine="173"/>
              <w:jc w:val="both"/>
              <w:rPr>
                <w:rFonts w:ascii="Times New Roman" w:hAnsi="Times New Roman"/>
              </w:rPr>
            </w:pPr>
            <w:r w:rsidRPr="005A615E">
              <w:rPr>
                <w:rFonts w:ascii="Times New Roman" w:eastAsia="Times New Roman" w:hAnsi="Times New Roman"/>
                <w:lang w:eastAsia="ru-RU"/>
              </w:rPr>
              <w:t>де </w:t>
            </w:r>
            <w:r w:rsidRPr="005A615E">
              <w:rPr>
                <w:rFonts w:ascii="Times New Roman" w:hAnsi="Times New Roman"/>
                <w:noProof/>
                <w:sz w:val="20"/>
              </w:rPr>
              <w:drawing>
                <wp:inline distT="0" distB="0" distL="0" distR="0" wp14:anchorId="5CA996DC" wp14:editId="710D6FE7">
                  <wp:extent cx="469265" cy="167640"/>
                  <wp:effectExtent l="0" t="0" r="0" b="0"/>
                  <wp:docPr id="35" name="Зображення13" descr="https://zakon-pro.ligazakon.net/l_flib1.nsf/LookupFiles/GK40721_IMG_370.GIF/$file/GK40721_IMG_370.GIF">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Зображення13" descr="https://zakon-pro.ligazakon.net/l_flib1.nsf/LookupFiles/GK40721_IMG_370.GIF/$file/GK40721_IMG_370.GIF">
                            <a:hlinkClick r:id="rId124"/>
                          </pic:cNvPr>
                          <pic:cNvPicPr>
                            <a:picLocks noChangeAspect="1" noChangeArrowheads="1"/>
                          </pic:cNvPicPr>
                        </pic:nvPicPr>
                        <pic:blipFill>
                          <a:blip r:embed="rId125"/>
                          <a:stretch>
                            <a:fillRect/>
                          </a:stretch>
                        </pic:blipFill>
                        <pic:spPr bwMode="auto">
                          <a:xfrm>
                            <a:off x="0" y="0"/>
                            <a:ext cx="469265" cy="167640"/>
                          </a:xfrm>
                          <a:prstGeom prst="rect">
                            <a:avLst/>
                          </a:prstGeom>
                          <a:noFill/>
                        </pic:spPr>
                      </pic:pic>
                    </a:graphicData>
                  </a:graphic>
                </wp:inline>
              </w:drawing>
            </w:r>
            <w:r w:rsidRPr="005A615E">
              <w:rPr>
                <w:rFonts w:ascii="Times New Roman" w:eastAsia="Times New Roman" w:hAnsi="Times New Roman"/>
                <w:lang w:eastAsia="ru-RU"/>
              </w:rPr>
              <w:t> </w:t>
            </w:r>
            <m:oMath>
              <m:r>
                <w:rPr>
                  <w:rFonts w:ascii="Cambria Math" w:hAnsi="Cambria Math"/>
                </w:rPr>
                <m:t>-</m:t>
              </m:r>
            </m:oMath>
            <w:r w:rsidRPr="005A615E">
              <w:rPr>
                <w:rFonts w:ascii="Times New Roman" w:eastAsia="Times New Roman" w:hAnsi="Times New Roman"/>
                <w:lang w:eastAsia="ru-RU"/>
              </w:rPr>
              <w:t xml:space="preserve"> прогнозовані операційні контрольовані витрати в останньому році попереднього регуляторного періоду, тис. грн;</w:t>
            </w:r>
          </w:p>
          <w:p w:rsidR="00CF2AC1" w:rsidRPr="005A615E" w:rsidRDefault="00CF2AC1" w:rsidP="00CF2AC1">
            <w:pPr>
              <w:ind w:firstLine="173"/>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rFonts w:ascii="Times New Roman" w:hAnsi="Times New Roman"/>
                <w:noProof/>
                <w:sz w:val="20"/>
              </w:rPr>
              <w:drawing>
                <wp:inline distT="0" distB="0" distL="0" distR="0" wp14:anchorId="2B8AE608" wp14:editId="0AA79727">
                  <wp:extent cx="429260" cy="137795"/>
                  <wp:effectExtent l="0" t="0" r="0" b="0"/>
                  <wp:docPr id="36" name="Зображення14" descr="https://zakon-pro.ligazakon.net/l_flib1.nsf/LookupFiles/GK40721_IMG_371.GIF/$file/GK40721_IMG_371.GIF">
                    <a:hlinkClick xmlns:a="http://schemas.openxmlformats.org/drawingml/2006/main" r:id="rId1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Зображення14" descr="https://zakon-pro.ligazakon.net/l_flib1.nsf/LookupFiles/GK40721_IMG_371.GIF/$file/GK40721_IMG_371.GIF">
                            <a:hlinkClick r:id="rId126"/>
                          </pic:cNvPr>
                          <pic:cNvPicPr>
                            <a:picLocks noChangeAspect="1" noChangeArrowheads="1"/>
                          </pic:cNvPicPr>
                        </pic:nvPicPr>
                        <pic:blipFill>
                          <a:blip r:embed="rId127"/>
                          <a:stretch>
                            <a:fillRect/>
                          </a:stretch>
                        </pic:blipFill>
                        <pic:spPr bwMode="auto">
                          <a:xfrm>
                            <a:off x="0" y="0"/>
                            <a:ext cx="429260" cy="137795"/>
                          </a:xfrm>
                          <a:prstGeom prst="rect">
                            <a:avLst/>
                          </a:prstGeom>
                          <a:noFill/>
                        </pic:spPr>
                      </pic:pic>
                    </a:graphicData>
                  </a:graphic>
                </wp:inline>
              </w:drawing>
            </w:r>
            <w:r w:rsidRPr="005A615E">
              <w:rPr>
                <w:rFonts w:ascii="Times New Roman" w:eastAsia="Times New Roman" w:hAnsi="Times New Roman"/>
                <w:lang w:eastAsia="ru-RU"/>
              </w:rPr>
              <w:t> - економія операційних контрольованих витрат за попередній регуляторний період (за винятком останнього року), що розраховується за формулою</w:t>
            </w:r>
          </w:p>
          <w:p w:rsidR="00CF2AC1" w:rsidRPr="005A615E" w:rsidRDefault="00CF2AC1" w:rsidP="00CF2AC1">
            <w:pPr>
              <w:ind w:firstLine="567"/>
              <w:rPr>
                <w:rFonts w:ascii="Times New Roman" w:hAnsi="Times New Roman"/>
                <w:b/>
              </w:rPr>
            </w:pPr>
          </w:p>
          <w:tbl>
            <w:tblPr>
              <w:tblW w:w="5227" w:type="dxa"/>
              <w:jc w:val="center"/>
              <w:tblLayout w:type="fixed"/>
              <w:tblCellMar>
                <w:top w:w="15" w:type="dxa"/>
                <w:left w:w="15" w:type="dxa"/>
                <w:bottom w:w="15" w:type="dxa"/>
                <w:right w:w="15" w:type="dxa"/>
              </w:tblCellMar>
              <w:tblLook w:val="04A0" w:firstRow="1" w:lastRow="0" w:firstColumn="1" w:lastColumn="0" w:noHBand="0" w:noVBand="1"/>
            </w:tblPr>
            <w:tblGrid>
              <w:gridCol w:w="4176"/>
              <w:gridCol w:w="1051"/>
            </w:tblGrid>
            <w:tr w:rsidR="00CF2AC1" w:rsidRPr="005A615E" w:rsidTr="002E1AD7">
              <w:trPr>
                <w:jc w:val="center"/>
              </w:trPr>
              <w:tc>
                <w:tcPr>
                  <w:tcW w:w="4176" w:type="dxa"/>
                  <w:vAlign w:val="center"/>
                </w:tcPr>
                <w:p w:rsidR="00CF2AC1" w:rsidRPr="005A615E" w:rsidRDefault="00CF2AC1" w:rsidP="00CF2AC1">
                  <w:pPr>
                    <w:rPr>
                      <w:rFonts w:ascii="Times New Roman" w:hAnsi="Times New Roman"/>
                    </w:rPr>
                  </w:pPr>
                  <w:r w:rsidRPr="005A615E">
                    <w:rPr>
                      <w:rFonts w:ascii="Times New Roman" w:hAnsi="Times New Roman"/>
                      <w:noProof/>
                    </w:rPr>
                    <w:drawing>
                      <wp:inline distT="0" distB="0" distL="0" distR="0" wp14:anchorId="5A5E6944" wp14:editId="72F93516">
                        <wp:extent cx="2338070" cy="224790"/>
                        <wp:effectExtent l="0" t="0" r="0" b="0"/>
                        <wp:docPr id="37" name="Зображення15" descr="https://zakon-pro.ligazakon.net/l_flib1.nsf/LookupFiles/GK40721_IMG_372.GIF/$file/GK40721_IMG_3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Зображення15" descr="https://zakon-pro.ligazakon.net/l_flib1.nsf/LookupFiles/GK40721_IMG_372.GIF/$file/GK40721_IMG_372.GIF"/>
                                <pic:cNvPicPr>
                                  <a:picLocks noChangeAspect="1" noChangeArrowheads="1"/>
                                </pic:cNvPicPr>
                              </pic:nvPicPr>
                              <pic:blipFill>
                                <a:blip r:embed="rId128"/>
                                <a:stretch>
                                  <a:fillRect/>
                                </a:stretch>
                              </pic:blipFill>
                              <pic:spPr bwMode="auto">
                                <a:xfrm>
                                  <a:off x="0" y="0"/>
                                  <a:ext cx="2338070" cy="224790"/>
                                </a:xfrm>
                                <a:prstGeom prst="rect">
                                  <a:avLst/>
                                </a:prstGeom>
                                <a:noFill/>
                              </pic:spPr>
                            </pic:pic>
                          </a:graphicData>
                        </a:graphic>
                      </wp:inline>
                    </w:drawing>
                  </w:r>
                </w:p>
              </w:tc>
              <w:tc>
                <w:tcPr>
                  <w:tcW w:w="1051" w:type="dxa"/>
                  <w:vAlign w:val="center"/>
                </w:tcPr>
                <w:p w:rsidR="00CF2AC1" w:rsidRPr="005A615E" w:rsidRDefault="000D13C5" w:rsidP="00CF2AC1">
                  <w:pPr>
                    <w:ind w:firstLine="567"/>
                    <w:rPr>
                      <w:rFonts w:ascii="Times New Roman" w:hAnsi="Times New Roman"/>
                    </w:rPr>
                  </w:pPr>
                  <w:hyperlink r:id="rId152" w:tgtFrame="_blank">
                    <w:r w:rsidR="00CF2AC1" w:rsidRPr="005A615E">
                      <w:rPr>
                        <w:rFonts w:ascii="Times New Roman" w:hAnsi="Times New Roman"/>
                      </w:rPr>
                      <w:t>, тис. грн,</w:t>
                    </w:r>
                  </w:hyperlink>
                  <w:r w:rsidR="00CF2AC1" w:rsidRPr="005A615E">
                    <w:rPr>
                      <w:rFonts w:ascii="Times New Roman" w:hAnsi="Times New Roman"/>
                    </w:rPr>
                    <w:t xml:space="preserve">   </w:t>
                  </w:r>
                  <w:hyperlink r:id="rId153" w:tgtFrame="_blank">
                    <w:r w:rsidR="00CF2AC1" w:rsidRPr="005A615E">
                      <w:rPr>
                        <w:rFonts w:ascii="Times New Roman" w:hAnsi="Times New Roman"/>
                      </w:rPr>
                      <w:t>(12)</w:t>
                    </w:r>
                  </w:hyperlink>
                </w:p>
              </w:tc>
            </w:tr>
          </w:tbl>
          <w:p w:rsidR="00CF2AC1" w:rsidRPr="005A615E" w:rsidRDefault="00CF2AC1" w:rsidP="00CF2AC1">
            <w:pPr>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rFonts w:ascii="Times New Roman" w:hAnsi="Times New Roman"/>
                <w:noProof/>
                <w:sz w:val="20"/>
              </w:rPr>
              <w:drawing>
                <wp:inline distT="0" distB="0" distL="0" distR="0" wp14:anchorId="5D766F99" wp14:editId="23A41BEC">
                  <wp:extent cx="266700" cy="200025"/>
                  <wp:effectExtent l="0" t="0" r="0" b="0"/>
                  <wp:docPr id="38" name="Зображення16" descr="https://zakon-pro.ligazakon.net/l_flib1.nsf/LookupFiles/GK40721_IMG_373.GIF/$file/GK40721_IMG_373.GIF">
                    <a:hlinkClick xmlns:a="http://schemas.openxmlformats.org/drawingml/2006/main" r:id="rId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Зображення16" descr="https://zakon-pro.ligazakon.net/l_flib1.nsf/LookupFiles/GK40721_IMG_373.GIF/$file/GK40721_IMG_373.GIF">
                            <a:hlinkClick r:id="rId131"/>
                          </pic:cNvPr>
                          <pic:cNvPicPr>
                            <a:picLocks noChangeAspect="1" noChangeArrowheads="1"/>
                          </pic:cNvPicPr>
                        </pic:nvPicPr>
                        <pic:blipFill>
                          <a:blip r:embed="rId132"/>
                          <a:stretch>
                            <a:fillRect/>
                          </a:stretch>
                        </pic:blipFill>
                        <pic:spPr bwMode="auto">
                          <a:xfrm>
                            <a:off x="0" y="0"/>
                            <a:ext cx="266700" cy="200025"/>
                          </a:xfrm>
                          <a:prstGeom prst="rect">
                            <a:avLst/>
                          </a:prstGeom>
                          <a:noFill/>
                        </pic:spPr>
                      </pic:pic>
                    </a:graphicData>
                  </a:graphic>
                </wp:inline>
              </w:drawing>
            </w:r>
            <w:r w:rsidRPr="005A615E">
              <w:rPr>
                <w:rFonts w:ascii="Times New Roman" w:eastAsia="Times New Roman" w:hAnsi="Times New Roman"/>
                <w:lang w:eastAsia="ru-RU"/>
              </w:rPr>
              <w:t> </w:t>
            </w:r>
            <m:oMath>
              <m:r>
                <w:rPr>
                  <w:rFonts w:ascii="Cambria Math" w:hAnsi="Cambria Math"/>
                </w:rPr>
                <m:t>-</m:t>
              </m:r>
            </m:oMath>
            <w:r w:rsidRPr="005A615E">
              <w:rPr>
                <w:rFonts w:ascii="Times New Roman" w:eastAsia="Times New Roman" w:hAnsi="Times New Roman"/>
                <w:lang w:eastAsia="ru-RU"/>
              </w:rPr>
              <w:t xml:space="preserve"> коефіцієнт, що враховує зміну умовних одиниць обладнання за попередній регуляторний період (за винятком останнього року), що розраховується за формулою </w:t>
            </w:r>
          </w:p>
          <w:p w:rsidR="00CF2AC1" w:rsidRPr="005A615E" w:rsidRDefault="00CF2AC1" w:rsidP="00CF2AC1">
            <w:pPr>
              <w:ind w:firstLine="567"/>
              <w:jc w:val="both"/>
              <w:rPr>
                <w:rFonts w:ascii="Times New Roman" w:hAnsi="Times New Roman"/>
              </w:rPr>
            </w:pPr>
          </w:p>
          <w:p w:rsidR="00CF2AC1" w:rsidRPr="005A615E" w:rsidRDefault="000D13C5" w:rsidP="00CF2AC1">
            <w:pPr>
              <w:ind w:firstLine="567"/>
              <w:rPr>
                <w:rFonts w:ascii="Times New Roman" w:hAnsi="Times New Roman"/>
                <w:b/>
              </w:rPr>
            </w:pPr>
            <m:oMathPara>
              <m:oMathParaPr>
                <m:jc m:val="center"/>
              </m:oMathParaPr>
              <m:oMath>
                <m:sSubSup>
                  <m:sSubSupPr>
                    <m:ctrlPr>
                      <w:rPr>
                        <w:rFonts w:ascii="Cambria Math" w:hAnsi="Cambria Math"/>
                      </w:rPr>
                    </m:ctrlPr>
                  </m:sSubSupPr>
                  <m:e>
                    <m:r>
                      <w:rPr>
                        <w:rFonts w:ascii="Cambria Math" w:hAnsi="Cambria Math"/>
                      </w:rPr>
                      <m:t>К</m:t>
                    </m:r>
                  </m:e>
                  <m:sub>
                    <m:r>
                      <w:rPr>
                        <w:rFonts w:ascii="Cambria Math" w:hAnsi="Cambria Math"/>
                      </w:rPr>
                      <m:t>УО</m:t>
                    </m:r>
                  </m:sub>
                  <m:sup>
                    <m:r>
                      <w:rPr>
                        <w:rFonts w:ascii="Cambria Math" w:hAnsi="Cambria Math"/>
                      </w:rPr>
                      <m:t>І</m:t>
                    </m:r>
                  </m:sup>
                </m:sSubSup>
                <m:r>
                  <w:rPr>
                    <w:rFonts w:ascii="Cambria Math" w:hAnsi="Cambria Math"/>
                  </w:rPr>
                  <m:t>=1+КУ×</m:t>
                </m:r>
                <m:f>
                  <m:fPr>
                    <m:ctrlPr>
                      <w:rPr>
                        <w:rFonts w:ascii="Cambria Math" w:hAnsi="Cambria Math"/>
                      </w:rPr>
                    </m:ctrlPr>
                  </m:fPr>
                  <m:num>
                    <m:sSup>
                      <m:sSupPr>
                        <m:ctrlPr>
                          <w:rPr>
                            <w:rFonts w:ascii="Cambria Math" w:hAnsi="Cambria Math"/>
                          </w:rPr>
                        </m:ctrlPr>
                      </m:sSupPr>
                      <m:e>
                        <m:r>
                          <w:rPr>
                            <w:rFonts w:ascii="Cambria Math" w:hAnsi="Cambria Math"/>
                          </w:rPr>
                          <m:t>∆УО</m:t>
                        </m:r>
                      </m:e>
                      <m:sup>
                        <m:r>
                          <w:rPr>
                            <w:rFonts w:ascii="Cambria Math" w:hAnsi="Cambria Math"/>
                          </w:rPr>
                          <m:t>І</m:t>
                        </m:r>
                      </m:sup>
                    </m:sSup>
                  </m:num>
                  <m:den>
                    <m:sSubSup>
                      <m:sSubSupPr>
                        <m:ctrlPr>
                          <w:rPr>
                            <w:rFonts w:ascii="Cambria Math" w:hAnsi="Cambria Math"/>
                          </w:rPr>
                        </m:ctrlPr>
                      </m:sSubSupPr>
                      <m:e>
                        <m:r>
                          <w:rPr>
                            <w:rFonts w:ascii="Cambria Math" w:hAnsi="Cambria Math"/>
                          </w:rPr>
                          <m:t>УО</m:t>
                        </m:r>
                      </m:e>
                      <m:sub>
                        <m:r>
                          <w:rPr>
                            <w:rFonts w:ascii="Cambria Math" w:hAnsi="Cambria Math"/>
                          </w:rPr>
                          <m:t>t=1</m:t>
                        </m:r>
                      </m:sub>
                      <m:sup>
                        <m:r>
                          <w:rPr>
                            <w:rFonts w:ascii="Cambria Math" w:hAnsi="Cambria Math"/>
                          </w:rPr>
                          <m:t>поч</m:t>
                        </m:r>
                      </m:sup>
                    </m:sSubSup>
                  </m:den>
                </m:f>
                <m:r>
                  <w:rPr>
                    <w:rFonts w:ascii="Cambria Math" w:hAnsi="Cambria Math"/>
                  </w:rPr>
                  <m:t>,відносниходиниць,</m:t>
                </m:r>
              </m:oMath>
            </m:oMathPara>
          </w:p>
          <w:p w:rsidR="00CF2AC1" w:rsidRPr="005A615E" w:rsidRDefault="00CF2AC1" w:rsidP="00CF2AC1">
            <w:pPr>
              <w:ind w:firstLine="173"/>
              <w:jc w:val="both"/>
              <w:rPr>
                <w:rFonts w:ascii="Times New Roman" w:hAnsi="Times New Roman"/>
                <w:b/>
              </w:rPr>
            </w:pPr>
          </w:p>
          <w:p w:rsidR="00CF2AC1" w:rsidRPr="005A615E" w:rsidRDefault="00CF2AC1" w:rsidP="00CF2AC1">
            <w:pPr>
              <w:ind w:firstLine="173"/>
              <w:jc w:val="both"/>
              <w:rPr>
                <w:rFonts w:ascii="Times New Roman" w:hAnsi="Times New Roman"/>
              </w:rPr>
            </w:pPr>
            <w:r w:rsidRPr="005A615E">
              <w:rPr>
                <w:rFonts w:ascii="Times New Roman" w:eastAsia="Times New Roman" w:hAnsi="Times New Roman"/>
                <w:lang w:eastAsia="ru-RU"/>
              </w:rPr>
              <w:t>де </w:t>
            </w:r>
            <w:r w:rsidRPr="005A615E">
              <w:rPr>
                <w:rFonts w:ascii="Times New Roman" w:hAnsi="Times New Roman"/>
                <w:noProof/>
                <w:sz w:val="20"/>
              </w:rPr>
              <w:drawing>
                <wp:inline distT="0" distB="0" distL="0" distR="0" wp14:anchorId="69CFF051" wp14:editId="69434D7B">
                  <wp:extent cx="447675" cy="161925"/>
                  <wp:effectExtent l="0" t="0" r="9525" b="9525"/>
                  <wp:docPr id="39" name="Зображення17" descr="https://zakon-pro.ligazakon.net/l_flib1.nsf/LookupFiles/GK40721_IMG_375.GIF/$file/GK40721_IMG_375.GIF">
                    <a:hlinkClick xmlns:a="http://schemas.openxmlformats.org/drawingml/2006/main" r:id="rId1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Зображення17" descr="https://zakon-pro.ligazakon.net/l_flib1.nsf/LookupFiles/GK40721_IMG_375.GIF/$file/GK40721_IMG_375.GIF">
                            <a:hlinkClick r:id="rId134"/>
                          </pic:cNvPr>
                          <pic:cNvPicPr>
                            <a:picLocks noChangeAspect="1" noChangeArrowheads="1"/>
                          </pic:cNvPicPr>
                        </pic:nvPicPr>
                        <pic:blipFill>
                          <a:blip r:embed="rId135"/>
                          <a:stretch>
                            <a:fillRect/>
                          </a:stretch>
                        </pic:blipFill>
                        <pic:spPr bwMode="auto">
                          <a:xfrm>
                            <a:off x="0" y="0"/>
                            <a:ext cx="447675" cy="161925"/>
                          </a:xfrm>
                          <a:prstGeom prst="rect">
                            <a:avLst/>
                          </a:prstGeom>
                          <a:noFill/>
                        </pic:spPr>
                      </pic:pic>
                    </a:graphicData>
                  </a:graphic>
                </wp:inline>
              </w:drawing>
            </w:r>
            <w:r w:rsidRPr="005A615E">
              <w:rPr>
                <w:rFonts w:ascii="Times New Roman" w:eastAsia="Times New Roman" w:hAnsi="Times New Roman"/>
                <w:lang w:eastAsia="ru-RU"/>
              </w:rPr>
              <w:t xml:space="preserve"> </w:t>
            </w:r>
            <m:oMath>
              <m:r>
                <w:rPr>
                  <w:rFonts w:ascii="Cambria Math" w:hAnsi="Cambria Math"/>
                </w:rPr>
                <m:t>-</m:t>
              </m:r>
            </m:oMath>
            <w:r w:rsidRPr="005A615E">
              <w:rPr>
                <w:rFonts w:ascii="Times New Roman" w:eastAsia="Times New Roman" w:hAnsi="Times New Roman"/>
                <w:lang w:eastAsia="ru-RU"/>
              </w:rPr>
              <w:t xml:space="preserve"> кількість умовних одиниць обладнання на початок першого року попереднього регуляторного періоду (для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 рік t-1);</w:t>
            </w:r>
          </w:p>
          <w:p w:rsidR="00CF2AC1" w:rsidRPr="005A615E" w:rsidRDefault="000D13C5" w:rsidP="00CF2AC1">
            <w:pPr>
              <w:ind w:firstLine="173"/>
              <w:jc w:val="both"/>
              <w:rPr>
                <w:rFonts w:ascii="Times New Roman" w:hAnsi="Times New Roman"/>
              </w:rPr>
            </w:pPr>
            <m:oMath>
              <m:sSup>
                <m:sSupPr>
                  <m:ctrlPr>
                    <w:rPr>
                      <w:rFonts w:ascii="Cambria Math" w:hAnsi="Cambria Math"/>
                    </w:rPr>
                  </m:ctrlPr>
                </m:sSupPr>
                <m:e>
                  <m:r>
                    <w:rPr>
                      <w:rFonts w:ascii="Cambria Math" w:hAnsi="Cambria Math"/>
                    </w:rPr>
                    <m:t>∆УО</m:t>
                  </m:r>
                </m:e>
                <m:sup>
                  <m:r>
                    <w:rPr>
                      <w:rFonts w:ascii="Cambria Math" w:hAnsi="Cambria Math"/>
                    </w:rPr>
                    <m:t>І</m:t>
                  </m:r>
                </m:sup>
              </m:sSup>
              <m:r>
                <w:rPr>
                  <w:rFonts w:ascii="Cambria Math" w:hAnsi="Cambria Math"/>
                </w:rPr>
                <m:t>-</m:t>
              </m:r>
            </m:oMath>
            <w:r w:rsidR="00CF2AC1" w:rsidRPr="005A615E">
              <w:rPr>
                <w:rFonts w:ascii="Times New Roman" w:eastAsia="Times New Roman" w:hAnsi="Times New Roman"/>
                <w:lang w:eastAsia="ru-RU"/>
              </w:rPr>
              <w:t>зміна фактичної кількості умовних одиниць енергетичного обладнання, на початок першого року попереднього регуляторного періоду, до  фактичної кількості умовних одиниць енергетичного обладнання ліцензіата на кінець року t-2 (для ліцензіатів, перелік яких</w:t>
            </w:r>
            <w:r w:rsidR="00CF2AC1" w:rsidRPr="005A615E">
              <w:rPr>
                <w:rFonts w:ascii="Times New Roman" w:eastAsia="Times New Roman" w:hAnsi="Times New Roman"/>
                <w:b/>
                <w:lang w:eastAsia="ru-RU"/>
              </w:rPr>
              <w:t xml:space="preserve"> </w:t>
            </w:r>
            <w:r w:rsidR="00CF2AC1" w:rsidRPr="005A615E">
              <w:rPr>
                <w:rFonts w:ascii="Times New Roman" w:eastAsia="Times New Roman" w:hAnsi="Times New Roman"/>
                <w:lang w:eastAsia="ru-RU"/>
              </w:rPr>
              <w:t>наведено в додатку 30 до цього Порядку, кількість умовних одиниць обладнання ліцензіата, врахованих при розрахунку тарифів на рік t-1 до фактичної кількості умовних одиниць енергетичного обладнання ліцензіата  на кінець року t-2).</w:t>
            </w:r>
          </w:p>
          <w:p w:rsidR="00CF2AC1" w:rsidRPr="005A615E" w:rsidRDefault="00CF2AC1" w:rsidP="00CF2AC1">
            <w:pPr>
              <w:shd w:val="clear" w:color="auto" w:fill="FFFFFF"/>
              <w:ind w:firstLine="173"/>
              <w:contextualSpacing/>
              <w:jc w:val="both"/>
              <w:rPr>
                <w:rFonts w:ascii="Times New Roman" w:hAnsi="Times New Roman"/>
              </w:rPr>
            </w:pPr>
            <w:r w:rsidRPr="005A615E">
              <w:rPr>
                <w:rFonts w:ascii="Times New Roman" w:eastAsia="Times New Roman" w:hAnsi="Times New Roman"/>
                <w:lang w:eastAsia="ru-RU"/>
              </w:rPr>
              <w:t xml:space="preserve">Для першого року другого та наступних  регуляторних періодів </w:t>
            </w:r>
            <w:r w:rsidRPr="005A615E">
              <w:rPr>
                <w:rFonts w:ascii="Times New Roman" w:eastAsia="Times New Roman" w:hAnsi="Times New Roman"/>
                <w:lang w:eastAsia="ru-RU"/>
              </w:rPr>
              <w:br/>
              <w:t xml:space="preserve">при визначенні прогнозованого фонду оплати праці (витрат на оплату праці) у році t </w:t>
            </w:r>
            <m:oMath>
              <m:r>
                <w:rPr>
                  <w:rFonts w:ascii="Cambria Math" w:hAnsi="Cambria Math"/>
                </w:rPr>
                <m:t>(</m:t>
              </m:r>
              <m:sSubSup>
                <m:sSubSupPr>
                  <m:ctrlPr>
                    <w:rPr>
                      <w:rFonts w:ascii="Cambria Math" w:hAnsi="Cambria Math"/>
                    </w:rPr>
                  </m:ctrlPr>
                </m:sSubSupPr>
                <m:e>
                  <m:r>
                    <w:rPr>
                      <w:rFonts w:ascii="Cambria Math" w:hAnsi="Cambria Math"/>
                    </w:rPr>
                    <m:t>ФОП</m:t>
                  </m:r>
                </m:e>
                <m:sub>
                  <m:r>
                    <w:rPr>
                      <w:rFonts w:ascii="Cambria Math" w:hAnsi="Cambria Math"/>
                    </w:rPr>
                    <m:t>t</m:t>
                  </m:r>
                </m:sub>
                <m:sup>
                  <m:r>
                    <w:rPr>
                      <w:rFonts w:ascii="Cambria Math" w:hAnsi="Cambria Math"/>
                    </w:rPr>
                    <m:t>n</m:t>
                  </m:r>
                </m:sup>
              </m:sSubSup>
              <m:r>
                <w:rPr>
                  <w:rFonts w:ascii="Cambria Math" w:hAnsi="Cambria Math"/>
                </w:rPr>
                <m:t>)</m:t>
              </m:r>
            </m:oMath>
            <w:r w:rsidRPr="005A615E">
              <w:rPr>
                <w:rFonts w:ascii="Times New Roman" w:eastAsia="Times New Roman" w:hAnsi="Times New Roman"/>
                <w:lang w:eastAsia="ru-RU"/>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eastAsia="Times New Roman" w:hAnsi="Times New Roman"/>
                <w:lang w:eastAsia="uk-UA"/>
              </w:rPr>
              <w:t>(</w:t>
            </w:r>
            <m:oMath>
              <m:sSubSup>
                <m:sSubSupPr>
                  <m:ctrlPr>
                    <w:rPr>
                      <w:rFonts w:ascii="Cambria Math" w:hAnsi="Cambria Math"/>
                    </w:rPr>
                  </m:ctrlPr>
                </m:sSubSupPr>
                <m:e>
                  <m:r>
                    <w:rPr>
                      <w:rFonts w:ascii="Cambria Math" w:hAnsi="Cambria Math"/>
                    </w:rPr>
                    <m:t>ТЧП</m:t>
                  </m:r>
                </m:e>
                <m:sub>
                  <m:r>
                    <w:rPr>
                      <w:rFonts w:ascii="Cambria Math" w:hAnsi="Cambria Math"/>
                    </w:rPr>
                    <m:t>t</m:t>
                  </m:r>
                </m:sub>
                <m:sup>
                  <m:r>
                    <w:rPr>
                      <w:rFonts w:ascii="Cambria Math" w:hAnsi="Cambria Math"/>
                    </w:rPr>
                    <m:t>тар</m:t>
                  </m:r>
                </m:sup>
              </m:sSubSup>
            </m:oMath>
            <w:r w:rsidRPr="005A615E">
              <w:rPr>
                <w:rFonts w:ascii="Times New Roman" w:eastAsia="Times New Roman" w:hAnsi="Times New Roman"/>
                <w:lang w:eastAsia="uk-UA"/>
              </w:rPr>
              <w:t xml:space="preserve">) </w:t>
            </w:r>
            <w:r w:rsidRPr="005A615E">
              <w:rPr>
                <w:rFonts w:ascii="Times New Roman" w:eastAsia="Times New Roman" w:hAnsi="Times New Roman"/>
                <w:lang w:eastAsia="ru-RU"/>
              </w:rPr>
              <w:t>розраховується за формулою</w:t>
            </w:r>
          </w:p>
          <w:p w:rsidR="00CF2AC1" w:rsidRPr="005A615E" w:rsidRDefault="00CF2AC1" w:rsidP="00CF2AC1">
            <w:pPr>
              <w:ind w:firstLine="173"/>
              <w:jc w:val="both"/>
              <w:rPr>
                <w:rFonts w:ascii="Times New Roman" w:hAnsi="Times New Roman"/>
                <w:b/>
              </w:rPr>
            </w:pPr>
          </w:p>
          <w:p w:rsidR="00CF2AC1" w:rsidRPr="005A615E" w:rsidRDefault="000D13C5" w:rsidP="00CF2AC1">
            <w:pPr>
              <w:shd w:val="clear" w:color="auto" w:fill="FFFFFF"/>
              <w:spacing w:after="150"/>
              <w:ind w:firstLine="450"/>
              <w:rPr>
                <w:rFonts w:ascii="Times New Roman" w:hAnsi="Times New Roman"/>
                <w:b/>
                <w:u w:val="single"/>
              </w:rPr>
            </w:pPr>
            <m:oMathPara>
              <m:oMathParaPr>
                <m:jc m:val="center"/>
              </m:oMathParaPr>
              <m:oMath>
                <m:sSubSup>
                  <m:sSubSupPr>
                    <m:ctrlPr>
                      <w:rPr>
                        <w:rFonts w:ascii="Cambria Math" w:hAnsi="Cambria Math"/>
                      </w:rPr>
                    </m:ctrlPr>
                  </m:sSubSupPr>
                  <m:e>
                    <m:r>
                      <w:rPr>
                        <w:rFonts w:ascii="Cambria Math" w:hAnsi="Cambria Math"/>
                      </w:rPr>
                      <m:t>ТЧП</m:t>
                    </m:r>
                  </m:e>
                  <m:sub>
                    <m:r>
                      <w:rPr>
                        <w:rFonts w:ascii="Cambria Math" w:hAnsi="Cambria Math"/>
                      </w:rPr>
                      <m:t>t</m:t>
                    </m:r>
                  </m:sub>
                  <m:sup>
                    <m:r>
                      <w:rPr>
                        <w:rFonts w:ascii="Cambria Math" w:hAnsi="Cambria Math"/>
                      </w:rPr>
                      <m:t>тар</m:t>
                    </m:r>
                  </m:sup>
                </m:sSubSup>
                <m:r>
                  <w:rPr>
                    <w:rFonts w:ascii="Cambria Math" w:hAnsi="Cambria Math"/>
                  </w:rPr>
                  <m:t>=</m:t>
                </m:r>
                <m:sSubSup>
                  <m:sSubSupPr>
                    <m:ctrlPr>
                      <w:rPr>
                        <w:rFonts w:ascii="Cambria Math" w:hAnsi="Cambria Math"/>
                      </w:rPr>
                    </m:ctrlPr>
                  </m:sSubSupPr>
                  <m:e>
                    <m:r>
                      <w:rPr>
                        <w:rFonts w:ascii="Cambria Math" w:hAnsi="Cambria Math"/>
                      </w:rPr>
                      <m:t>ТЧП</m:t>
                    </m:r>
                  </m:e>
                  <m:sub>
                    <m:r>
                      <w:rPr>
                        <w:rFonts w:ascii="Cambria Math" w:hAnsi="Cambria Math"/>
                      </w:rPr>
                      <m:t>t-1</m:t>
                    </m:r>
                  </m:sub>
                  <m:sup>
                    <m:r>
                      <w:rPr>
                        <w:rFonts w:ascii="Cambria Math" w:hAnsi="Cambria Math"/>
                      </w:rPr>
                      <m:t>тар</m:t>
                    </m:r>
                  </m:sup>
                </m:sSubSup>
                <m:r>
                  <w:rPr>
                    <w:rFonts w:ascii="Cambria Math" w:hAnsi="Cambria Math"/>
                  </w:rPr>
                  <m:t>×</m:t>
                </m:r>
                <m:sSup>
                  <m:sSupPr>
                    <m:ctrlPr>
                      <w:rPr>
                        <w:rFonts w:ascii="Cambria Math" w:hAnsi="Cambria Math"/>
                      </w:rPr>
                    </m:ctrlPr>
                  </m:sSupPr>
                  <m:e>
                    <m: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ПЕ</m:t>
                            </m:r>
                          </m:e>
                          <m:sub>
                            <m:r>
                              <w:rPr>
                                <w:rFonts w:ascii="Cambria Math" w:hAnsi="Cambria Math"/>
                              </w:rPr>
                              <m:t>з</m:t>
                            </m:r>
                          </m:sub>
                        </m:sSub>
                      </m:num>
                      <m:den>
                        <m:r>
                          <w:rPr>
                            <w:rFonts w:ascii="Cambria Math" w:hAnsi="Cambria Math"/>
                          </w:rPr>
                          <m:t>100</m:t>
                        </m:r>
                      </m:den>
                    </m:f>
                    <m:r>
                      <w:rPr>
                        <w:rFonts w:ascii="Cambria Math" w:hAnsi="Cambria Math"/>
                      </w:rPr>
                      <m:t>)</m:t>
                    </m:r>
                  </m:e>
                  <m:sup>
                    <m:r>
                      <w:rPr>
                        <w:rFonts w:ascii="Cambria Math" w:hAnsi="Cambria Math"/>
                      </w:rPr>
                      <m:t>n</m:t>
                    </m:r>
                  </m:sup>
                </m:sSup>
                <m:r>
                  <w:rPr>
                    <w:rFonts w:ascii="Cambria Math" w:hAnsi="Cambria Math"/>
                  </w:rPr>
                  <m:t>×</m:t>
                </m:r>
                <m:sSubSup>
                  <m:sSubSupPr>
                    <m:ctrlPr>
                      <w:rPr>
                        <w:rFonts w:ascii="Cambria Math" w:hAnsi="Cambria Math"/>
                      </w:rPr>
                    </m:ctrlPr>
                  </m:sSubSupPr>
                  <m:e>
                    <m:r>
                      <w:rPr>
                        <w:rFonts w:ascii="Cambria Math" w:hAnsi="Cambria Math"/>
                      </w:rPr>
                      <m:t>КУ</m:t>
                    </m:r>
                  </m:e>
                  <m:sub>
                    <m:r>
                      <w:rPr>
                        <w:rFonts w:ascii="Cambria Math" w:hAnsi="Cambria Math"/>
                      </w:rPr>
                      <m:t>УО</m:t>
                    </m:r>
                  </m:sub>
                  <m:sup>
                    <m:r>
                      <w:rPr>
                        <w:rFonts w:ascii="Cambria Math" w:hAnsi="Cambria Math"/>
                      </w:rPr>
                      <m:t>І</m:t>
                    </m:r>
                  </m:sup>
                </m:sSubSup>
                <m:r>
                  <w:rPr>
                    <w:rFonts w:ascii="Cambria Math" w:hAnsi="Cambria Math"/>
                  </w:rPr>
                  <m:t>,осіб,</m:t>
                </m:r>
              </m:oMath>
            </m:oMathPara>
          </w:p>
          <w:p w:rsidR="00CF2AC1" w:rsidRPr="005A615E" w:rsidRDefault="00CF2AC1" w:rsidP="00CF2AC1">
            <w:pPr>
              <w:shd w:val="clear" w:color="auto" w:fill="FFFFFF"/>
              <w:ind w:firstLine="173"/>
              <w:jc w:val="both"/>
              <w:rPr>
                <w:rFonts w:ascii="Times New Roman" w:hAnsi="Times New Roman"/>
              </w:rPr>
            </w:pPr>
            <w:r w:rsidRPr="005A615E">
              <w:rPr>
                <w:rFonts w:ascii="Times New Roman" w:eastAsia="Times New Roman" w:hAnsi="Times New Roman"/>
                <w:lang w:eastAsia="ru-RU"/>
              </w:rPr>
              <w:t xml:space="preserve">де </w:t>
            </w:r>
            <m:oMath>
              <m:sSubSup>
                <m:sSubSupPr>
                  <m:ctrlPr>
                    <w:rPr>
                      <w:rFonts w:ascii="Cambria Math" w:hAnsi="Cambria Math"/>
                    </w:rPr>
                  </m:ctrlPr>
                </m:sSubSupPr>
                <m:e>
                  <m:r>
                    <w:rPr>
                      <w:rFonts w:ascii="Cambria Math" w:hAnsi="Cambria Math"/>
                    </w:rPr>
                    <m:t>ТЧП</m:t>
                  </m:r>
                </m:e>
                <m:sub>
                  <m:r>
                    <w:rPr>
                      <w:rFonts w:ascii="Cambria Math" w:hAnsi="Cambria Math"/>
                    </w:rPr>
                    <m:t>t-1</m:t>
                  </m:r>
                </m:sub>
                <m:sup>
                  <m:r>
                    <w:rPr>
                      <w:rFonts w:ascii="Cambria Math" w:hAnsi="Cambria Math"/>
                    </w:rPr>
                    <m:t>тар</m:t>
                  </m:r>
                </m:sup>
              </m:sSubSup>
              <m:r>
                <w:rPr>
                  <w:rFonts w:ascii="Cambria Math" w:hAnsi="Cambria Math"/>
                </w:rPr>
                <m:t>-</m:t>
              </m:r>
            </m:oMath>
            <w:r w:rsidRPr="005A615E">
              <w:rPr>
                <w:rFonts w:ascii="Times New Roman" w:eastAsia="Times New Roman" w:hAnsi="Times New Roman"/>
                <w:lang w:eastAsia="ru-RU"/>
              </w:rPr>
              <w:t>тарифна чисельність працівників, що врахована у діючих тарифах, осіб;</w:t>
            </w:r>
          </w:p>
          <w:p w:rsidR="00CF2AC1" w:rsidRPr="005A615E" w:rsidRDefault="00CF2AC1" w:rsidP="00CF2AC1">
            <w:pPr>
              <w:shd w:val="clear" w:color="auto" w:fill="FFFFFF"/>
              <w:spacing w:after="150"/>
              <w:ind w:firstLine="173"/>
              <w:jc w:val="both"/>
              <w:rPr>
                <w:rFonts w:ascii="Times New Roman" w:hAnsi="Times New Roman"/>
              </w:rPr>
            </w:pPr>
            <w:r w:rsidRPr="005A615E">
              <w:rPr>
                <w:rFonts w:ascii="Times New Roman" w:eastAsia="Times New Roman" w:hAnsi="Times New Roman"/>
                <w:lang w:eastAsia="ru-RU"/>
              </w:rPr>
              <w:t xml:space="preserve">n </w:t>
            </w:r>
            <m:oMath>
              <m:r>
                <w:rPr>
                  <w:rFonts w:ascii="Cambria Math" w:hAnsi="Cambria Math"/>
                </w:rPr>
                <m:t>–</m:t>
              </m:r>
            </m:oMath>
            <w:r w:rsidRPr="005A615E">
              <w:rPr>
                <w:rFonts w:ascii="Times New Roman" w:eastAsia="Times New Roman" w:hAnsi="Times New Roman"/>
                <w:lang w:eastAsia="ru-RU"/>
              </w:rPr>
              <w:t xml:space="preserve"> кількість років попереднього регуляторного періоду, протягом яких застосовувався загальний показник ефективності для операційних контрольованих витрат, встановлений НКРЕКП (за винятком останнього року), які визначають показник степеня.</w:t>
            </w:r>
          </w:p>
          <w:p w:rsidR="00CF2AC1" w:rsidRPr="005A615E" w:rsidRDefault="00CF2AC1" w:rsidP="00CF2AC1">
            <w:pPr>
              <w:ind w:firstLine="173"/>
              <w:jc w:val="both"/>
              <w:rPr>
                <w:rFonts w:ascii="Times New Roman" w:hAnsi="Times New Roman"/>
              </w:rPr>
            </w:pPr>
            <w:r w:rsidRPr="005A615E">
              <w:rPr>
                <w:rFonts w:ascii="Times New Roman" w:eastAsia="Times New Roman" w:hAnsi="Times New Roman"/>
                <w:lang w:eastAsia="ru-RU"/>
              </w:rPr>
              <w:t>Базові рівні операційних контрольованих витрат на другий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CF2AC1" w:rsidP="00CF2AC1">
            <w:pPr>
              <w:ind w:firstLine="567"/>
              <w:rPr>
                <w:rFonts w:ascii="Times New Roman" w:hAnsi="Times New Roman"/>
                <w:b/>
              </w:rPr>
            </w:pPr>
          </w:p>
          <w:tbl>
            <w:tblPr>
              <w:tblW w:w="7985" w:type="dxa"/>
              <w:tblLayout w:type="fixed"/>
              <w:tblCellMar>
                <w:top w:w="15" w:type="dxa"/>
                <w:left w:w="15" w:type="dxa"/>
                <w:bottom w:w="15" w:type="dxa"/>
                <w:right w:w="15" w:type="dxa"/>
              </w:tblCellMar>
              <w:tblLook w:val="04A0" w:firstRow="1" w:lastRow="0" w:firstColumn="1" w:lastColumn="0" w:noHBand="0" w:noVBand="1"/>
            </w:tblPr>
            <w:tblGrid>
              <w:gridCol w:w="5001"/>
              <w:gridCol w:w="1418"/>
              <w:gridCol w:w="1566"/>
            </w:tblGrid>
            <w:tr w:rsidR="00CF2AC1" w:rsidRPr="005A615E" w:rsidTr="00E735A5">
              <w:tc>
                <w:tcPr>
                  <w:tcW w:w="5001" w:type="dxa"/>
                  <w:vAlign w:val="center"/>
                </w:tcPr>
                <w:p w:rsidR="00CF2AC1" w:rsidRPr="005A615E" w:rsidRDefault="00CF2AC1" w:rsidP="00CF2AC1">
                  <w:pPr>
                    <w:ind w:firstLine="567"/>
                    <w:rPr>
                      <w:rFonts w:ascii="Times New Roman" w:hAnsi="Times New Roman"/>
                    </w:rPr>
                  </w:pPr>
                  <w:r w:rsidRPr="005A615E">
                    <w:rPr>
                      <w:rFonts w:ascii="Times New Roman" w:hAnsi="Times New Roman"/>
                      <w:noProof/>
                    </w:rPr>
                    <w:drawing>
                      <wp:inline distT="0" distB="0" distL="0" distR="0" wp14:anchorId="560063C4" wp14:editId="6800283F">
                        <wp:extent cx="2493010" cy="277495"/>
                        <wp:effectExtent l="0" t="0" r="0" b="0"/>
                        <wp:docPr id="40" name="Зображення18" descr="https://zakon-pro.ligazakon.net/l_flib1.nsf/LookupFiles/GK40721_IMG_376.GIF/$file/GK40721_IMG_3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Зображення18" descr="https://zakon-pro.ligazakon.net/l_flib1.nsf/LookupFiles/GK40721_IMG_376.GIF/$file/GK40721_IMG_376.GIF"/>
                                <pic:cNvPicPr>
                                  <a:picLocks noChangeAspect="1" noChangeArrowheads="1"/>
                                </pic:cNvPicPr>
                              </pic:nvPicPr>
                              <pic:blipFill>
                                <a:blip r:embed="rId137"/>
                                <a:stretch>
                                  <a:fillRect/>
                                </a:stretch>
                              </pic:blipFill>
                              <pic:spPr bwMode="auto">
                                <a:xfrm>
                                  <a:off x="0" y="0"/>
                                  <a:ext cx="2493010" cy="277495"/>
                                </a:xfrm>
                                <a:prstGeom prst="rect">
                                  <a:avLst/>
                                </a:prstGeom>
                                <a:noFill/>
                              </pic:spPr>
                            </pic:pic>
                          </a:graphicData>
                        </a:graphic>
                      </wp:inline>
                    </w:drawing>
                  </w:r>
                </w:p>
              </w:tc>
              <w:tc>
                <w:tcPr>
                  <w:tcW w:w="1418" w:type="dxa"/>
                  <w:vAlign w:val="center"/>
                </w:tcPr>
                <w:p w:rsidR="00CF2AC1" w:rsidRPr="005A615E" w:rsidRDefault="000D13C5" w:rsidP="00CF2AC1">
                  <w:pPr>
                    <w:rPr>
                      <w:rFonts w:ascii="Times New Roman" w:hAnsi="Times New Roman"/>
                    </w:rPr>
                  </w:pPr>
                  <w:hyperlink r:id="rId154" w:tgtFrame="_blank">
                    <w:r w:rsidR="00CF2AC1" w:rsidRPr="005A615E">
                      <w:rPr>
                        <w:rFonts w:ascii="Times New Roman" w:hAnsi="Times New Roman"/>
                      </w:rPr>
                      <w:t>,  тис. грн,</w:t>
                    </w:r>
                  </w:hyperlink>
                </w:p>
              </w:tc>
              <w:tc>
                <w:tcPr>
                  <w:tcW w:w="1566" w:type="dxa"/>
                  <w:vAlign w:val="center"/>
                </w:tcPr>
                <w:p w:rsidR="00CF2AC1" w:rsidRPr="005A615E" w:rsidRDefault="00CF2AC1" w:rsidP="00CF2AC1">
                  <w:pPr>
                    <w:rPr>
                      <w:rFonts w:ascii="Times New Roman" w:hAnsi="Times New Roman"/>
                    </w:rPr>
                  </w:pPr>
                </w:p>
              </w:tc>
            </w:tr>
          </w:tbl>
          <w:p w:rsidR="00CF2AC1" w:rsidRPr="005A615E" w:rsidRDefault="00CF2AC1" w:rsidP="00CF2AC1">
            <w:pPr>
              <w:ind w:firstLine="173"/>
              <w:jc w:val="both"/>
              <w:rPr>
                <w:rFonts w:ascii="Times New Roman" w:hAnsi="Times New Roman"/>
              </w:rPr>
            </w:pPr>
            <w:r w:rsidRPr="005A615E">
              <w:rPr>
                <w:rFonts w:ascii="Times New Roman" w:eastAsia="Times New Roman" w:hAnsi="Times New Roman"/>
                <w:lang w:eastAsia="ru-RU"/>
              </w:rPr>
              <w:t>де</w:t>
            </w:r>
            <w:r w:rsidRPr="005A615E">
              <w:rPr>
                <w:rFonts w:ascii="Times New Roman" w:eastAsia="Times New Roman" w:hAnsi="Times New Roman"/>
                <w:lang w:eastAsia="uk-UA"/>
              </w:rPr>
              <w:t xml:space="preserve"> </w:t>
            </w:r>
            <m:oMath>
              <m:sSubSup>
                <m:sSubSupPr>
                  <m:ctrlPr>
                    <w:rPr>
                      <w:rFonts w:ascii="Cambria Math" w:hAnsi="Cambria Math"/>
                    </w:rPr>
                  </m:ctrlPr>
                </m:sSubSupPr>
                <m:e>
                  <m:r>
                    <w:rPr>
                      <w:rFonts w:ascii="Cambria Math" w:hAnsi="Cambria Math"/>
                    </w:rPr>
                    <m:t>ОКВ</m:t>
                  </m:r>
                </m:e>
                <m:sub>
                  <m:r>
                    <w:rPr>
                      <w:rFonts w:ascii="Cambria Math" w:hAnsi="Cambria Math"/>
                    </w:rPr>
                    <m:t>ост</m:t>
                  </m:r>
                </m:sub>
                <m:sup>
                  <m:r>
                    <w:rPr>
                      <w:rFonts w:ascii="Cambria Math" w:hAnsi="Cambria Math"/>
                    </w:rPr>
                    <m:t>ІІ</m:t>
                  </m:r>
                </m:sup>
              </m:sSubSup>
              <m:r>
                <w:rPr>
                  <w:rFonts w:ascii="Cambria Math" w:hAnsi="Cambria Math"/>
                </w:rPr>
                <m:t>-</m:t>
              </m:r>
            </m:oMath>
            <w:r w:rsidRPr="005A615E">
              <w:rPr>
                <w:rFonts w:ascii="Times New Roman" w:eastAsia="Times New Roman" w:hAnsi="Times New Roman"/>
                <w:lang w:eastAsia="ru-RU"/>
              </w:rPr>
              <w:t>прогнозовані операційні контрольовані витрати враховані в діючих тарифах, тис. грн;</w:t>
            </w:r>
          </w:p>
          <w:p w:rsidR="00CF2AC1" w:rsidRPr="005A615E" w:rsidRDefault="00CF2AC1" w:rsidP="00CF2AC1">
            <w:pPr>
              <w:ind w:firstLine="173"/>
              <w:jc w:val="both"/>
              <w:rPr>
                <w:rFonts w:ascii="Times New Roman" w:hAnsi="Times New Roman"/>
              </w:rPr>
            </w:pPr>
            <w:r w:rsidRPr="005A615E">
              <w:rPr>
                <w:rFonts w:ascii="Times New Roman" w:eastAsia="Times New Roman" w:hAnsi="Times New Roman"/>
                <w:lang w:eastAsia="ru-RU"/>
              </w:rPr>
              <w:t> </w:t>
            </w:r>
            <w:r w:rsidRPr="005A615E">
              <w:rPr>
                <w:rFonts w:ascii="Times New Roman" w:hAnsi="Times New Roman"/>
                <w:noProof/>
                <w:sz w:val="20"/>
              </w:rPr>
              <w:drawing>
                <wp:inline distT="0" distB="0" distL="0" distR="0" wp14:anchorId="6914F51E" wp14:editId="640C5FE1">
                  <wp:extent cx="496570" cy="144145"/>
                  <wp:effectExtent l="0" t="0" r="0" b="0"/>
                  <wp:docPr id="41" name="Зображення19" descr="https://zakon-pro.ligazakon.net/l_flib1.nsf/LookupFiles/GK40721_IMG_377.GIF/$file/GK40721_IMG_377.GIF">
                    <a:hlinkClick xmlns:a="http://schemas.openxmlformats.org/drawingml/2006/main" r:id="rId1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Зображення19" descr="https://zakon-pro.ligazakon.net/l_flib1.nsf/LookupFiles/GK40721_IMG_377.GIF/$file/GK40721_IMG_377.GIF">
                            <a:hlinkClick r:id="rId140"/>
                          </pic:cNvPr>
                          <pic:cNvPicPr>
                            <a:picLocks noChangeAspect="1" noChangeArrowheads="1"/>
                          </pic:cNvPicPr>
                        </pic:nvPicPr>
                        <pic:blipFill>
                          <a:blip r:embed="rId141"/>
                          <a:stretch>
                            <a:fillRect/>
                          </a:stretch>
                        </pic:blipFill>
                        <pic:spPr bwMode="auto">
                          <a:xfrm>
                            <a:off x="0" y="0"/>
                            <a:ext cx="496570" cy="144145"/>
                          </a:xfrm>
                          <a:prstGeom prst="rect">
                            <a:avLst/>
                          </a:prstGeom>
                          <a:noFill/>
                        </pic:spPr>
                      </pic:pic>
                    </a:graphicData>
                  </a:graphic>
                </wp:inline>
              </w:drawing>
            </w:r>
            <w:r w:rsidRPr="005A615E">
              <w:rPr>
                <w:rFonts w:ascii="Times New Roman" w:eastAsia="Times New Roman" w:hAnsi="Times New Roman"/>
                <w:lang w:eastAsia="ru-RU"/>
              </w:rPr>
              <w:t> - економія операційних контрольованих витрат за останній рік попереднього регуляторного періоду, тис. грн;</w:t>
            </w:r>
          </w:p>
          <w:p w:rsidR="00CF2AC1" w:rsidRPr="005A615E" w:rsidRDefault="00CF2AC1" w:rsidP="00CF2AC1">
            <w:pPr>
              <w:ind w:firstLine="173"/>
              <w:jc w:val="both"/>
              <w:rPr>
                <w:rFonts w:ascii="Times New Roman" w:hAnsi="Times New Roman"/>
              </w:rPr>
            </w:pPr>
            <w:r w:rsidRPr="005A615E">
              <w:rPr>
                <w:rFonts w:ascii="Times New Roman" w:hAnsi="Times New Roman"/>
                <w:noProof/>
                <w:sz w:val="20"/>
              </w:rPr>
              <w:drawing>
                <wp:inline distT="0" distB="0" distL="0" distR="0" wp14:anchorId="49C72EBA" wp14:editId="7958764D">
                  <wp:extent cx="250190" cy="178435"/>
                  <wp:effectExtent l="0" t="0" r="0" b="0"/>
                  <wp:docPr id="42" name="Зображення20" descr="https://zakon-pro.ligazakon.net/l_flib1.nsf/LookupFiles/GK40721_IMG_379.GIF/$file/GK40721_IMG_379.GIF">
                    <a:hlinkClick xmlns:a="http://schemas.openxmlformats.org/drawingml/2006/main" r:id="rId1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Зображення20" descr="https://zakon-pro.ligazakon.net/l_flib1.nsf/LookupFiles/GK40721_IMG_379.GIF/$file/GK40721_IMG_379.GIF">
                            <a:hlinkClick r:id="rId142"/>
                          </pic:cNvPr>
                          <pic:cNvPicPr>
                            <a:picLocks noChangeAspect="1" noChangeArrowheads="1"/>
                          </pic:cNvPicPr>
                        </pic:nvPicPr>
                        <pic:blipFill>
                          <a:blip r:embed="rId143"/>
                          <a:stretch>
                            <a:fillRect/>
                          </a:stretch>
                        </pic:blipFill>
                        <pic:spPr bwMode="auto">
                          <a:xfrm>
                            <a:off x="0" y="0"/>
                            <a:ext cx="250190" cy="178435"/>
                          </a:xfrm>
                          <a:prstGeom prst="rect">
                            <a:avLst/>
                          </a:prstGeom>
                          <a:noFill/>
                        </pic:spPr>
                      </pic:pic>
                    </a:graphicData>
                  </a:graphic>
                </wp:inline>
              </w:drawing>
            </w:r>
            <w:r w:rsidRPr="005A615E">
              <w:rPr>
                <w:rFonts w:ascii="Times New Roman" w:eastAsia="Times New Roman" w:hAnsi="Times New Roman"/>
                <w:lang w:eastAsia="ru-RU"/>
              </w:rPr>
              <w:t xml:space="preserve"> </w:t>
            </w:r>
            <m:oMath>
              <m:r>
                <w:rPr>
                  <w:rFonts w:ascii="Cambria Math" w:hAnsi="Cambria Math"/>
                </w:rPr>
                <m:t>-</m:t>
              </m:r>
            </m:oMath>
            <w:r w:rsidRPr="005A615E">
              <w:rPr>
                <w:rFonts w:ascii="Times New Roman" w:eastAsia="Times New Roman" w:hAnsi="Times New Roman"/>
                <w:lang w:eastAsia="ru-RU"/>
              </w:rPr>
              <w:t xml:space="preserve"> коефіцієнт, що враховує зміну умовних одиниць обладнання за останній рік попереднього регуляторного періоду, що розраховується за формулою </w:t>
            </w:r>
          </w:p>
          <w:p w:rsidR="00CF2AC1" w:rsidRPr="005A615E" w:rsidRDefault="000D13C5" w:rsidP="00CF2AC1">
            <w:pPr>
              <w:shd w:val="clear" w:color="auto" w:fill="FFFFFF"/>
              <w:spacing w:after="150"/>
              <w:ind w:firstLine="450"/>
              <w:rPr>
                <w:rFonts w:ascii="Times New Roman" w:hAnsi="Times New Roman"/>
              </w:rPr>
            </w:pPr>
            <m:oMath>
              <m:sSubSup>
                <m:sSubSupPr>
                  <m:ctrlPr>
                    <w:rPr>
                      <w:rFonts w:ascii="Cambria Math" w:hAnsi="Cambria Math"/>
                    </w:rPr>
                  </m:ctrlPr>
                </m:sSubSupPr>
                <m:e>
                  <m:r>
                    <w:rPr>
                      <w:rFonts w:ascii="Cambria Math" w:hAnsi="Cambria Math"/>
                    </w:rPr>
                    <m:t>К</m:t>
                  </m:r>
                </m:e>
                <m:sub>
                  <m:r>
                    <w:rPr>
                      <w:rFonts w:ascii="Cambria Math" w:hAnsi="Cambria Math"/>
                    </w:rPr>
                    <m:t>УО</m:t>
                  </m:r>
                </m:sub>
                <m:sup>
                  <m:r>
                    <w:rPr>
                      <w:rFonts w:ascii="Cambria Math" w:hAnsi="Cambria Math"/>
                    </w:rPr>
                    <m:t>ІІ</m:t>
                  </m:r>
                </m:sup>
              </m:sSubSup>
              <m:r>
                <w:rPr>
                  <w:rFonts w:ascii="Cambria Math" w:hAnsi="Cambria Math"/>
                </w:rPr>
                <m:t>=1+КУ×</m:t>
              </m:r>
              <m:f>
                <m:fPr>
                  <m:ctrlPr>
                    <w:rPr>
                      <w:rFonts w:ascii="Cambria Math" w:hAnsi="Cambria Math"/>
                    </w:rPr>
                  </m:ctrlPr>
                </m:fPr>
                <m:num>
                  <m:sSup>
                    <m:sSupPr>
                      <m:ctrlPr>
                        <w:rPr>
                          <w:rFonts w:ascii="Cambria Math" w:hAnsi="Cambria Math"/>
                        </w:rPr>
                      </m:ctrlPr>
                    </m:sSupPr>
                    <m:e>
                      <m:r>
                        <w:rPr>
                          <w:rFonts w:ascii="Cambria Math" w:hAnsi="Cambria Math"/>
                        </w:rPr>
                        <m:t>∆УО</m:t>
                      </m:r>
                    </m:e>
                    <m:sup>
                      <m:r>
                        <w:rPr>
                          <w:rFonts w:ascii="Cambria Math" w:hAnsi="Cambria Math"/>
                        </w:rPr>
                        <m:t>ІІ</m:t>
                      </m:r>
                    </m:sup>
                  </m:sSup>
                </m:num>
                <m:den>
                  <m:sSubSup>
                    <m:sSubSupPr>
                      <m:ctrlPr>
                        <w:rPr>
                          <w:rFonts w:ascii="Cambria Math" w:hAnsi="Cambria Math"/>
                        </w:rPr>
                      </m:ctrlPr>
                    </m:sSubSupPr>
                    <m:e>
                      <m:r>
                        <w:rPr>
                          <w:rFonts w:ascii="Cambria Math" w:hAnsi="Cambria Math"/>
                        </w:rPr>
                        <m:t>УО</m:t>
                      </m:r>
                    </m:e>
                    <m:sub>
                      <m:r>
                        <w:rPr>
                          <w:rFonts w:ascii="Cambria Math" w:hAnsi="Cambria Math"/>
                        </w:rPr>
                        <m:t>t-1</m:t>
                      </m:r>
                    </m:sub>
                    <m:sup>
                      <m:r>
                        <w:rPr>
                          <w:rFonts w:ascii="Cambria Math" w:hAnsi="Cambria Math"/>
                        </w:rPr>
                        <m:t>поч</m:t>
                      </m:r>
                    </m:sup>
                  </m:sSubSup>
                </m:den>
              </m:f>
            </m:oMath>
            <w:r w:rsidR="00CF2AC1" w:rsidRPr="005A615E">
              <w:rPr>
                <w:rFonts w:ascii="Times New Roman" w:eastAsia="Times New Roman" w:hAnsi="Times New Roman"/>
                <w:lang w:eastAsia="ru-RU"/>
              </w:rPr>
              <w:t>, відносних одиниць, (16)</w:t>
            </w:r>
          </w:p>
          <w:p w:rsidR="00CF2AC1" w:rsidRPr="005A615E" w:rsidRDefault="000D13C5" w:rsidP="00CF2AC1">
            <w:pPr>
              <w:ind w:firstLine="173"/>
              <w:jc w:val="both"/>
              <w:rPr>
                <w:rFonts w:ascii="Times New Roman" w:hAnsi="Times New Roman"/>
              </w:rPr>
            </w:pPr>
            <m:oMath>
              <m:sSup>
                <m:sSupPr>
                  <m:ctrlPr>
                    <w:rPr>
                      <w:rFonts w:ascii="Cambria Math" w:hAnsi="Cambria Math"/>
                    </w:rPr>
                  </m:ctrlPr>
                </m:sSupPr>
                <m:e>
                  <m:r>
                    <w:rPr>
                      <w:rFonts w:ascii="Cambria Math" w:hAnsi="Cambria Math"/>
                    </w:rPr>
                    <m:t>∆УО</m:t>
                  </m:r>
                </m:e>
                <m:sup>
                  <m:r>
                    <w:rPr>
                      <w:rFonts w:ascii="Cambria Math" w:hAnsi="Cambria Math"/>
                    </w:rPr>
                    <m:t>ІІ</m:t>
                  </m:r>
                </m:sup>
              </m:sSup>
              <m:r>
                <w:rPr>
                  <w:rFonts w:ascii="Cambria Math" w:hAnsi="Cambria Math"/>
                </w:rPr>
                <m:t>-</m:t>
              </m:r>
            </m:oMath>
            <w:r w:rsidR="00CF2AC1" w:rsidRPr="005A615E">
              <w:rPr>
                <w:rFonts w:ascii="Times New Roman" w:eastAsia="Times New Roman" w:hAnsi="Times New Roman"/>
                <w:lang w:eastAsia="ru-RU"/>
              </w:rPr>
              <w:t>зміна фактичної кількості умовних одиниць енергетичного</w:t>
            </w:r>
            <w:r w:rsidR="00CF2AC1" w:rsidRPr="005A615E">
              <w:rPr>
                <w:rFonts w:ascii="Times New Roman" w:eastAsia="Times New Roman" w:hAnsi="Times New Roman"/>
                <w:b/>
                <w:lang w:eastAsia="ru-RU"/>
              </w:rPr>
              <w:t xml:space="preserve"> </w:t>
            </w:r>
            <w:r w:rsidR="00CF2AC1" w:rsidRPr="005A615E">
              <w:rPr>
                <w:rFonts w:ascii="Times New Roman" w:eastAsia="Times New Roman" w:hAnsi="Times New Roman"/>
                <w:lang w:eastAsia="ru-RU"/>
              </w:rPr>
              <w:t>обладнання протягом останнього року попереднього регуляторного періоду.</w:t>
            </w:r>
          </w:p>
          <w:p w:rsidR="00CF2AC1" w:rsidRPr="005A615E" w:rsidRDefault="00CF2AC1" w:rsidP="00CF2AC1">
            <w:pPr>
              <w:shd w:val="clear" w:color="auto" w:fill="FFFFFF"/>
              <w:ind w:firstLine="173"/>
              <w:contextualSpacing/>
              <w:jc w:val="both"/>
              <w:rPr>
                <w:rFonts w:ascii="Times New Roman" w:hAnsi="Times New Roman"/>
              </w:rPr>
            </w:pPr>
            <w:r w:rsidRPr="005A615E">
              <w:rPr>
                <w:rFonts w:ascii="Times New Roman" w:eastAsia="Times New Roman" w:hAnsi="Times New Roman"/>
                <w:lang w:eastAsia="ru-RU"/>
              </w:rPr>
              <w:t xml:space="preserve">Для другого року другого та наступних регуляторних періодів при визначенні прогнозованого фонду оплати праці (витрат на оплату праці) у році t </w:t>
            </w:r>
            <m:oMath>
              <m:r>
                <w:rPr>
                  <w:rFonts w:ascii="Cambria Math" w:hAnsi="Cambria Math"/>
                </w:rPr>
                <m:t>(</m:t>
              </m:r>
              <m:sSubSup>
                <m:sSubSupPr>
                  <m:ctrlPr>
                    <w:rPr>
                      <w:rFonts w:ascii="Cambria Math" w:hAnsi="Cambria Math"/>
                    </w:rPr>
                  </m:ctrlPr>
                </m:sSubSupPr>
                <m:e>
                  <m:r>
                    <w:rPr>
                      <w:rFonts w:ascii="Cambria Math" w:hAnsi="Cambria Math"/>
                    </w:rPr>
                    <m:t>ФОП</m:t>
                  </m:r>
                </m:e>
                <m:sub>
                  <m:r>
                    <w:rPr>
                      <w:rFonts w:ascii="Cambria Math" w:hAnsi="Cambria Math"/>
                    </w:rPr>
                    <m:t>t</m:t>
                  </m:r>
                </m:sub>
                <m:sup>
                  <m:r>
                    <w:rPr>
                      <w:rFonts w:ascii="Cambria Math" w:hAnsi="Cambria Math"/>
                    </w:rPr>
                    <m:t>n</m:t>
                  </m:r>
                </m:sup>
              </m:sSubSup>
              <m:r>
                <w:rPr>
                  <w:rFonts w:ascii="Cambria Math" w:hAnsi="Cambria Math"/>
                </w:rPr>
                <m:t>)</m:t>
              </m:r>
            </m:oMath>
            <w:r w:rsidRPr="005A615E">
              <w:rPr>
                <w:rFonts w:ascii="Times New Roman" w:eastAsia="Times New Roman" w:hAnsi="Times New Roman"/>
                <w:lang w:eastAsia="ru-RU"/>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eastAsia="Times New Roman" w:hAnsi="Times New Roman"/>
                <w:lang w:eastAsia="uk-UA"/>
              </w:rPr>
              <w:t>(</w:t>
            </w:r>
            <m:oMath>
              <m:sSubSup>
                <m:sSubSupPr>
                  <m:ctrlPr>
                    <w:rPr>
                      <w:rFonts w:ascii="Cambria Math" w:hAnsi="Cambria Math"/>
                    </w:rPr>
                  </m:ctrlPr>
                </m:sSubSupPr>
                <m:e>
                  <m:r>
                    <w:rPr>
                      <w:rFonts w:ascii="Cambria Math" w:hAnsi="Cambria Math"/>
                    </w:rPr>
                    <m:t>ТЧП</m:t>
                  </m:r>
                </m:e>
                <m:sub>
                  <m:r>
                    <w:rPr>
                      <w:rFonts w:ascii="Cambria Math" w:hAnsi="Cambria Math"/>
                    </w:rPr>
                    <m:t>t</m:t>
                  </m:r>
                </m:sub>
                <m:sup>
                  <m:r>
                    <w:rPr>
                      <w:rFonts w:ascii="Cambria Math" w:hAnsi="Cambria Math"/>
                    </w:rPr>
                    <m:t>тар</m:t>
                  </m:r>
                </m:sup>
              </m:sSubSup>
            </m:oMath>
            <w:r w:rsidRPr="005A615E">
              <w:rPr>
                <w:rFonts w:ascii="Times New Roman" w:eastAsia="Times New Roman" w:hAnsi="Times New Roman"/>
                <w:lang w:eastAsia="uk-UA"/>
              </w:rPr>
              <w:t xml:space="preserve">) </w:t>
            </w:r>
            <w:r w:rsidRPr="005A615E">
              <w:rPr>
                <w:rFonts w:ascii="Times New Roman" w:eastAsia="Times New Roman" w:hAnsi="Times New Roman"/>
                <w:lang w:eastAsia="ru-RU"/>
              </w:rPr>
              <w:t>розраховується за формулою</w:t>
            </w:r>
          </w:p>
          <w:p w:rsidR="00CF2AC1" w:rsidRPr="005A615E" w:rsidRDefault="00CF2AC1" w:rsidP="00CF2AC1">
            <w:pPr>
              <w:shd w:val="clear" w:color="auto" w:fill="FFFFFF"/>
              <w:ind w:firstLine="173"/>
              <w:contextualSpacing/>
              <w:jc w:val="both"/>
              <w:rPr>
                <w:rFonts w:ascii="Times New Roman" w:hAnsi="Times New Roman"/>
                <w:b/>
              </w:rPr>
            </w:pPr>
          </w:p>
          <w:p w:rsidR="00CF2AC1" w:rsidRPr="005A615E" w:rsidRDefault="000D13C5" w:rsidP="00CF2AC1">
            <w:pPr>
              <w:shd w:val="clear" w:color="auto" w:fill="FFFFFF"/>
              <w:spacing w:after="150"/>
              <w:ind w:firstLine="450"/>
              <w:rPr>
                <w:rFonts w:ascii="Times New Roman" w:hAnsi="Times New Roman"/>
                <w:b/>
                <w:u w:val="single"/>
              </w:rPr>
            </w:pPr>
            <m:oMathPara>
              <m:oMathParaPr>
                <m:jc m:val="center"/>
              </m:oMathParaPr>
              <m:oMath>
                <m:sSubSup>
                  <m:sSubSupPr>
                    <m:ctrlPr>
                      <w:rPr>
                        <w:rFonts w:ascii="Cambria Math" w:hAnsi="Cambria Math"/>
                      </w:rPr>
                    </m:ctrlPr>
                  </m:sSubSupPr>
                  <m:e>
                    <m:r>
                      <w:rPr>
                        <w:rFonts w:ascii="Cambria Math" w:hAnsi="Cambria Math"/>
                      </w:rPr>
                      <m:t>ТЧП</m:t>
                    </m:r>
                  </m:e>
                  <m:sub>
                    <m:r>
                      <w:rPr>
                        <w:rFonts w:ascii="Cambria Math" w:hAnsi="Cambria Math"/>
                      </w:rPr>
                      <m:t>t</m:t>
                    </m:r>
                  </m:sub>
                  <m:sup>
                    <m:r>
                      <w:rPr>
                        <w:rFonts w:ascii="Cambria Math" w:hAnsi="Cambria Math"/>
                      </w:rPr>
                      <m:t>тар</m:t>
                    </m:r>
                  </m:sup>
                </m:sSubSup>
                <m:r>
                  <w:rPr>
                    <w:rFonts w:ascii="Cambria Math" w:hAnsi="Cambria Math"/>
                  </w:rPr>
                  <m:t>=</m:t>
                </m:r>
                <m:sSubSup>
                  <m:sSubSupPr>
                    <m:ctrlPr>
                      <w:rPr>
                        <w:rFonts w:ascii="Cambria Math" w:hAnsi="Cambria Math"/>
                      </w:rPr>
                    </m:ctrlPr>
                  </m:sSubSupPr>
                  <m:e>
                    <m:r>
                      <w:rPr>
                        <w:rFonts w:ascii="Cambria Math" w:hAnsi="Cambria Math"/>
                      </w:rPr>
                      <m:t>ТЧП</m:t>
                    </m:r>
                  </m:e>
                  <m:sub>
                    <m:r>
                      <w:rPr>
                        <w:rFonts w:ascii="Cambria Math" w:hAnsi="Cambria Math"/>
                      </w:rPr>
                      <m:t>t-1</m:t>
                    </m:r>
                  </m:sub>
                  <m:sup>
                    <m:r>
                      <w:rPr>
                        <w:rFonts w:ascii="Cambria Math" w:hAnsi="Cambria Math"/>
                      </w:rPr>
                      <m:t>тар</m:t>
                    </m:r>
                  </m:sup>
                </m:sSubSup>
                <m: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ПЕ</m:t>
                        </m:r>
                      </m:e>
                      <m:sub>
                        <m:r>
                          <w:rPr>
                            <w:rFonts w:ascii="Cambria Math" w:hAnsi="Cambria Math"/>
                          </w:rPr>
                          <m:t>з</m:t>
                        </m:r>
                      </m:sub>
                    </m:sSub>
                  </m:num>
                  <m:den>
                    <m:r>
                      <w:rPr>
                        <w:rFonts w:ascii="Cambria Math" w:hAnsi="Cambria Math"/>
                      </w:rPr>
                      <m:t>100</m:t>
                    </m:r>
                  </m:den>
                </m:f>
                <m:r>
                  <w:rPr>
                    <w:rFonts w:ascii="Cambria Math" w:hAnsi="Cambria Math"/>
                  </w:rPr>
                  <m:t>)×</m:t>
                </m:r>
                <m:sSubSup>
                  <m:sSubSupPr>
                    <m:ctrlPr>
                      <w:rPr>
                        <w:rFonts w:ascii="Cambria Math" w:hAnsi="Cambria Math"/>
                      </w:rPr>
                    </m:ctrlPr>
                  </m:sSubSupPr>
                  <m:e>
                    <m:r>
                      <w:rPr>
                        <w:rFonts w:ascii="Cambria Math" w:hAnsi="Cambria Math"/>
                      </w:rPr>
                      <m:t>КУ</m:t>
                    </m:r>
                  </m:e>
                  <m:sub>
                    <m:r>
                      <w:rPr>
                        <w:rFonts w:ascii="Cambria Math" w:hAnsi="Cambria Math"/>
                      </w:rPr>
                      <m:t>УО</m:t>
                    </m:r>
                  </m:sub>
                  <m:sup>
                    <m:r>
                      <w:rPr>
                        <w:rFonts w:ascii="Cambria Math" w:hAnsi="Cambria Math"/>
                      </w:rPr>
                      <m:t>II</m:t>
                    </m:r>
                  </m:sup>
                </m:sSubSup>
                <m:r>
                  <w:rPr>
                    <w:rFonts w:ascii="Cambria Math" w:hAnsi="Cambria Math"/>
                  </w:rPr>
                  <m:t>,осіб,</m:t>
                </m:r>
              </m:oMath>
            </m:oMathPara>
          </w:p>
          <w:p w:rsidR="00CF2AC1" w:rsidRPr="005A615E" w:rsidRDefault="00CF2AC1" w:rsidP="00CF2AC1">
            <w:pPr>
              <w:shd w:val="clear" w:color="auto" w:fill="FFFFFF"/>
              <w:ind w:firstLine="173"/>
              <w:jc w:val="both"/>
              <w:rPr>
                <w:rFonts w:ascii="Times New Roman" w:hAnsi="Times New Roman"/>
              </w:rPr>
            </w:pPr>
            <w:r w:rsidRPr="005A615E">
              <w:rPr>
                <w:rFonts w:ascii="Times New Roman" w:eastAsia="Times New Roman" w:hAnsi="Times New Roman"/>
                <w:lang w:eastAsia="ru-RU"/>
              </w:rPr>
              <w:t>Економія операційних контрольованих витрат за останній рік попереднього регуляторного періоду</w:t>
            </w:r>
            <m:oMath>
              <m:sSup>
                <m:sSupPr>
                  <m:ctrlPr>
                    <w:rPr>
                      <w:rFonts w:ascii="Cambria Math" w:hAnsi="Cambria Math"/>
                    </w:rPr>
                  </m:ctrlPr>
                </m:sSupPr>
                <m:e>
                  <m:r>
                    <w:rPr>
                      <w:rFonts w:ascii="Cambria Math" w:hAnsi="Cambria Math"/>
                    </w:rPr>
                    <m:t>ЕОКВ</m:t>
                  </m:r>
                </m:e>
                <m:sup>
                  <m:r>
                    <w:rPr>
                      <w:rFonts w:ascii="Cambria Math" w:hAnsi="Cambria Math"/>
                    </w:rPr>
                    <m:t>ІІ</m:t>
                  </m:r>
                </m:sup>
              </m:sSup>
            </m:oMath>
            <w:r w:rsidRPr="005A615E">
              <w:rPr>
                <w:rFonts w:ascii="Times New Roman" w:eastAsia="Times New Roman" w:hAnsi="Times New Roman"/>
                <w:lang w:eastAsia="ru-RU"/>
              </w:rPr>
              <w:t>, тис. грн,  розраховується за формулою</w:t>
            </w:r>
          </w:p>
          <w:p w:rsidR="00CF2AC1" w:rsidRPr="005A615E" w:rsidRDefault="00CF2AC1" w:rsidP="00CF2AC1">
            <w:pPr>
              <w:shd w:val="clear" w:color="auto" w:fill="FFFFFF"/>
              <w:ind w:firstLine="567"/>
              <w:jc w:val="both"/>
              <w:rPr>
                <w:rFonts w:ascii="Times New Roman" w:hAnsi="Times New Roman"/>
              </w:rPr>
            </w:pPr>
          </w:p>
          <w:p w:rsidR="00CF2AC1" w:rsidRPr="005A615E" w:rsidRDefault="000D13C5" w:rsidP="00CF2AC1">
            <w:pPr>
              <w:shd w:val="clear" w:color="auto" w:fill="FFFFFF"/>
              <w:spacing w:after="150"/>
              <w:ind w:firstLine="567"/>
              <w:jc w:val="both"/>
              <w:rPr>
                <w:rFonts w:ascii="Times New Roman" w:hAnsi="Times New Roman"/>
                <w:b/>
                <w:i/>
                <w:lang w:eastAsia="uk-UA"/>
              </w:rPr>
            </w:pPr>
            <m:oMath>
              <m:sSup>
                <m:sSupPr>
                  <m:ctrlPr>
                    <w:rPr>
                      <w:rFonts w:ascii="Cambria Math" w:hAnsi="Cambria Math"/>
                    </w:rPr>
                  </m:ctrlPr>
                </m:sSupPr>
                <m:e>
                  <m:r>
                    <w:rPr>
                      <w:rFonts w:ascii="Cambria Math" w:hAnsi="Cambria Math"/>
                    </w:rPr>
                    <m:t>ЕОКВ</m:t>
                  </m:r>
                </m:e>
                <m:sup>
                  <m:r>
                    <w:rPr>
                      <w:rFonts w:ascii="Cambria Math" w:hAnsi="Cambria Math"/>
                    </w:rPr>
                    <m:t>ІІ</m:t>
                  </m:r>
                </m:sup>
              </m:sSup>
              <m:r>
                <w:rPr>
                  <w:rFonts w:ascii="Cambria Math" w:hAnsi="Cambria Math"/>
                </w:rPr>
                <m:t>=</m:t>
              </m:r>
              <m:sSubSup>
                <m:sSubSupPr>
                  <m:ctrlPr>
                    <w:rPr>
                      <w:rFonts w:ascii="Cambria Math" w:hAnsi="Cambria Math"/>
                    </w:rPr>
                  </m:ctrlPr>
                </m:sSubSupPr>
                <m:e>
                  <m:r>
                    <w:rPr>
                      <w:rFonts w:ascii="Cambria Math" w:hAnsi="Cambria Math"/>
                    </w:rPr>
                    <m:t>ОКВ</m:t>
                  </m:r>
                </m:e>
                <m:sub>
                  <m:r>
                    <w:rPr>
                      <w:rFonts w:ascii="Cambria Math" w:hAnsi="Cambria Math"/>
                    </w:rPr>
                    <m:t>t-1</m:t>
                  </m:r>
                </m:sub>
                <m:sup>
                  <m:r>
                    <w:rPr>
                      <w:rFonts w:ascii="Cambria Math" w:hAnsi="Cambria Math"/>
                    </w:rPr>
                    <m:t>y</m:t>
                  </m:r>
                </m:sup>
              </m:sSubSup>
              <m:r>
                <w:rPr>
                  <w:rFonts w:ascii="Cambria Math" w:hAnsi="Cambria Math"/>
                </w:rPr>
                <m:t>-</m:t>
              </m:r>
              <m:sSubSup>
                <m:sSubSupPr>
                  <m:ctrlPr>
                    <w:rPr>
                      <w:rFonts w:ascii="Cambria Math" w:hAnsi="Cambria Math"/>
                    </w:rPr>
                  </m:ctrlPr>
                </m:sSubSupPr>
                <m:e>
                  <m:r>
                    <w:rPr>
                      <w:rFonts w:ascii="Cambria Math" w:hAnsi="Cambria Math"/>
                    </w:rPr>
                    <m:t>ОКВ</m:t>
                  </m:r>
                </m:e>
                <m:sub>
                  <m:r>
                    <w:rPr>
                      <w:rFonts w:ascii="Cambria Math" w:hAnsi="Cambria Math"/>
                    </w:rPr>
                    <m:t>t-1</m:t>
                  </m:r>
                </m:sub>
                <m:sup>
                  <m:r>
                    <w:rPr>
                      <w:rFonts w:ascii="Cambria Math" w:hAnsi="Cambria Math"/>
                    </w:rPr>
                    <m:t>ф</m:t>
                  </m:r>
                </m:sup>
              </m:sSubSup>
              <m:r>
                <w:rPr>
                  <w:rFonts w:ascii="Cambria Math" w:hAnsi="Cambria Math"/>
                </w:rPr>
                <m:t>,тис.грн</m:t>
              </m:r>
            </m:oMath>
            <w:r w:rsidR="00CF2AC1" w:rsidRPr="005A615E">
              <w:rPr>
                <w:rFonts w:ascii="Times New Roman" w:eastAsiaTheme="minorEastAsia" w:hAnsi="Times New Roman"/>
                <w:b/>
                <w:i/>
                <w:lang w:eastAsia="uk-UA"/>
              </w:rPr>
              <w:t xml:space="preserve"> </w:t>
            </w:r>
            <w:r w:rsidR="00CF2AC1" w:rsidRPr="005A615E">
              <w:rPr>
                <w:rFonts w:ascii="Times New Roman" w:eastAsia="Times New Roman" w:hAnsi="Times New Roman"/>
                <w:lang w:eastAsia="ru-RU"/>
              </w:rPr>
              <w:t>(18)</w:t>
            </w:r>
          </w:p>
          <w:p w:rsidR="00CF2AC1" w:rsidRPr="005A615E" w:rsidRDefault="00CF2AC1" w:rsidP="00CF2AC1">
            <w:pPr>
              <w:ind w:firstLine="567"/>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rFonts w:ascii="Times New Roman" w:hAnsi="Times New Roman"/>
                <w:noProof/>
                <w:sz w:val="20"/>
              </w:rPr>
              <w:drawing>
                <wp:inline distT="0" distB="0" distL="0" distR="0" wp14:anchorId="51BF54EB" wp14:editId="34299968">
                  <wp:extent cx="373380" cy="178435"/>
                  <wp:effectExtent l="0" t="0" r="0" b="0"/>
                  <wp:docPr id="43" name="Зображення21" descr="https://zakon-pro.ligazakon.net/l_flib1.nsf/LookupFiles/GK40721_IMG_381.GIF/$file/GK40721_IMG_3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Зображення21" descr="https://zakon-pro.ligazakon.net/l_flib1.nsf/LookupFiles/GK40721_IMG_381.GIF/$file/GK40721_IMG_381.GIF"/>
                          <pic:cNvPicPr>
                            <a:picLocks noChangeAspect="1" noChangeArrowheads="1"/>
                          </pic:cNvPicPr>
                        </pic:nvPicPr>
                        <pic:blipFill>
                          <a:blip r:embed="rId145"/>
                          <a:stretch>
                            <a:fillRect/>
                          </a:stretch>
                        </pic:blipFill>
                        <pic:spPr bwMode="auto">
                          <a:xfrm>
                            <a:off x="0" y="0"/>
                            <a:ext cx="373380" cy="178435"/>
                          </a:xfrm>
                          <a:prstGeom prst="rect">
                            <a:avLst/>
                          </a:prstGeom>
                          <a:noFill/>
                        </pic:spPr>
                      </pic:pic>
                    </a:graphicData>
                  </a:graphic>
                </wp:inline>
              </w:drawing>
            </w:r>
            <w:r w:rsidRPr="005A615E">
              <w:rPr>
                <w:rFonts w:ascii="Times New Roman" w:eastAsia="Times New Roman" w:hAnsi="Times New Roman"/>
                <w:lang w:eastAsia="ru-RU"/>
              </w:rPr>
              <w:t> - уточнені операційні контрольовані витрати у році t, тис. грн (на 2022 - 2024 роки </w:t>
            </w:r>
            <w:r w:rsidRPr="005A615E">
              <w:rPr>
                <w:rFonts w:ascii="Times New Roman" w:hAnsi="Times New Roman"/>
                <w:noProof/>
                <w:sz w:val="20"/>
              </w:rPr>
              <w:drawing>
                <wp:inline distT="0" distB="0" distL="0" distR="0" wp14:anchorId="3AEF030C" wp14:editId="7E54BC25">
                  <wp:extent cx="946150" cy="217170"/>
                  <wp:effectExtent l="0" t="0" r="0" b="0"/>
                  <wp:docPr id="44" name="Зображення22" descr="https://zakon-pro.ligazakon.net/l_flib1.nsf/LookupFiles/GK40721_IMG_382.GIF/$file/GK40721_IMG_3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Зображення22" descr="https://zakon-pro.ligazakon.net/l_flib1.nsf/LookupFiles/GK40721_IMG_382.GIF/$file/GK40721_IMG_382.GIF"/>
                          <pic:cNvPicPr>
                            <a:picLocks noChangeAspect="1" noChangeArrowheads="1"/>
                          </pic:cNvPicPr>
                        </pic:nvPicPr>
                        <pic:blipFill>
                          <a:blip r:embed="rId146"/>
                          <a:stretch>
                            <a:fillRect/>
                          </a:stretch>
                        </pic:blipFill>
                        <pic:spPr bwMode="auto">
                          <a:xfrm>
                            <a:off x="0" y="0"/>
                            <a:ext cx="946150" cy="217170"/>
                          </a:xfrm>
                          <a:prstGeom prst="rect">
                            <a:avLst/>
                          </a:prstGeom>
                          <a:noFill/>
                        </pic:spPr>
                      </pic:pic>
                    </a:graphicData>
                  </a:graphic>
                </wp:inline>
              </w:drawing>
            </w:r>
            <w:r w:rsidRPr="005A615E">
              <w:rPr>
                <w:rFonts w:ascii="Times New Roman" w:eastAsia="Times New Roman" w:hAnsi="Times New Roman"/>
                <w:lang w:eastAsia="ru-RU"/>
              </w:rPr>
              <w:t>);</w:t>
            </w:r>
          </w:p>
          <w:p w:rsidR="00CF2AC1" w:rsidRPr="005A615E" w:rsidRDefault="00CF2AC1" w:rsidP="00CF2AC1">
            <w:pPr>
              <w:ind w:firstLine="173"/>
              <w:jc w:val="both"/>
              <w:rPr>
                <w:rFonts w:ascii="Times New Roman" w:hAnsi="Times New Roman"/>
              </w:rPr>
            </w:pPr>
            <w:r w:rsidRPr="005A615E">
              <w:rPr>
                <w:rFonts w:ascii="Times New Roman" w:hAnsi="Times New Roman"/>
                <w:noProof/>
                <w:sz w:val="20"/>
              </w:rPr>
              <w:drawing>
                <wp:inline distT="0" distB="0" distL="0" distR="0" wp14:anchorId="13C2E103" wp14:editId="363EF673">
                  <wp:extent cx="429260" cy="243840"/>
                  <wp:effectExtent l="0" t="0" r="0" b="0"/>
                  <wp:docPr id="45" name="Зображення23" descr="https://zakon-pro.ligazakon.net/l_flib1.nsf/LookupFiles/GK40721_IMG_383.GIF/$file/GK40721_IMG_3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Зображення23" descr="https://zakon-pro.ligazakon.net/l_flib1.nsf/LookupFiles/GK40721_IMG_383.GIF/$file/GK40721_IMG_383.GIF"/>
                          <pic:cNvPicPr>
                            <a:picLocks noChangeAspect="1" noChangeArrowheads="1"/>
                          </pic:cNvPicPr>
                        </pic:nvPicPr>
                        <pic:blipFill>
                          <a:blip r:embed="rId147"/>
                          <a:stretch>
                            <a:fillRect/>
                          </a:stretch>
                        </pic:blipFill>
                        <pic:spPr bwMode="auto">
                          <a:xfrm>
                            <a:off x="0" y="0"/>
                            <a:ext cx="429260" cy="243840"/>
                          </a:xfrm>
                          <a:prstGeom prst="rect">
                            <a:avLst/>
                          </a:prstGeom>
                          <a:noFill/>
                        </pic:spPr>
                      </pic:pic>
                    </a:graphicData>
                  </a:graphic>
                </wp:inline>
              </w:drawing>
            </w:r>
            <w:r w:rsidRPr="005A615E">
              <w:rPr>
                <w:rFonts w:ascii="Times New Roman" w:eastAsia="Times New Roman" w:hAnsi="Times New Roman"/>
                <w:lang w:eastAsia="ru-RU"/>
              </w:rPr>
              <w:t> - фактичні операційні контрольовані витрати у році t, що враховують обґрунтований перелік складових витрат, підтверджений результатами заходів контролю, які відносяться до діяльності з розподілу, тис. грн.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p>
          <w:p w:rsidR="00CF2AC1" w:rsidRPr="005A615E" w:rsidRDefault="00CF2AC1" w:rsidP="00CF2AC1">
            <w:pPr>
              <w:ind w:firstLine="173"/>
              <w:jc w:val="both"/>
              <w:rPr>
                <w:rFonts w:ascii="Times New Roman" w:hAnsi="Times New Roman"/>
              </w:rPr>
            </w:pPr>
            <w:r w:rsidRPr="005A615E">
              <w:rPr>
                <w:rFonts w:ascii="Times New Roman" w:eastAsia="Times New Roman" w:hAnsi="Times New Roman"/>
                <w:lang w:eastAsia="ru-RU"/>
              </w:rPr>
              <w:t>k - кількість років у попередньому періоді регулювання (без урахування 2022 - 2024 років, для яких </w:t>
            </w:r>
            <w:r w:rsidRPr="005A615E">
              <w:rPr>
                <w:rFonts w:ascii="Times New Roman" w:hAnsi="Times New Roman"/>
                <w:noProof/>
                <w:sz w:val="20"/>
              </w:rPr>
              <w:drawing>
                <wp:inline distT="0" distB="0" distL="0" distR="0" wp14:anchorId="288162C2" wp14:editId="06B6832C">
                  <wp:extent cx="862965" cy="198120"/>
                  <wp:effectExtent l="0" t="0" r="0" b="0"/>
                  <wp:docPr id="46" name="Зображення24" descr="https://zakon-pro.ligazakon.net/l_flib1.nsf/LookupFiles/GK40721_IMG_384.GIF/$file/GK40721_IMG_384.GIF">
                    <a:hlinkClick xmlns:a="http://schemas.openxmlformats.org/drawingml/2006/main" r:id="rId1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Зображення24" descr="https://zakon-pro.ligazakon.net/l_flib1.nsf/LookupFiles/GK40721_IMG_384.GIF/$file/GK40721_IMG_384.GIF">
                            <a:hlinkClick r:id="rId148"/>
                          </pic:cNvPr>
                          <pic:cNvPicPr>
                            <a:picLocks noChangeAspect="1" noChangeArrowheads="1"/>
                          </pic:cNvPicPr>
                        </pic:nvPicPr>
                        <pic:blipFill>
                          <a:blip r:embed="rId149"/>
                          <a:stretch>
                            <a:fillRect/>
                          </a:stretch>
                        </pic:blipFill>
                        <pic:spPr bwMode="auto">
                          <a:xfrm>
                            <a:off x="0" y="0"/>
                            <a:ext cx="862965" cy="198120"/>
                          </a:xfrm>
                          <a:prstGeom prst="rect">
                            <a:avLst/>
                          </a:prstGeom>
                          <a:noFill/>
                        </pic:spPr>
                      </pic:pic>
                    </a:graphicData>
                  </a:graphic>
                </wp:inline>
              </w:drawing>
            </w:r>
            <w:r w:rsidRPr="005A615E">
              <w:rPr>
                <w:rFonts w:ascii="Times New Roman" w:eastAsia="Times New Roman" w:hAnsi="Times New Roman"/>
                <w:lang w:eastAsia="ru-RU"/>
              </w:rPr>
              <w:t>).</w:t>
            </w:r>
          </w:p>
          <w:p w:rsidR="00CF2AC1" w:rsidRPr="005A615E" w:rsidRDefault="00CF2AC1" w:rsidP="00CF2AC1">
            <w:pPr>
              <w:spacing w:before="120"/>
              <w:ind w:firstLine="176"/>
              <w:jc w:val="both"/>
              <w:rPr>
                <w:rFonts w:ascii="Times New Roman" w:hAnsi="Times New Roman"/>
                <w:b/>
              </w:rPr>
            </w:pPr>
            <w:r w:rsidRPr="005A615E">
              <w:rPr>
                <w:rFonts w:ascii="Times New Roman" w:eastAsia="Times New Roman" w:hAnsi="Times New Roman"/>
                <w:lang w:eastAsia="ru-RU"/>
              </w:rPr>
              <w:t>Для АТ «ЖИТОМИРОБЛЕНЕРГО», ПрАТ «КІРОВОГРАДОБЛЕНЕРГО», ПрАТ «РІВНЕОБЛЕНЕРГО», АТ «ХЕРСОНОБЛЕНЕРГО», АТ «ЧЕРНІВЦІОБЛЕНЕРГО» економія операційних контрольованих витрат за перший регуляторний період за 2022 – 2026 роки не визначається, а при визначенні економії операційних контрольованих витрат за попередній регуляторний період показник k не</w:t>
            </w:r>
            <w:r w:rsidRPr="005A615E">
              <w:rPr>
                <w:rFonts w:ascii="Times New Roman" w:eastAsia="Times New Roman" w:hAnsi="Times New Roman"/>
                <w:b/>
                <w:lang w:eastAsia="ru-RU"/>
              </w:rPr>
              <w:t xml:space="preserve"> </w:t>
            </w:r>
            <w:r w:rsidRPr="005A615E">
              <w:rPr>
                <w:rFonts w:ascii="Times New Roman" w:eastAsia="Times New Roman" w:hAnsi="Times New Roman"/>
                <w:lang w:eastAsia="ru-RU"/>
              </w:rPr>
              <w:t>враховує 2022 – 2026 роки.</w:t>
            </w:r>
          </w:p>
          <w:p w:rsidR="00CF2AC1" w:rsidRPr="005A615E" w:rsidRDefault="00CF2AC1" w:rsidP="00CF2AC1">
            <w:pPr>
              <w:jc w:val="both"/>
              <w:rPr>
                <w:rFonts w:ascii="Times New Roman" w:hAnsi="Times New Roman"/>
                <w:b/>
                <w:sz w:val="24"/>
                <w:u w:val="single"/>
              </w:rPr>
            </w:pPr>
            <w:r w:rsidRPr="005A615E">
              <w:rPr>
                <w:rFonts w:ascii="Times New Roman" w:eastAsia="Times New Roman" w:hAnsi="Times New Roman"/>
                <w:b/>
                <w:lang w:eastAsia="ru-RU"/>
              </w:rPr>
              <w:t>Для АТ «ЗАПОРІЖЖЯОБЛЕНЕРГО» при розрахунку операційних контрольованих витрат на другий регуляторний період економія операційних контрольованих витрат за перший регуляторний період за 2021 – 2026 роки не застосовується.</w:t>
            </w:r>
          </w:p>
          <w:p w:rsidR="00CF2AC1" w:rsidRPr="005A615E" w:rsidRDefault="00CF2AC1" w:rsidP="00CF2AC1">
            <w:pPr>
              <w:jc w:val="both"/>
              <w:rPr>
                <w:rFonts w:ascii="Times New Roman" w:hAnsi="Times New Roman"/>
                <w:b/>
                <w:sz w:val="24"/>
                <w:u w:val="single"/>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pStyle w:val="rvps2"/>
              <w:spacing w:beforeAutospacing="0" w:afterAutospacing="0"/>
              <w:ind w:firstLine="343"/>
              <w:jc w:val="both"/>
              <w:rPr>
                <w:sz w:val="22"/>
                <w:lang w:val="uk-UA"/>
              </w:rPr>
            </w:pPr>
            <w:r w:rsidRPr="005A615E">
              <w:rPr>
                <w:sz w:val="22"/>
                <w:szCs w:val="22"/>
                <w:lang w:val="uk-UA"/>
              </w:rPr>
              <w:t>Базові контрольовані операційні витрати на 2021 рік були сформовані на базі фактичних витрат за результатами діяльності товариства 2020 року, тобто, на довоєнному рівні, (з урахуванням діяльності на території, яка була після 24.02.2022 була окупована рф).</w:t>
            </w:r>
          </w:p>
          <w:p w:rsidR="00CF2AC1" w:rsidRPr="005A615E" w:rsidRDefault="00CF2AC1" w:rsidP="00CF2AC1">
            <w:pPr>
              <w:pStyle w:val="a5"/>
              <w:tabs>
                <w:tab w:val="left" w:pos="0"/>
              </w:tabs>
              <w:ind w:left="0" w:firstLine="321"/>
              <w:jc w:val="both"/>
              <w:rPr>
                <w:rFonts w:ascii="Times New Roman" w:hAnsi="Times New Roman"/>
                <w:sz w:val="22"/>
                <w:u w:val="single"/>
                <w:lang w:val="uk-UA"/>
              </w:rPr>
            </w:pPr>
            <w:r w:rsidRPr="005A615E">
              <w:rPr>
                <w:rFonts w:ascii="Times New Roman" w:eastAsia="Times New Roman" w:hAnsi="Times New Roman"/>
                <w:sz w:val="22"/>
                <w:szCs w:val="22"/>
                <w:lang w:val="uk-UA" w:eastAsia="ru-RU"/>
              </w:rPr>
              <w:t>У зв’язку з тим, що прогнозовані операційні контрольовані витрати для ліцензіатів,</w:t>
            </w:r>
            <w:r w:rsidRPr="005A615E">
              <w:rPr>
                <w:rFonts w:ascii="Times New Roman" w:eastAsia="Times New Roman" w:hAnsi="Times New Roman"/>
                <w:sz w:val="22"/>
                <w:szCs w:val="22"/>
                <w:shd w:val="clear" w:color="auto" w:fill="FFFFFF"/>
                <w:lang w:val="uk-UA" w:eastAsia="ru-RU"/>
              </w:rPr>
              <w:t xml:space="preserve"> перелік яких наведено в додатку 30 до Порядку</w:t>
            </w:r>
            <w:r w:rsidRPr="005A615E">
              <w:rPr>
                <w:rFonts w:ascii="Times New Roman" w:eastAsia="Times New Roman" w:hAnsi="Times New Roman"/>
                <w:sz w:val="22"/>
                <w:szCs w:val="22"/>
                <w:lang w:val="uk-UA" w:eastAsia="ru-RU"/>
              </w:rPr>
              <w:t xml:space="preserve">, </w:t>
            </w:r>
            <w:r w:rsidRPr="005A615E">
              <w:rPr>
                <w:rFonts w:ascii="Times New Roman" w:eastAsia="Times New Roman" w:hAnsi="Times New Roman"/>
                <w:i/>
                <w:sz w:val="22"/>
                <w:szCs w:val="22"/>
                <w:shd w:val="clear" w:color="auto" w:fill="FFFFFF"/>
                <w:lang w:val="uk-UA" w:eastAsia="ru-RU"/>
              </w:rPr>
              <w:t>визначаються з урахуванням коригуючого коефіцієнту зміни фактичних умовних одиниць енергетичного обладнання ліцензіата, що знаходиться на контрольованій території держави (відповідно до пункту 5.4, формули 8,9,10) за визначеною методологією саме для цих ОСР</w:t>
            </w:r>
            <w:r w:rsidRPr="005A615E">
              <w:rPr>
                <w:rFonts w:ascii="Times New Roman" w:eastAsia="Times New Roman" w:hAnsi="Times New Roman"/>
                <w:sz w:val="22"/>
                <w:szCs w:val="22"/>
                <w:shd w:val="clear" w:color="auto" w:fill="FFFFFF"/>
                <w:lang w:val="uk-UA" w:eastAsia="ru-RU"/>
              </w:rPr>
              <w:t xml:space="preserve">, </w:t>
            </w:r>
            <w:r w:rsidRPr="005A615E">
              <w:rPr>
                <w:rFonts w:ascii="Times New Roman" w:eastAsia="Times New Roman" w:hAnsi="Times New Roman"/>
                <w:sz w:val="22"/>
                <w:szCs w:val="22"/>
                <w:lang w:val="uk-UA" w:eastAsia="ru-RU"/>
              </w:rPr>
              <w:t xml:space="preserve">пропонуємо </w:t>
            </w:r>
            <w:r w:rsidRPr="005A615E">
              <w:rPr>
                <w:rFonts w:ascii="Times New Roman" w:eastAsia="Times New Roman" w:hAnsi="Times New Roman"/>
                <w:sz w:val="22"/>
                <w:szCs w:val="22"/>
                <w:u w:val="single"/>
                <w:lang w:val="uk-UA" w:eastAsia="ru-RU"/>
              </w:rPr>
              <w:t>базові рівні операційних контрольованих витрат на другий регуляторний період визначати без урахування економії контрольованих операційних витрат першого регуляторного періоду.</w:t>
            </w:r>
          </w:p>
          <w:p w:rsidR="00CF2AC1" w:rsidRPr="005A615E" w:rsidRDefault="00CF2AC1" w:rsidP="00CF2AC1">
            <w:pPr>
              <w:pStyle w:val="a5"/>
              <w:spacing w:after="200"/>
              <w:ind w:left="0" w:firstLine="709"/>
              <w:jc w:val="both"/>
              <w:rPr>
                <w:rFonts w:ascii="Times New Roman" w:hAnsi="Times New Roman"/>
                <w:sz w:val="22"/>
              </w:rPr>
            </w:pPr>
            <w:r w:rsidRPr="005A615E">
              <w:rPr>
                <w:rFonts w:ascii="Times New Roman" w:eastAsia="Times New Roman" w:hAnsi="Times New Roman"/>
                <w:sz w:val="22"/>
                <w:szCs w:val="22"/>
                <w:lang w:eastAsia="ru-RU"/>
              </w:rPr>
              <w:t xml:space="preserve">Для АТ «Запоріжжяобленерго» є критичним одночасне застосування КФУ та вилучення економії витрат у сумі 348 млн. грн для першого (2027-го) року та, як наслідок, наступних років другого регуляторного періоду, оскільки </w:t>
            </w:r>
            <w:r w:rsidRPr="005A615E">
              <w:rPr>
                <w:rFonts w:ascii="Times New Roman" w:eastAsia="Times New Roman" w:hAnsi="Times New Roman"/>
                <w:b/>
                <w:sz w:val="22"/>
                <w:szCs w:val="22"/>
                <w:lang w:eastAsia="ru-RU"/>
              </w:rPr>
              <w:t>базові операційні контрольовані витрати за попереднім розрахунком будуть мати від’ємне значення</w:t>
            </w:r>
            <w:r w:rsidRPr="005A615E">
              <w:rPr>
                <w:rFonts w:ascii="Times New Roman" w:eastAsia="Times New Roman" w:hAnsi="Times New Roman"/>
                <w:sz w:val="22"/>
                <w:szCs w:val="22"/>
                <w:lang w:eastAsia="ru-RU"/>
              </w:rPr>
              <w:t>.</w:t>
            </w:r>
          </w:p>
          <w:p w:rsidR="00CF2AC1" w:rsidRPr="005A615E" w:rsidRDefault="00CF2AC1" w:rsidP="00CF2AC1">
            <w:pPr>
              <w:pStyle w:val="a5"/>
              <w:tabs>
                <w:tab w:val="left" w:pos="0"/>
              </w:tabs>
              <w:ind w:left="0" w:firstLine="321"/>
              <w:jc w:val="both"/>
              <w:rPr>
                <w:rFonts w:ascii="Times New Roman" w:hAnsi="Times New Roman"/>
                <w:sz w:val="22"/>
              </w:rPr>
            </w:pPr>
            <w:r w:rsidRPr="005A615E">
              <w:rPr>
                <w:rFonts w:ascii="Times New Roman" w:eastAsia="Times New Roman" w:hAnsi="Times New Roman"/>
                <w:sz w:val="22"/>
                <w:szCs w:val="22"/>
                <w:shd w:val="clear" w:color="auto" w:fill="FFFFFF"/>
                <w:lang w:eastAsia="ru-RU"/>
              </w:rPr>
              <w:t>В</w:t>
            </w:r>
            <w:r w:rsidRPr="005A615E">
              <w:rPr>
                <w:rFonts w:ascii="Times New Roman" w:eastAsia="Times New Roman" w:hAnsi="Times New Roman"/>
                <w:sz w:val="22"/>
                <w:szCs w:val="22"/>
                <w:lang w:eastAsia="ru-RU"/>
              </w:rPr>
              <w:t>важаємо доцільним на період дії воєнного стану обмежити дію пункту 5.7 Порядку для  АТ «Запоріжжяобленерго» (</w:t>
            </w:r>
            <w:r w:rsidRPr="005A615E">
              <w:rPr>
                <w:rFonts w:ascii="Times New Roman" w:eastAsia="Times New Roman" w:hAnsi="Times New Roman"/>
                <w:sz w:val="22"/>
                <w:szCs w:val="22"/>
                <w:shd w:val="clear" w:color="auto" w:fill="FFFFFF"/>
                <w:lang w:eastAsia="ru-RU"/>
              </w:rPr>
              <w:t>для ліцензіатів, перелік яких наведено в додатку 30 до цього Порядку)</w:t>
            </w:r>
            <w:r w:rsidRPr="005A615E">
              <w:rPr>
                <w:rFonts w:ascii="Times New Roman" w:eastAsia="Times New Roman" w:hAnsi="Times New Roman"/>
                <w:sz w:val="22"/>
                <w:szCs w:val="22"/>
                <w:lang w:eastAsia="ru-RU"/>
              </w:rPr>
              <w:t>,</w:t>
            </w:r>
          </w:p>
          <w:p w:rsidR="00CF2AC1" w:rsidRPr="005A615E" w:rsidRDefault="00CF2AC1" w:rsidP="00CF2AC1">
            <w:pPr>
              <w:pStyle w:val="a5"/>
              <w:spacing w:after="200"/>
              <w:ind w:left="0"/>
              <w:jc w:val="both"/>
              <w:rPr>
                <w:rFonts w:ascii="Times New Roman" w:eastAsia="Times New Roman" w:hAnsi="Times New Roman"/>
                <w:b/>
                <w:sz w:val="22"/>
                <w:szCs w:val="22"/>
                <w:lang w:eastAsia="ru-RU"/>
              </w:rPr>
            </w:pPr>
            <w:r w:rsidRPr="005A615E">
              <w:rPr>
                <w:rFonts w:ascii="Times New Roman" w:eastAsia="Times New Roman" w:hAnsi="Times New Roman"/>
                <w:sz w:val="22"/>
                <w:szCs w:val="22"/>
                <w:lang w:eastAsia="ru-RU"/>
              </w:rPr>
              <w:t>та визначати базові  рівні операційних контрольованих витрат на другий регуляторний період,</w:t>
            </w:r>
            <w:r w:rsidRPr="005A615E">
              <w:rPr>
                <w:rFonts w:ascii="Times New Roman" w:eastAsia="Times New Roman" w:hAnsi="Times New Roman"/>
                <w:b/>
                <w:sz w:val="22"/>
                <w:szCs w:val="22"/>
                <w:lang w:eastAsia="ru-RU"/>
              </w:rPr>
              <w:t xml:space="preserve"> на період дії воєнного стану,</w:t>
            </w:r>
            <w:r w:rsidRPr="005A615E">
              <w:rPr>
                <w:rFonts w:ascii="Times New Roman" w:eastAsia="Times New Roman" w:hAnsi="Times New Roman"/>
                <w:sz w:val="22"/>
                <w:szCs w:val="22"/>
                <w:lang w:eastAsia="ru-RU"/>
              </w:rPr>
              <w:t xml:space="preserve"> </w:t>
            </w:r>
            <w:r w:rsidRPr="005A615E">
              <w:rPr>
                <w:rFonts w:ascii="Times New Roman" w:eastAsia="Times New Roman" w:hAnsi="Times New Roman"/>
                <w:b/>
                <w:sz w:val="22"/>
                <w:szCs w:val="22"/>
                <w:lang w:eastAsia="ru-RU"/>
              </w:rPr>
              <w:t xml:space="preserve">без вилучення економії операційних контрольованих витрат першого регуляторного періоду. </w:t>
            </w: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ГО «Перша енергетична рада» (лист </w:t>
            </w:r>
            <w:r w:rsidRPr="005A615E">
              <w:rPr>
                <w:rFonts w:ascii="Times New Roman" w:hAnsi="Times New Roman"/>
                <w:b/>
                <w:sz w:val="24"/>
                <w:u w:val="single"/>
              </w:rPr>
              <w:br/>
              <w:t>від 20.07.2026 № 28/01)</w:t>
            </w:r>
          </w:p>
          <w:p w:rsidR="00CF2AC1" w:rsidRPr="005A615E" w:rsidRDefault="00CF2AC1" w:rsidP="00CF2AC1">
            <w:pPr>
              <w:jc w:val="both"/>
              <w:rPr>
                <w:rFonts w:ascii="Times New Roman" w:hAnsi="Times New Roman"/>
                <w:b/>
                <w:sz w:val="24"/>
                <w:u w:val="single"/>
              </w:rPr>
            </w:pPr>
          </w:p>
          <w:p w:rsidR="00CF2AC1" w:rsidRPr="005A615E" w:rsidRDefault="00CF2AC1" w:rsidP="00CF2AC1">
            <w:pPr>
              <w:ind w:firstLine="173"/>
              <w:jc w:val="both"/>
              <w:rPr>
                <w:rFonts w:ascii="Times New Roman" w:hAnsi="Times New Roman"/>
                <w:szCs w:val="28"/>
              </w:rPr>
            </w:pPr>
            <w:r w:rsidRPr="005A615E">
              <w:rPr>
                <w:rFonts w:ascii="Times New Roman" w:hAnsi="Times New Roman"/>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shd w:val="clear" w:color="auto" w:fill="FFFFFF"/>
              <w:ind w:firstLine="173"/>
              <w:jc w:val="both"/>
              <w:rPr>
                <w:rFonts w:ascii="Times New Roman" w:hAnsi="Times New Roman"/>
                <w:strike/>
                <w:szCs w:val="28"/>
              </w:rPr>
            </w:pPr>
            <w:r w:rsidRPr="005A615E">
              <w:rPr>
                <w:rFonts w:ascii="Times New Roman" w:hAnsi="Times New Roman"/>
                <w:strike/>
                <w:szCs w:val="28"/>
              </w:rPr>
              <w:t>де</w:t>
            </w:r>
            <w:r w:rsidRPr="005A615E">
              <w:rPr>
                <w:rFonts w:ascii="Times New Roman" w:hAnsi="Times New Roman"/>
                <w:strike/>
                <w:lang w:eastAsia="uk-UA"/>
              </w:rPr>
              <w:t xml:space="preserve"> </w:t>
            </w:r>
            <m:oMath>
              <m:sSubSup>
                <m:sSubSupPr>
                  <m:ctrlPr>
                    <w:rPr>
                      <w:rFonts w:ascii="Cambria Math" w:hAnsi="Cambria Math"/>
                      <w:i/>
                      <w:strike/>
                      <w:lang w:eastAsia="uk-UA"/>
                    </w:rPr>
                  </m:ctrlPr>
                </m:sSubSupPr>
                <m:e>
                  <m:r>
                    <w:rPr>
                      <w:rFonts w:ascii="Cambria Math" w:hAnsi="Cambria Math"/>
                      <w:strike/>
                      <w:lang w:eastAsia="uk-UA"/>
                    </w:rPr>
                    <m:t>ОКВ</m:t>
                  </m:r>
                </m:e>
                <m:sub>
                  <m:r>
                    <w:rPr>
                      <w:rFonts w:ascii="Cambria Math" w:hAnsi="Cambria Math"/>
                      <w:strike/>
                      <w:lang w:eastAsia="uk-UA"/>
                    </w:rPr>
                    <m:t>ост</m:t>
                  </m:r>
                </m:sub>
                <m:sup>
                  <m:r>
                    <w:rPr>
                      <w:rFonts w:ascii="Cambria Math" w:hAnsi="Cambria Math"/>
                      <w:strike/>
                      <w:lang w:eastAsia="uk-UA"/>
                    </w:rPr>
                    <m:t>ІІ</m:t>
                  </m:r>
                </m:sup>
              </m:sSubSup>
              <m:r>
                <w:rPr>
                  <w:rFonts w:ascii="Cambria Math" w:hAnsi="Cambria Math"/>
                  <w:strike/>
                  <w:sz w:val="18"/>
                  <w:szCs w:val="20"/>
                  <w:lang w:eastAsia="uk-UA"/>
                </w:rPr>
                <m:t xml:space="preserve">- </m:t>
              </m:r>
            </m:oMath>
            <w:r w:rsidRPr="005A615E">
              <w:rPr>
                <w:rFonts w:ascii="Times New Roman" w:hAnsi="Times New Roman"/>
                <w:strike/>
                <w:szCs w:val="28"/>
              </w:rPr>
              <w:t>прогнозовані операційні контрольовані витрати враховані в діючих тарифах, тис. грн;</w:t>
            </w:r>
          </w:p>
          <w:p w:rsidR="00CF2AC1" w:rsidRPr="005A615E" w:rsidRDefault="00CF2AC1" w:rsidP="00CF2AC1">
            <w:pPr>
              <w:shd w:val="clear" w:color="auto" w:fill="FFFFFF"/>
              <w:ind w:firstLine="173"/>
              <w:jc w:val="both"/>
              <w:rPr>
                <w:rFonts w:ascii="Times New Roman" w:hAnsi="Times New Roman"/>
                <w:strike/>
                <w:szCs w:val="28"/>
              </w:rPr>
            </w:pPr>
          </w:p>
          <w:p w:rsidR="00CF2AC1" w:rsidRPr="005A615E" w:rsidRDefault="00CF2AC1" w:rsidP="00CF2AC1">
            <w:pPr>
              <w:shd w:val="clear" w:color="auto" w:fill="FFFFFF"/>
              <w:ind w:firstLine="173"/>
              <w:jc w:val="both"/>
              <w:rPr>
                <w:b/>
                <w:szCs w:val="28"/>
              </w:rPr>
            </w:pPr>
            <w:r w:rsidRPr="005A615E">
              <w:rPr>
                <w:b/>
                <w:szCs w:val="28"/>
              </w:rPr>
              <w:t>де </w:t>
            </w:r>
            <w:r w:rsidRPr="005A615E">
              <w:rPr>
                <w:b/>
                <w:noProof/>
                <w:szCs w:val="28"/>
              </w:rPr>
              <w:drawing>
                <wp:inline distT="0" distB="0" distL="0" distR="0" wp14:anchorId="22D2E888" wp14:editId="102F7011">
                  <wp:extent cx="496543" cy="144449"/>
                  <wp:effectExtent l="0" t="0" r="0" b="8255"/>
                  <wp:docPr id="792200270" name="Рисунок 792200270" descr="https://zakon-pro.ligazakon.net/l_flib1.nsf/LookupFiles/GK40721_IMG_377.GIF/$file/GK40721_IMG_377.GIF">
                    <a:hlinkClick xmlns:a="http://schemas.openxmlformats.org/drawingml/2006/main" r:id="rId14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pro.ligazakon.net/l_flib1.nsf/LookupFiles/GK40721_IMG_377.GIF/$file/GK40721_IMG_377.GIF">
                            <a:hlinkClick r:id="rId140" tgtFrame="&quot;_blank&quot;"/>
                          </pic:cNvPr>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97590" cy="144754"/>
                          </a:xfrm>
                          <a:prstGeom prst="rect">
                            <a:avLst/>
                          </a:prstGeom>
                          <a:noFill/>
                          <a:ln>
                            <a:noFill/>
                          </a:ln>
                        </pic:spPr>
                      </pic:pic>
                    </a:graphicData>
                  </a:graphic>
                </wp:inline>
              </w:drawing>
            </w:r>
            <w:r w:rsidRPr="005A615E">
              <w:rPr>
                <w:b/>
                <w:szCs w:val="28"/>
              </w:rPr>
              <w:t> - економія операційних контрольованих витрат за останній рік попереднього регуляторного періоду, тис. грн;</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17"/>
              <w:gridCol w:w="648"/>
            </w:tblGrid>
            <w:tr w:rsidR="00CF2AC1" w:rsidRPr="005A615E" w:rsidTr="00CA0CDF">
              <w:tc>
                <w:tcPr>
                  <w:tcW w:w="3525"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rPr>
                      <w:lang w:eastAsia="uk-UA"/>
                    </w:rPr>
                  </w:pPr>
                  <w:r w:rsidRPr="005A615E">
                    <w:rPr>
                      <w:noProof/>
                      <w:lang w:eastAsia="uk-UA"/>
                    </w:rPr>
                    <w:drawing>
                      <wp:inline distT="0" distB="0" distL="0" distR="0" wp14:anchorId="06EAFAAB" wp14:editId="7F9F3853">
                        <wp:extent cx="2145323" cy="372793"/>
                        <wp:effectExtent l="0" t="0" r="7620" b="8255"/>
                        <wp:docPr id="450856196" name="Рисунок 450856196" descr="https://zakon.rada.gov.ua/laws/file/imgs/129/p478167n80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29/p478167n800-43.jpg"/>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71905" cy="377412"/>
                                </a:xfrm>
                                <a:prstGeom prst="rect">
                                  <a:avLst/>
                                </a:prstGeom>
                                <a:noFill/>
                                <a:ln>
                                  <a:noFill/>
                                </a:ln>
                              </pic:spPr>
                            </pic:pic>
                          </a:graphicData>
                        </a:graphic>
                      </wp:inline>
                    </w:drawing>
                  </w:r>
                </w:p>
              </w:tc>
              <w:tc>
                <w:tcPr>
                  <w:tcW w:w="50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after="150"/>
                    <w:jc w:val="right"/>
                    <w:rPr>
                      <w:b/>
                      <w:bCs/>
                      <w:lang w:eastAsia="uk-UA"/>
                    </w:rPr>
                  </w:pPr>
                  <w:r w:rsidRPr="005A615E">
                    <w:rPr>
                      <w:lang w:eastAsia="uk-UA"/>
                    </w:rPr>
                    <w:br/>
                  </w:r>
                  <w:r w:rsidRPr="005A615E">
                    <w:rPr>
                      <w:b/>
                      <w:bCs/>
                      <w:lang w:eastAsia="uk-UA"/>
                    </w:rPr>
                    <w:t>(16)</w:t>
                  </w:r>
                </w:p>
              </w:tc>
            </w:tr>
          </w:tbl>
          <w:p w:rsidR="00CF2AC1" w:rsidRPr="005A615E" w:rsidRDefault="00CF2AC1" w:rsidP="00CF2AC1">
            <w:pPr>
              <w:ind w:firstLine="173"/>
              <w:jc w:val="both"/>
              <w:rPr>
                <w:b/>
                <w:bCs/>
                <w:szCs w:val="28"/>
              </w:rPr>
            </w:pPr>
            <w:r w:rsidRPr="005A615E">
              <w:rPr>
                <w:b/>
                <w:noProof/>
                <w:szCs w:val="28"/>
              </w:rPr>
              <w:drawing>
                <wp:inline distT="0" distB="0" distL="0" distR="0" wp14:anchorId="1A40CFED" wp14:editId="43756FAB">
                  <wp:extent cx="250190" cy="178435"/>
                  <wp:effectExtent l="0" t="0" r="0" b="0"/>
                  <wp:docPr id="879669612" name="Рисунок 879669612" descr="https://zakon-pro.ligazakon.net/l_flib1.nsf/LookupFiles/GK40721_IMG_379.GIF/$file/GK40721_IMG_379.GIF">
                    <a:hlinkClick xmlns:a="http://schemas.openxmlformats.org/drawingml/2006/main" r:id="rId14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s://zakon-pro.ligazakon.net/l_flib1.nsf/LookupFiles/GK40721_IMG_379.GIF/$file/GK40721_IMG_379.GIF">
                            <a:hlinkClick r:id="rId142" tgtFrame="&quot;_blank&quot;"/>
                          </pic:cNvPr>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50190" cy="178435"/>
                          </a:xfrm>
                          <a:prstGeom prst="rect">
                            <a:avLst/>
                          </a:prstGeom>
                          <a:noFill/>
                          <a:ln>
                            <a:noFill/>
                          </a:ln>
                        </pic:spPr>
                      </pic:pic>
                    </a:graphicData>
                  </a:graphic>
                </wp:inline>
              </w:drawing>
            </w:r>
            <w:r w:rsidRPr="005A615E">
              <w:rPr>
                <w:b/>
                <w:szCs w:val="28"/>
              </w:rPr>
              <w:t xml:space="preserve"> </w:t>
            </w:r>
            <m:oMath>
              <m:r>
                <m:rPr>
                  <m:sty m:val="bi"/>
                </m:rPr>
                <w:rPr>
                  <w:rFonts w:ascii="Cambria Math" w:hAnsi="Cambria Math"/>
                  <w:sz w:val="18"/>
                  <w:szCs w:val="20"/>
                  <w:lang w:eastAsia="uk-UA"/>
                </w:rPr>
                <m:t>-</m:t>
              </m:r>
            </m:oMath>
            <w:r w:rsidRPr="005A615E">
              <w:rPr>
                <w:b/>
                <w:szCs w:val="28"/>
              </w:rPr>
              <w:t xml:space="preserve"> </w:t>
            </w:r>
            <w:r w:rsidRPr="005A615E">
              <w:rPr>
                <w:b/>
                <w:bCs/>
                <w:lang w:eastAsia="uk-UA"/>
              </w:rPr>
              <w:t>коефіцієнт, що враховує зміну умовних одиниць обладнання за попередній регуляторний період (з урахуванням останнього року попереднього регуляторного періоду), що розраховується за формулою</w:t>
            </w:r>
          </w:p>
          <w:p w:rsidR="00CF2AC1" w:rsidRPr="005A615E" w:rsidRDefault="00CF2AC1" w:rsidP="00CF2AC1">
            <w:pPr>
              <w:ind w:firstLine="173"/>
              <w:jc w:val="both"/>
              <w:rPr>
                <w:b/>
                <w:szCs w:val="28"/>
              </w:rPr>
            </w:pPr>
          </w:p>
          <w:p w:rsidR="00CF2AC1" w:rsidRPr="005A615E" w:rsidRDefault="000D13C5" w:rsidP="00CF2AC1">
            <w:pPr>
              <w:shd w:val="clear" w:color="auto" w:fill="FFFFFF"/>
              <w:spacing w:after="150"/>
              <w:rPr>
                <w:b/>
                <w:szCs w:val="28"/>
              </w:rPr>
            </w:pPr>
            <m:oMath>
              <m:sSubSup>
                <m:sSubSupPr>
                  <m:ctrlPr>
                    <w:rPr>
                      <w:rFonts w:ascii="Cambria Math" w:hAnsi="Cambria Math"/>
                      <w:b/>
                      <w:szCs w:val="28"/>
                    </w:rPr>
                  </m:ctrlPr>
                </m:sSubSupPr>
                <m:e>
                  <m:r>
                    <m:rPr>
                      <m:sty m:val="b"/>
                    </m:rPr>
                    <w:rPr>
                      <w:rFonts w:ascii="Cambria Math" w:hAnsi="Cambria Math"/>
                      <w:szCs w:val="28"/>
                    </w:rPr>
                    <m:t>К</m:t>
                  </m:r>
                </m:e>
                <m:sub>
                  <m:r>
                    <m:rPr>
                      <m:sty m:val="b"/>
                    </m:rPr>
                    <w:rPr>
                      <w:rFonts w:ascii="Cambria Math" w:hAnsi="Cambria Math"/>
                      <w:szCs w:val="28"/>
                    </w:rPr>
                    <m:t>УО</m:t>
                  </m:r>
                </m:sub>
                <m:sup>
                  <m:r>
                    <m:rPr>
                      <m:sty m:val="b"/>
                    </m:rPr>
                    <w:rPr>
                      <w:rFonts w:ascii="Cambria Math" w:hAnsi="Cambria Math"/>
                      <w:szCs w:val="28"/>
                    </w:rPr>
                    <m:t>ІІ</m:t>
                  </m:r>
                </m:sup>
              </m:sSubSup>
              <m:r>
                <m:rPr>
                  <m:sty m:val="b"/>
                </m:rPr>
                <w:rPr>
                  <w:rFonts w:ascii="Cambria Math" w:hAnsi="Cambria Math"/>
                  <w:szCs w:val="28"/>
                </w:rPr>
                <m:t>=</m:t>
              </m:r>
              <m:sSubSup>
                <m:sSubSupPr>
                  <m:ctrlPr>
                    <w:rPr>
                      <w:rFonts w:ascii="Cambria Math" w:hAnsi="Cambria Math"/>
                      <w:b/>
                      <w:szCs w:val="28"/>
                    </w:rPr>
                  </m:ctrlPr>
                </m:sSubSupPr>
                <m:e>
                  <m:r>
                    <m:rPr>
                      <m:sty m:val="bi"/>
                    </m:rPr>
                    <w:rPr>
                      <w:rFonts w:ascii="Cambria Math" w:hAnsi="Cambria Math"/>
                      <w:szCs w:val="28"/>
                    </w:rPr>
                    <m:t>К</m:t>
                  </m:r>
                </m:e>
                <m:sub>
                  <m:r>
                    <m:rPr>
                      <m:sty m:val="bi"/>
                    </m:rPr>
                    <w:rPr>
                      <w:rFonts w:ascii="Cambria Math" w:hAnsi="Cambria Math"/>
                      <w:szCs w:val="28"/>
                    </w:rPr>
                    <m:t>УО</m:t>
                  </m:r>
                </m:sub>
                <m:sup>
                  <m:r>
                    <m:rPr>
                      <m:sty m:val="bi"/>
                    </m:rPr>
                    <w:rPr>
                      <w:rFonts w:ascii="Cambria Math" w:hAnsi="Cambria Math"/>
                      <w:szCs w:val="28"/>
                    </w:rPr>
                    <m:t>І</m:t>
                  </m:r>
                </m:sup>
              </m:sSubSup>
              <m:r>
                <m:rPr>
                  <m:sty m:val="b"/>
                </m:rPr>
                <w:rPr>
                  <w:rFonts w:ascii="Cambria Math" w:hAnsi="Cambria Math"/>
                  <w:szCs w:val="28"/>
                </w:rPr>
                <m:t>+КУ×</m:t>
              </m:r>
              <m:f>
                <m:fPr>
                  <m:ctrlPr>
                    <w:rPr>
                      <w:rFonts w:ascii="Cambria Math" w:hAnsi="Cambria Math"/>
                      <w:b/>
                      <w:szCs w:val="28"/>
                    </w:rPr>
                  </m:ctrlPr>
                </m:fPr>
                <m:num>
                  <m:sSup>
                    <m:sSupPr>
                      <m:ctrlPr>
                        <w:rPr>
                          <w:rFonts w:ascii="Cambria Math" w:hAnsi="Cambria Math"/>
                          <w:b/>
                          <w:szCs w:val="28"/>
                        </w:rPr>
                      </m:ctrlPr>
                    </m:sSupPr>
                    <m:e>
                      <m:r>
                        <m:rPr>
                          <m:sty m:val="b"/>
                        </m:rPr>
                        <w:rPr>
                          <w:rFonts w:ascii="Cambria Math" w:hAnsi="Cambria Math"/>
                          <w:szCs w:val="28"/>
                        </w:rPr>
                        <m:t>∆УО</m:t>
                      </m:r>
                    </m:e>
                    <m:sup>
                      <m:r>
                        <m:rPr>
                          <m:sty m:val="b"/>
                        </m:rPr>
                        <w:rPr>
                          <w:rFonts w:ascii="Cambria Math" w:hAnsi="Cambria Math"/>
                          <w:szCs w:val="28"/>
                        </w:rPr>
                        <m:t>ІІ</m:t>
                      </m:r>
                    </m:sup>
                  </m:sSup>
                </m:num>
                <m:den>
                  <m:sSubSup>
                    <m:sSubSupPr>
                      <m:ctrlPr>
                        <w:rPr>
                          <w:rFonts w:ascii="Cambria Math" w:hAnsi="Cambria Math"/>
                          <w:b/>
                          <w:szCs w:val="28"/>
                        </w:rPr>
                      </m:ctrlPr>
                    </m:sSubSupPr>
                    <m:e>
                      <m:r>
                        <m:rPr>
                          <m:sty m:val="b"/>
                        </m:rPr>
                        <w:rPr>
                          <w:rFonts w:ascii="Cambria Math" w:hAnsi="Cambria Math"/>
                          <w:szCs w:val="28"/>
                        </w:rPr>
                        <m:t>УО</m:t>
                      </m:r>
                    </m:e>
                    <m:sub>
                      <m:r>
                        <m:rPr>
                          <m:sty m:val="bi"/>
                        </m:rPr>
                        <w:rPr>
                          <w:rFonts w:ascii="Cambria Math" w:hAnsi="Cambria Math"/>
                          <w:szCs w:val="28"/>
                        </w:rPr>
                        <m:t>t=</m:t>
                      </m:r>
                      <m:r>
                        <m:rPr>
                          <m:sty m:val="b"/>
                        </m:rPr>
                        <w:rPr>
                          <w:rFonts w:ascii="Cambria Math" w:hAnsi="Cambria Math"/>
                          <w:szCs w:val="28"/>
                        </w:rPr>
                        <m:t>1</m:t>
                      </m:r>
                    </m:sub>
                    <m:sup>
                      <m:r>
                        <m:rPr>
                          <m:sty m:val="b"/>
                        </m:rPr>
                        <w:rPr>
                          <w:rFonts w:ascii="Cambria Math" w:hAnsi="Cambria Math"/>
                          <w:szCs w:val="28"/>
                        </w:rPr>
                        <m:t>поч</m:t>
                      </m:r>
                    </m:sup>
                  </m:sSubSup>
                </m:den>
              </m:f>
            </m:oMath>
            <w:r w:rsidR="00CF2AC1" w:rsidRPr="005A615E">
              <w:rPr>
                <w:b/>
                <w:szCs w:val="28"/>
              </w:rPr>
              <w:t>, відн.од.  (17)</w:t>
            </w:r>
          </w:p>
          <w:p w:rsidR="00CF2AC1" w:rsidRPr="005A615E" w:rsidRDefault="00CF2AC1" w:rsidP="00CF2AC1">
            <w:pPr>
              <w:shd w:val="clear" w:color="auto" w:fill="FFFFFF"/>
              <w:ind w:firstLine="173"/>
              <w:jc w:val="both"/>
              <w:rPr>
                <w:rFonts w:ascii="Times New Roman" w:hAnsi="Times New Roman"/>
                <w:strike/>
                <w:szCs w:val="28"/>
              </w:rPr>
            </w:pPr>
            <w:r w:rsidRPr="005A615E">
              <w:rPr>
                <w:rFonts w:ascii="Times New Roman" w:hAnsi="Times New Roman"/>
                <w:strike/>
                <w:szCs w:val="28"/>
              </w:rPr>
              <w:t>Економія операційних контрольованих витрат за останній рік попереднього регуляторного періоду</w:t>
            </w:r>
            <m:oMath>
              <m:r>
                <w:rPr>
                  <w:rFonts w:ascii="Cambria Math" w:hAnsi="Cambria Math"/>
                  <w:strike/>
                  <w:szCs w:val="28"/>
                </w:rPr>
                <m:t xml:space="preserve">  </m:t>
              </m:r>
              <m:sSup>
                <m:sSupPr>
                  <m:ctrlPr>
                    <w:rPr>
                      <w:rFonts w:ascii="Cambria Math" w:hAnsi="Cambria Math"/>
                      <w:strike/>
                      <w:szCs w:val="28"/>
                    </w:rPr>
                  </m:ctrlPr>
                </m:sSupPr>
                <m:e>
                  <m:r>
                    <m:rPr>
                      <m:sty m:val="p"/>
                    </m:rPr>
                    <w:rPr>
                      <w:rFonts w:ascii="Cambria Math" w:hAnsi="Cambria Math"/>
                      <w:strike/>
                      <w:szCs w:val="28"/>
                    </w:rPr>
                    <m:t xml:space="preserve"> ЕОКВ</m:t>
                  </m:r>
                </m:e>
                <m:sup>
                  <m:r>
                    <m:rPr>
                      <m:sty m:val="p"/>
                    </m:rPr>
                    <w:rPr>
                      <w:rFonts w:ascii="Cambria Math" w:hAnsi="Cambria Math"/>
                      <w:strike/>
                      <w:szCs w:val="28"/>
                    </w:rPr>
                    <m:t>ІІ</m:t>
                  </m:r>
                </m:sup>
              </m:sSup>
            </m:oMath>
            <w:r w:rsidRPr="005A615E">
              <w:rPr>
                <w:rFonts w:ascii="Times New Roman" w:hAnsi="Times New Roman"/>
                <w:strike/>
                <w:szCs w:val="28"/>
              </w:rPr>
              <w:t>, тис. грн,  розраховується за формулою</w:t>
            </w:r>
          </w:p>
          <w:p w:rsidR="00CF2AC1" w:rsidRPr="005A615E" w:rsidRDefault="00CF2AC1" w:rsidP="00CF2AC1">
            <w:pPr>
              <w:shd w:val="clear" w:color="auto" w:fill="FFFFFF"/>
              <w:ind w:firstLine="567"/>
              <w:jc w:val="both"/>
              <w:rPr>
                <w:rFonts w:ascii="Times New Roman" w:hAnsi="Times New Roman"/>
                <w:strike/>
                <w:szCs w:val="28"/>
              </w:rPr>
            </w:pPr>
          </w:p>
          <w:p w:rsidR="00CF2AC1" w:rsidRPr="005A615E" w:rsidRDefault="000D13C5" w:rsidP="00CF2AC1">
            <w:pPr>
              <w:shd w:val="clear" w:color="auto" w:fill="FFFFFF"/>
              <w:spacing w:after="150"/>
              <w:ind w:firstLine="567"/>
              <w:jc w:val="both"/>
              <w:rPr>
                <w:rFonts w:ascii="Times New Roman" w:hAnsi="Times New Roman"/>
                <w:i/>
                <w:strike/>
                <w:sz w:val="20"/>
                <w:lang w:eastAsia="uk-UA"/>
              </w:rPr>
            </w:pPr>
            <m:oMath>
              <m:sSup>
                <m:sSupPr>
                  <m:ctrlPr>
                    <w:rPr>
                      <w:rFonts w:ascii="Cambria Math" w:hAnsi="Cambria Math"/>
                      <w:i/>
                      <w:strike/>
                      <w:lang w:eastAsia="uk-UA"/>
                    </w:rPr>
                  </m:ctrlPr>
                </m:sSupPr>
                <m:e>
                  <m:r>
                    <w:rPr>
                      <w:rFonts w:ascii="Cambria Math" w:hAnsi="Cambria Math"/>
                      <w:strike/>
                      <w:lang w:eastAsia="uk-UA"/>
                    </w:rPr>
                    <m:t>ЕОКВ</m:t>
                  </m:r>
                </m:e>
                <m:sup>
                  <m:r>
                    <w:rPr>
                      <w:rFonts w:ascii="Cambria Math" w:hAnsi="Cambria Math"/>
                      <w:strike/>
                      <w:lang w:eastAsia="uk-UA"/>
                    </w:rPr>
                    <m:t>ІІ</m:t>
                  </m:r>
                </m:sup>
              </m:sSup>
              <m:r>
                <w:rPr>
                  <w:rFonts w:ascii="Cambria Math" w:hAnsi="Cambria Math"/>
                  <w:strike/>
                  <w:lang w:eastAsia="uk-UA"/>
                </w:rPr>
                <m:t>=</m:t>
              </m:r>
              <m:sSubSup>
                <m:sSubSupPr>
                  <m:ctrlPr>
                    <w:rPr>
                      <w:rFonts w:ascii="Cambria Math" w:hAnsi="Cambria Math"/>
                      <w:i/>
                      <w:strike/>
                      <w:lang w:eastAsia="uk-UA"/>
                    </w:rPr>
                  </m:ctrlPr>
                </m:sSubSupPr>
                <m:e>
                  <m:r>
                    <w:rPr>
                      <w:rFonts w:ascii="Cambria Math" w:hAnsi="Cambria Math"/>
                      <w:strike/>
                      <w:lang w:eastAsia="uk-UA"/>
                    </w:rPr>
                    <m:t>ОКВ</m:t>
                  </m:r>
                </m:e>
                <m:sub>
                  <m:r>
                    <w:rPr>
                      <w:rFonts w:ascii="Cambria Math" w:hAnsi="Cambria Math"/>
                      <w:strike/>
                      <w:lang w:eastAsia="uk-UA"/>
                    </w:rPr>
                    <m:t>t-1</m:t>
                  </m:r>
                </m:sub>
                <m:sup>
                  <m:r>
                    <w:rPr>
                      <w:rFonts w:ascii="Cambria Math" w:hAnsi="Cambria Math"/>
                      <w:strike/>
                      <w:lang w:eastAsia="uk-UA"/>
                    </w:rPr>
                    <m:t>y</m:t>
                  </m:r>
                </m:sup>
              </m:sSubSup>
              <m:r>
                <w:rPr>
                  <w:rFonts w:ascii="Cambria Math" w:hAnsi="Cambria Math"/>
                  <w:strike/>
                  <w:lang w:eastAsia="uk-UA"/>
                </w:rPr>
                <m:t>-</m:t>
              </m:r>
              <m:sSubSup>
                <m:sSubSupPr>
                  <m:ctrlPr>
                    <w:rPr>
                      <w:rFonts w:ascii="Cambria Math" w:hAnsi="Cambria Math"/>
                      <w:i/>
                      <w:strike/>
                      <w:lang w:eastAsia="uk-UA"/>
                    </w:rPr>
                  </m:ctrlPr>
                </m:sSubSupPr>
                <m:e>
                  <m:r>
                    <w:rPr>
                      <w:rFonts w:ascii="Cambria Math" w:hAnsi="Cambria Math"/>
                      <w:strike/>
                      <w:lang w:eastAsia="uk-UA"/>
                    </w:rPr>
                    <m:t>ОКВ</m:t>
                  </m:r>
                </m:e>
                <m:sub>
                  <m:r>
                    <w:rPr>
                      <w:rFonts w:ascii="Cambria Math" w:hAnsi="Cambria Math"/>
                      <w:strike/>
                      <w:lang w:eastAsia="uk-UA"/>
                    </w:rPr>
                    <m:t xml:space="preserve">t-1   </m:t>
                  </m:r>
                </m:sub>
                <m:sup>
                  <m:r>
                    <w:rPr>
                      <w:rFonts w:ascii="Cambria Math" w:hAnsi="Cambria Math"/>
                      <w:strike/>
                      <w:lang w:eastAsia="uk-UA"/>
                    </w:rPr>
                    <m:t>ф</m:t>
                  </m:r>
                </m:sup>
              </m:sSubSup>
              <m:r>
                <w:rPr>
                  <w:rFonts w:ascii="Cambria Math" w:hAnsi="Cambria Math"/>
                  <w:strike/>
                  <w:lang w:eastAsia="uk-UA"/>
                </w:rPr>
                <m:t>,  тис. грн</m:t>
              </m:r>
            </m:oMath>
            <w:r w:rsidR="00CF2AC1" w:rsidRPr="005A615E">
              <w:rPr>
                <w:rFonts w:ascii="Times New Roman" w:eastAsiaTheme="minorEastAsia" w:hAnsi="Times New Roman"/>
                <w:i/>
                <w:strike/>
                <w:lang w:eastAsia="uk-UA"/>
              </w:rPr>
              <w:t xml:space="preserve"> </w:t>
            </w:r>
            <w:r w:rsidR="00CF2AC1" w:rsidRPr="005A615E">
              <w:rPr>
                <w:rFonts w:ascii="Times New Roman" w:hAnsi="Times New Roman"/>
                <w:strike/>
                <w:szCs w:val="28"/>
              </w:rPr>
              <w:t>(18)</w:t>
            </w: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eastAsiaTheme="minorEastAsia" w:hAnsi="Times New Roman"/>
              </w:rPr>
            </w:pPr>
            <w:r w:rsidRPr="005A615E">
              <w:rPr>
                <w:rFonts w:ascii="Times New Roman" w:hAnsi="Times New Roman"/>
              </w:rPr>
              <w:t>Пропонується залишити чинні формули визначення</w:t>
            </w:r>
            <m:oMath>
              <m:r>
                <w:rPr>
                  <w:rFonts w:ascii="Cambria Math" w:hAnsi="Cambria Math"/>
                </w:rPr>
                <m:t xml:space="preserve">   </m:t>
              </m:r>
              <m:sSubSup>
                <m:sSubSupPr>
                  <m:ctrlPr>
                    <w:rPr>
                      <w:rFonts w:ascii="Cambria Math" w:hAnsi="Cambria Math"/>
                      <w:i/>
                    </w:rPr>
                  </m:ctrlPr>
                </m:sSubSupPr>
                <m:e>
                  <m:r>
                    <w:rPr>
                      <w:rFonts w:ascii="Cambria Math" w:hAnsi="Cambria Math"/>
                    </w:rPr>
                    <m:t>ОКВ</m:t>
                  </m:r>
                </m:e>
                <m:sub>
                  <m:r>
                    <w:rPr>
                      <w:rFonts w:ascii="Cambria Math" w:hAnsi="Cambria Math"/>
                    </w:rPr>
                    <m:t>0</m:t>
                  </m:r>
                </m:sub>
                <m:sup>
                  <m:r>
                    <w:rPr>
                      <w:rFonts w:ascii="Cambria Math" w:hAnsi="Cambria Math"/>
                    </w:rPr>
                    <m:t>ІІ</m:t>
                  </m:r>
                </m:sup>
              </m:sSubSup>
              <m:r>
                <w:rPr>
                  <w:rFonts w:ascii="Cambria Math" w:hAnsi="Cambria Math"/>
                </w:rPr>
                <m:t xml:space="preserve"> </m:t>
              </m:r>
            </m:oMath>
            <w:r w:rsidRPr="005A615E">
              <w:rPr>
                <w:rFonts w:ascii="Times New Roman" w:hAnsi="Times New Roman"/>
              </w:rPr>
              <w:t xml:space="preserve">  та </w:t>
            </w:r>
            <m:oMath>
              <m:sSubSup>
                <m:sSubSupPr>
                  <m:ctrlPr>
                    <w:rPr>
                      <w:rFonts w:ascii="Cambria Math" w:hAnsi="Cambria Math"/>
                      <w:i/>
                    </w:rPr>
                  </m:ctrlPr>
                </m:sSubSupPr>
                <m:e>
                  <m:r>
                    <w:rPr>
                      <w:rFonts w:ascii="Cambria Math" w:hAnsi="Cambria Math"/>
                    </w:rPr>
                    <m:t>ЕОКВ</m:t>
                  </m:r>
                </m:e>
                <m:sub/>
                <m:sup>
                  <m:r>
                    <w:rPr>
                      <w:rFonts w:ascii="Cambria Math" w:hAnsi="Cambria Math"/>
                    </w:rPr>
                    <m:t>ІІ</m:t>
                  </m:r>
                </m:sup>
              </m:sSubSup>
              <m:r>
                <w:rPr>
                  <w:rFonts w:ascii="Cambria Math" w:hAnsi="Cambria Math"/>
                </w:rPr>
                <m:t xml:space="preserve"> , оскільки:</m:t>
              </m:r>
            </m:oMath>
          </w:p>
          <w:p w:rsidR="00CF2AC1" w:rsidRPr="005A615E" w:rsidRDefault="00CF2AC1" w:rsidP="00CF2AC1">
            <w:pPr>
              <w:jc w:val="both"/>
              <w:rPr>
                <w:rFonts w:ascii="Times New Roman" w:eastAsiaTheme="minorEastAsia" w:hAnsi="Times New Roman"/>
                <w:bCs/>
                <w:lang w:eastAsia="uk-UA"/>
              </w:rPr>
            </w:pPr>
            <w:r w:rsidRPr="005A615E">
              <w:rPr>
                <w:rFonts w:ascii="Times New Roman" w:eastAsiaTheme="minorEastAsia" w:hAnsi="Times New Roman"/>
              </w:rPr>
              <w:t xml:space="preserve"> - </w:t>
            </w:r>
            <m:oMath>
              <m:sSubSup>
                <m:sSubSupPr>
                  <m:ctrlPr>
                    <w:rPr>
                      <w:rFonts w:ascii="Cambria Math" w:hAnsi="Cambria Math"/>
                      <w:b/>
                      <w:i/>
                      <w:lang w:eastAsia="uk-UA"/>
                    </w:rPr>
                  </m:ctrlPr>
                </m:sSubSupPr>
                <m:e>
                  <m:r>
                    <m:rPr>
                      <m:sty m:val="bi"/>
                    </m:rPr>
                    <w:rPr>
                      <w:rFonts w:ascii="Cambria Math" w:hAnsi="Cambria Math"/>
                      <w:lang w:eastAsia="uk-UA"/>
                    </w:rPr>
                    <m:t>ОКВ</m:t>
                  </m:r>
                </m:e>
                <m:sub>
                  <m:r>
                    <m:rPr>
                      <m:sty m:val="bi"/>
                    </m:rPr>
                    <w:rPr>
                      <w:rFonts w:ascii="Cambria Math" w:hAnsi="Cambria Math"/>
                      <w:lang w:eastAsia="uk-UA"/>
                    </w:rPr>
                    <m:t>ост</m:t>
                  </m:r>
                </m:sub>
                <m:sup>
                  <m:r>
                    <m:rPr>
                      <m:sty m:val="bi"/>
                    </m:rPr>
                    <w:rPr>
                      <w:rFonts w:ascii="Cambria Math" w:hAnsi="Cambria Math"/>
                      <w:lang w:eastAsia="uk-UA"/>
                    </w:rPr>
                    <m:t>ІІ</m:t>
                  </m:r>
                </m:sup>
              </m:sSubSup>
            </m:oMath>
            <w:r w:rsidRPr="005A615E">
              <w:rPr>
                <w:rFonts w:ascii="Times New Roman" w:eastAsiaTheme="minorEastAsia" w:hAnsi="Times New Roman"/>
                <w:b/>
                <w:lang w:eastAsia="uk-UA"/>
              </w:rPr>
              <w:t xml:space="preserve"> </w:t>
            </w:r>
            <w:r w:rsidRPr="005A615E">
              <w:rPr>
                <w:rFonts w:ascii="Times New Roman" w:eastAsiaTheme="minorEastAsia" w:hAnsi="Times New Roman"/>
                <w:bCs/>
                <w:lang w:eastAsia="uk-UA"/>
              </w:rPr>
              <w:t xml:space="preserve">в формулі (15) не використовується і, відпо-відно, </w:t>
            </w:r>
            <m:oMath>
              <m:sSubSup>
                <m:sSubSupPr>
                  <m:ctrlPr>
                    <w:rPr>
                      <w:rFonts w:ascii="Cambria Math" w:hAnsi="Cambria Math"/>
                      <w:bCs/>
                      <w:iCs/>
                      <w:lang w:eastAsia="uk-UA"/>
                    </w:rPr>
                  </m:ctrlPr>
                </m:sSubSupPr>
                <m:e>
                  <m:r>
                    <m:rPr>
                      <m:sty m:val="p"/>
                    </m:rPr>
                    <w:rPr>
                      <w:rFonts w:ascii="Cambria Math" w:hAnsi="Cambria Math"/>
                      <w:lang w:eastAsia="uk-UA"/>
                    </w:rPr>
                    <m:t>ОКВ</m:t>
                  </m:r>
                </m:e>
                <m:sub>
                  <m:r>
                    <m:rPr>
                      <m:sty m:val="p"/>
                    </m:rPr>
                    <w:rPr>
                      <w:rFonts w:ascii="Cambria Math" w:hAnsi="Cambria Math"/>
                      <w:lang w:eastAsia="uk-UA"/>
                    </w:rPr>
                    <m:t>0</m:t>
                  </m:r>
                </m:sub>
                <m:sup>
                  <m:r>
                    <m:rPr>
                      <m:sty m:val="p"/>
                    </m:rPr>
                    <w:rPr>
                      <w:rFonts w:ascii="Cambria Math" w:hAnsi="Cambria Math"/>
                      <w:lang w:eastAsia="uk-UA"/>
                    </w:rPr>
                    <m:t>ІІ</m:t>
                  </m:r>
                </m:sup>
              </m:sSubSup>
            </m:oMath>
            <w:r w:rsidRPr="005A615E">
              <w:rPr>
                <w:rFonts w:ascii="Times New Roman" w:eastAsiaTheme="minorEastAsia" w:hAnsi="Times New Roman"/>
                <w:bCs/>
                <w:iCs/>
                <w:lang w:eastAsia="uk-UA"/>
              </w:rPr>
              <w:t xml:space="preserve"> буде враховувати зміну умовних одиниць обладнання і економію операційних витрат лише за останній рік регуляторного періоду,</w:t>
            </w:r>
          </w:p>
          <w:p w:rsidR="00CF2AC1" w:rsidRPr="005A615E" w:rsidRDefault="00CF2AC1" w:rsidP="00CF2AC1">
            <w:pPr>
              <w:jc w:val="both"/>
              <w:rPr>
                <w:rFonts w:ascii="Times New Roman" w:eastAsiaTheme="minorEastAsia" w:hAnsi="Times New Roman"/>
                <w:bCs/>
              </w:rPr>
            </w:pPr>
            <w:r w:rsidRPr="005A615E">
              <w:rPr>
                <w:rFonts w:ascii="Times New Roman" w:eastAsiaTheme="minorEastAsia" w:hAnsi="Times New Roman"/>
                <w:bCs/>
                <w:lang w:eastAsia="uk-UA"/>
              </w:rPr>
              <w:t xml:space="preserve">- у разі використання </w:t>
            </w:r>
            <m:oMath>
              <m:sSubSup>
                <m:sSubSupPr>
                  <m:ctrlPr>
                    <w:rPr>
                      <w:rFonts w:ascii="Cambria Math" w:hAnsi="Cambria Math"/>
                      <w:b/>
                      <w:i/>
                      <w:lang w:eastAsia="uk-UA"/>
                    </w:rPr>
                  </m:ctrlPr>
                </m:sSubSupPr>
                <m:e>
                  <m:r>
                    <m:rPr>
                      <m:sty m:val="bi"/>
                    </m:rPr>
                    <w:rPr>
                      <w:rFonts w:ascii="Cambria Math" w:hAnsi="Cambria Math"/>
                      <w:lang w:eastAsia="uk-UA"/>
                    </w:rPr>
                    <m:t>ОКВ</m:t>
                  </m:r>
                </m:e>
                <m:sub>
                  <m:r>
                    <m:rPr>
                      <m:sty m:val="bi"/>
                    </m:rPr>
                    <w:rPr>
                      <w:rFonts w:ascii="Cambria Math" w:hAnsi="Cambria Math"/>
                      <w:lang w:eastAsia="uk-UA"/>
                    </w:rPr>
                    <m:t>ост</m:t>
                  </m:r>
                </m:sub>
                <m:sup>
                  <m:r>
                    <m:rPr>
                      <m:sty m:val="bi"/>
                    </m:rPr>
                    <w:rPr>
                      <w:rFonts w:ascii="Cambria Math" w:hAnsi="Cambria Math"/>
                      <w:lang w:eastAsia="uk-UA"/>
                    </w:rPr>
                    <m:t>ІІ</m:t>
                  </m:r>
                </m:sup>
              </m:sSubSup>
            </m:oMath>
            <w:r w:rsidRPr="005A615E">
              <w:rPr>
                <w:rFonts w:ascii="Times New Roman" w:eastAsiaTheme="minorEastAsia" w:hAnsi="Times New Roman"/>
                <w:bCs/>
                <w:lang w:eastAsia="uk-UA"/>
              </w:rPr>
              <w:t xml:space="preserve"> замість </w:t>
            </w:r>
            <m:oMath>
              <m:sSubSup>
                <m:sSubSupPr>
                  <m:ctrlPr>
                    <w:rPr>
                      <w:rFonts w:ascii="Cambria Math" w:hAnsi="Cambria Math"/>
                      <w:b/>
                      <w:i/>
                      <w:lang w:eastAsia="uk-UA"/>
                    </w:rPr>
                  </m:ctrlPr>
                </m:sSubSupPr>
                <m:e>
                  <m:r>
                    <m:rPr>
                      <m:sty m:val="bi"/>
                    </m:rPr>
                    <w:rPr>
                      <w:rFonts w:ascii="Cambria Math" w:hAnsi="Cambria Math"/>
                      <w:lang w:eastAsia="uk-UA"/>
                    </w:rPr>
                    <m:t>ОКВ</m:t>
                  </m:r>
                </m:e>
                <m:sub>
                  <m:r>
                    <m:rPr>
                      <m:sty m:val="bi"/>
                    </m:rPr>
                    <w:rPr>
                      <w:rFonts w:ascii="Cambria Math" w:hAnsi="Cambria Math"/>
                      <w:lang w:eastAsia="uk-UA"/>
                    </w:rPr>
                    <m:t>ост</m:t>
                  </m:r>
                </m:sub>
                <m:sup>
                  <m:r>
                    <m:rPr>
                      <m:sty m:val="bi"/>
                    </m:rPr>
                    <w:rPr>
                      <w:rFonts w:ascii="Cambria Math" w:hAnsi="Cambria Math"/>
                      <w:lang w:eastAsia="uk-UA"/>
                    </w:rPr>
                    <m:t>п</m:t>
                  </m:r>
                </m:sup>
              </m:sSubSup>
            </m:oMath>
            <w:r w:rsidRPr="005A615E">
              <w:rPr>
                <w:rFonts w:ascii="Times New Roman" w:eastAsiaTheme="minorEastAsia" w:hAnsi="Times New Roman"/>
                <w:b/>
                <w:lang w:eastAsia="uk-UA"/>
              </w:rPr>
              <w:t xml:space="preserve"> </w:t>
            </w:r>
            <w:r w:rsidRPr="005A615E">
              <w:rPr>
                <w:rFonts w:ascii="Times New Roman" w:eastAsiaTheme="minorEastAsia" w:hAnsi="Times New Roman"/>
                <w:bCs/>
                <w:lang w:eastAsia="uk-UA"/>
              </w:rPr>
              <w:t xml:space="preserve">в формулі (15), </w:t>
            </w:r>
            <m:oMath>
              <m:sSubSup>
                <m:sSubSupPr>
                  <m:ctrlPr>
                    <w:rPr>
                      <w:rFonts w:ascii="Cambria Math" w:hAnsi="Cambria Math"/>
                      <w:bCs/>
                      <w:iCs/>
                      <w:lang w:eastAsia="uk-UA"/>
                    </w:rPr>
                  </m:ctrlPr>
                </m:sSubSupPr>
                <m:e>
                  <m:r>
                    <m:rPr>
                      <m:sty m:val="p"/>
                    </m:rPr>
                    <w:rPr>
                      <w:rFonts w:ascii="Cambria Math" w:hAnsi="Cambria Math"/>
                      <w:lang w:eastAsia="uk-UA"/>
                    </w:rPr>
                    <m:t>ОКВ</m:t>
                  </m:r>
                </m:e>
                <m:sub>
                  <m:r>
                    <m:rPr>
                      <m:sty m:val="p"/>
                    </m:rPr>
                    <w:rPr>
                      <w:rFonts w:ascii="Cambria Math" w:hAnsi="Cambria Math"/>
                      <w:lang w:eastAsia="uk-UA"/>
                    </w:rPr>
                    <m:t>0</m:t>
                  </m:r>
                </m:sub>
                <m:sup>
                  <m:r>
                    <m:rPr>
                      <m:sty m:val="p"/>
                    </m:rPr>
                    <w:rPr>
                      <w:rFonts w:ascii="Cambria Math" w:hAnsi="Cambria Math"/>
                      <w:lang w:eastAsia="uk-UA"/>
                    </w:rPr>
                    <m:t>ІІ</m:t>
                  </m:r>
                </m:sup>
              </m:sSubSup>
            </m:oMath>
            <w:r w:rsidRPr="005A615E">
              <w:rPr>
                <w:rFonts w:ascii="Times New Roman" w:eastAsiaTheme="minorEastAsia" w:hAnsi="Times New Roman"/>
                <w:bCs/>
                <w:iCs/>
                <w:lang w:eastAsia="uk-UA"/>
              </w:rPr>
              <w:t xml:space="preserve">  буде необгрунтовано занижено, зокрема через подвійне зняття середньорічної економії операційних витрат за попередній регуляторний період, а також зайво враховано коефіцієнт ефективності за один рік.</w:t>
            </w:r>
          </w:p>
          <w:p w:rsidR="00CF2AC1" w:rsidRPr="005A615E" w:rsidRDefault="00CF2AC1" w:rsidP="00CF2AC1">
            <w:pPr>
              <w:jc w:val="both"/>
            </w:pPr>
            <w:r w:rsidRPr="005A615E">
              <w:rPr>
                <w:rFonts w:ascii="Times New Roman" w:eastAsiaTheme="minorEastAsia" w:hAnsi="Times New Roman"/>
                <w:bCs/>
              </w:rPr>
              <w:t xml:space="preserve">Формулу для  </w:t>
            </w:r>
            <m:oMath>
              <m:sSubSup>
                <m:sSubSupPr>
                  <m:ctrlPr>
                    <w:rPr>
                      <w:rFonts w:ascii="Cambria Math" w:hAnsi="Cambria Math"/>
                      <w:b/>
                      <w:szCs w:val="28"/>
                    </w:rPr>
                  </m:ctrlPr>
                </m:sSubSupPr>
                <m:e>
                  <m:r>
                    <m:rPr>
                      <m:sty m:val="b"/>
                    </m:rPr>
                    <w:rPr>
                      <w:rFonts w:ascii="Cambria Math" w:hAnsi="Cambria Math"/>
                      <w:szCs w:val="28"/>
                    </w:rPr>
                    <m:t>К</m:t>
                  </m:r>
                </m:e>
                <m:sub>
                  <m:r>
                    <m:rPr>
                      <m:sty m:val="b"/>
                    </m:rPr>
                    <w:rPr>
                      <w:rFonts w:ascii="Cambria Math" w:hAnsi="Cambria Math"/>
                      <w:szCs w:val="28"/>
                    </w:rPr>
                    <m:t>УО</m:t>
                  </m:r>
                </m:sub>
                <m:sup>
                  <m:r>
                    <m:rPr>
                      <m:sty m:val="b"/>
                    </m:rPr>
                    <w:rPr>
                      <w:rFonts w:ascii="Cambria Math" w:hAnsi="Cambria Math"/>
                      <w:szCs w:val="28"/>
                    </w:rPr>
                    <m:t>ІІ</m:t>
                  </m:r>
                </m:sup>
              </m:sSubSup>
            </m:oMath>
            <w:r w:rsidRPr="005A615E">
              <w:rPr>
                <w:rFonts w:ascii="Times New Roman" w:eastAsiaTheme="minorEastAsia" w:hAnsi="Times New Roman"/>
                <w:bCs/>
              </w:rPr>
              <w:t xml:space="preserve"> пропонується виправити відповідно для врахування особливостей визначення зміни умовних одиниць обладнання в першому регуляторному періоді для різних ОСР.</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ind w:firstLine="308"/>
              <w:jc w:val="both"/>
              <w:rPr>
                <w:rFonts w:ascii="Times New Roman" w:hAnsi="Times New Roman"/>
                <w:b/>
                <w:bCs/>
              </w:rPr>
            </w:pPr>
            <w:r w:rsidRPr="005A615E">
              <w:rPr>
                <w:rFonts w:ascii="Times New Roman" w:hAnsi="Times New Roman"/>
                <w:b/>
                <w:bCs/>
              </w:rPr>
              <w:t>Пропонується викласти пункт в наступній редакції.</w:t>
            </w:r>
          </w:p>
          <w:p w:rsidR="00CF2AC1" w:rsidRPr="005A615E" w:rsidRDefault="00CF2AC1" w:rsidP="00CF2AC1">
            <w:pPr>
              <w:ind w:firstLine="308"/>
              <w:jc w:val="both"/>
              <w:rPr>
                <w:rFonts w:ascii="Times New Roman" w:hAnsi="Times New Roman"/>
              </w:rPr>
            </w:pPr>
            <w:r w:rsidRPr="005A615E">
              <w:rPr>
                <w:rFonts w:ascii="Times New Roman" w:hAnsi="Times New Roman"/>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0D13C5" w:rsidP="00CF2AC1">
            <w:pPr>
              <w:ind w:firstLine="308"/>
              <w:jc w:val="both"/>
              <w:rPr>
                <w:rFonts w:ascii="Times New Roman" w:hAnsi="Times New Roman"/>
              </w:rPr>
            </w:pPr>
            <m:oMath>
              <m:sSubSup>
                <m:sSubSupPr>
                  <m:ctrlPr>
                    <w:rPr>
                      <w:rFonts w:ascii="Cambria Math" w:hAnsi="Cambria Math"/>
                      <w:i/>
                    </w:rPr>
                  </m:ctrlPr>
                </m:sSubSupPr>
                <m:e>
                  <m:r>
                    <w:rPr>
                      <w:rFonts w:ascii="Cambria Math" w:hAnsi="Cambria Math"/>
                      <w:sz w:val="20"/>
                      <w:szCs w:val="20"/>
                    </w:rPr>
                    <m:t>ОКВ</m:t>
                  </m:r>
                </m:e>
                <m:sub>
                  <m:r>
                    <w:rPr>
                      <w:rFonts w:ascii="Cambria Math" w:hAnsi="Cambria Math"/>
                      <w:sz w:val="20"/>
                      <w:szCs w:val="20"/>
                    </w:rPr>
                    <m:t>0</m:t>
                  </m:r>
                </m:sub>
                <m:sup>
                  <m:r>
                    <w:rPr>
                      <w:rFonts w:ascii="Cambria Math" w:hAnsi="Cambria Math"/>
                      <w:sz w:val="20"/>
                      <w:szCs w:val="20"/>
                    </w:rPr>
                    <m:t>І</m:t>
                  </m:r>
                </m:sup>
              </m:sSubSup>
              <m:r>
                <w:rPr>
                  <w:rFonts w:ascii="Cambria Math" w:hAnsi="Cambria Math"/>
                  <w:sz w:val="20"/>
                  <w:szCs w:val="20"/>
                </w:rPr>
                <m:t>=</m:t>
              </m:r>
              <m:sSubSup>
                <m:sSubSupPr>
                  <m:ctrlPr>
                    <w:rPr>
                      <w:rFonts w:ascii="Cambria Math" w:hAnsi="Cambria Math"/>
                      <w:i/>
                    </w:rPr>
                  </m:ctrlPr>
                </m:sSubSupPr>
                <m:e>
                  <m:r>
                    <w:rPr>
                      <w:rFonts w:ascii="Cambria Math" w:hAnsi="Cambria Math"/>
                      <w:sz w:val="20"/>
                      <w:szCs w:val="20"/>
                    </w:rPr>
                    <m:t>ОКВ</m:t>
                  </m:r>
                </m:e>
                <m:sub>
                  <m:r>
                    <w:rPr>
                      <w:rFonts w:ascii="Cambria Math" w:hAnsi="Cambria Math"/>
                      <w:sz w:val="20"/>
                      <w:szCs w:val="20"/>
                    </w:rPr>
                    <m:t>ост</m:t>
                  </m:r>
                </m:sub>
                <m:sup>
                  <m:r>
                    <w:rPr>
                      <w:rFonts w:ascii="Cambria Math" w:hAnsi="Cambria Math"/>
                      <w:sz w:val="20"/>
                      <w:szCs w:val="20"/>
                    </w:rPr>
                    <m:t>п</m:t>
                  </m:r>
                </m:sup>
              </m:sSubSup>
              <m:r>
                <w:rPr>
                  <w:rFonts w:ascii="Cambria Math" w:hAnsi="Cambria Math"/>
                  <w:sz w:val="20"/>
                  <w:szCs w:val="20"/>
                </w:rPr>
                <m:t>×</m:t>
              </m:r>
              <m:sSubSup>
                <m:sSubSupPr>
                  <m:ctrlPr>
                    <w:rPr>
                      <w:rFonts w:ascii="Cambria Math" w:hAnsi="Cambria Math"/>
                      <w:i/>
                    </w:rPr>
                  </m:ctrlPr>
                </m:sSubSupPr>
                <m:e>
                  <m:r>
                    <w:rPr>
                      <w:rFonts w:ascii="Cambria Math" w:hAnsi="Cambria Math"/>
                      <w:sz w:val="20"/>
                      <w:szCs w:val="20"/>
                    </w:rPr>
                    <m:t>К</m:t>
                  </m:r>
                </m:e>
                <m:sub>
                  <m:r>
                    <w:rPr>
                      <w:rFonts w:ascii="Cambria Math" w:hAnsi="Cambria Math"/>
                      <w:sz w:val="20"/>
                      <w:szCs w:val="20"/>
                    </w:rPr>
                    <m:t>УО</m:t>
                  </m:r>
                </m:sub>
                <m:sup>
                  <m:r>
                    <w:rPr>
                      <w:rFonts w:ascii="Cambria Math" w:hAnsi="Cambria Math"/>
                      <w:sz w:val="20"/>
                      <w:szCs w:val="20"/>
                    </w:rPr>
                    <m:t>І</m:t>
                  </m:r>
                </m:sup>
              </m:sSubSup>
              <m:r>
                <w:rPr>
                  <w:rFonts w:ascii="Cambria Math" w:hAnsi="Cambria Math"/>
                  <w:sz w:val="20"/>
                  <w:szCs w:val="20"/>
                </w:rPr>
                <m:t>-</m:t>
              </m:r>
              <m:f>
                <m:fPr>
                  <m:ctrlPr>
                    <w:rPr>
                      <w:rFonts w:ascii="Cambria Math" w:hAnsi="Cambria Math"/>
                      <w:i/>
                    </w:rPr>
                  </m:ctrlPr>
                </m:fPr>
                <m:num>
                  <m:r>
                    <m:rPr>
                      <m:sty m:val="p"/>
                    </m:rPr>
                    <w:rPr>
                      <w:rFonts w:ascii="Cambria Math" w:hAnsi="Cambria Math"/>
                      <w:sz w:val="20"/>
                      <w:szCs w:val="20"/>
                      <w:lang w:val="en-US"/>
                    </w:rPr>
                    <m:t>max</m:t>
                  </m:r>
                  <m:r>
                    <m:rPr>
                      <m:sty m:val="p"/>
                    </m:rPr>
                    <w:rPr>
                      <w:rFonts w:ascii="Cambria Math" w:hAnsi="Cambria Math"/>
                      <w:sz w:val="20"/>
                      <w:szCs w:val="20"/>
                    </w:rPr>
                    <m:t>⁡</m:t>
                  </m:r>
                  <m:r>
                    <w:rPr>
                      <w:rFonts w:ascii="Cambria Math" w:hAnsi="Cambria Math"/>
                      <w:sz w:val="20"/>
                      <w:szCs w:val="20"/>
                    </w:rPr>
                    <m:t>(</m:t>
                  </m:r>
                  <m:sSup>
                    <m:sSupPr>
                      <m:ctrlPr>
                        <w:rPr>
                          <w:rFonts w:ascii="Cambria Math" w:hAnsi="Cambria Math"/>
                          <w:i/>
                        </w:rPr>
                      </m:ctrlPr>
                    </m:sSupPr>
                    <m:e>
                      <m:r>
                        <w:rPr>
                          <w:rFonts w:ascii="Cambria Math" w:hAnsi="Cambria Math"/>
                          <w:sz w:val="20"/>
                          <w:szCs w:val="20"/>
                        </w:rPr>
                        <m:t>ЕОКВ</m:t>
                      </m:r>
                    </m:e>
                    <m:sup>
                      <m:r>
                        <w:rPr>
                          <w:rFonts w:ascii="Cambria Math" w:hAnsi="Cambria Math"/>
                          <w:sz w:val="20"/>
                          <w:szCs w:val="20"/>
                        </w:rPr>
                        <m:t>І</m:t>
                      </m:r>
                    </m:sup>
                  </m:sSup>
                  <m:r>
                    <w:rPr>
                      <w:rFonts w:ascii="Cambria Math" w:hAnsi="Cambria Math"/>
                      <w:sz w:val="20"/>
                      <w:szCs w:val="20"/>
                    </w:rPr>
                    <m:t>,0)</m:t>
                  </m:r>
                </m:num>
                <m:den>
                  <m:r>
                    <w:rPr>
                      <w:rFonts w:ascii="Cambria Math" w:hAnsi="Cambria Math"/>
                      <w:sz w:val="20"/>
                      <w:szCs w:val="20"/>
                    </w:rPr>
                    <m:t>2</m:t>
                  </m:r>
                </m:den>
              </m:f>
            </m:oMath>
            <w:r w:rsidR="00CF2AC1" w:rsidRPr="005A615E">
              <w:rPr>
                <w:rFonts w:ascii="Times New Roman" w:hAnsi="Times New Roman"/>
              </w:rPr>
              <w:t>, тис грн (11)</w:t>
            </w:r>
          </w:p>
          <w:p w:rsidR="00CF2AC1" w:rsidRPr="005A615E" w:rsidRDefault="00CF2AC1" w:rsidP="00CF2AC1">
            <w:pPr>
              <w:ind w:right="-33" w:firstLine="173"/>
              <w:jc w:val="both"/>
              <w:rPr>
                <w:rFonts w:ascii="Times New Roman" w:hAnsi="Times New Roman"/>
                <w:szCs w:val="28"/>
              </w:rPr>
            </w:pPr>
            <w:r w:rsidRPr="005A615E">
              <w:rPr>
                <w:rFonts w:ascii="Times New Roman" w:hAnsi="Times New Roman"/>
                <w:szCs w:val="28"/>
              </w:rPr>
              <w:t>де </w:t>
            </w:r>
            <w:r w:rsidRPr="005A615E">
              <w:rPr>
                <w:rFonts w:ascii="Times New Roman" w:hAnsi="Times New Roman"/>
                <w:noProof/>
                <w:szCs w:val="28"/>
              </w:rPr>
              <w:drawing>
                <wp:inline distT="0" distB="0" distL="0" distR="0" wp14:anchorId="0B49D249" wp14:editId="2A14E1DC">
                  <wp:extent cx="466725" cy="171450"/>
                  <wp:effectExtent l="0" t="0" r="9525" b="0"/>
                  <wp:docPr id="1993780130" name="Рисунок 1993780130" descr="https://zakon-pro.ligazakon.net/l_flib1.nsf/LookupFiles/GK40721_IMG_370.GIF/$file/GK40721_IMG_370.GIF">
                    <a:hlinkClick xmlns:a="http://schemas.openxmlformats.org/drawingml/2006/main" r:id="rId1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8249279" descr="https://zakon-pro.ligazakon.net/l_flib1.nsf/LookupFiles/GK40721_IMG_370.GIF/$file/GK40721_IMG_370.GIF">
                            <a:hlinkClick r:id="rId124" tgtFrame="&quot;_blank&quot;"/>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66725" cy="171450"/>
                          </a:xfrm>
                          <a:prstGeom prst="rect">
                            <a:avLst/>
                          </a:prstGeom>
                          <a:noFill/>
                          <a:ln>
                            <a:noFill/>
                          </a:ln>
                        </pic:spPr>
                      </pic:pic>
                    </a:graphicData>
                  </a:graphic>
                </wp:inline>
              </w:drawing>
            </w:r>
            <w:r w:rsidRPr="005A615E">
              <w:rPr>
                <w:rFonts w:ascii="Times New Roman" w:hAnsi="Times New Roman"/>
                <w:szCs w:val="28"/>
              </w:rPr>
              <w:t> </w:t>
            </w:r>
            <m:oMath>
              <m:r>
                <m:rPr>
                  <m:sty m:val="p"/>
                </m:rPr>
                <w:rPr>
                  <w:rFonts w:ascii="Cambria Math" w:hAnsi="Cambria Math"/>
                  <w:sz w:val="18"/>
                  <w:szCs w:val="20"/>
                  <w:lang w:eastAsia="uk-UA"/>
                </w:rPr>
                <m:t>-</m:t>
              </m:r>
            </m:oMath>
            <w:r w:rsidRPr="005A615E">
              <w:rPr>
                <w:rFonts w:ascii="Times New Roman" w:hAnsi="Times New Roman"/>
                <w:szCs w:val="28"/>
              </w:rPr>
              <w:t xml:space="preserve"> прогнозовані операційні контрольовані витрати в останньому році попереднього регуляторного періоду, тис. грн;</w:t>
            </w:r>
          </w:p>
          <w:p w:rsidR="00CF2AC1" w:rsidRPr="005A615E" w:rsidRDefault="00CF2AC1" w:rsidP="00CF2AC1">
            <w:pPr>
              <w:ind w:right="-33" w:firstLine="173"/>
              <w:jc w:val="both"/>
              <w:rPr>
                <w:rFonts w:ascii="Times New Roman" w:hAnsi="Times New Roman"/>
                <w:szCs w:val="28"/>
              </w:rPr>
            </w:pPr>
            <w:r w:rsidRPr="005A615E">
              <w:rPr>
                <w:rFonts w:ascii="Times New Roman" w:hAnsi="Times New Roman"/>
                <w:noProof/>
                <w:szCs w:val="28"/>
              </w:rPr>
              <w:drawing>
                <wp:inline distT="0" distB="0" distL="0" distR="0" wp14:anchorId="7E297642" wp14:editId="17AAAACE">
                  <wp:extent cx="428625" cy="133350"/>
                  <wp:effectExtent l="0" t="0" r="9525" b="0"/>
                  <wp:docPr id="1993780129" name="Рисунок 1993780129" descr="https://zakon-pro.ligazakon.net/l_flib1.nsf/LookupFiles/GK40721_IMG_371.GIF/$file/GK40721_IMG_371.GIF">
                    <a:hlinkClick xmlns:a="http://schemas.openxmlformats.org/drawingml/2006/main" r:id="rId1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6187496" descr="https://zakon-pro.ligazakon.net/l_flib1.nsf/LookupFiles/GK40721_IMG_371.GIF/$file/GK40721_IMG_371.GIF">
                            <a:hlinkClick r:id="rId126" tgtFrame="&quot;_blank&quot;"/>
                          </pic:cNvPr>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428625" cy="133350"/>
                          </a:xfrm>
                          <a:prstGeom prst="rect">
                            <a:avLst/>
                          </a:prstGeom>
                          <a:noFill/>
                          <a:ln>
                            <a:noFill/>
                          </a:ln>
                        </pic:spPr>
                      </pic:pic>
                    </a:graphicData>
                  </a:graphic>
                </wp:inline>
              </w:drawing>
            </w:r>
            <w:r w:rsidRPr="005A615E">
              <w:rPr>
                <w:rFonts w:ascii="Times New Roman" w:hAnsi="Times New Roman"/>
                <w:szCs w:val="28"/>
              </w:rPr>
              <w:t> - економія операційних контрольованих витрат за попередній регуляторний період (за винятком останнього року), що розраховується за формулою</w:t>
            </w:r>
          </w:p>
          <w:p w:rsidR="00CF2AC1" w:rsidRPr="005A615E" w:rsidRDefault="00CF2AC1" w:rsidP="00CF2AC1">
            <w:pPr>
              <w:ind w:right="-33" w:firstLine="173"/>
              <w:jc w:val="both"/>
              <w:rPr>
                <w:rFonts w:ascii="Times New Roman" w:hAnsi="Times New Roman"/>
                <w:szCs w:val="28"/>
              </w:rPr>
            </w:pPr>
          </w:p>
          <w:p w:rsidR="00CF2AC1" w:rsidRPr="005A615E" w:rsidRDefault="000D13C5" w:rsidP="00CF2AC1">
            <w:pPr>
              <w:ind w:firstLine="173"/>
              <w:jc w:val="both"/>
              <w:rPr>
                <w:rFonts w:ascii="Times New Roman" w:hAnsi="Times New Roman"/>
                <w:szCs w:val="28"/>
              </w:rPr>
            </w:pPr>
            <m:oMath>
              <m:sSup>
                <m:sSupPr>
                  <m:ctrlPr>
                    <w:rPr>
                      <w:rFonts w:ascii="Cambria Math" w:hAnsi="Cambria Math"/>
                      <w:i/>
                    </w:rPr>
                  </m:ctrlPr>
                </m:sSupPr>
                <m:e>
                  <m:r>
                    <w:rPr>
                      <w:rFonts w:ascii="Cambria Math" w:hAnsi="Cambria Math"/>
                      <w:sz w:val="20"/>
                      <w:szCs w:val="20"/>
                    </w:rPr>
                    <m:t>ЕОКВ</m:t>
                  </m:r>
                </m:e>
                <m:sup>
                  <m:r>
                    <w:rPr>
                      <w:rFonts w:ascii="Cambria Math" w:hAnsi="Cambria Math"/>
                      <w:sz w:val="20"/>
                      <w:szCs w:val="20"/>
                    </w:rPr>
                    <m:t>І</m:t>
                  </m:r>
                </m:sup>
              </m:sSup>
              <m:r>
                <w:rPr>
                  <w:rFonts w:ascii="Cambria Math" w:hAnsi="Cambria Math"/>
                  <w:sz w:val="20"/>
                  <w:szCs w:val="20"/>
                </w:rPr>
                <m:t>=</m:t>
              </m:r>
              <m:f>
                <m:fPr>
                  <m:ctrlPr>
                    <w:rPr>
                      <w:rFonts w:ascii="Cambria Math" w:hAnsi="Cambria Math"/>
                      <w:i/>
                    </w:rPr>
                  </m:ctrlPr>
                </m:fPr>
                <m:num>
                  <m:r>
                    <w:rPr>
                      <w:rFonts w:ascii="Cambria Math" w:hAnsi="Cambria Math"/>
                      <w:sz w:val="20"/>
                      <w:szCs w:val="20"/>
                    </w:rPr>
                    <m:t>1</m:t>
                  </m:r>
                </m:num>
                <m:den>
                  <m:r>
                    <w:rPr>
                      <w:rFonts w:ascii="Cambria Math" w:hAnsi="Cambria Math"/>
                      <w:sz w:val="20"/>
                      <w:szCs w:val="20"/>
                      <w:lang w:val="en-US"/>
                    </w:rPr>
                    <m:t>k</m:t>
                  </m:r>
                  <m:r>
                    <w:rPr>
                      <w:rFonts w:ascii="Cambria Math" w:hAnsi="Cambria Math"/>
                      <w:sz w:val="20"/>
                      <w:szCs w:val="20"/>
                    </w:rPr>
                    <m:t>-1</m:t>
                  </m:r>
                </m:den>
              </m:f>
              <m:r>
                <w:rPr>
                  <w:rFonts w:ascii="Cambria Math" w:hAnsi="Cambria Math"/>
                  <w:sz w:val="20"/>
                  <w:szCs w:val="20"/>
                </w:rPr>
                <m:t>×</m:t>
              </m:r>
              <m:nary>
                <m:naryPr>
                  <m:chr m:val="∑"/>
                  <m:limLoc m:val="undOvr"/>
                  <m:ctrlPr>
                    <w:rPr>
                      <w:rFonts w:ascii="Cambria Math" w:hAnsi="Cambria Math"/>
                      <w:i/>
                    </w:rPr>
                  </m:ctrlPr>
                </m:naryPr>
                <m:sub>
                  <m:r>
                    <w:rPr>
                      <w:rFonts w:ascii="Cambria Math" w:hAnsi="Cambria Math"/>
                      <w:sz w:val="20"/>
                      <w:szCs w:val="20"/>
                    </w:rPr>
                    <m:t>t=1</m:t>
                  </m:r>
                </m:sub>
                <m:sup>
                  <m:r>
                    <w:rPr>
                      <w:rFonts w:ascii="Cambria Math" w:hAnsi="Cambria Math"/>
                      <w:sz w:val="20"/>
                      <w:szCs w:val="20"/>
                    </w:rPr>
                    <m:t>k-1</m:t>
                  </m:r>
                </m:sup>
                <m:e>
                  <m:r>
                    <w:rPr>
                      <w:rFonts w:ascii="Cambria Math" w:hAnsi="Cambria Math"/>
                      <w:sz w:val="20"/>
                      <w:szCs w:val="20"/>
                    </w:rPr>
                    <m:t>(</m:t>
                  </m:r>
                  <m:sSubSup>
                    <m:sSubSupPr>
                      <m:ctrlPr>
                        <w:rPr>
                          <w:rFonts w:ascii="Cambria Math" w:hAnsi="Cambria Math"/>
                          <w:i/>
                        </w:rPr>
                      </m:ctrlPr>
                    </m:sSubSupPr>
                    <m:e>
                      <m:r>
                        <w:rPr>
                          <w:rFonts w:ascii="Cambria Math" w:hAnsi="Cambria Math"/>
                          <w:sz w:val="20"/>
                          <w:szCs w:val="20"/>
                        </w:rPr>
                        <m:t>ОКВ</m:t>
                      </m:r>
                    </m:e>
                    <m:sub>
                      <m:r>
                        <w:rPr>
                          <w:rFonts w:ascii="Cambria Math" w:hAnsi="Cambria Math"/>
                          <w:sz w:val="20"/>
                          <w:szCs w:val="20"/>
                        </w:rPr>
                        <m:t>t</m:t>
                      </m:r>
                    </m:sub>
                    <m:sup>
                      <m:r>
                        <w:rPr>
                          <w:rFonts w:ascii="Cambria Math" w:hAnsi="Cambria Math"/>
                          <w:sz w:val="20"/>
                          <w:szCs w:val="20"/>
                          <w:lang w:val="en-US"/>
                        </w:rPr>
                        <m:t>y</m:t>
                      </m:r>
                    </m:sup>
                  </m:sSubSup>
                </m:e>
              </m:nary>
              <m:r>
                <w:rPr>
                  <w:rFonts w:ascii="Cambria Math" w:hAnsi="Cambria Math"/>
                  <w:sz w:val="20"/>
                  <w:szCs w:val="20"/>
                </w:rPr>
                <m:t>-</m:t>
              </m:r>
              <m:sSubSup>
                <m:sSubSupPr>
                  <m:ctrlPr>
                    <w:rPr>
                      <w:rFonts w:ascii="Cambria Math" w:hAnsi="Cambria Math"/>
                      <w:i/>
                    </w:rPr>
                  </m:ctrlPr>
                </m:sSubSupPr>
                <m:e>
                  <m:r>
                    <w:rPr>
                      <w:rFonts w:ascii="Cambria Math" w:hAnsi="Cambria Math"/>
                      <w:sz w:val="20"/>
                      <w:szCs w:val="20"/>
                    </w:rPr>
                    <m:t>ОКВ</m:t>
                  </m:r>
                </m:e>
                <m:sub>
                  <m:r>
                    <w:rPr>
                      <w:rFonts w:ascii="Cambria Math" w:hAnsi="Cambria Math"/>
                      <w:sz w:val="20"/>
                      <w:szCs w:val="20"/>
                      <w:lang w:val="en-US"/>
                    </w:rPr>
                    <m:t>t</m:t>
                  </m:r>
                </m:sub>
                <m:sup>
                  <m:r>
                    <w:rPr>
                      <w:rFonts w:ascii="Cambria Math" w:hAnsi="Cambria Math"/>
                      <w:sz w:val="20"/>
                      <w:szCs w:val="20"/>
                    </w:rPr>
                    <m:t>ф</m:t>
                  </m:r>
                </m:sup>
              </m:sSubSup>
              <m:r>
                <w:rPr>
                  <w:rFonts w:ascii="Cambria Math" w:hAnsi="Cambria Math"/>
                  <w:sz w:val="20"/>
                  <w:szCs w:val="20"/>
                </w:rPr>
                <m:t>),</m:t>
              </m:r>
            </m:oMath>
            <w:r w:rsidR="00CF2AC1" w:rsidRPr="005A615E">
              <w:rPr>
                <w:rFonts w:ascii="Times New Roman" w:hAnsi="Times New Roman"/>
                <w:szCs w:val="28"/>
              </w:rPr>
              <w:t>, тис грн, (12)</w:t>
            </w:r>
          </w:p>
          <w:p w:rsidR="00CF2AC1" w:rsidRPr="005A615E" w:rsidRDefault="00CF2AC1" w:rsidP="00CF2AC1">
            <w:pPr>
              <w:ind w:firstLine="308"/>
              <w:jc w:val="both"/>
              <w:rPr>
                <w:rFonts w:ascii="Times New Roman" w:hAnsi="Times New Roman"/>
                <w:shd w:val="clear" w:color="auto" w:fill="FFFFFF"/>
              </w:rPr>
            </w:pPr>
          </w:p>
          <w:p w:rsidR="00CF2AC1" w:rsidRPr="005A615E" w:rsidRDefault="000D13C5" w:rsidP="00CF2AC1">
            <w:pPr>
              <w:ind w:firstLine="173"/>
              <w:jc w:val="both"/>
              <w:rPr>
                <w:rFonts w:ascii="Times New Roman" w:hAnsi="Times New Roman"/>
                <w:szCs w:val="28"/>
              </w:rPr>
            </w:pPr>
            <m:oMath>
              <m:sSubSup>
                <m:sSubSupPr>
                  <m:ctrlPr>
                    <w:rPr>
                      <w:rFonts w:ascii="Cambria Math" w:hAnsi="Cambria Math"/>
                      <w:i/>
                    </w:rPr>
                  </m:ctrlPr>
                </m:sSubSupPr>
                <m:e>
                  <m:r>
                    <w:rPr>
                      <w:rFonts w:ascii="Cambria Math" w:hAnsi="Cambria Math"/>
                      <w:sz w:val="20"/>
                      <w:szCs w:val="20"/>
                    </w:rPr>
                    <m:t>К</m:t>
                  </m:r>
                </m:e>
                <m:sub>
                  <m:r>
                    <w:rPr>
                      <w:rFonts w:ascii="Cambria Math" w:hAnsi="Cambria Math"/>
                      <w:sz w:val="20"/>
                      <w:szCs w:val="20"/>
                    </w:rPr>
                    <m:t>УО</m:t>
                  </m:r>
                </m:sub>
                <m:sup>
                  <m:r>
                    <w:rPr>
                      <w:rFonts w:ascii="Cambria Math" w:hAnsi="Cambria Math"/>
                      <w:sz w:val="20"/>
                      <w:szCs w:val="20"/>
                    </w:rPr>
                    <m:t>І</m:t>
                  </m:r>
                </m:sup>
              </m:sSubSup>
            </m:oMath>
            <w:r w:rsidR="00CF2AC1" w:rsidRPr="005A615E">
              <w:rPr>
                <w:rFonts w:ascii="Times New Roman" w:hAnsi="Times New Roman"/>
                <w:sz w:val="20"/>
                <w:szCs w:val="20"/>
                <w:lang w:eastAsia="uk-UA"/>
              </w:rPr>
              <w:t xml:space="preserve"> </w:t>
            </w:r>
            <m:oMath>
              <m:r>
                <m:rPr>
                  <m:sty m:val="p"/>
                </m:rPr>
                <w:rPr>
                  <w:rFonts w:ascii="Cambria Math" w:hAnsi="Cambria Math"/>
                  <w:sz w:val="18"/>
                  <w:szCs w:val="20"/>
                  <w:lang w:eastAsia="uk-UA"/>
                </w:rPr>
                <m:t>-</m:t>
              </m:r>
            </m:oMath>
            <w:r w:rsidR="00CF2AC1" w:rsidRPr="005A615E">
              <w:rPr>
                <w:rFonts w:ascii="Times New Roman" w:hAnsi="Times New Roman"/>
                <w:szCs w:val="28"/>
              </w:rPr>
              <w:t xml:space="preserve"> коефіцієнт, що враховує зміну умовних одиниць обладнання за попередній регуляторний період (за винятком останнього року), що розраховується за формулою</w:t>
            </w:r>
          </w:p>
          <w:p w:rsidR="00CF2AC1" w:rsidRPr="005A615E" w:rsidRDefault="000D13C5" w:rsidP="00CF2AC1">
            <w:pPr>
              <w:ind w:firstLine="173"/>
              <w:jc w:val="both"/>
              <w:rPr>
                <w:rFonts w:ascii="Times New Roman" w:hAnsi="Times New Roman"/>
                <w:i/>
                <w:szCs w:val="28"/>
                <w:lang w:val="en-US"/>
              </w:rPr>
            </w:pPr>
            <m:oMathPara>
              <m:oMath>
                <m:sSubSup>
                  <m:sSubSupPr>
                    <m:ctrlPr>
                      <w:rPr>
                        <w:rFonts w:ascii="Cambria Math" w:hAnsi="Cambria Math"/>
                        <w:i/>
                        <w:sz w:val="16"/>
                        <w:szCs w:val="16"/>
                      </w:rPr>
                    </m:ctrlPr>
                  </m:sSubSupPr>
                  <m:e>
                    <m:r>
                      <w:rPr>
                        <w:rFonts w:ascii="Cambria Math" w:hAnsi="Cambria Math"/>
                        <w:sz w:val="16"/>
                        <w:szCs w:val="16"/>
                      </w:rPr>
                      <m:t>К</m:t>
                    </m:r>
                  </m:e>
                  <m:sub>
                    <m:r>
                      <w:rPr>
                        <w:rFonts w:ascii="Cambria Math" w:hAnsi="Cambria Math"/>
                        <w:sz w:val="16"/>
                        <w:szCs w:val="16"/>
                      </w:rPr>
                      <m:t>УО</m:t>
                    </m:r>
                  </m:sub>
                  <m:sup>
                    <m:r>
                      <w:rPr>
                        <w:rFonts w:ascii="Cambria Math" w:hAnsi="Cambria Math"/>
                        <w:sz w:val="16"/>
                        <w:szCs w:val="16"/>
                      </w:rPr>
                      <m:t>І</m:t>
                    </m:r>
                  </m:sup>
                </m:sSubSup>
                <m:r>
                  <w:rPr>
                    <w:rFonts w:ascii="Cambria Math" w:hAnsi="Cambria Math"/>
                    <w:sz w:val="16"/>
                    <w:szCs w:val="16"/>
                  </w:rPr>
                  <m:t>=1+КУ×</m:t>
                </m:r>
                <m:f>
                  <m:fPr>
                    <m:ctrlPr>
                      <w:rPr>
                        <w:rFonts w:ascii="Cambria Math" w:hAnsi="Cambria Math"/>
                        <w:i/>
                        <w:sz w:val="16"/>
                        <w:szCs w:val="16"/>
                      </w:rPr>
                    </m:ctrlPr>
                  </m:fPr>
                  <m:num>
                    <m:sSup>
                      <m:sSupPr>
                        <m:ctrlPr>
                          <w:rPr>
                            <w:rFonts w:ascii="Cambria Math" w:hAnsi="Cambria Math"/>
                            <w:i/>
                            <w:sz w:val="16"/>
                            <w:szCs w:val="16"/>
                          </w:rPr>
                        </m:ctrlPr>
                      </m:sSupPr>
                      <m:e>
                        <m:r>
                          <w:rPr>
                            <w:rFonts w:ascii="Cambria Math" w:hAnsi="Cambria Math"/>
                            <w:sz w:val="16"/>
                            <w:szCs w:val="16"/>
                          </w:rPr>
                          <m:t>∆УО</m:t>
                        </m:r>
                      </m:e>
                      <m:sup>
                        <m:r>
                          <w:rPr>
                            <w:rFonts w:ascii="Cambria Math" w:hAnsi="Cambria Math"/>
                            <w:sz w:val="16"/>
                            <w:szCs w:val="16"/>
                          </w:rPr>
                          <m:t>І</m:t>
                        </m:r>
                      </m:sup>
                    </m:sSup>
                  </m:num>
                  <m:den>
                    <m:sSubSup>
                      <m:sSubSupPr>
                        <m:ctrlPr>
                          <w:rPr>
                            <w:rFonts w:ascii="Cambria Math" w:hAnsi="Cambria Math"/>
                            <w:i/>
                            <w:sz w:val="16"/>
                            <w:szCs w:val="16"/>
                          </w:rPr>
                        </m:ctrlPr>
                      </m:sSubSupPr>
                      <m:e>
                        <m:r>
                          <w:rPr>
                            <w:rFonts w:ascii="Cambria Math" w:hAnsi="Cambria Math"/>
                            <w:sz w:val="16"/>
                            <w:szCs w:val="16"/>
                          </w:rPr>
                          <m:t>УО</m:t>
                        </m:r>
                      </m:e>
                      <m:sub>
                        <m:r>
                          <w:rPr>
                            <w:rFonts w:ascii="Cambria Math" w:hAnsi="Cambria Math"/>
                            <w:sz w:val="16"/>
                            <w:szCs w:val="16"/>
                            <w:lang w:val="en-US"/>
                          </w:rPr>
                          <m:t>t</m:t>
                        </m:r>
                        <m:r>
                          <w:rPr>
                            <w:rFonts w:ascii="Cambria Math" w:hAnsi="Cambria Math"/>
                            <w:sz w:val="16"/>
                            <w:szCs w:val="16"/>
                          </w:rPr>
                          <m:t>=1</m:t>
                        </m:r>
                      </m:sub>
                      <m:sup>
                        <m:r>
                          <w:rPr>
                            <w:rFonts w:ascii="Cambria Math" w:hAnsi="Cambria Math"/>
                            <w:sz w:val="16"/>
                            <w:szCs w:val="16"/>
                          </w:rPr>
                          <m:t>поч</m:t>
                        </m:r>
                      </m:sup>
                    </m:sSubSup>
                  </m:den>
                </m:f>
                <m:r>
                  <w:rPr>
                    <w:rFonts w:ascii="Cambria Math" w:hAnsi="Cambria Math"/>
                    <w:sz w:val="16"/>
                    <w:szCs w:val="16"/>
                  </w:rPr>
                  <m:t>,</m:t>
                </m:r>
                <m:r>
                  <m:rPr>
                    <m:sty m:val="p"/>
                  </m:rPr>
                  <w:rPr>
                    <w:rFonts w:ascii="Cambria Math" w:hAnsi="Cambria Math"/>
                    <w:sz w:val="16"/>
                    <w:szCs w:val="16"/>
                  </w:rPr>
                  <m:t>відносних одиниць</m:t>
                </m:r>
                <m:r>
                  <w:rPr>
                    <w:rFonts w:ascii="Cambria Math" w:hAnsi="Cambria Math"/>
                    <w:sz w:val="16"/>
                    <w:szCs w:val="16"/>
                  </w:rPr>
                  <m:t xml:space="preserve"> (13)</m:t>
                </m:r>
              </m:oMath>
            </m:oMathPara>
          </w:p>
          <w:p w:rsidR="00CF2AC1" w:rsidRPr="005A615E" w:rsidRDefault="00CF2AC1" w:rsidP="00CF2AC1">
            <w:pPr>
              <w:ind w:firstLine="173"/>
              <w:jc w:val="both"/>
              <w:rPr>
                <w:rFonts w:ascii="Times New Roman" w:hAnsi="Times New Roman"/>
                <w:szCs w:val="28"/>
              </w:rPr>
            </w:pPr>
          </w:p>
          <w:p w:rsidR="00CF2AC1" w:rsidRPr="005A615E" w:rsidRDefault="00CF2AC1" w:rsidP="00CF2AC1">
            <w:pPr>
              <w:ind w:firstLine="173"/>
              <w:jc w:val="both"/>
              <w:rPr>
                <w:rFonts w:ascii="Times New Roman" w:hAnsi="Times New Roman"/>
                <w:szCs w:val="28"/>
              </w:rPr>
            </w:pPr>
            <w:r w:rsidRPr="005A615E">
              <w:rPr>
                <w:rFonts w:ascii="Times New Roman" w:hAnsi="Times New Roman"/>
                <w:szCs w:val="28"/>
              </w:rPr>
              <w:t>де </w:t>
            </w:r>
            <m:oMath>
              <m:sSubSup>
                <m:sSubSupPr>
                  <m:ctrlPr>
                    <w:rPr>
                      <w:rFonts w:ascii="Cambria Math" w:hAnsi="Cambria Math"/>
                      <w:szCs w:val="28"/>
                    </w:rPr>
                  </m:ctrlPr>
                </m:sSubSupPr>
                <m:e>
                  <m:r>
                    <m:rPr>
                      <m:sty m:val="p"/>
                    </m:rPr>
                    <w:rPr>
                      <w:rFonts w:ascii="Cambria Math" w:hAnsi="Cambria Math"/>
                      <w:szCs w:val="28"/>
                    </w:rPr>
                    <m:t>УО</m:t>
                  </m:r>
                </m:e>
                <m:sub>
                  <m:r>
                    <w:rPr>
                      <w:rFonts w:ascii="Cambria Math" w:hAnsi="Cambria Math"/>
                      <w:szCs w:val="28"/>
                    </w:rPr>
                    <m:t>t</m:t>
                  </m:r>
                  <m:r>
                    <m:rPr>
                      <m:sty m:val="p"/>
                    </m:rPr>
                    <w:rPr>
                      <w:rFonts w:ascii="Cambria Math" w:hAnsi="Cambria Math"/>
                      <w:szCs w:val="28"/>
                    </w:rPr>
                    <m:t>=1</m:t>
                  </m:r>
                </m:sub>
                <m:sup>
                  <m:r>
                    <m:rPr>
                      <m:sty m:val="p"/>
                    </m:rPr>
                    <w:rPr>
                      <w:rFonts w:ascii="Cambria Math" w:hAnsi="Cambria Math"/>
                      <w:szCs w:val="28"/>
                    </w:rPr>
                    <m:t>поч</m:t>
                  </m:r>
                </m:sup>
              </m:sSubSup>
            </m:oMath>
            <w:r w:rsidRPr="005A615E">
              <w:rPr>
                <w:rFonts w:ascii="Times New Roman" w:hAnsi="Times New Roman"/>
                <w:szCs w:val="28"/>
              </w:rPr>
              <w:t xml:space="preserve"> </w:t>
            </w:r>
            <m:oMath>
              <m:r>
                <m:rPr>
                  <m:sty m:val="p"/>
                </m:rPr>
                <w:rPr>
                  <w:rFonts w:ascii="Cambria Math" w:hAnsi="Cambria Math"/>
                  <w:szCs w:val="28"/>
                </w:rPr>
                <m:t>-</m:t>
              </m:r>
            </m:oMath>
            <w:r w:rsidRPr="005A615E">
              <w:rPr>
                <w:rFonts w:ascii="Times New Roman" w:hAnsi="Times New Roman"/>
                <w:szCs w:val="28"/>
              </w:rPr>
              <w:t xml:space="preserve"> кількість умовних одиниць обладнання на початок першого року попереднього регуляторного періоду (для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 рік t-1);</w:t>
            </w:r>
          </w:p>
          <w:p w:rsidR="00CF2AC1" w:rsidRPr="005A615E" w:rsidRDefault="00CF2AC1" w:rsidP="00CF2AC1">
            <w:pPr>
              <w:ind w:firstLine="173"/>
              <w:jc w:val="both"/>
              <w:rPr>
                <w:rFonts w:ascii="Times New Roman" w:eastAsiaTheme="minorEastAsia" w:hAnsi="Times New Roman"/>
                <w:lang w:eastAsia="uk-UA"/>
              </w:rPr>
            </w:pPr>
          </w:p>
          <w:p w:rsidR="00CF2AC1" w:rsidRPr="005A615E" w:rsidRDefault="000D13C5" w:rsidP="00CF2AC1">
            <w:pPr>
              <w:ind w:firstLine="173"/>
              <w:jc w:val="both"/>
              <w:rPr>
                <w:rFonts w:ascii="Times New Roman" w:hAnsi="Times New Roman"/>
                <w:szCs w:val="28"/>
              </w:rPr>
            </w:pPr>
            <m:oMath>
              <m:sSup>
                <m:sSupPr>
                  <m:ctrlPr>
                    <w:rPr>
                      <w:rFonts w:ascii="Cambria Math" w:hAnsi="Cambria Math"/>
                      <w:i/>
                      <w:noProof/>
                    </w:rPr>
                  </m:ctrlPr>
                </m:sSupPr>
                <m:e>
                  <m:r>
                    <w:rPr>
                      <w:rFonts w:ascii="Cambria Math" w:hAnsi="Cambria Math"/>
                      <w:noProof/>
                      <w:lang w:eastAsia="uk-UA"/>
                    </w:rPr>
                    <m:t>∆УО</m:t>
                  </m:r>
                </m:e>
                <m:sup>
                  <m:r>
                    <w:rPr>
                      <w:rFonts w:ascii="Cambria Math" w:hAnsi="Cambria Math"/>
                      <w:noProof/>
                      <w:lang w:eastAsia="uk-UA"/>
                    </w:rPr>
                    <m:t>І</m:t>
                  </m:r>
                </m:sup>
              </m:sSup>
              <m:r>
                <w:rPr>
                  <w:rFonts w:ascii="Cambria Math" w:hAnsi="Cambria Math"/>
                  <w:noProof/>
                  <w:lang w:eastAsia="uk-UA"/>
                </w:rPr>
                <m:t xml:space="preserve"> </m:t>
              </m:r>
              <m:r>
                <w:rPr>
                  <w:rFonts w:ascii="Cambria Math" w:hAnsi="Cambria Math"/>
                  <w:sz w:val="18"/>
                  <w:szCs w:val="20"/>
                  <w:lang w:eastAsia="uk-UA"/>
                </w:rPr>
                <m:t xml:space="preserve">- </m:t>
              </m:r>
            </m:oMath>
            <w:r w:rsidR="00CF2AC1" w:rsidRPr="005A615E">
              <w:rPr>
                <w:rFonts w:ascii="Times New Roman" w:hAnsi="Times New Roman"/>
                <w:szCs w:val="28"/>
              </w:rPr>
              <w:t xml:space="preserve">зміна фактичної кількості умовних одиниць енергетичного обладнання </w:t>
            </w:r>
            <w:r w:rsidR="00CF2AC1" w:rsidRPr="005A615E">
              <w:rPr>
                <w:rFonts w:ascii="Times New Roman" w:hAnsi="Times New Roman"/>
                <w:b/>
                <w:bCs/>
                <w:szCs w:val="28"/>
              </w:rPr>
              <w:t xml:space="preserve">за попередній регуляторний період (за винятком останнього року) </w:t>
            </w:r>
            <w:r w:rsidR="00CF2AC1" w:rsidRPr="005A615E">
              <w:rPr>
                <w:rFonts w:ascii="Times New Roman" w:hAnsi="Times New Roman"/>
                <w:szCs w:val="28"/>
              </w:rPr>
              <w:t>(для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 рік t-1 до фактичної кількості умовних одиниць енергетичного обладнання ліцензіата  на кінець року t-2).</w:t>
            </w:r>
          </w:p>
          <w:p w:rsidR="00CF2AC1" w:rsidRPr="005A615E" w:rsidRDefault="00CF2AC1" w:rsidP="00CF2AC1">
            <w:pPr>
              <w:ind w:firstLine="173"/>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rFonts w:ascii="Times New Roman" w:hAnsi="Times New Roman"/>
              </w:rPr>
              <w:t xml:space="preserve">Для першого року другого та наступних  регуляторних періодів при визначенні прогнозованого фонду оплати праці (витрат на оплату праці) у році t </w:t>
            </w:r>
            <m:oMath>
              <m:r>
                <w:rPr>
                  <w:rFonts w:ascii="Cambria Math" w:hAnsi="Cambria Math"/>
                </w:rPr>
                <m:t>(</m:t>
              </m:r>
              <m:sSubSup>
                <m:sSubSupPr>
                  <m:ctrlPr>
                    <w:rPr>
                      <w:rFonts w:ascii="Cambria Math" w:hAnsi="Cambria Math"/>
                      <w:i/>
                    </w:rPr>
                  </m:ctrlPr>
                </m:sSubSupPr>
                <m:e>
                  <m:r>
                    <w:rPr>
                      <w:rFonts w:ascii="Cambria Math" w:hAnsi="Cambria Math"/>
                      <w:lang w:eastAsia="uk-UA"/>
                    </w:rPr>
                    <m:t>ФОП</m:t>
                  </m:r>
                </m:e>
                <m:sub>
                  <m:r>
                    <w:rPr>
                      <w:rFonts w:ascii="Cambria Math" w:hAnsi="Cambria Math"/>
                      <w:lang w:eastAsia="uk-UA"/>
                    </w:rPr>
                    <m:t>t</m:t>
                  </m:r>
                </m:sub>
                <m:sup>
                  <m:r>
                    <w:rPr>
                      <w:rFonts w:ascii="Cambria Math" w:hAnsi="Cambria Math"/>
                      <w:lang w:eastAsia="uk-UA"/>
                    </w:rPr>
                    <m:t>n</m:t>
                  </m:r>
                </m:sup>
              </m:sSubSup>
              <m:r>
                <w:rPr>
                  <w:rFonts w:ascii="Cambria Math" w:hAnsi="Cambria Math"/>
                </w:rPr>
                <m:t xml:space="preserve"> )</m:t>
              </m:r>
            </m:oMath>
            <w:r w:rsidRPr="005A615E">
              <w:rPr>
                <w:rFonts w:ascii="Times New Roman" w:hAnsi="Times New Roman"/>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lang w:eastAsia="uk-UA"/>
              </w:rPr>
              <w:t>(</w:t>
            </w:r>
            <m:oMath>
              <m:sSubSup>
                <m:sSubSupPr>
                  <m:ctrlPr>
                    <w:rPr>
                      <w:rFonts w:ascii="Cambria Math" w:hAnsi="Cambria Math"/>
                      <w:i/>
                    </w:rPr>
                  </m:ctrlPr>
                </m:sSubSupPr>
                <m:e>
                  <m:r>
                    <w:rPr>
                      <w:rFonts w:ascii="Cambria Math" w:hAnsi="Cambria Math"/>
                      <w:lang w:eastAsia="uk-UA"/>
                    </w:rPr>
                    <m:t>ТЧП</m:t>
                  </m:r>
                </m:e>
                <m:sub>
                  <m:r>
                    <w:rPr>
                      <w:rFonts w:ascii="Cambria Math" w:hAnsi="Cambria Math"/>
                      <w:lang w:eastAsia="uk-UA"/>
                    </w:rPr>
                    <m:t>t</m:t>
                  </m:r>
                </m:sub>
                <m:sup>
                  <m:r>
                    <w:rPr>
                      <w:rFonts w:ascii="Cambria Math" w:hAnsi="Cambria Math"/>
                      <w:lang w:eastAsia="uk-UA"/>
                    </w:rPr>
                    <m:t>тар</m:t>
                  </m:r>
                </m:sup>
              </m:sSubSup>
            </m:oMath>
            <w:r w:rsidRPr="005A615E">
              <w:rPr>
                <w:rFonts w:ascii="Times New Roman" w:hAnsi="Times New Roman"/>
                <w:lang w:eastAsia="uk-UA"/>
              </w:rPr>
              <w:t xml:space="preserve">) </w:t>
            </w:r>
            <w:r w:rsidRPr="005A615E">
              <w:rPr>
                <w:rFonts w:ascii="Times New Roman" w:hAnsi="Times New Roman"/>
              </w:rPr>
              <w:t>розраховується за формулою</w:t>
            </w:r>
          </w:p>
          <w:p w:rsidR="00CF2AC1" w:rsidRPr="005A615E" w:rsidRDefault="00CF2AC1" w:rsidP="00CF2AC1">
            <w:pPr>
              <w:ind w:firstLine="308"/>
              <w:jc w:val="both"/>
              <w:rPr>
                <w:rFonts w:ascii="Times New Roman" w:hAnsi="Times New Roman"/>
                <w:shd w:val="clear" w:color="auto" w:fill="FFFFFF"/>
              </w:rPr>
            </w:pPr>
          </w:p>
          <w:p w:rsidR="00CF2AC1" w:rsidRPr="005A615E" w:rsidRDefault="000D13C5" w:rsidP="00CF2AC1">
            <w:pPr>
              <w:shd w:val="clear" w:color="auto" w:fill="FFFFFF"/>
              <w:spacing w:after="150"/>
              <w:ind w:firstLine="450"/>
              <w:jc w:val="both"/>
              <w:rPr>
                <w:rFonts w:ascii="Times New Roman" w:hAnsi="Times New Roman"/>
                <w:shd w:val="clear" w:color="auto" w:fill="FFFFFF"/>
              </w:rPr>
            </w:pPr>
            <m:oMathPara>
              <m:oMath>
                <m:sSubSup>
                  <m:sSubSupPr>
                    <m:ctrlPr>
                      <w:rPr>
                        <w:rFonts w:ascii="Cambria Math" w:hAnsi="Cambria Math"/>
                        <w:i/>
                        <w:sz w:val="18"/>
                        <w:szCs w:val="18"/>
                      </w:rPr>
                    </m:ctrlPr>
                  </m:sSubSupPr>
                  <m:e>
                    <m:r>
                      <w:rPr>
                        <w:rFonts w:ascii="Cambria Math" w:hAnsi="Cambria Math"/>
                        <w:sz w:val="18"/>
                        <w:szCs w:val="18"/>
                        <w:lang w:eastAsia="uk-UA"/>
                      </w:rPr>
                      <m:t>ТЧП</m:t>
                    </m:r>
                  </m:e>
                  <m:sub>
                    <m:r>
                      <w:rPr>
                        <w:rFonts w:ascii="Cambria Math" w:hAnsi="Cambria Math"/>
                        <w:sz w:val="18"/>
                        <w:szCs w:val="18"/>
                        <w:lang w:val="en-US" w:eastAsia="uk-UA"/>
                      </w:rPr>
                      <m:t>t</m:t>
                    </m:r>
                  </m:sub>
                  <m:sup>
                    <m:r>
                      <w:rPr>
                        <w:rFonts w:ascii="Cambria Math" w:hAnsi="Cambria Math"/>
                        <w:sz w:val="18"/>
                        <w:szCs w:val="18"/>
                        <w:lang w:eastAsia="uk-UA"/>
                      </w:rPr>
                      <m:t>тар</m:t>
                    </m:r>
                  </m:sup>
                </m:sSubSup>
                <m:r>
                  <w:rPr>
                    <w:rFonts w:ascii="Cambria Math" w:hAnsi="Cambria Math"/>
                    <w:sz w:val="18"/>
                    <w:szCs w:val="18"/>
                    <w:lang w:eastAsia="uk-UA"/>
                  </w:rPr>
                  <m:t>=</m:t>
                </m:r>
                <m:sSubSup>
                  <m:sSubSupPr>
                    <m:ctrlPr>
                      <w:rPr>
                        <w:rFonts w:ascii="Cambria Math" w:hAnsi="Cambria Math"/>
                        <w:i/>
                        <w:sz w:val="18"/>
                        <w:szCs w:val="18"/>
                      </w:rPr>
                    </m:ctrlPr>
                  </m:sSubSupPr>
                  <m:e>
                    <m:r>
                      <w:rPr>
                        <w:rFonts w:ascii="Cambria Math" w:hAnsi="Cambria Math"/>
                        <w:sz w:val="18"/>
                        <w:szCs w:val="18"/>
                        <w:lang w:eastAsia="uk-UA"/>
                      </w:rPr>
                      <m:t>ТЧП</m:t>
                    </m:r>
                  </m:e>
                  <m:sub>
                    <m:r>
                      <w:rPr>
                        <w:rFonts w:ascii="Cambria Math" w:hAnsi="Cambria Math"/>
                        <w:sz w:val="18"/>
                        <w:szCs w:val="18"/>
                        <w:lang w:eastAsia="uk-UA"/>
                      </w:rPr>
                      <m:t>t-1</m:t>
                    </m:r>
                  </m:sub>
                  <m:sup>
                    <m:r>
                      <w:rPr>
                        <w:rFonts w:ascii="Cambria Math" w:hAnsi="Cambria Math"/>
                        <w:sz w:val="18"/>
                        <w:szCs w:val="18"/>
                        <w:lang w:eastAsia="uk-UA"/>
                      </w:rPr>
                      <m:t>тар</m:t>
                    </m:r>
                  </m:sup>
                </m:sSubSup>
                <m:r>
                  <w:rPr>
                    <w:rFonts w:ascii="Cambria Math" w:hAnsi="Cambria Math"/>
                    <w:sz w:val="18"/>
                    <w:szCs w:val="18"/>
                    <w:lang w:eastAsia="uk-UA"/>
                  </w:rPr>
                  <m:t>×</m:t>
                </m:r>
                <m:sSup>
                  <m:sSupPr>
                    <m:ctrlPr>
                      <w:rPr>
                        <w:rFonts w:ascii="Cambria Math" w:hAnsi="Cambria Math"/>
                        <w:i/>
                        <w:sz w:val="18"/>
                        <w:szCs w:val="18"/>
                      </w:rPr>
                    </m:ctrlPr>
                  </m:sSupPr>
                  <m:e>
                    <m:r>
                      <w:rPr>
                        <w:rFonts w:ascii="Cambria Math" w:hAnsi="Cambria Math"/>
                        <w:sz w:val="18"/>
                        <w:szCs w:val="18"/>
                        <w:lang w:eastAsia="uk-UA"/>
                      </w:rPr>
                      <m:t>(1-</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lang w:eastAsia="uk-UA"/>
                              </w:rPr>
                              <m:t>ПЕ</m:t>
                            </m:r>
                          </m:e>
                          <m:sub>
                            <m:r>
                              <w:rPr>
                                <w:rFonts w:ascii="Cambria Math" w:hAnsi="Cambria Math"/>
                                <w:sz w:val="18"/>
                                <w:szCs w:val="18"/>
                                <w:lang w:eastAsia="uk-UA"/>
                              </w:rPr>
                              <m:t>з</m:t>
                            </m:r>
                          </m:sub>
                        </m:sSub>
                      </m:num>
                      <m:den>
                        <m:r>
                          <w:rPr>
                            <w:rFonts w:ascii="Cambria Math" w:hAnsi="Cambria Math"/>
                            <w:sz w:val="18"/>
                            <w:szCs w:val="18"/>
                            <w:lang w:eastAsia="uk-UA"/>
                          </w:rPr>
                          <m:t>100</m:t>
                        </m:r>
                      </m:den>
                    </m:f>
                    <m:r>
                      <w:rPr>
                        <w:rFonts w:ascii="Cambria Math" w:hAnsi="Cambria Math"/>
                        <w:sz w:val="18"/>
                        <w:szCs w:val="18"/>
                        <w:lang w:eastAsia="uk-UA"/>
                      </w:rPr>
                      <m:t>)</m:t>
                    </m:r>
                  </m:e>
                  <m:sup>
                    <m:r>
                      <w:rPr>
                        <w:rFonts w:ascii="Cambria Math" w:hAnsi="Cambria Math"/>
                        <w:sz w:val="18"/>
                        <w:szCs w:val="18"/>
                        <w:lang w:val="en-US" w:eastAsia="uk-UA"/>
                      </w:rPr>
                      <m:t>n</m:t>
                    </m:r>
                  </m:sup>
                </m:sSup>
                <m:r>
                  <w:rPr>
                    <w:rFonts w:ascii="Cambria Math" w:hAnsi="Cambria Math"/>
                    <w:sz w:val="18"/>
                    <w:szCs w:val="18"/>
                    <w:lang w:eastAsia="uk-UA"/>
                  </w:rPr>
                  <m:t xml:space="preserve"> ×</m:t>
                </m:r>
                <m:sSubSup>
                  <m:sSubSupPr>
                    <m:ctrlPr>
                      <w:rPr>
                        <w:rFonts w:ascii="Cambria Math" w:hAnsi="Cambria Math"/>
                        <w:i/>
                        <w:sz w:val="18"/>
                        <w:szCs w:val="18"/>
                      </w:rPr>
                    </m:ctrlPr>
                  </m:sSubSupPr>
                  <m:e>
                    <m:r>
                      <w:rPr>
                        <w:rFonts w:ascii="Cambria Math" w:hAnsi="Cambria Math"/>
                        <w:sz w:val="18"/>
                        <w:szCs w:val="18"/>
                        <w:lang w:eastAsia="uk-UA"/>
                      </w:rPr>
                      <m:t>КУ</m:t>
                    </m:r>
                  </m:e>
                  <m:sub>
                    <m:r>
                      <w:rPr>
                        <w:rFonts w:ascii="Cambria Math" w:hAnsi="Cambria Math"/>
                        <w:sz w:val="18"/>
                        <w:szCs w:val="18"/>
                        <w:lang w:eastAsia="uk-UA"/>
                      </w:rPr>
                      <m:t>УО</m:t>
                    </m:r>
                  </m:sub>
                  <m:sup>
                    <m:r>
                      <w:rPr>
                        <w:rFonts w:ascii="Cambria Math" w:hAnsi="Cambria Math"/>
                        <w:sz w:val="18"/>
                        <w:szCs w:val="18"/>
                        <w:lang w:eastAsia="uk-UA"/>
                      </w:rPr>
                      <m:t>І</m:t>
                    </m:r>
                  </m:sup>
                </m:sSubSup>
                <m:r>
                  <w:rPr>
                    <w:rFonts w:ascii="Cambria Math" w:hAnsi="Cambria Math"/>
                    <w:sz w:val="18"/>
                    <w:szCs w:val="18"/>
                    <w:lang w:eastAsia="uk-UA"/>
                  </w:rPr>
                  <m:t xml:space="preserve">,    </m:t>
                </m:r>
                <m:r>
                  <m:rPr>
                    <m:sty m:val="p"/>
                  </m:rPr>
                  <w:rPr>
                    <w:rFonts w:ascii="Cambria Math" w:hAnsi="Cambria Math"/>
                    <w:sz w:val="18"/>
                    <w:szCs w:val="18"/>
                    <w:u w:val="single"/>
                  </w:rPr>
                  <m:t>осіб ,</m:t>
                </m:r>
                <m:r>
                  <m:rPr>
                    <m:sty m:val="p"/>
                  </m:rPr>
                  <w:rPr>
                    <w:rFonts w:ascii="Cambria Math" w:hAnsi="Cambria Math"/>
                    <w:sz w:val="18"/>
                    <w:szCs w:val="18"/>
                  </w:rPr>
                  <m:t xml:space="preserve">   </m:t>
                </m:r>
                <w:hyperlink r:id="rId156" w:tgtFrame="_blank" w:history="1">
                  <m:r>
                    <m:rPr>
                      <m:sty m:val="p"/>
                    </m:rPr>
                    <w:rPr>
                      <w:rStyle w:val="a9"/>
                      <w:rFonts w:ascii="Cambria Math" w:hAnsi="Cambria Math"/>
                      <w:color w:val="auto"/>
                      <w:sz w:val="18"/>
                      <w:szCs w:val="18"/>
                    </w:rPr>
                    <m:t>(14)</m:t>
                  </m:r>
                </w:hyperlink>
              </m:oMath>
            </m:oMathPara>
          </w:p>
          <w:p w:rsidR="00CF2AC1" w:rsidRPr="005A615E" w:rsidRDefault="00CF2AC1" w:rsidP="00CF2AC1">
            <w:pPr>
              <w:shd w:val="clear" w:color="auto" w:fill="FFFFFF"/>
              <w:ind w:firstLine="173"/>
              <w:jc w:val="both"/>
              <w:rPr>
                <w:rFonts w:ascii="Times New Roman" w:eastAsia="Times New Roman" w:hAnsi="Times New Roman"/>
                <w:sz w:val="24"/>
                <w:szCs w:val="28"/>
                <w:lang w:eastAsia="ru-RU"/>
              </w:rPr>
            </w:pPr>
            <w:r w:rsidRPr="005A615E">
              <w:rPr>
                <w:rFonts w:ascii="Times New Roman" w:eastAsia="Times New Roman" w:hAnsi="Times New Roman"/>
                <w:sz w:val="24"/>
                <w:szCs w:val="28"/>
                <w:lang w:eastAsia="ru-RU"/>
              </w:rPr>
              <w:t xml:space="preserve">де </w:t>
            </w:r>
            <m:oMath>
              <m:sSubSup>
                <m:sSubSupPr>
                  <m:ctrlPr>
                    <w:rPr>
                      <w:rFonts w:ascii="Cambria Math" w:eastAsia="Times New Roman" w:hAnsi="Cambria Math"/>
                      <w:i/>
                      <w:szCs w:val="24"/>
                    </w:rPr>
                  </m:ctrlPr>
                </m:sSubSupPr>
                <m:e>
                  <m:r>
                    <w:rPr>
                      <w:rFonts w:ascii="Cambria Math" w:eastAsia="Times New Roman" w:hAnsi="Cambria Math"/>
                      <w:szCs w:val="24"/>
                      <w:lang w:eastAsia="uk-UA"/>
                    </w:rPr>
                    <m:t>ТЧП</m:t>
                  </m:r>
                </m:e>
                <m:sub>
                  <m:r>
                    <w:rPr>
                      <w:rFonts w:ascii="Cambria Math" w:eastAsia="Times New Roman" w:hAnsi="Cambria Math"/>
                      <w:szCs w:val="24"/>
                      <w:lang w:eastAsia="uk-UA"/>
                    </w:rPr>
                    <m:t>t-1</m:t>
                  </m:r>
                </m:sub>
                <m:sup>
                  <m:r>
                    <w:rPr>
                      <w:rFonts w:ascii="Cambria Math" w:eastAsia="Times New Roman" w:hAnsi="Cambria Math"/>
                      <w:szCs w:val="24"/>
                      <w:lang w:eastAsia="uk-UA"/>
                    </w:rPr>
                    <m:t xml:space="preserve">тар </m:t>
                  </m:r>
                </m:sup>
              </m:sSubSup>
              <m:r>
                <w:rPr>
                  <w:rFonts w:ascii="Cambria Math" w:eastAsia="Times New Roman" w:hAnsi="Cambria Math"/>
                  <w:szCs w:val="24"/>
                  <w:lang w:eastAsia="uk-UA"/>
                </w:rPr>
                <m:t xml:space="preserve"> </m:t>
              </m:r>
              <m:r>
                <w:rPr>
                  <w:rFonts w:ascii="Cambria Math" w:eastAsia="Times New Roman" w:hAnsi="Cambria Math"/>
                  <w:sz w:val="18"/>
                  <w:szCs w:val="20"/>
                  <w:lang w:eastAsia="uk-UA"/>
                </w:rPr>
                <m:t xml:space="preserve">- </m:t>
              </m:r>
            </m:oMath>
            <w:r w:rsidRPr="005A615E">
              <w:rPr>
                <w:rFonts w:ascii="Times New Roman" w:eastAsia="Times New Roman" w:hAnsi="Times New Roman"/>
                <w:sz w:val="24"/>
                <w:szCs w:val="28"/>
                <w:lang w:eastAsia="ru-RU"/>
              </w:rPr>
              <w:t>тарифна чисельність працівників, що врахована у діючих тарифах, осіб;</w:t>
            </w:r>
          </w:p>
          <w:p w:rsidR="00CF2AC1" w:rsidRPr="005A615E" w:rsidRDefault="00CF2AC1" w:rsidP="00CF2AC1">
            <w:pPr>
              <w:shd w:val="clear" w:color="auto" w:fill="FFFFFF"/>
              <w:spacing w:after="150"/>
              <w:ind w:firstLine="173"/>
              <w:jc w:val="both"/>
              <w:rPr>
                <w:rFonts w:ascii="Times New Roman" w:eastAsia="Times New Roman" w:hAnsi="Times New Roman"/>
                <w:lang w:eastAsia="ru-RU"/>
              </w:rPr>
            </w:pPr>
            <w:r w:rsidRPr="005A615E">
              <w:rPr>
                <w:rFonts w:ascii="Times New Roman" w:eastAsia="Times New Roman" w:hAnsi="Times New Roman"/>
                <w:lang w:eastAsia="ru-RU"/>
              </w:rPr>
              <w:t xml:space="preserve">n </w:t>
            </w:r>
            <m:oMath>
              <m:r>
                <m:rPr>
                  <m:sty m:val="p"/>
                </m:rPr>
                <w:rPr>
                  <w:rFonts w:ascii="Cambria Math" w:eastAsia="Times New Roman" w:hAnsi="Cambria Math"/>
                  <w:lang w:eastAsia="ru-RU"/>
                </w:rPr>
                <m:t>-</m:t>
              </m:r>
            </m:oMath>
            <w:r w:rsidRPr="005A615E">
              <w:rPr>
                <w:rFonts w:ascii="Times New Roman" w:eastAsia="Times New Roman" w:hAnsi="Times New Roman"/>
                <w:lang w:eastAsia="ru-RU"/>
              </w:rPr>
              <w:t xml:space="preserve"> кількість років попереднього регуляторного періоду, протягом яких застосовувався загальний показник ефективності для операційних контрольованих витрат, встановлений НКРЕКП (за винятком останнього року), які визначають показник степеня.</w:t>
            </w:r>
          </w:p>
          <w:p w:rsidR="00CF2AC1" w:rsidRPr="005A615E" w:rsidRDefault="00CF2AC1" w:rsidP="00CF2AC1">
            <w:pPr>
              <w:shd w:val="clear" w:color="auto" w:fill="FFFFFF"/>
              <w:spacing w:after="150"/>
              <w:ind w:firstLine="450"/>
              <w:jc w:val="both"/>
              <w:rPr>
                <w:rFonts w:ascii="Times New Roman" w:hAnsi="Times New Roman"/>
                <w:u w:val="single"/>
              </w:rPr>
            </w:pPr>
            <w:r w:rsidRPr="005A615E">
              <w:rPr>
                <w:rFonts w:ascii="Times New Roman" w:eastAsia="Times New Roman" w:hAnsi="Times New Roman"/>
                <w:lang w:eastAsia="ru-RU"/>
              </w:rPr>
              <w:t>Базові рівні операційних контрольованих витрат на другий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0D13C5" w:rsidP="00CF2AC1">
            <w:pPr>
              <w:rPr>
                <w:rFonts w:eastAsiaTheme="minorEastAsia"/>
                <w:b/>
                <w:bCs/>
                <w:sz w:val="20"/>
                <w:szCs w:val="20"/>
                <w:lang w:eastAsia="uk-UA"/>
              </w:rPr>
            </w:pPr>
            <m:oMath>
              <m:sSubSup>
                <m:sSubSupPr>
                  <m:ctrlPr>
                    <w:rPr>
                      <w:rFonts w:ascii="Cambria Math" w:hAnsi="Cambria Math"/>
                      <w:b/>
                      <w:bCs/>
                      <w:i/>
                    </w:rPr>
                  </m:ctrlPr>
                </m:sSubSupPr>
                <m:e>
                  <m:r>
                    <m:rPr>
                      <m:sty m:val="bi"/>
                    </m:rPr>
                    <w:rPr>
                      <w:rFonts w:ascii="Cambria Math" w:hAnsi="Cambria Math"/>
                      <w:sz w:val="20"/>
                      <w:szCs w:val="20"/>
                    </w:rPr>
                    <m:t>ОКВ</m:t>
                  </m:r>
                </m:e>
                <m:sub>
                  <m:r>
                    <m:rPr>
                      <m:sty m:val="bi"/>
                    </m:rPr>
                    <w:rPr>
                      <w:rFonts w:ascii="Cambria Math" w:hAnsi="Cambria Math"/>
                      <w:sz w:val="20"/>
                      <w:szCs w:val="20"/>
                    </w:rPr>
                    <m:t>0</m:t>
                  </m:r>
                </m:sub>
                <m:sup>
                  <m:r>
                    <m:rPr>
                      <m:sty m:val="bi"/>
                    </m:rPr>
                    <w:rPr>
                      <w:rFonts w:ascii="Cambria Math" w:hAnsi="Cambria Math"/>
                      <w:sz w:val="20"/>
                      <w:szCs w:val="20"/>
                    </w:rPr>
                    <m:t>ІІ</m:t>
                  </m:r>
                </m:sup>
              </m:sSubSup>
              <m:r>
                <m:rPr>
                  <m:sty m:val="bi"/>
                </m:rPr>
                <w:rPr>
                  <w:rFonts w:ascii="Cambria Math" w:hAnsi="Cambria Math"/>
                  <w:sz w:val="20"/>
                  <w:szCs w:val="20"/>
                </w:rPr>
                <m:t>=</m:t>
              </m:r>
              <m:sSubSup>
                <m:sSubSupPr>
                  <m:ctrlPr>
                    <w:rPr>
                      <w:rFonts w:ascii="Cambria Math" w:hAnsi="Cambria Math"/>
                      <w:b/>
                      <w:bCs/>
                      <w:i/>
                    </w:rPr>
                  </m:ctrlPr>
                </m:sSubSupPr>
                <m:e>
                  <m:r>
                    <m:rPr>
                      <m:sty m:val="bi"/>
                    </m:rPr>
                    <w:rPr>
                      <w:rFonts w:ascii="Cambria Math" w:hAnsi="Cambria Math"/>
                      <w:sz w:val="20"/>
                      <w:szCs w:val="20"/>
                    </w:rPr>
                    <m:t>ОКВ</m:t>
                  </m:r>
                </m:e>
                <m:sub>
                  <m:r>
                    <m:rPr>
                      <m:sty m:val="bi"/>
                    </m:rPr>
                    <w:rPr>
                      <w:rFonts w:ascii="Cambria Math" w:hAnsi="Cambria Math"/>
                      <w:sz w:val="20"/>
                      <w:szCs w:val="20"/>
                    </w:rPr>
                    <m:t>ост</m:t>
                  </m:r>
                </m:sub>
                <m:sup>
                  <m:r>
                    <m:rPr>
                      <m:sty m:val="bi"/>
                    </m:rPr>
                    <w:rPr>
                      <w:rFonts w:ascii="Cambria Math" w:hAnsi="Cambria Math"/>
                      <w:sz w:val="20"/>
                      <w:szCs w:val="20"/>
                    </w:rPr>
                    <m:t>п</m:t>
                  </m:r>
                </m:sup>
              </m:sSubSup>
              <m:r>
                <m:rPr>
                  <m:sty m:val="bi"/>
                </m:rPr>
                <w:rPr>
                  <w:rFonts w:ascii="Cambria Math" w:hAnsi="Cambria Math"/>
                  <w:sz w:val="20"/>
                  <w:szCs w:val="20"/>
                </w:rPr>
                <m:t>×</m:t>
              </m:r>
              <m:sSubSup>
                <m:sSubSupPr>
                  <m:ctrlPr>
                    <w:rPr>
                      <w:rFonts w:ascii="Cambria Math" w:hAnsi="Cambria Math"/>
                      <w:b/>
                      <w:bCs/>
                      <w:i/>
                    </w:rPr>
                  </m:ctrlPr>
                </m:sSubSupPr>
                <m:e>
                  <m:r>
                    <m:rPr>
                      <m:sty m:val="bi"/>
                    </m:rPr>
                    <w:rPr>
                      <w:rFonts w:ascii="Cambria Math" w:hAnsi="Cambria Math"/>
                      <w:sz w:val="20"/>
                      <w:szCs w:val="20"/>
                    </w:rPr>
                    <m:t>К</m:t>
                  </m:r>
                </m:e>
                <m:sub>
                  <m:r>
                    <m:rPr>
                      <m:sty m:val="bi"/>
                    </m:rPr>
                    <w:rPr>
                      <w:rFonts w:ascii="Cambria Math" w:hAnsi="Cambria Math"/>
                      <w:sz w:val="20"/>
                      <w:szCs w:val="20"/>
                    </w:rPr>
                    <m:t>УО</m:t>
                  </m:r>
                </m:sub>
                <m:sup>
                  <m:r>
                    <m:rPr>
                      <m:sty m:val="bi"/>
                    </m:rPr>
                    <w:rPr>
                      <w:rFonts w:ascii="Cambria Math" w:hAnsi="Cambria Math"/>
                      <w:sz w:val="20"/>
                      <w:szCs w:val="20"/>
                    </w:rPr>
                    <m:t>ІІ</m:t>
                  </m:r>
                </m:sup>
              </m:sSubSup>
              <m:r>
                <m:rPr>
                  <m:sty m:val="bi"/>
                </m:rPr>
                <w:rPr>
                  <w:rFonts w:ascii="Cambria Math" w:hAnsi="Cambria Math"/>
                  <w:sz w:val="20"/>
                  <w:szCs w:val="20"/>
                </w:rPr>
                <m:t>-</m:t>
              </m:r>
              <m:f>
                <m:fPr>
                  <m:ctrlPr>
                    <w:rPr>
                      <w:rFonts w:ascii="Cambria Math" w:hAnsi="Cambria Math"/>
                      <w:b/>
                      <w:bCs/>
                      <w:i/>
                    </w:rPr>
                  </m:ctrlPr>
                </m:fPr>
                <m:num>
                  <m:r>
                    <m:rPr>
                      <m:sty m:val="b"/>
                    </m:rPr>
                    <w:rPr>
                      <w:rFonts w:ascii="Cambria Math" w:hAnsi="Cambria Math"/>
                      <w:sz w:val="20"/>
                      <w:szCs w:val="20"/>
                      <w:lang w:val="en-US"/>
                    </w:rPr>
                    <m:t>max</m:t>
                  </m:r>
                  <m:r>
                    <m:rPr>
                      <m:sty m:val="b"/>
                    </m:rPr>
                    <w:rPr>
                      <w:rFonts w:ascii="Cambria Math" w:hAnsi="Cambria Math"/>
                      <w:sz w:val="20"/>
                      <w:szCs w:val="20"/>
                    </w:rPr>
                    <m:t>⁡</m:t>
                  </m:r>
                  <m:r>
                    <m:rPr>
                      <m:sty m:val="bi"/>
                    </m:rPr>
                    <w:rPr>
                      <w:rFonts w:ascii="Cambria Math" w:hAnsi="Cambria Math"/>
                      <w:sz w:val="20"/>
                      <w:szCs w:val="20"/>
                    </w:rPr>
                    <m:t>(</m:t>
                  </m:r>
                  <m:sSup>
                    <m:sSupPr>
                      <m:ctrlPr>
                        <w:rPr>
                          <w:rFonts w:ascii="Cambria Math" w:hAnsi="Cambria Math"/>
                          <w:b/>
                          <w:bCs/>
                          <w:i/>
                        </w:rPr>
                      </m:ctrlPr>
                    </m:sSupPr>
                    <m:e>
                      <m:r>
                        <m:rPr>
                          <m:sty m:val="bi"/>
                        </m:rPr>
                        <w:rPr>
                          <w:rFonts w:ascii="Cambria Math" w:hAnsi="Cambria Math"/>
                          <w:sz w:val="20"/>
                          <w:szCs w:val="20"/>
                        </w:rPr>
                        <m:t>ЕОКВ</m:t>
                      </m:r>
                    </m:e>
                    <m:sup>
                      <m:r>
                        <m:rPr>
                          <m:sty m:val="bi"/>
                        </m:rPr>
                        <w:rPr>
                          <w:rFonts w:ascii="Cambria Math" w:hAnsi="Cambria Math"/>
                          <w:sz w:val="20"/>
                          <w:szCs w:val="20"/>
                        </w:rPr>
                        <m:t>ІІ</m:t>
                      </m:r>
                    </m:sup>
                  </m:sSup>
                  <m:r>
                    <m:rPr>
                      <m:sty m:val="bi"/>
                    </m:rPr>
                    <w:rPr>
                      <w:rFonts w:ascii="Cambria Math" w:hAnsi="Cambria Math"/>
                      <w:sz w:val="20"/>
                      <w:szCs w:val="20"/>
                    </w:rPr>
                    <m:t>,0)</m:t>
                  </m:r>
                </m:num>
                <m:den>
                  <m:r>
                    <m:rPr>
                      <m:sty m:val="bi"/>
                    </m:rPr>
                    <w:rPr>
                      <w:rFonts w:ascii="Cambria Math" w:hAnsi="Cambria Math"/>
                      <w:sz w:val="20"/>
                      <w:szCs w:val="20"/>
                    </w:rPr>
                    <m:t>2</m:t>
                  </m:r>
                </m:den>
              </m:f>
            </m:oMath>
            <w:r w:rsidR="00CF2AC1" w:rsidRPr="005A615E">
              <w:rPr>
                <w:rFonts w:ascii="Times New Roman" w:hAnsi="Times New Roman"/>
                <w:b/>
                <w:szCs w:val="28"/>
              </w:rPr>
              <w:t>(15)</w:t>
            </w: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b/>
                <w:bCs/>
                <w:lang w:eastAsia="uk-UA"/>
              </w:rPr>
            </w:pPr>
            <w:r w:rsidRPr="005A615E">
              <w:rPr>
                <w:rFonts w:ascii="Times New Roman" w:hAnsi="Times New Roman"/>
                <w:lang w:eastAsia="uk-UA"/>
              </w:rPr>
              <w:t xml:space="preserve">де </w:t>
            </w:r>
            <w:r w:rsidRPr="005A615E">
              <w:rPr>
                <w:rFonts w:ascii="Times New Roman" w:hAnsi="Times New Roman"/>
                <w:noProof/>
                <w:szCs w:val="28"/>
              </w:rPr>
              <w:drawing>
                <wp:inline distT="0" distB="0" distL="0" distR="0" wp14:anchorId="096758D0" wp14:editId="5CC6CAF9">
                  <wp:extent cx="466725" cy="171450"/>
                  <wp:effectExtent l="0" t="0" r="9525" b="0"/>
                  <wp:docPr id="1993780128" name="Рисунок 1993780128" descr="https://zakon-pro.ligazakon.net/l_flib1.nsf/LookupFiles/GK40721_IMG_370.GIF/$file/GK40721_IMG_370.GIF">
                    <a:hlinkClick xmlns:a="http://schemas.openxmlformats.org/drawingml/2006/main" r:id="rId1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74222001" descr="https://zakon-pro.ligazakon.net/l_flib1.nsf/LookupFiles/GK40721_IMG_370.GIF/$file/GK40721_IMG_370.GIF">
                            <a:hlinkClick r:id="rId124" tgtFrame="&quot;_blank&quot;"/>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66725" cy="171450"/>
                          </a:xfrm>
                          <a:prstGeom prst="rect">
                            <a:avLst/>
                          </a:prstGeom>
                          <a:noFill/>
                          <a:ln>
                            <a:noFill/>
                          </a:ln>
                        </pic:spPr>
                      </pic:pic>
                    </a:graphicData>
                  </a:graphic>
                </wp:inline>
              </w:drawing>
            </w:r>
            <w:r w:rsidRPr="005A615E">
              <w:rPr>
                <w:rFonts w:ascii="Times New Roman" w:hAnsi="Times New Roman"/>
                <w:lang w:eastAsia="uk-UA"/>
              </w:rPr>
              <w:t xml:space="preserve"> -  прогнозовані операційні контрольовані витрати</w:t>
            </w:r>
            <w:r w:rsidRPr="005A615E">
              <w:rPr>
                <w:rFonts w:ascii="Times New Roman" w:hAnsi="Times New Roman"/>
                <w:b/>
                <w:bCs/>
                <w:lang w:eastAsia="uk-UA"/>
              </w:rPr>
              <w:t xml:space="preserve"> в останньому році попереднього регуляторного періоду, тис. грн;</w:t>
            </w:r>
          </w:p>
          <w:p w:rsidR="00CF2AC1" w:rsidRPr="005A615E" w:rsidRDefault="00CF2AC1" w:rsidP="00CF2AC1">
            <w:pPr>
              <w:jc w:val="both"/>
              <w:rPr>
                <w:rFonts w:ascii="Times New Roman" w:hAnsi="Times New Roman"/>
                <w:b/>
                <w:bCs/>
                <w:lang w:eastAsia="uk-UA"/>
              </w:rPr>
            </w:pPr>
          </w:p>
          <w:p w:rsidR="00CF2AC1" w:rsidRPr="005A615E" w:rsidRDefault="00CF2AC1" w:rsidP="00CF2AC1">
            <w:pPr>
              <w:jc w:val="both"/>
              <w:rPr>
                <w:rFonts w:ascii="Times New Roman" w:hAnsi="Times New Roman"/>
                <w:b/>
                <w:bCs/>
              </w:rPr>
            </w:pPr>
          </w:p>
          <w:p w:rsidR="00CF2AC1" w:rsidRPr="005A615E" w:rsidRDefault="00CF2AC1" w:rsidP="00CF2AC1">
            <w:pPr>
              <w:shd w:val="clear" w:color="auto" w:fill="FFFFFF"/>
              <w:spacing w:after="150"/>
              <w:jc w:val="both"/>
              <w:rPr>
                <w:rFonts w:ascii="Times New Roman" w:hAnsi="Times New Roman"/>
                <w:b/>
                <w:bCs/>
                <w:lang w:eastAsia="uk-UA"/>
              </w:rPr>
            </w:pPr>
            <w:r w:rsidRPr="005A615E">
              <w:rPr>
                <w:rFonts w:ascii="Times New Roman" w:hAnsi="Times New Roman"/>
                <w:lang w:eastAsia="uk-UA"/>
              </w:rPr>
              <w:t xml:space="preserve">де </w:t>
            </w:r>
            <w:r w:rsidRPr="005A615E">
              <w:rPr>
                <w:rFonts w:ascii="Times New Roman" w:hAnsi="Times New Roman"/>
                <w:noProof/>
                <w:lang w:eastAsia="uk-UA"/>
              </w:rPr>
              <w:drawing>
                <wp:inline distT="0" distB="0" distL="0" distR="0" wp14:anchorId="5165A120" wp14:editId="42E32D54">
                  <wp:extent cx="447675" cy="180975"/>
                  <wp:effectExtent l="0" t="0" r="9525" b="9525"/>
                  <wp:docPr id="1993780127" name="Рисунок 1993780127" descr="https://zakon.rada.gov.ua/laws/file/imgs/129/p478167n799-42.gif">
                    <a:hlinkClick xmlns:a="http://schemas.openxmlformats.org/drawingml/2006/main" r:id="rId1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88914311" descr="https://zakon.rada.gov.ua/laws/file/imgs/129/p478167n799-42.gif">
                            <a:hlinkClick r:id="rId157"/>
                          </pic:cNvPr>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Pr="005A615E">
              <w:rPr>
                <w:rFonts w:ascii="Times New Roman" w:hAnsi="Times New Roman"/>
                <w:lang w:eastAsia="uk-UA"/>
              </w:rPr>
              <w:t xml:space="preserve"> -  </w:t>
            </w:r>
            <w:r w:rsidRPr="005A615E">
              <w:rPr>
                <w:rFonts w:ascii="Times New Roman" w:hAnsi="Times New Roman"/>
                <w:b/>
                <w:bCs/>
                <w:lang w:eastAsia="uk-UA"/>
              </w:rPr>
              <w:t>економія операційних контрольованих витрат за попередній регуляторний період (з урахуванням останнього року попереднього регуляторного періоду), тис.грн</w:t>
            </w:r>
            <w:r w:rsidRPr="005A615E">
              <w:rPr>
                <w:rFonts w:ascii="Times New Roman" w:hAnsi="Times New Roman"/>
                <w:lang w:eastAsia="uk-UA"/>
              </w:rPr>
              <w:t>;</w:t>
            </w:r>
            <w:r w:rsidRPr="005A615E">
              <w:rPr>
                <w:rFonts w:ascii="Times New Roman" w:hAnsi="Times New Roman"/>
                <w:noProof/>
                <w:lang w:eastAsia="uk-UA"/>
              </w:rPr>
              <w:drawing>
                <wp:inline distT="0" distB="0" distL="0" distR="0" wp14:anchorId="204ECE27" wp14:editId="0A477175">
                  <wp:extent cx="2105025" cy="400050"/>
                  <wp:effectExtent l="0" t="0" r="9525" b="0"/>
                  <wp:docPr id="1993780118" name="Рисунок 1993780118" descr="https://zakon.rada.gov.ua/laws/file/imgs/129/p478167n80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5186250" descr="https://zakon.rada.gov.ua/laws/file/imgs/129/p478167n800-43.jpg"/>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05025" cy="400050"/>
                          </a:xfrm>
                          <a:prstGeom prst="rect">
                            <a:avLst/>
                          </a:prstGeom>
                          <a:noFill/>
                          <a:ln>
                            <a:noFill/>
                          </a:ln>
                        </pic:spPr>
                      </pic:pic>
                    </a:graphicData>
                  </a:graphic>
                </wp:inline>
              </w:drawing>
            </w:r>
            <w:r w:rsidRPr="005A615E">
              <w:rPr>
                <w:rFonts w:ascii="Times New Roman" w:hAnsi="Times New Roman"/>
                <w:b/>
                <w:bCs/>
                <w:lang w:eastAsia="uk-UA"/>
              </w:rPr>
              <w:t>(15.1)</w:t>
            </w:r>
          </w:p>
          <w:p w:rsidR="00CF2AC1" w:rsidRPr="005A615E" w:rsidRDefault="00CF2AC1" w:rsidP="00CF2AC1">
            <w:pPr>
              <w:shd w:val="clear" w:color="auto" w:fill="FFFFFF"/>
              <w:spacing w:after="150"/>
              <w:jc w:val="both"/>
              <w:rPr>
                <w:rFonts w:ascii="Times New Roman" w:hAnsi="Times New Roman"/>
                <w:b/>
                <w:bCs/>
                <w:lang w:eastAsia="uk-UA"/>
              </w:rPr>
            </w:pPr>
            <w:r w:rsidRPr="005A615E">
              <w:rPr>
                <w:rFonts w:ascii="Times New Roman" w:hAnsi="Times New Roman"/>
                <w:noProof/>
                <w:lang w:eastAsia="uk-UA"/>
              </w:rPr>
              <w:drawing>
                <wp:inline distT="0" distB="0" distL="0" distR="0" wp14:anchorId="71D84D53" wp14:editId="121B4F5C">
                  <wp:extent cx="285750" cy="219075"/>
                  <wp:effectExtent l="0" t="0" r="0" b="9525"/>
                  <wp:docPr id="1993780117" name="Рисунок 1993780117" descr="https://zakon.rada.gov.ua/laws/file/imgs/129/p478167n801-44.gif">
                    <a:hlinkClick xmlns:a="http://schemas.openxmlformats.org/drawingml/2006/main" r:id="rId1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zakon.rada.gov.ua/laws/file/imgs/129/p478167n801-44.gif">
                            <a:hlinkClick r:id="rId159"/>
                          </pic:cNvPr>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5A615E">
              <w:rPr>
                <w:rFonts w:ascii="Times New Roman" w:hAnsi="Times New Roman"/>
              </w:rPr>
              <w:t xml:space="preserve"> - </w:t>
            </w:r>
            <w:r w:rsidRPr="005A615E">
              <w:rPr>
                <w:rFonts w:ascii="Times New Roman" w:hAnsi="Times New Roman"/>
                <w:lang w:eastAsia="uk-UA"/>
              </w:rPr>
              <w:t xml:space="preserve"> </w:t>
            </w:r>
            <w:r w:rsidRPr="005A615E">
              <w:rPr>
                <w:rFonts w:ascii="Times New Roman" w:hAnsi="Times New Roman"/>
                <w:b/>
                <w:bCs/>
                <w:lang w:eastAsia="uk-UA"/>
              </w:rPr>
              <w:t>коефіцієнт, що враховує зміну умовних одиниць обладнання за попередній регуляторний період (з урахуванням останнього року попереднього регуляторного періоду), що розраховується за формулою</w:t>
            </w:r>
          </w:p>
          <w:p w:rsidR="00CF2AC1" w:rsidRPr="005A615E" w:rsidRDefault="000D13C5" w:rsidP="00CF2AC1">
            <w:pPr>
              <w:rPr>
                <w:rFonts w:ascii="Times New Roman" w:hAnsi="Times New Roman"/>
                <w:b/>
                <w:szCs w:val="28"/>
              </w:rPr>
            </w:pPr>
            <m:oMath>
              <m:sSubSup>
                <m:sSubSupPr>
                  <m:ctrlPr>
                    <w:rPr>
                      <w:rFonts w:ascii="Cambria Math" w:hAnsi="Cambria Math"/>
                      <w:b/>
                      <w:szCs w:val="28"/>
                    </w:rPr>
                  </m:ctrlPr>
                </m:sSubSupPr>
                <m:e>
                  <m:r>
                    <m:rPr>
                      <m:sty m:val="b"/>
                    </m:rPr>
                    <w:rPr>
                      <w:rFonts w:ascii="Cambria Math" w:hAnsi="Cambria Math"/>
                      <w:szCs w:val="28"/>
                    </w:rPr>
                    <m:t>К</m:t>
                  </m:r>
                </m:e>
                <m:sub>
                  <m:r>
                    <m:rPr>
                      <m:sty m:val="b"/>
                    </m:rPr>
                    <w:rPr>
                      <w:rFonts w:ascii="Cambria Math" w:hAnsi="Cambria Math"/>
                      <w:szCs w:val="28"/>
                    </w:rPr>
                    <m:t>УО</m:t>
                  </m:r>
                </m:sub>
                <m:sup>
                  <m:r>
                    <m:rPr>
                      <m:sty m:val="b"/>
                    </m:rPr>
                    <w:rPr>
                      <w:rFonts w:ascii="Cambria Math" w:hAnsi="Cambria Math"/>
                      <w:szCs w:val="28"/>
                    </w:rPr>
                    <m:t>ІІ</m:t>
                  </m:r>
                </m:sup>
              </m:sSubSup>
              <m:r>
                <m:rPr>
                  <m:sty m:val="b"/>
                </m:rPr>
                <w:rPr>
                  <w:rFonts w:ascii="Cambria Math" w:hAnsi="Cambria Math"/>
                  <w:szCs w:val="28"/>
                </w:rPr>
                <m:t>=1+КУ×</m:t>
              </m:r>
              <m:f>
                <m:fPr>
                  <m:ctrlPr>
                    <w:rPr>
                      <w:rFonts w:ascii="Cambria Math" w:hAnsi="Cambria Math"/>
                      <w:b/>
                      <w:szCs w:val="28"/>
                    </w:rPr>
                  </m:ctrlPr>
                </m:fPr>
                <m:num>
                  <m:sSup>
                    <m:sSupPr>
                      <m:ctrlPr>
                        <w:rPr>
                          <w:rFonts w:ascii="Cambria Math" w:hAnsi="Cambria Math"/>
                          <w:b/>
                          <w:szCs w:val="28"/>
                        </w:rPr>
                      </m:ctrlPr>
                    </m:sSupPr>
                    <m:e>
                      <m:r>
                        <m:rPr>
                          <m:sty m:val="b"/>
                        </m:rPr>
                        <w:rPr>
                          <w:rFonts w:ascii="Cambria Math" w:hAnsi="Cambria Math"/>
                          <w:szCs w:val="28"/>
                        </w:rPr>
                        <m:t>∆УО</m:t>
                      </m:r>
                    </m:e>
                    <m:sup>
                      <m:r>
                        <m:rPr>
                          <m:sty m:val="b"/>
                        </m:rPr>
                        <w:rPr>
                          <w:rFonts w:ascii="Cambria Math" w:hAnsi="Cambria Math"/>
                          <w:szCs w:val="28"/>
                        </w:rPr>
                        <m:t>ІІ</m:t>
                      </m:r>
                    </m:sup>
                  </m:sSup>
                </m:num>
                <m:den>
                  <m:sSubSup>
                    <m:sSubSupPr>
                      <m:ctrlPr>
                        <w:rPr>
                          <w:rFonts w:ascii="Cambria Math" w:hAnsi="Cambria Math"/>
                          <w:b/>
                          <w:szCs w:val="28"/>
                        </w:rPr>
                      </m:ctrlPr>
                    </m:sSubSupPr>
                    <m:e>
                      <m:r>
                        <m:rPr>
                          <m:sty m:val="b"/>
                        </m:rPr>
                        <w:rPr>
                          <w:rFonts w:ascii="Cambria Math" w:hAnsi="Cambria Math"/>
                          <w:szCs w:val="28"/>
                        </w:rPr>
                        <m:t>УО</m:t>
                      </m:r>
                    </m:e>
                    <m:sub>
                      <m:r>
                        <m:rPr>
                          <m:sty m:val="bi"/>
                        </m:rPr>
                        <w:rPr>
                          <w:rFonts w:ascii="Cambria Math" w:hAnsi="Cambria Math"/>
                          <w:szCs w:val="28"/>
                        </w:rPr>
                        <m:t>t</m:t>
                      </m:r>
                      <m:r>
                        <m:rPr>
                          <m:sty m:val="b"/>
                        </m:rPr>
                        <w:rPr>
                          <w:rFonts w:ascii="Cambria Math" w:hAnsi="Cambria Math"/>
                          <w:szCs w:val="28"/>
                        </w:rPr>
                        <m:t>-1</m:t>
                      </m:r>
                    </m:sub>
                    <m:sup>
                      <m:r>
                        <m:rPr>
                          <m:sty m:val="b"/>
                        </m:rPr>
                        <w:rPr>
                          <w:rFonts w:ascii="Cambria Math" w:hAnsi="Cambria Math"/>
                          <w:szCs w:val="28"/>
                        </w:rPr>
                        <m:t>поч</m:t>
                      </m:r>
                    </m:sup>
                  </m:sSubSup>
                </m:den>
              </m:f>
            </m:oMath>
            <w:r w:rsidR="00CF2AC1" w:rsidRPr="005A615E">
              <w:rPr>
                <w:rFonts w:ascii="Times New Roman" w:hAnsi="Times New Roman"/>
                <w:b/>
                <w:szCs w:val="28"/>
              </w:rPr>
              <w:t>, в.о., (16)</w:t>
            </w:r>
          </w:p>
          <w:p w:rsidR="00CF2AC1" w:rsidRPr="005A615E" w:rsidRDefault="00CF2AC1" w:rsidP="00CF2AC1">
            <w:pPr>
              <w:ind w:firstLine="308"/>
              <w:jc w:val="both"/>
              <w:rPr>
                <w:rFonts w:ascii="Times New Roman" w:hAnsi="Times New Roman"/>
                <w:shd w:val="clear" w:color="auto" w:fill="FFFFFF"/>
              </w:rPr>
            </w:pPr>
          </w:p>
          <w:p w:rsidR="00CF2AC1" w:rsidRPr="005A615E" w:rsidRDefault="000D13C5" w:rsidP="00CF2AC1">
            <w:pPr>
              <w:ind w:firstLine="173"/>
              <w:jc w:val="both"/>
              <w:rPr>
                <w:rFonts w:ascii="Times New Roman" w:hAnsi="Times New Roman"/>
                <w:b/>
                <w:lang w:eastAsia="uk-UA"/>
              </w:rPr>
            </w:pPr>
            <m:oMath>
              <m:sSup>
                <m:sSupPr>
                  <m:ctrlPr>
                    <w:rPr>
                      <w:rFonts w:ascii="Cambria Math" w:hAnsi="Cambria Math"/>
                      <w:b/>
                      <w:szCs w:val="28"/>
                    </w:rPr>
                  </m:ctrlPr>
                </m:sSupPr>
                <m:e>
                  <m:r>
                    <m:rPr>
                      <m:sty m:val="b"/>
                    </m:rPr>
                    <w:rPr>
                      <w:rFonts w:ascii="Cambria Math" w:hAnsi="Cambria Math"/>
                      <w:szCs w:val="28"/>
                    </w:rPr>
                    <m:t>∆УО</m:t>
                  </m:r>
                </m:e>
                <m:sup>
                  <m:r>
                    <m:rPr>
                      <m:sty m:val="b"/>
                    </m:rPr>
                    <w:rPr>
                      <w:rFonts w:ascii="Cambria Math" w:hAnsi="Cambria Math"/>
                      <w:szCs w:val="28"/>
                    </w:rPr>
                    <m:t>ІІ</m:t>
                  </m:r>
                </m:sup>
              </m:sSup>
              <m:r>
                <m:rPr>
                  <m:sty m:val="b"/>
                </m:rPr>
                <w:rPr>
                  <w:rFonts w:ascii="Cambria Math" w:hAnsi="Cambria Math"/>
                  <w:szCs w:val="28"/>
                </w:rPr>
                <m:t xml:space="preserve">- </m:t>
              </m:r>
            </m:oMath>
            <w:r w:rsidR="00CF2AC1" w:rsidRPr="005A615E">
              <w:rPr>
                <w:rFonts w:ascii="Times New Roman" w:hAnsi="Times New Roman"/>
                <w:b/>
                <w:szCs w:val="28"/>
              </w:rPr>
              <w:t xml:space="preserve">зміна фактичної кількості умовних одиниць енергетичного обладнання за попередній регуляторний період </w:t>
            </w:r>
            <w:r w:rsidR="00CF2AC1" w:rsidRPr="005A615E">
              <w:rPr>
                <w:rFonts w:ascii="Times New Roman" w:hAnsi="Times New Roman"/>
                <w:b/>
                <w:bCs/>
                <w:lang w:eastAsia="uk-UA"/>
              </w:rPr>
              <w:t>(з урахуванням останнього року попереднього регуляторного періоду</w:t>
            </w:r>
            <w:r w:rsidR="00CF2AC1" w:rsidRPr="005A615E">
              <w:rPr>
                <w:rFonts w:ascii="Times New Roman" w:hAnsi="Times New Roman"/>
                <w:b/>
                <w:szCs w:val="28"/>
              </w:rPr>
              <w:t xml:space="preserve"> (для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w:t>
            </w:r>
            <w:r w:rsidR="00CF2AC1" w:rsidRPr="005A615E">
              <w:rPr>
                <w:rFonts w:ascii="Times New Roman" w:hAnsi="Times New Roman"/>
                <w:bCs/>
                <w:szCs w:val="28"/>
              </w:rPr>
              <w:t xml:space="preserve"> </w:t>
            </w:r>
            <w:r w:rsidR="00CF2AC1" w:rsidRPr="005A615E">
              <w:rPr>
                <w:rFonts w:ascii="Times New Roman" w:hAnsi="Times New Roman"/>
                <w:b/>
                <w:szCs w:val="28"/>
              </w:rPr>
              <w:t>рік t-1 до фактичної кількості умовних одиниць енергетичного обладнання ліцензіата  на кінець року t-2).</w:t>
            </w:r>
          </w:p>
          <w:p w:rsidR="00CF2AC1" w:rsidRPr="005A615E" w:rsidRDefault="00CF2AC1" w:rsidP="00CF2AC1">
            <w:pPr>
              <w:shd w:val="clear" w:color="auto" w:fill="FFFFFF"/>
              <w:ind w:firstLine="173"/>
              <w:jc w:val="both"/>
              <w:rPr>
                <w:rFonts w:ascii="Times New Roman" w:hAnsi="Times New Roman"/>
                <w:b/>
              </w:rPr>
            </w:pPr>
            <w:r w:rsidRPr="005A615E">
              <w:rPr>
                <w:rFonts w:ascii="Times New Roman" w:hAnsi="Times New Roman"/>
                <w:b/>
              </w:rPr>
              <w:t xml:space="preserve">Для другого року другого та наступних регуляторних періодів при визначенні прогнозованого фонду оплати праці (витрат на оплату праці) у році t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lang w:eastAsia="uk-UA"/>
                    </w:rPr>
                    <m:t>ФОП</m:t>
                  </m:r>
                </m:e>
                <m:sub>
                  <m:r>
                    <m:rPr>
                      <m:sty m:val="bi"/>
                    </m:rPr>
                    <w:rPr>
                      <w:rFonts w:ascii="Cambria Math" w:hAnsi="Cambria Math"/>
                      <w:lang w:eastAsia="uk-UA"/>
                    </w:rPr>
                    <m:t>t</m:t>
                  </m:r>
                </m:sub>
                <m:sup>
                  <m:r>
                    <m:rPr>
                      <m:sty m:val="bi"/>
                    </m:rPr>
                    <w:rPr>
                      <w:rFonts w:ascii="Cambria Math" w:hAnsi="Cambria Math"/>
                      <w:lang w:eastAsia="uk-UA"/>
                    </w:rPr>
                    <m:t>n</m:t>
                  </m:r>
                </m:sup>
              </m:sSubSup>
              <m:r>
                <m:rPr>
                  <m:sty m:val="bi"/>
                </m:rPr>
                <w:rPr>
                  <w:rFonts w:ascii="Cambria Math" w:hAnsi="Cambria Math"/>
                </w:rPr>
                <m:t>)</m:t>
              </m:r>
            </m:oMath>
            <w:r w:rsidRPr="005A615E">
              <w:rPr>
                <w:rFonts w:ascii="Times New Roman" w:hAnsi="Times New Roman"/>
                <w:b/>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b/>
                <w:lang w:eastAsia="uk-UA"/>
              </w:rPr>
              <w:t>(</w:t>
            </w:r>
            <m:oMath>
              <m:sSubSup>
                <m:sSubSupPr>
                  <m:ctrlPr>
                    <w:rPr>
                      <w:rFonts w:ascii="Cambria Math" w:hAnsi="Cambria Math"/>
                      <w:b/>
                      <w:i/>
                    </w:rPr>
                  </m:ctrlPr>
                </m:sSubSupPr>
                <m:e>
                  <m:r>
                    <m:rPr>
                      <m:sty m:val="bi"/>
                    </m:rPr>
                    <w:rPr>
                      <w:rFonts w:ascii="Cambria Math" w:hAnsi="Cambria Math"/>
                      <w:lang w:eastAsia="uk-UA"/>
                    </w:rPr>
                    <m:t>ТЧП</m:t>
                  </m:r>
                </m:e>
                <m:sub>
                  <m:r>
                    <m:rPr>
                      <m:sty m:val="bi"/>
                    </m:rPr>
                    <w:rPr>
                      <w:rFonts w:ascii="Cambria Math" w:hAnsi="Cambria Math"/>
                      <w:lang w:eastAsia="uk-UA"/>
                    </w:rPr>
                    <m:t>t</m:t>
                  </m:r>
                </m:sub>
                <m:sup>
                  <m:r>
                    <m:rPr>
                      <m:sty m:val="bi"/>
                    </m:rPr>
                    <w:rPr>
                      <w:rFonts w:ascii="Cambria Math" w:hAnsi="Cambria Math"/>
                      <w:lang w:eastAsia="uk-UA"/>
                    </w:rPr>
                    <m:t>тар</m:t>
                  </m:r>
                </m:sup>
              </m:sSubSup>
            </m:oMath>
            <w:r w:rsidRPr="005A615E">
              <w:rPr>
                <w:rFonts w:ascii="Times New Roman" w:hAnsi="Times New Roman"/>
                <w:b/>
                <w:lang w:eastAsia="uk-UA"/>
              </w:rPr>
              <w:t xml:space="preserve">) </w:t>
            </w:r>
            <w:r w:rsidRPr="005A615E">
              <w:rPr>
                <w:rFonts w:ascii="Times New Roman" w:hAnsi="Times New Roman"/>
                <w:b/>
              </w:rPr>
              <w:t>розраховується за формулою</w:t>
            </w:r>
          </w:p>
          <w:bookmarkStart w:id="6" w:name="_Hlk233808225"/>
          <w:p w:rsidR="00CF2AC1" w:rsidRPr="005A615E" w:rsidRDefault="000D13C5" w:rsidP="00CF2AC1">
            <m:oMath>
              <m:sSubSup>
                <m:sSubSupPr>
                  <m:ctrlPr>
                    <w:rPr>
                      <w:rFonts w:ascii="Cambria Math" w:hAnsi="Cambria Math"/>
                      <w:i/>
                    </w:rPr>
                  </m:ctrlPr>
                </m:sSubSupPr>
                <m:e>
                  <m:r>
                    <w:rPr>
                      <w:rFonts w:ascii="Cambria Math" w:hAnsi="Cambria Math"/>
                    </w:rPr>
                    <m:t>ТЧП</m:t>
                  </m:r>
                </m:e>
                <m:sub>
                  <m:r>
                    <w:rPr>
                      <w:rFonts w:ascii="Cambria Math" w:hAnsi="Cambria Math"/>
                      <w:lang w:val="en-US"/>
                    </w:rPr>
                    <m:t>t</m:t>
                  </m:r>
                </m:sub>
                <m:sup>
                  <m:r>
                    <w:rPr>
                      <w:rFonts w:ascii="Cambria Math" w:hAnsi="Cambria Math"/>
                    </w:rPr>
                    <m:t>тар</m:t>
                  </m:r>
                </m:sup>
              </m:sSubSup>
              <m:r>
                <w:rPr>
                  <w:rFonts w:ascii="Cambria Math" w:hAnsi="Cambria Math"/>
                </w:rPr>
                <m:t>=</m:t>
              </m:r>
              <m:sSubSup>
                <m:sSubSupPr>
                  <m:ctrlPr>
                    <w:rPr>
                      <w:rFonts w:ascii="Cambria Math" w:hAnsi="Cambria Math"/>
                      <w:i/>
                    </w:rPr>
                  </m:ctrlPr>
                </m:sSubSupPr>
                <m:e>
                  <m:r>
                    <w:rPr>
                      <w:rFonts w:ascii="Cambria Math" w:hAnsi="Cambria Math"/>
                    </w:rPr>
                    <m:t>ТЧП</m:t>
                  </m:r>
                </m:e>
                <m:sub>
                  <m:r>
                    <w:rPr>
                      <w:rFonts w:ascii="Cambria Math" w:hAnsi="Cambria Math"/>
                    </w:rPr>
                    <m:t>t-1</m:t>
                  </m:r>
                </m:sub>
                <m:sup>
                  <m:r>
                    <w:rPr>
                      <w:rFonts w:ascii="Cambria Math" w:hAnsi="Cambria Math"/>
                    </w:rPr>
                    <m:t>тар</m:t>
                  </m:r>
                </m:sup>
              </m:sSubSup>
              <m:r>
                <w:rPr>
                  <w:rFonts w:ascii="Cambria Math" w:hAnsi="Cambria Math"/>
                </w:rPr>
                <m:t>×</m:t>
              </m:r>
              <m:sSup>
                <m:sSupPr>
                  <m:ctrlPr>
                    <w:rPr>
                      <w:rFonts w:ascii="Cambria Math" w:hAnsi="Cambria Math"/>
                      <w:i/>
                    </w:rPr>
                  </m:ctrlPr>
                </m:sSup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m:t>
                          </m:r>
                        </m:sub>
                      </m:sSub>
                    </m:num>
                    <m:den>
                      <m:r>
                        <w:rPr>
                          <w:rFonts w:ascii="Cambria Math" w:hAnsi="Cambria Math"/>
                        </w:rPr>
                        <m:t>100</m:t>
                      </m:r>
                    </m:den>
                  </m:f>
                  <m:r>
                    <w:rPr>
                      <w:rFonts w:ascii="Cambria Math" w:hAnsi="Cambria Math"/>
                    </w:rPr>
                    <m:t>)</m:t>
                  </m:r>
                </m:e>
                <m:sup>
                  <m:r>
                    <m:rPr>
                      <m:sty m:val="bi"/>
                    </m:rPr>
                    <w:rPr>
                      <w:rFonts w:ascii="Cambria Math" w:hAnsi="Cambria Math"/>
                      <w:lang w:val="en-US"/>
                    </w:rPr>
                    <m:t>m</m:t>
                  </m:r>
                </m:sup>
              </m:sSup>
              <m:r>
                <w:rPr>
                  <w:rFonts w:ascii="Cambria Math" w:hAnsi="Cambria Math"/>
                </w:rPr>
                <m:t xml:space="preserve"> ×</m:t>
              </m:r>
              <m:sSubSup>
                <m:sSubSupPr>
                  <m:ctrlPr>
                    <w:rPr>
                      <w:rFonts w:ascii="Cambria Math" w:hAnsi="Cambria Math"/>
                      <w:i/>
                    </w:rPr>
                  </m:ctrlPr>
                </m:sSubSupPr>
                <m:e>
                  <m:r>
                    <w:rPr>
                      <w:rFonts w:ascii="Cambria Math" w:hAnsi="Cambria Math"/>
                    </w:rPr>
                    <m:t>КУ</m:t>
                  </m:r>
                </m:e>
                <m:sub>
                  <m:r>
                    <w:rPr>
                      <w:rFonts w:ascii="Cambria Math" w:hAnsi="Cambria Math"/>
                    </w:rPr>
                    <m:t>УО</m:t>
                  </m:r>
                </m:sub>
                <m:sup>
                  <m:r>
                    <w:rPr>
                      <w:rFonts w:ascii="Cambria Math" w:hAnsi="Cambria Math"/>
                    </w:rPr>
                    <m:t>II</m:t>
                  </m:r>
                </m:sup>
              </m:sSubSup>
              <m:r>
                <w:rPr>
                  <w:rFonts w:ascii="Cambria Math" w:hAnsi="Cambria Math"/>
                </w:rPr>
                <m:t>,    осіб,</m:t>
              </m:r>
            </m:oMath>
            <w:bookmarkEnd w:id="6"/>
            <w:r w:rsidR="00CF2AC1" w:rsidRPr="005A615E">
              <w:rPr>
                <w:rFonts w:eastAsiaTheme="minorEastAsia"/>
              </w:rPr>
              <w:t xml:space="preserve"> (17)</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shd w:val="clear" w:color="auto" w:fill="FFFFFF"/>
              <w:spacing w:after="150"/>
              <w:ind w:firstLine="173"/>
              <w:jc w:val="both"/>
              <w:rPr>
                <w:rFonts w:ascii="Times New Roman" w:eastAsia="Times New Roman" w:hAnsi="Times New Roman"/>
                <w:lang w:eastAsia="ru-RU"/>
              </w:rPr>
            </w:pPr>
            <w:r w:rsidRPr="005A615E">
              <w:rPr>
                <w:rFonts w:ascii="Times New Roman" w:eastAsia="Times New Roman" w:hAnsi="Times New Roman"/>
                <w:b/>
                <w:bCs/>
                <w:lang w:val="en-US" w:eastAsia="ru-RU"/>
              </w:rPr>
              <w:t>m</w:t>
            </w:r>
            <w:r w:rsidRPr="005A615E">
              <w:rPr>
                <w:rFonts w:ascii="Times New Roman" w:eastAsia="Times New Roman" w:hAnsi="Times New Roman"/>
                <w:b/>
                <w:bCs/>
                <w:lang w:eastAsia="ru-RU"/>
              </w:rPr>
              <w:t xml:space="preserve"> </w:t>
            </w:r>
            <m:oMath>
              <m:r>
                <m:rPr>
                  <m:sty m:val="b"/>
                </m:rPr>
                <w:rPr>
                  <w:rFonts w:ascii="Cambria Math" w:eastAsia="Times New Roman" w:hAnsi="Cambria Math"/>
                  <w:lang w:eastAsia="ru-RU"/>
                </w:rPr>
                <m:t>-</m:t>
              </m:r>
            </m:oMath>
            <w:r w:rsidRPr="005A615E">
              <w:rPr>
                <w:rFonts w:ascii="Times New Roman" w:eastAsia="Times New Roman" w:hAnsi="Times New Roman"/>
                <w:b/>
                <w:bCs/>
                <w:lang w:eastAsia="ru-RU"/>
              </w:rPr>
              <w:t xml:space="preserve"> кількість років попереднього регуляторного періоду,</w:t>
            </w:r>
            <w:r w:rsidRPr="005A615E">
              <w:rPr>
                <w:rFonts w:ascii="Times New Roman" w:eastAsia="Times New Roman" w:hAnsi="Times New Roman"/>
                <w:lang w:eastAsia="ru-RU"/>
              </w:rPr>
              <w:t xml:space="preserve"> протягом яких застосовувався загальний показник ефективності для операційних контрольованих витрат, встановлений НКРЕКП (з урахуванням останнього року), які визначають показник степеня.</w:t>
            </w:r>
          </w:p>
          <w:p w:rsidR="00CF2AC1" w:rsidRPr="005A615E" w:rsidRDefault="00CF2AC1" w:rsidP="00CF2AC1">
            <w:pPr>
              <w:shd w:val="clear" w:color="auto" w:fill="FFFFFF"/>
              <w:spacing w:after="150"/>
              <w:ind w:firstLine="180"/>
              <w:jc w:val="both"/>
              <w:rPr>
                <w:rFonts w:ascii="Times New Roman" w:hAnsi="Times New Roman"/>
                <w:lang w:eastAsia="uk-UA"/>
              </w:rPr>
            </w:pPr>
            <w:r w:rsidRPr="005A615E">
              <w:rPr>
                <w:rFonts w:ascii="Times New Roman" w:hAnsi="Times New Roman"/>
                <w:noProof/>
                <w:lang w:eastAsia="uk-UA"/>
              </w:rPr>
              <w:drawing>
                <wp:inline distT="0" distB="0" distL="0" distR="0" wp14:anchorId="3CC0269B" wp14:editId="3295EC44">
                  <wp:extent cx="438150" cy="228600"/>
                  <wp:effectExtent l="0" t="0" r="0" b="0"/>
                  <wp:docPr id="1993780115" name="Рисунок 1993780115" descr="https://zakon.rada.gov.ua/laws/file/imgs/129/p478167n803-46.gif">
                    <a:hlinkClick xmlns:a="http://schemas.openxmlformats.org/drawingml/2006/main" r:id="rId1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4871900" descr="https://zakon.rada.gov.ua/laws/file/imgs/129/p478167n803-46.gif">
                            <a:hlinkClick r:id="rId161"/>
                          </pic:cNvPr>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5A615E">
              <w:rPr>
                <w:rFonts w:ascii="Times New Roman" w:hAnsi="Times New Roman"/>
                <w:lang w:eastAsia="uk-UA"/>
              </w:rPr>
              <w:t xml:space="preserve"> - </w:t>
            </w:r>
            <w:r w:rsidRPr="005A615E">
              <w:rPr>
                <w:rFonts w:ascii="Times New Roman" w:hAnsi="Times New Roman"/>
              </w:rPr>
              <w:t xml:space="preserve"> </w:t>
            </w:r>
            <w:r w:rsidRPr="005A615E">
              <w:rPr>
                <w:rFonts w:ascii="Times New Roman" w:hAnsi="Times New Roman"/>
                <w:lang w:eastAsia="uk-UA"/>
              </w:rPr>
              <w:t xml:space="preserve">уточнені операційні контрольовані витрати у році t, тис. грн (на 2022 – 2024 роки </w:t>
            </w:r>
            <w:r w:rsidRPr="005A615E">
              <w:rPr>
                <w:rFonts w:ascii="Times New Roman" w:hAnsi="Times New Roman"/>
                <w:noProof/>
                <w:lang w:eastAsia="uk-UA"/>
              </w:rPr>
              <w:drawing>
                <wp:inline distT="0" distB="0" distL="0" distR="0" wp14:anchorId="3C95AC05" wp14:editId="54F501F3">
                  <wp:extent cx="333375" cy="171450"/>
                  <wp:effectExtent l="0" t="0" r="9525" b="0"/>
                  <wp:docPr id="1993780114" name="Рисунок 1993780114" descr="https://zakon.rada.gov.ua/laws/file/imgs/129/p478167n803-47.gif">
                    <a:hlinkClick xmlns:a="http://schemas.openxmlformats.org/drawingml/2006/main" r:id="rId1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8591834" descr="https://zakon.rada.gov.ua/laws/file/imgs/129/p478167n803-47.gif">
                            <a:hlinkClick r:id="rId163"/>
                          </pic:cNvPr>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5A615E">
              <w:rPr>
                <w:rFonts w:ascii="Times New Roman" w:hAnsi="Times New Roman"/>
                <w:lang w:eastAsia="uk-UA"/>
              </w:rPr>
              <w:t xml:space="preserve">  = </w:t>
            </w:r>
            <w:r w:rsidRPr="005A615E">
              <w:rPr>
                <w:rFonts w:ascii="Times New Roman" w:hAnsi="Times New Roman"/>
                <w:noProof/>
                <w:lang w:eastAsia="uk-UA"/>
              </w:rPr>
              <w:drawing>
                <wp:inline distT="0" distB="0" distL="0" distR="0" wp14:anchorId="5658A1B7" wp14:editId="2140CC8A">
                  <wp:extent cx="323850" cy="190500"/>
                  <wp:effectExtent l="0" t="0" r="0" b="0"/>
                  <wp:docPr id="1993780113" name="Рисунок 1993780113" descr="https://zakon.rada.gov.ua/laws/file/imgs/129/p478167n803-48.gif">
                    <a:hlinkClick xmlns:a="http://schemas.openxmlformats.org/drawingml/2006/main" r:id="rId1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8523565" descr="https://zakon.rada.gov.ua/laws/file/imgs/129/p478167n803-48.gif">
                            <a:hlinkClick r:id="rId165"/>
                          </pic:cNvPr>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5A615E">
              <w:rPr>
                <w:rFonts w:ascii="Times New Roman" w:hAnsi="Times New Roman"/>
                <w:lang w:eastAsia="uk-UA"/>
              </w:rPr>
              <w:t xml:space="preserve"> );</w:t>
            </w:r>
          </w:p>
          <w:p w:rsidR="00CF2AC1" w:rsidRPr="005A615E" w:rsidRDefault="00CF2AC1" w:rsidP="00CF2AC1">
            <w:pPr>
              <w:shd w:val="clear" w:color="auto" w:fill="FFFFFF"/>
              <w:spacing w:after="150"/>
              <w:ind w:firstLine="180"/>
              <w:jc w:val="both"/>
              <w:rPr>
                <w:rFonts w:ascii="Times New Roman" w:hAnsi="Times New Roman"/>
                <w:lang w:eastAsia="uk-UA"/>
              </w:rPr>
            </w:pPr>
            <w:r w:rsidRPr="005A615E">
              <w:rPr>
                <w:rFonts w:ascii="Times New Roman" w:hAnsi="Times New Roman"/>
                <w:noProof/>
                <w:lang w:eastAsia="uk-UA"/>
              </w:rPr>
              <w:drawing>
                <wp:inline distT="0" distB="0" distL="0" distR="0" wp14:anchorId="4DF3828E" wp14:editId="11E452D0">
                  <wp:extent cx="438150" cy="257175"/>
                  <wp:effectExtent l="0" t="0" r="0" b="9525"/>
                  <wp:docPr id="1993780112" name="Рисунок 1993780112" descr="https://zakon.rada.gov.ua/laws/file/imgs/129/p478167n803-49.gif">
                    <a:hlinkClick xmlns:a="http://schemas.openxmlformats.org/drawingml/2006/main" r:id="rId1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48795553" descr="https://zakon.rada.gov.ua/laws/file/imgs/129/p478167n803-49.gif">
                            <a:hlinkClick r:id="rId167"/>
                          </pic:cNvPr>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438150" cy="257175"/>
                          </a:xfrm>
                          <a:prstGeom prst="rect">
                            <a:avLst/>
                          </a:prstGeom>
                          <a:noFill/>
                          <a:ln>
                            <a:noFill/>
                          </a:ln>
                        </pic:spPr>
                      </pic:pic>
                    </a:graphicData>
                  </a:graphic>
                </wp:inline>
              </w:drawing>
            </w:r>
            <w:r w:rsidRPr="005A615E">
              <w:rPr>
                <w:rFonts w:ascii="Times New Roman" w:hAnsi="Times New Roman"/>
                <w:lang w:eastAsia="uk-UA"/>
              </w:rPr>
              <w:t xml:space="preserve"> - </w:t>
            </w:r>
            <w:r w:rsidRPr="005A615E">
              <w:rPr>
                <w:rFonts w:ascii="Times New Roman" w:hAnsi="Times New Roman"/>
              </w:rPr>
              <w:t xml:space="preserve"> </w:t>
            </w:r>
            <w:r w:rsidRPr="005A615E">
              <w:rPr>
                <w:rFonts w:ascii="Times New Roman" w:hAnsi="Times New Roman"/>
                <w:lang w:eastAsia="uk-UA"/>
              </w:rPr>
              <w:t>фактичні операційні контрольовані витрати у році t, що враховують обґрунтований перелік складових витрат, підтверджений результатами заходів контролю, які відносяться до діяльності з розподілу, тис. грн.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p>
          <w:p w:rsidR="00CF2AC1" w:rsidRPr="005A615E" w:rsidRDefault="00CF2AC1" w:rsidP="00CF2AC1">
            <w:pPr>
              <w:shd w:val="clear" w:color="auto" w:fill="FFFFFF"/>
              <w:spacing w:after="150"/>
              <w:ind w:firstLine="180"/>
              <w:jc w:val="both"/>
              <w:rPr>
                <w:rFonts w:ascii="Times New Roman" w:hAnsi="Times New Roman"/>
                <w:lang w:eastAsia="uk-UA"/>
              </w:rPr>
            </w:pPr>
            <w:r w:rsidRPr="005A615E">
              <w:rPr>
                <w:rFonts w:ascii="Times New Roman" w:hAnsi="Times New Roman"/>
                <w:noProof/>
                <w:lang w:eastAsia="uk-UA"/>
              </w:rPr>
              <w:drawing>
                <wp:inline distT="0" distB="0" distL="0" distR="0" wp14:anchorId="7F49A523" wp14:editId="47513D08">
                  <wp:extent cx="104775" cy="209550"/>
                  <wp:effectExtent l="0" t="0" r="9525" b="0"/>
                  <wp:docPr id="1993780111" name="Рисунок 1993780111" descr="https://zakon.rada.gov.ua/laws/file/imgs/129/p478167n803-50.gif">
                    <a:hlinkClick xmlns:a="http://schemas.openxmlformats.org/drawingml/2006/main" r:id="rId1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5686570" descr="https://zakon.rada.gov.ua/laws/file/imgs/129/p478167n803-50.gif">
                            <a:hlinkClick r:id="rId169"/>
                          </pic:cNvPr>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04775" cy="209550"/>
                          </a:xfrm>
                          <a:prstGeom prst="rect">
                            <a:avLst/>
                          </a:prstGeom>
                          <a:noFill/>
                          <a:ln>
                            <a:noFill/>
                          </a:ln>
                        </pic:spPr>
                      </pic:pic>
                    </a:graphicData>
                  </a:graphic>
                </wp:inline>
              </w:drawing>
            </w:r>
            <w:r w:rsidRPr="005A615E">
              <w:rPr>
                <w:rFonts w:ascii="Times New Roman" w:hAnsi="Times New Roman"/>
                <w:lang w:eastAsia="uk-UA"/>
              </w:rPr>
              <w:t xml:space="preserve"> -  кількість років у попередньому періоді регулювання (без урахування 2022 – 2024 років, для яких </w:t>
            </w:r>
            <w:r w:rsidRPr="005A615E">
              <w:rPr>
                <w:rFonts w:ascii="Times New Roman" w:hAnsi="Times New Roman"/>
                <w:noProof/>
                <w:lang w:eastAsia="uk-UA"/>
              </w:rPr>
              <w:drawing>
                <wp:inline distT="0" distB="0" distL="0" distR="0" wp14:anchorId="129F2590" wp14:editId="7E70CDFD">
                  <wp:extent cx="371475" cy="190500"/>
                  <wp:effectExtent l="0" t="0" r="9525" b="0"/>
                  <wp:docPr id="1993780110" name="Рисунок 1993780110" descr="https://zakon.rada.gov.ua/laws/file/imgs/129/p478167n803-51.gif">
                    <a:hlinkClick xmlns:a="http://schemas.openxmlformats.org/drawingml/2006/main" r:id="rId1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7686311" descr="https://zakon.rada.gov.ua/laws/file/imgs/129/p478167n803-51.gif">
                            <a:hlinkClick r:id="rId171"/>
                          </pic:cNvPr>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5A615E">
              <w:rPr>
                <w:rFonts w:ascii="Times New Roman" w:hAnsi="Times New Roman"/>
                <w:lang w:eastAsia="uk-UA"/>
              </w:rPr>
              <w:t> = </w:t>
            </w:r>
            <w:r w:rsidRPr="005A615E">
              <w:rPr>
                <w:rFonts w:ascii="Times New Roman" w:hAnsi="Times New Roman"/>
                <w:noProof/>
                <w:lang w:eastAsia="uk-UA"/>
              </w:rPr>
              <w:drawing>
                <wp:inline distT="0" distB="0" distL="0" distR="0" wp14:anchorId="489B6A75" wp14:editId="0D4FD49D">
                  <wp:extent cx="371475" cy="219075"/>
                  <wp:effectExtent l="0" t="0" r="9525" b="9525"/>
                  <wp:docPr id="1993780109" name="Рисунок 1993780109" descr="https://zakon.rada.gov.ua/laws/file/imgs/129/p478167n803-52.gif">
                    <a:hlinkClick xmlns:a="http://schemas.openxmlformats.org/drawingml/2006/main" r:id="rId1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1305015" descr="https://zakon.rada.gov.ua/laws/file/imgs/129/p478167n803-52.gif">
                            <a:hlinkClick r:id="rId173"/>
                          </pic:cNvPr>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r w:rsidRPr="005A615E">
              <w:rPr>
                <w:rFonts w:ascii="Times New Roman" w:hAnsi="Times New Roman"/>
                <w:lang w:eastAsia="uk-UA"/>
              </w:rPr>
              <w:t>).</w:t>
            </w:r>
          </w:p>
          <w:p w:rsidR="00CF2AC1" w:rsidRPr="005A615E" w:rsidRDefault="00CF2AC1" w:rsidP="00CF2AC1">
            <w:pPr>
              <w:pStyle w:val="a5"/>
              <w:spacing w:after="200"/>
              <w:ind w:left="0"/>
              <w:jc w:val="both"/>
              <w:rPr>
                <w:rFonts w:ascii="Times New Roman" w:hAnsi="Times New Roman"/>
                <w:bCs/>
                <w:sz w:val="22"/>
                <w:szCs w:val="22"/>
              </w:rPr>
            </w:pPr>
            <w:r w:rsidRPr="005A615E">
              <w:rPr>
                <w:rFonts w:ascii="Times New Roman" w:hAnsi="Times New Roman"/>
                <w:bCs/>
                <w:sz w:val="22"/>
                <w:szCs w:val="22"/>
              </w:rPr>
              <w:t>Для АТ «ЖИТОМИРОБЛЕНЕРГО», ПРАТ «КІРОВОГРАДОБЛЕНЕРГО», ПРАТ «РІВНЕОБЛЕНЕРГО», АТ «ХЕРСОНОБЛЕНЕРГО», АТ «ЧЕРНІВЦІОБЛЕНЕРГО» економія операційних контрольованих витрат за перший регуляторний період за 2022 – 2026 роки не визначається, а при визначенні економії операційних контрольованих витрат за попередній регуляторний період показник k не враховує 2022 – 2026 роки.</w:t>
            </w: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 xml:space="preserve">Пропонується уточнення формулювання та зміна підходу до визначення базових </w:t>
            </w:r>
            <w:r w:rsidRPr="005A615E">
              <w:rPr>
                <w:rFonts w:ascii="Times New Roman" w:eastAsia="Times New Roman" w:hAnsi="Times New Roman"/>
                <w:sz w:val="24"/>
                <w:szCs w:val="28"/>
                <w:lang w:eastAsia="ru-RU"/>
              </w:rPr>
              <w:t xml:space="preserve">рівнів операційних контрольованих витрат на другий рік </w:t>
            </w:r>
            <w:r w:rsidRPr="005A615E">
              <w:rPr>
                <w:rFonts w:ascii="Times New Roman" w:hAnsi="Times New Roman"/>
                <w:shd w:val="clear" w:color="auto" w:fill="FFFFFF"/>
              </w:rPr>
              <w:t>другого та наступних регуляторних періодів, оскільки запропонований підхід спотворює визначення коригування ОКВ в частині економії попереднього регуляторного і протирічить концепції стимулюючого регулювання.</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spacing w:line="257" w:lineRule="auto"/>
              <w:jc w:val="both"/>
              <w:rPr>
                <w:rFonts w:ascii="Times New Roman" w:hAnsi="Times New Roman"/>
                <w:b/>
                <w:iCs/>
              </w:rPr>
            </w:pPr>
            <w:r w:rsidRPr="005A615E">
              <w:rPr>
                <w:rFonts w:ascii="Times New Roman" w:hAnsi="Times New Roman"/>
                <w:bCs/>
                <w:iCs/>
                <w:lang w:eastAsia="uk-UA"/>
              </w:rPr>
              <w:t xml:space="preserve">При формуванні базових рівнів операційних контрольованих витрат на перший рік другого та наступних регуляторних періодів пропонуємо </w:t>
            </w:r>
            <w:r w:rsidRPr="005A615E">
              <w:rPr>
                <w:rFonts w:ascii="Times New Roman" w:hAnsi="Times New Roman"/>
                <w:b/>
                <w:iCs/>
                <w:lang w:eastAsia="uk-UA"/>
              </w:rPr>
              <w:t>вивести</w:t>
            </w:r>
            <w:r w:rsidRPr="005A615E">
              <w:rPr>
                <w:rFonts w:ascii="Times New Roman" w:hAnsi="Times New Roman"/>
                <w:b/>
                <w:iCs/>
              </w:rPr>
              <w:t xml:space="preserve"> з</w:t>
            </w:r>
            <w:r w:rsidRPr="005A615E">
              <w:rPr>
                <w:rFonts w:ascii="Times New Roman" w:hAnsi="Times New Roman"/>
                <w:bCs/>
                <w:iCs/>
              </w:rPr>
              <w:t xml:space="preserve"> «О</w:t>
            </w:r>
            <w:r w:rsidRPr="005A615E">
              <w:rPr>
                <w:rFonts w:ascii="Times New Roman" w:hAnsi="Times New Roman"/>
                <w:bCs/>
                <w:iCs/>
                <w:lang w:eastAsia="uk-UA"/>
              </w:rPr>
              <w:t>пераційних контрольованих витрат»</w:t>
            </w:r>
            <w:r w:rsidRPr="005A615E">
              <w:rPr>
                <w:rFonts w:ascii="Times New Roman" w:hAnsi="Times New Roman"/>
                <w:bCs/>
                <w:iCs/>
              </w:rPr>
              <w:t xml:space="preserve"> статтю </w:t>
            </w:r>
            <w:r w:rsidRPr="005A615E">
              <w:rPr>
                <w:rFonts w:ascii="Times New Roman" w:hAnsi="Times New Roman"/>
                <w:b/>
                <w:iCs/>
              </w:rPr>
              <w:t>витрат «Витрати на електроенергію для господарчих потреб» та виокремити її, як окрему статтею витрат.</w:t>
            </w:r>
          </w:p>
          <w:p w:rsidR="00CF2AC1" w:rsidRPr="005A615E" w:rsidRDefault="00CF2AC1" w:rsidP="00CF2AC1">
            <w:pPr>
              <w:spacing w:line="257" w:lineRule="auto"/>
              <w:jc w:val="both"/>
              <w:rPr>
                <w:rFonts w:ascii="Times New Roman" w:hAnsi="Times New Roman"/>
                <w:bCs/>
                <w:iCs/>
              </w:rPr>
            </w:pPr>
            <w:r w:rsidRPr="005A615E">
              <w:rPr>
                <w:rFonts w:ascii="Times New Roman" w:hAnsi="Times New Roman"/>
                <w:bCs/>
                <w:iCs/>
              </w:rPr>
              <w:t>Зазначені витрати не залежить від управлінських рішень Товариства, а прямо залежать від цінової кон’юнктури Ринку електричної енергії.</w:t>
            </w:r>
          </w:p>
          <w:p w:rsidR="00CF2AC1" w:rsidRPr="005A615E" w:rsidRDefault="00CF2AC1" w:rsidP="00CF2AC1">
            <w:pPr>
              <w:spacing w:line="257" w:lineRule="auto"/>
              <w:jc w:val="both"/>
              <w:rPr>
                <w:rFonts w:ascii="Times New Roman" w:hAnsi="Times New Roman"/>
                <w:b/>
                <w:iCs/>
              </w:rPr>
            </w:pPr>
            <w:r w:rsidRPr="005A615E">
              <w:rPr>
                <w:rFonts w:ascii="Times New Roman" w:hAnsi="Times New Roman"/>
                <w:b/>
                <w:iCs/>
              </w:rPr>
              <w:t>Для розрахунку статті витрат «Витрати на електроенергію для господарчих потреб» пропонуємо застосовувати ціну електричної енергії на РДН, з коефіцієнтом «1,3», що наближено буде відповідати фактичній ціні електроенергії для господарчих потреб</w:t>
            </w:r>
          </w:p>
          <w:p w:rsidR="00CF2AC1" w:rsidRPr="005A615E" w:rsidRDefault="00CF2AC1" w:rsidP="00CF2AC1">
            <w:pPr>
              <w:spacing w:line="257" w:lineRule="auto"/>
              <w:jc w:val="both"/>
              <w:rPr>
                <w:rFonts w:ascii="Times New Roman" w:hAnsi="Times New Roman"/>
                <w:b/>
                <w:iCs/>
              </w:rPr>
            </w:pPr>
            <w:r w:rsidRPr="005A615E">
              <w:rPr>
                <w:rFonts w:ascii="Times New Roman" w:hAnsi="Times New Roman"/>
                <w:b/>
                <w:iCs/>
              </w:rPr>
              <w:t xml:space="preserve"> У випадку відхилення даної пропозиції та враховуючи відсутність управлінського впливу на дані витрати пропонуємо перенести статтю витрат «Витрати на електроенергію для господарчих потреб» до «Операційних неконтрольованих витрат».</w:t>
            </w:r>
          </w:p>
          <w:p w:rsidR="00CF2AC1" w:rsidRPr="005A615E" w:rsidRDefault="00CF2AC1" w:rsidP="00CF2AC1">
            <w:pPr>
              <w:spacing w:line="257" w:lineRule="auto"/>
              <w:jc w:val="both"/>
              <w:rPr>
                <w:rFonts w:ascii="Times New Roman" w:hAnsi="Times New Roman"/>
                <w:bCs/>
                <w:iCs/>
              </w:rPr>
            </w:pPr>
            <w:r w:rsidRPr="005A615E">
              <w:rPr>
                <w:rFonts w:ascii="Times New Roman" w:hAnsi="Times New Roman"/>
                <w:bCs/>
                <w:iCs/>
              </w:rPr>
              <w:t xml:space="preserve">Стаття витрат «Витрати на електроенергію </w:t>
            </w:r>
            <w:r w:rsidRPr="005A615E">
              <w:rPr>
                <w:rFonts w:ascii="Times New Roman" w:hAnsi="Times New Roman"/>
                <w:iCs/>
              </w:rPr>
              <w:t>для господарчих потреб»</w:t>
            </w:r>
            <w:r w:rsidRPr="005A615E">
              <w:rPr>
                <w:rFonts w:ascii="Times New Roman" w:hAnsi="Times New Roman"/>
                <w:b/>
                <w:iCs/>
              </w:rPr>
              <w:t xml:space="preserve"> </w:t>
            </w:r>
            <w:r w:rsidRPr="005A615E">
              <w:rPr>
                <w:rFonts w:ascii="Times New Roman" w:hAnsi="Times New Roman"/>
                <w:bCs/>
                <w:iCs/>
              </w:rPr>
              <w:t>не залежить від управлінських рішень Товариства, а прямо залежать від цінової кон’юнктури Ринку електричної енергії.</w:t>
            </w:r>
          </w:p>
          <w:p w:rsidR="00CF2AC1" w:rsidRPr="005A615E" w:rsidRDefault="00CF2AC1" w:rsidP="00CF2AC1">
            <w:pPr>
              <w:spacing w:line="257" w:lineRule="auto"/>
              <w:jc w:val="both"/>
              <w:rPr>
                <w:rFonts w:ascii="Times New Roman" w:hAnsi="Times New Roman"/>
                <w:b/>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«Кіровоградобленерго» (лист від 27.07.2026  № 3919/05/34), АТ «Прикарпаттяобленерго» (лист </w:t>
            </w:r>
            <w:r w:rsidRPr="005A615E">
              <w:rPr>
                <w:rFonts w:ascii="Times New Roman" w:hAnsi="Times New Roman"/>
                <w:b/>
                <w:sz w:val="24"/>
                <w:u w:val="single"/>
              </w:rPr>
              <w:br/>
              <w:t>від 27.07.2026 № 50012257/12)</w:t>
            </w:r>
          </w:p>
          <w:p w:rsidR="00CF2AC1" w:rsidRPr="005A615E" w:rsidRDefault="00CF2AC1" w:rsidP="00CF2AC1">
            <w:pPr>
              <w:spacing w:line="257" w:lineRule="auto"/>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ind w:firstLine="173"/>
              <w:contextualSpacing/>
              <w:jc w:val="both"/>
              <w:rPr>
                <w:rFonts w:ascii="Times New Roman" w:hAnsi="Times New Roman"/>
              </w:rPr>
            </w:pPr>
            <w:r w:rsidRPr="005A615E">
              <w:rPr>
                <w:rFonts w:ascii="Times New Roman" w:hAnsi="Times New Roman"/>
              </w:rPr>
              <w:t xml:space="preserve">Для першого року другого та наступних  регуляторних періодів </w:t>
            </w:r>
            <w:r w:rsidRPr="005A615E">
              <w:rPr>
                <w:rFonts w:ascii="Times New Roman" w:hAnsi="Times New Roman"/>
              </w:rPr>
              <w:br/>
              <w:t xml:space="preserve">при визначенні прогнозованого фонду оплати праці (витрат на оплату праці) у році t </w:t>
            </w:r>
            <m:oMath>
              <m:r>
                <w:rPr>
                  <w:rFonts w:ascii="Cambria Math" w:hAnsi="Cambria Math"/>
                </w:rPr>
                <m:t>(</m:t>
              </m:r>
              <m:sSubSup>
                <m:sSubSupPr>
                  <m:ctrlPr>
                    <w:rPr>
                      <w:rFonts w:ascii="Cambria Math" w:hAnsi="Cambria Math"/>
                      <w:i/>
                    </w:rPr>
                  </m:ctrlPr>
                </m:sSubSupPr>
                <m:e>
                  <m:r>
                    <w:rPr>
                      <w:rFonts w:ascii="Cambria Math" w:hAnsi="Cambria Math"/>
                      <w:lang w:eastAsia="uk-UA"/>
                    </w:rPr>
                    <m:t>ФОП</m:t>
                  </m:r>
                </m:e>
                <m:sub>
                  <m:r>
                    <w:rPr>
                      <w:rFonts w:ascii="Cambria Math" w:hAnsi="Cambria Math"/>
                      <w:lang w:eastAsia="uk-UA"/>
                    </w:rPr>
                    <m:t>t</m:t>
                  </m:r>
                </m:sub>
                <m:sup>
                  <m:r>
                    <w:rPr>
                      <w:rFonts w:ascii="Cambria Math" w:hAnsi="Cambria Math"/>
                      <w:lang w:eastAsia="uk-UA"/>
                    </w:rPr>
                    <m:t>n</m:t>
                  </m:r>
                </m:sup>
              </m:sSubSup>
              <m:r>
                <w:rPr>
                  <w:rFonts w:ascii="Cambria Math" w:hAnsi="Cambria Math"/>
                </w:rPr>
                <m:t xml:space="preserve"> )</m:t>
              </m:r>
            </m:oMath>
            <w:r w:rsidRPr="005A615E">
              <w:rPr>
                <w:rFonts w:ascii="Times New Roman" w:hAnsi="Times New Roman"/>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lang w:eastAsia="uk-UA"/>
              </w:rPr>
              <w:t>(</w:t>
            </w:r>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m:t>
                  </m:r>
                </m:sub>
                <m:sup>
                  <m:r>
                    <w:rPr>
                      <w:rFonts w:ascii="Cambria Math" w:hAnsi="Cambria Math"/>
                      <w:lang w:eastAsia="uk-UA"/>
                    </w:rPr>
                    <m:t>тар</m:t>
                  </m:r>
                </m:sup>
              </m:sSubSup>
            </m:oMath>
            <w:r w:rsidRPr="005A615E">
              <w:rPr>
                <w:rFonts w:ascii="Times New Roman" w:hAnsi="Times New Roman"/>
                <w:lang w:eastAsia="uk-UA"/>
              </w:rPr>
              <w:t xml:space="preserve">) </w:t>
            </w:r>
            <w:r w:rsidRPr="005A615E">
              <w:rPr>
                <w:rFonts w:ascii="Times New Roman" w:hAnsi="Times New Roman"/>
              </w:rPr>
              <w:t>розраховується за формулою</w:t>
            </w:r>
          </w:p>
          <w:p w:rsidR="00CF2AC1" w:rsidRPr="005A615E" w:rsidRDefault="00CF2AC1" w:rsidP="00CF2AC1">
            <w:pPr>
              <w:ind w:firstLine="173"/>
              <w:jc w:val="both"/>
              <w:rPr>
                <w:rFonts w:ascii="Times New Roman" w:hAnsi="Times New Roman"/>
                <w:szCs w:val="28"/>
              </w:rPr>
            </w:pPr>
          </w:p>
          <w:p w:rsidR="00CF2AC1" w:rsidRPr="005A615E" w:rsidRDefault="000D13C5" w:rsidP="00CF2AC1">
            <w:pPr>
              <w:shd w:val="clear" w:color="auto" w:fill="FFFFFF"/>
              <w:spacing w:after="150"/>
              <w:ind w:firstLine="450"/>
              <w:jc w:val="both"/>
              <w:rPr>
                <w:rFonts w:eastAsiaTheme="minorEastAsia"/>
                <w:b/>
                <w:u w:val="single"/>
              </w:rPr>
            </w:pPr>
            <m:oMathPara>
              <m:oMath>
                <m:sSubSup>
                  <m:sSubSupPr>
                    <m:ctrlPr>
                      <w:rPr>
                        <w:rFonts w:ascii="Cambria Math" w:hAnsi="Cambria Math"/>
                        <w:b/>
                        <w:i/>
                        <w:lang w:eastAsia="uk-UA"/>
                      </w:rPr>
                    </m:ctrlPr>
                  </m:sSubSupPr>
                  <m:e>
                    <m:r>
                      <m:rPr>
                        <m:sty m:val="bi"/>
                      </m:rPr>
                      <w:rPr>
                        <w:rFonts w:ascii="Cambria Math" w:hAnsi="Cambria Math"/>
                        <w:lang w:eastAsia="uk-UA"/>
                      </w:rPr>
                      <m:t>ТЧП</m:t>
                    </m:r>
                  </m:e>
                  <m:sub>
                    <m:r>
                      <m:rPr>
                        <m:sty m:val="bi"/>
                      </m:rPr>
                      <w:rPr>
                        <w:rFonts w:ascii="Cambria Math" w:hAnsi="Cambria Math"/>
                        <w:lang w:val="en-US" w:eastAsia="uk-UA"/>
                      </w:rPr>
                      <m:t>t</m:t>
                    </m:r>
                  </m:sub>
                  <m:sup>
                    <m:r>
                      <m:rPr>
                        <m:sty m:val="bi"/>
                      </m:rPr>
                      <w:rPr>
                        <w:rFonts w:ascii="Cambria Math" w:hAnsi="Cambria Math"/>
                        <w:lang w:eastAsia="uk-UA"/>
                      </w:rPr>
                      <m:t>тар</m:t>
                    </m:r>
                  </m:sup>
                </m:sSubSup>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ТЧП</m:t>
                    </m:r>
                  </m:e>
                  <m:sub>
                    <m:r>
                      <m:rPr>
                        <m:sty m:val="bi"/>
                      </m:rPr>
                      <w:rPr>
                        <w:rFonts w:ascii="Cambria Math" w:hAnsi="Cambria Math"/>
                        <w:lang w:eastAsia="uk-UA"/>
                      </w:rPr>
                      <m:t>t-1</m:t>
                    </m:r>
                  </m:sub>
                  <m:sup>
                    <m:r>
                      <m:rPr>
                        <m:sty m:val="bi"/>
                      </m:rPr>
                      <w:rPr>
                        <w:rFonts w:ascii="Cambria Math" w:hAnsi="Cambria Math"/>
                        <w:lang w:eastAsia="uk-UA"/>
                      </w:rPr>
                      <m:t>тар</m:t>
                    </m:r>
                  </m:sup>
                </m:sSubSup>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КУ</m:t>
                    </m:r>
                  </m:e>
                  <m:sub>
                    <m:r>
                      <m:rPr>
                        <m:sty m:val="bi"/>
                      </m:rPr>
                      <w:rPr>
                        <w:rFonts w:ascii="Cambria Math" w:hAnsi="Cambria Math"/>
                        <w:lang w:eastAsia="uk-UA"/>
                      </w:rPr>
                      <m:t>УО</m:t>
                    </m:r>
                  </m:sub>
                  <m:sup>
                    <m:r>
                      <m:rPr>
                        <m:sty m:val="bi"/>
                      </m:rPr>
                      <w:rPr>
                        <w:rFonts w:ascii="Cambria Math" w:hAnsi="Cambria Math"/>
                        <w:lang w:eastAsia="uk-UA"/>
                      </w:rPr>
                      <m:t>І</m:t>
                    </m:r>
                  </m:sup>
                </m:sSubSup>
                <m:r>
                  <m:rPr>
                    <m:sty m:val="bi"/>
                  </m:rPr>
                  <w:rPr>
                    <w:rFonts w:ascii="Cambria Math" w:hAnsi="Cambria Math"/>
                    <w:lang w:eastAsia="uk-UA"/>
                  </w:rPr>
                  <m:t xml:space="preserve">,    </m:t>
                </m:r>
                <m:r>
                  <m:rPr>
                    <m:sty m:val="b"/>
                  </m:rPr>
                  <w:rPr>
                    <w:rFonts w:ascii="Cambria Math" w:hAnsi="Cambria Math"/>
                    <w:u w:val="single"/>
                  </w:rPr>
                  <m:t>осіб ,</m:t>
                </m:r>
                <m:r>
                  <m:rPr>
                    <m:sty m:val="b"/>
                  </m:rPr>
                  <w:rPr>
                    <w:rFonts w:ascii="Cambria Math" w:hAnsi="Cambria Math"/>
                  </w:rPr>
                  <m:t xml:space="preserve">   </m:t>
                </m:r>
                <w:hyperlink r:id="rId175" w:tgtFrame="_blank" w:history="1">
                  <m:r>
                    <m:rPr>
                      <m:sty m:val="b"/>
                    </m:rPr>
                    <w:rPr>
                      <w:rFonts w:ascii="Cambria Math" w:hAnsi="Cambria Math"/>
                      <w:u w:val="single"/>
                    </w:rPr>
                    <m:t>(14)</m:t>
                  </m:r>
                </w:hyperlink>
              </m:oMath>
            </m:oMathPara>
          </w:p>
          <w:p w:rsidR="00CF2AC1" w:rsidRPr="005A615E" w:rsidRDefault="00CF2AC1" w:rsidP="00CF2AC1">
            <w:pPr>
              <w:shd w:val="clear" w:color="auto" w:fill="FFFFFF"/>
              <w:spacing w:after="150"/>
              <w:ind w:firstLine="450"/>
              <w:jc w:val="both"/>
              <w:rPr>
                <w:szCs w:val="28"/>
              </w:rPr>
            </w:pPr>
            <w:r w:rsidRPr="005A615E">
              <w:rPr>
                <w:szCs w:val="28"/>
              </w:rPr>
              <w:t>…</w:t>
            </w:r>
          </w:p>
          <w:p w:rsidR="00CF2AC1" w:rsidRPr="005A615E" w:rsidRDefault="00CF2AC1" w:rsidP="00CF2AC1">
            <w:pPr>
              <w:shd w:val="clear" w:color="auto" w:fill="FFFFFF"/>
              <w:ind w:firstLine="173"/>
              <w:contextualSpacing/>
              <w:jc w:val="both"/>
              <w:rPr>
                <w:rFonts w:ascii="Times New Roman" w:hAnsi="Times New Roman"/>
              </w:rPr>
            </w:pPr>
            <w:r w:rsidRPr="005A615E">
              <w:rPr>
                <w:rFonts w:ascii="Times New Roman" w:hAnsi="Times New Roman"/>
              </w:rPr>
              <w:t xml:space="preserve">Для другого року другого та наступних регуляторних періодів при визначенні прогнозованого фонду оплати праці (витрат на оплату праці) у році t </w:t>
            </w:r>
            <m:oMath>
              <m:r>
                <w:rPr>
                  <w:rFonts w:ascii="Cambria Math" w:hAnsi="Cambria Math"/>
                </w:rPr>
                <m:t>(</m:t>
              </m:r>
              <m:sSubSup>
                <m:sSubSupPr>
                  <m:ctrlPr>
                    <w:rPr>
                      <w:rFonts w:ascii="Cambria Math" w:hAnsi="Cambria Math"/>
                      <w:i/>
                    </w:rPr>
                  </m:ctrlPr>
                </m:sSubSupPr>
                <m:e>
                  <m:r>
                    <w:rPr>
                      <w:rFonts w:ascii="Cambria Math" w:hAnsi="Cambria Math"/>
                      <w:lang w:eastAsia="uk-UA"/>
                    </w:rPr>
                    <m:t>ФОП</m:t>
                  </m:r>
                </m:e>
                <m:sub>
                  <m:r>
                    <w:rPr>
                      <w:rFonts w:ascii="Cambria Math" w:hAnsi="Cambria Math"/>
                      <w:lang w:eastAsia="uk-UA"/>
                    </w:rPr>
                    <m:t>t</m:t>
                  </m:r>
                </m:sub>
                <m:sup>
                  <m:r>
                    <w:rPr>
                      <w:rFonts w:ascii="Cambria Math" w:hAnsi="Cambria Math"/>
                      <w:lang w:eastAsia="uk-UA"/>
                    </w:rPr>
                    <m:t>n</m:t>
                  </m:r>
                </m:sup>
              </m:sSubSup>
              <m:r>
                <w:rPr>
                  <w:rFonts w:ascii="Cambria Math" w:hAnsi="Cambria Math"/>
                </w:rPr>
                <m:t>)</m:t>
              </m:r>
            </m:oMath>
            <w:r w:rsidRPr="005A615E">
              <w:rPr>
                <w:rFonts w:ascii="Times New Roman" w:hAnsi="Times New Roman"/>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lang w:eastAsia="uk-UA"/>
              </w:rPr>
              <w:t>(</w:t>
            </w:r>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m:t>
                  </m:r>
                </m:sub>
                <m:sup>
                  <m:r>
                    <w:rPr>
                      <w:rFonts w:ascii="Cambria Math" w:hAnsi="Cambria Math"/>
                      <w:lang w:eastAsia="uk-UA"/>
                    </w:rPr>
                    <m:t>тар</m:t>
                  </m:r>
                </m:sup>
              </m:sSubSup>
            </m:oMath>
            <w:r w:rsidRPr="005A615E">
              <w:rPr>
                <w:rFonts w:ascii="Times New Roman" w:hAnsi="Times New Roman"/>
                <w:lang w:eastAsia="uk-UA"/>
              </w:rPr>
              <w:t xml:space="preserve">) </w:t>
            </w:r>
            <w:r w:rsidRPr="005A615E">
              <w:rPr>
                <w:rFonts w:ascii="Times New Roman" w:hAnsi="Times New Roman"/>
              </w:rPr>
              <w:t>розраховується за формулою</w:t>
            </w:r>
          </w:p>
          <w:p w:rsidR="00CF2AC1" w:rsidRPr="005A615E" w:rsidRDefault="00CF2AC1" w:rsidP="00CF2AC1">
            <w:pPr>
              <w:shd w:val="clear" w:color="auto" w:fill="FFFFFF"/>
              <w:ind w:firstLine="173"/>
              <w:contextualSpacing/>
              <w:jc w:val="both"/>
              <w:rPr>
                <w:rFonts w:ascii="Times New Roman" w:hAnsi="Times New Roman"/>
                <w:sz w:val="8"/>
                <w:szCs w:val="8"/>
              </w:rPr>
            </w:pPr>
          </w:p>
          <w:p w:rsidR="00CF2AC1" w:rsidRPr="005A615E" w:rsidRDefault="000D13C5" w:rsidP="00CF2AC1">
            <w:pPr>
              <w:shd w:val="clear" w:color="auto" w:fill="FFFFFF"/>
              <w:spacing w:after="150"/>
              <w:ind w:firstLine="450"/>
              <w:jc w:val="both"/>
              <w:rPr>
                <w:rFonts w:ascii="Times New Roman" w:eastAsiaTheme="minorEastAsia" w:hAnsi="Times New Roman"/>
                <w:szCs w:val="28"/>
                <w:u w:val="single"/>
              </w:rPr>
            </w:pPr>
            <m:oMathPara>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val="en-US" w:eastAsia="uk-UA"/>
                      </w:rPr>
                      <m:t>t</m:t>
                    </m:r>
                  </m:sub>
                  <m:sup>
                    <m:r>
                      <w:rPr>
                        <w:rFonts w:ascii="Cambria Math" w:hAnsi="Cambria Math"/>
                        <w:lang w:eastAsia="uk-UA"/>
                      </w:rPr>
                      <m:t>тар</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t-1</m:t>
                    </m:r>
                  </m:sub>
                  <m:sup>
                    <m:r>
                      <w:rPr>
                        <w:rFonts w:ascii="Cambria Math" w:hAnsi="Cambria Math"/>
                        <w:lang w:eastAsia="uk-UA"/>
                      </w:rPr>
                      <m:t>тар</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КУ</m:t>
                    </m:r>
                  </m:e>
                  <m:sub>
                    <m:r>
                      <w:rPr>
                        <w:rFonts w:ascii="Cambria Math" w:hAnsi="Cambria Math"/>
                        <w:lang w:eastAsia="uk-UA"/>
                      </w:rPr>
                      <m:t>УО</m:t>
                    </m:r>
                  </m:sub>
                  <m:sup>
                    <m:r>
                      <w:rPr>
                        <w:rFonts w:ascii="Cambria Math" w:hAnsi="Cambria Math"/>
                        <w:lang w:eastAsia="uk-UA"/>
                      </w:rPr>
                      <m:t>II</m:t>
                    </m:r>
                  </m:sup>
                </m:sSubSup>
                <m:r>
                  <w:rPr>
                    <w:rFonts w:ascii="Cambria Math" w:hAnsi="Cambria Math"/>
                    <w:lang w:eastAsia="uk-UA"/>
                  </w:rPr>
                  <m:t xml:space="preserve">,    </m:t>
                </m:r>
                <m:r>
                  <m:rPr>
                    <m:sty m:val="p"/>
                  </m:rPr>
                  <w:rPr>
                    <w:rFonts w:ascii="Cambria Math" w:hAnsi="Cambria Math"/>
                    <w:szCs w:val="28"/>
                    <w:u w:val="single"/>
                  </w:rPr>
                  <m:t xml:space="preserve">осіб,   </m:t>
                </m:r>
                <w:hyperlink r:id="rId176" w:tgtFrame="_blank" w:history="1">
                  <m:r>
                    <m:rPr>
                      <m:sty m:val="p"/>
                    </m:rPr>
                    <w:rPr>
                      <w:rFonts w:ascii="Cambria Math" w:hAnsi="Cambria Math"/>
                      <w:szCs w:val="28"/>
                      <w:u w:val="single"/>
                    </w:rPr>
                    <m:t>(17)</m:t>
                  </m:r>
                </w:hyperlink>
              </m:oMath>
            </m:oMathPara>
          </w:p>
          <w:p w:rsidR="00CF2AC1" w:rsidRPr="005A615E" w:rsidRDefault="00CF2AC1" w:rsidP="00CF2AC1">
            <w:pPr>
              <w:rPr>
                <w:rFonts w:ascii="Times New Roman" w:hAnsi="Times New Roman"/>
                <w:szCs w:val="28"/>
                <w:u w:val="single"/>
              </w:rPr>
            </w:pPr>
            <w:r w:rsidRPr="005A615E">
              <w:rPr>
                <w:rFonts w:ascii="Times New Roman" w:hAnsi="Times New Roman"/>
                <w:b/>
                <w:i/>
                <w:u w:val="single"/>
              </w:rPr>
              <w:t>Обгрунтування</w:t>
            </w:r>
          </w:p>
          <w:p w:rsidR="00CF2AC1" w:rsidRPr="005A615E" w:rsidRDefault="00CF2AC1" w:rsidP="00CF2AC1">
            <w:pPr>
              <w:ind w:firstLine="459"/>
              <w:jc w:val="both"/>
              <w:rPr>
                <w:rFonts w:ascii="Times New Roman" w:hAnsi="Times New Roman"/>
                <w:lang w:eastAsia="uk-UA"/>
              </w:rPr>
            </w:pPr>
            <w:r w:rsidRPr="005A615E">
              <w:rPr>
                <w:rFonts w:ascii="Times New Roman" w:hAnsi="Times New Roman"/>
                <w:lang w:eastAsia="uk-UA"/>
              </w:rPr>
              <w:t xml:space="preserve">Застосування зменшувального множника, що формується за рахунок попередньо встановлюваних показників ефективності для операційних контрольованих витрат, призводить до зменшення кількості персоналу при звичайному збільшенні умовних одиниць обладнання, особливо при застосуванні цих показників ефективності у кожному році регуляторного періоду. </w:t>
            </w:r>
          </w:p>
          <w:p w:rsidR="00CF2AC1" w:rsidRPr="005A615E" w:rsidRDefault="00CF2AC1" w:rsidP="00CF2AC1">
            <w:pPr>
              <w:ind w:firstLine="459"/>
              <w:jc w:val="both"/>
              <w:rPr>
                <w:rFonts w:ascii="Times New Roman" w:hAnsi="Times New Roman"/>
                <w:bCs/>
                <w:lang w:eastAsia="uk-UA"/>
              </w:rPr>
            </w:pPr>
            <w:r w:rsidRPr="005A615E">
              <w:rPr>
                <w:rFonts w:ascii="Times New Roman" w:hAnsi="Times New Roman"/>
                <w:bCs/>
                <w:lang w:eastAsia="uk-UA"/>
              </w:rPr>
              <w:t>Показники ефективності мають застосовуватися до структури фінансових витрат, а не до абсолютної кількості людей, необхідних для безпечної експлуатації мереж. Застосування коефіцієнтів ефективності до чисельності персоналу створює принциповий конфлікт між фізичним обсягом виробничих завдань та кількістю працівників. Згідно з галузевими нормами, збільшення кількості умовних одиниць обладнання вимагає більшого обсягу людино-годин для регламентних робіт, оглядів та ліквідації аварій. Натомість регуляторний множник штучно скорочує чисельність персоналу саме під час зростання обсягів обладнання, що створює понаднормове навантаження на одного працівника, яке фізично перевищує 100% робочого часу. Часові інтервали підготовки робочих місць, допусків та виконання технічних операцій неможливо скоротити адміністративним шляхом без прямого порушення правил охорони праці. Крім того, мережі є географічно розподіленими, і скорочення персоналу лише збільшує радіус обслуговування для бригад, вичерпуючи корисний робочий час на доїзд до об'єктів.</w:t>
            </w:r>
          </w:p>
          <w:p w:rsidR="00CF2AC1" w:rsidRPr="005A615E" w:rsidRDefault="00CF2AC1" w:rsidP="00CF2AC1">
            <w:pPr>
              <w:shd w:val="clear" w:color="auto" w:fill="FFFFFF"/>
              <w:spacing w:after="150"/>
              <w:ind w:firstLine="450"/>
              <w:jc w:val="both"/>
              <w:rPr>
                <w:rFonts w:ascii="Times New Roman" w:hAnsi="Times New Roman"/>
                <w:bCs/>
                <w:lang w:eastAsia="uk-UA"/>
              </w:rPr>
            </w:pPr>
            <w:r w:rsidRPr="005A615E">
              <w:rPr>
                <w:rFonts w:ascii="Times New Roman" w:hAnsi="Times New Roman"/>
                <w:bCs/>
                <w:lang w:eastAsia="uk-UA"/>
              </w:rPr>
              <w:t>Таке штучне скорочення чисельності призведе до порушення періодичності регламентних робіт, погіршення якості електроенергії, затримок в усуненні відхилень напруги та зростання аварійності. Надмірне навантаження без належного покриття в тарифному фонді оплати праці провокує високу плинність кадрів і відтік кваліфікованих інженерів та електромонтерів. Виключення зменшувального множника з розрахунку тарифної чисельності дозволить зберегти кадровий потенціал ОСР та забезпечити дотримання державних стандартів надійності й безпеки електропостачання.</w:t>
            </w:r>
          </w:p>
          <w:p w:rsidR="00CF2AC1" w:rsidRPr="005A615E" w:rsidRDefault="00CF2AC1" w:rsidP="00CF2AC1">
            <w:pPr>
              <w:jc w:val="both"/>
              <w:rPr>
                <w:rFonts w:ascii="Times New Roman" w:hAnsi="Times New Roman"/>
                <w:b/>
                <w:sz w:val="24"/>
                <w:u w:val="single"/>
              </w:rPr>
            </w:pPr>
            <w:r w:rsidRPr="005A615E">
              <w:rPr>
                <w:rFonts w:ascii="Times New Roman" w:hAnsi="Times New Roman"/>
                <w:b/>
                <w:i/>
                <w:u w:val="single"/>
              </w:rPr>
              <w:t>Обгрунтування</w:t>
            </w:r>
            <w:r w:rsidRPr="005A615E">
              <w:rPr>
                <w:rFonts w:ascii="Times New Roman" w:hAnsi="Times New Roman"/>
                <w:b/>
                <w:sz w:val="24"/>
                <w:u w:val="single"/>
              </w:rPr>
              <w:t xml:space="preserve"> АТ «Прикарпаттяобленерго» </w:t>
            </w:r>
          </w:p>
          <w:p w:rsidR="00CF2AC1" w:rsidRPr="005A615E" w:rsidRDefault="00CF2AC1" w:rsidP="00CF2AC1">
            <w:pPr>
              <w:shd w:val="clear" w:color="auto" w:fill="FFFFFF"/>
              <w:jc w:val="both"/>
              <w:rPr>
                <w:rFonts w:ascii="Times New Roman" w:hAnsi="Times New Roman"/>
                <w:shd w:val="clear" w:color="auto" w:fill="FFFFFF"/>
              </w:rPr>
            </w:pPr>
            <w:r w:rsidRPr="005A615E">
              <w:rPr>
                <w:rFonts w:ascii="Times New Roman" w:hAnsi="Times New Roman"/>
                <w:bCs/>
                <w:lang w:eastAsia="uk-UA"/>
              </w:rPr>
              <w:t xml:space="preserve">ПЕз - </w:t>
            </w:r>
            <w:r w:rsidRPr="005A615E">
              <w:rPr>
                <w:rFonts w:ascii="Times New Roman" w:hAnsi="Times New Roman"/>
                <w:shd w:val="clear" w:color="auto" w:fill="FFFFFF"/>
              </w:rPr>
              <w:t>загальний показник ефективності, встановлений НКРЕКП для операційних контрольованих витрат, пропонуємо вилучити його з формули розрахунку тарифної чисельності на перший рік другого та наступних регуляторних періодів</w:t>
            </w:r>
          </w:p>
          <w:p w:rsidR="00CF2AC1" w:rsidRPr="005A615E" w:rsidRDefault="00CF2AC1" w:rsidP="00CF2AC1">
            <w:pPr>
              <w:shd w:val="clear" w:color="auto" w:fill="FFFFFF"/>
              <w:jc w:val="both"/>
              <w:rPr>
                <w:rFonts w:ascii="Times New Roman" w:hAnsi="Times New Roman"/>
                <w:shd w:val="clear" w:color="auto" w:fill="FFFFFF"/>
              </w:rPr>
            </w:pPr>
            <w:r w:rsidRPr="005A615E">
              <w:rPr>
                <w:rFonts w:ascii="Times New Roman" w:hAnsi="Times New Roman"/>
                <w:shd w:val="clear" w:color="auto" w:fill="FFFFFF"/>
              </w:rPr>
              <w:t>Також ПЕз - загальний показник ефективності, встановлений НКРЕКП для операційних контрольованих витрат, пропонуємо вилучити його з формули розрахунку тарифної чисельності на другий рік другого та наступних регуляторних періодів.</w:t>
            </w:r>
          </w:p>
          <w:p w:rsidR="00CF2AC1" w:rsidRPr="005A615E" w:rsidRDefault="00CF2AC1" w:rsidP="00CF2AC1">
            <w:pPr>
              <w:shd w:val="clear" w:color="auto" w:fill="FFFFFF"/>
              <w:jc w:val="both"/>
              <w:rPr>
                <w:rFonts w:ascii="Times New Roman" w:hAnsi="Times New Roman"/>
                <w:b/>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ind w:firstLine="173"/>
              <w:jc w:val="both"/>
              <w:rPr>
                <w:rFonts w:ascii="Times New Roman" w:hAnsi="Times New Roman"/>
                <w:szCs w:val="28"/>
              </w:rPr>
            </w:pPr>
            <w:r w:rsidRPr="005A615E">
              <w:rPr>
                <w:rFonts w:ascii="Times New Roman" w:hAnsi="Times New Roman"/>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shd w:val="clear" w:color="auto" w:fill="FFFFFF"/>
              <w:ind w:firstLine="173"/>
              <w:contextualSpacing/>
              <w:jc w:val="both"/>
              <w:rPr>
                <w:rFonts w:ascii="Times New Roman" w:hAnsi="Times New Roman"/>
              </w:rPr>
            </w:pPr>
            <w:r w:rsidRPr="005A615E">
              <w:rPr>
                <w:rFonts w:ascii="Times New Roman" w:hAnsi="Times New Roman"/>
              </w:rPr>
              <w:t xml:space="preserve">Для першого року другого та наступних  регуляторних періодів при визначенні прогнозованого фонду оплати праці (витрат на оплату праці) у році t </w:t>
            </w:r>
            <m:oMath>
              <m:r>
                <w:rPr>
                  <w:rFonts w:ascii="Cambria Math" w:hAnsi="Cambria Math"/>
                </w:rPr>
                <m:t>(</m:t>
              </m:r>
              <m:sSubSup>
                <m:sSubSupPr>
                  <m:ctrlPr>
                    <w:rPr>
                      <w:rFonts w:ascii="Cambria Math" w:hAnsi="Cambria Math"/>
                      <w:i/>
                    </w:rPr>
                  </m:ctrlPr>
                </m:sSubSupPr>
                <m:e>
                  <m:r>
                    <w:rPr>
                      <w:rFonts w:ascii="Cambria Math" w:hAnsi="Cambria Math"/>
                      <w:lang w:eastAsia="uk-UA"/>
                    </w:rPr>
                    <m:t>ФОП</m:t>
                  </m:r>
                </m:e>
                <m:sub>
                  <m:r>
                    <w:rPr>
                      <w:rFonts w:ascii="Cambria Math" w:hAnsi="Cambria Math"/>
                      <w:lang w:eastAsia="uk-UA"/>
                    </w:rPr>
                    <m:t>t</m:t>
                  </m:r>
                </m:sub>
                <m:sup>
                  <m:r>
                    <w:rPr>
                      <w:rFonts w:ascii="Cambria Math" w:hAnsi="Cambria Math"/>
                      <w:lang w:eastAsia="uk-UA"/>
                    </w:rPr>
                    <m:t>n</m:t>
                  </m:r>
                </m:sup>
              </m:sSubSup>
              <m:r>
                <w:rPr>
                  <w:rFonts w:ascii="Cambria Math" w:hAnsi="Cambria Math"/>
                </w:rPr>
                <m:t xml:space="preserve"> )</m:t>
              </m:r>
            </m:oMath>
            <w:r w:rsidRPr="005A615E">
              <w:rPr>
                <w:rFonts w:ascii="Times New Roman" w:hAnsi="Times New Roman"/>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lang w:eastAsia="uk-UA"/>
              </w:rPr>
              <w:t>(</w:t>
            </w:r>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m:t>
                  </m:r>
                </m:sub>
                <m:sup>
                  <m:r>
                    <w:rPr>
                      <w:rFonts w:ascii="Cambria Math" w:hAnsi="Cambria Math"/>
                      <w:lang w:eastAsia="uk-UA"/>
                    </w:rPr>
                    <m:t>тар</m:t>
                  </m:r>
                </m:sup>
              </m:sSubSup>
            </m:oMath>
            <w:r w:rsidRPr="005A615E">
              <w:rPr>
                <w:rFonts w:ascii="Times New Roman" w:hAnsi="Times New Roman"/>
                <w:lang w:eastAsia="uk-UA"/>
              </w:rPr>
              <w:t xml:space="preserve">) </w:t>
            </w:r>
            <w:r w:rsidRPr="005A615E">
              <w:rPr>
                <w:rFonts w:ascii="Times New Roman" w:hAnsi="Times New Roman"/>
              </w:rPr>
              <w:t>розраховується за формулою</w:t>
            </w:r>
          </w:p>
          <w:p w:rsidR="00CF2AC1" w:rsidRPr="005A615E" w:rsidRDefault="00CF2AC1" w:rsidP="00CF2AC1">
            <w:pPr>
              <w:ind w:firstLine="173"/>
              <w:jc w:val="both"/>
              <w:rPr>
                <w:rFonts w:ascii="Times New Roman" w:hAnsi="Times New Roman"/>
                <w:b/>
              </w:rPr>
            </w:pPr>
          </w:p>
          <w:p w:rsidR="00CF2AC1" w:rsidRPr="005A615E" w:rsidRDefault="000D13C5" w:rsidP="00CF2AC1">
            <w:pPr>
              <w:shd w:val="clear" w:color="auto" w:fill="FFFFFF"/>
              <w:ind w:firstLine="450"/>
              <w:jc w:val="both"/>
              <w:rPr>
                <w:rFonts w:ascii="Times New Roman" w:eastAsiaTheme="minorEastAsia" w:hAnsi="Times New Roman"/>
                <w:b/>
                <w:u w:val="single"/>
              </w:rPr>
            </w:pPr>
            <m:oMathPara>
              <m:oMath>
                <m:sSubSup>
                  <m:sSubSupPr>
                    <m:ctrlPr>
                      <w:rPr>
                        <w:rFonts w:ascii="Cambria Math" w:hAnsi="Cambria Math"/>
                        <w:b/>
                        <w:i/>
                        <w:lang w:eastAsia="uk-UA"/>
                      </w:rPr>
                    </m:ctrlPr>
                  </m:sSubSupPr>
                  <m:e>
                    <m:r>
                      <m:rPr>
                        <m:sty m:val="bi"/>
                      </m:rPr>
                      <w:rPr>
                        <w:rFonts w:ascii="Cambria Math" w:hAnsi="Cambria Math"/>
                        <w:lang w:eastAsia="uk-UA"/>
                      </w:rPr>
                      <m:t>ТЧП</m:t>
                    </m:r>
                  </m:e>
                  <m:sub>
                    <m:r>
                      <m:rPr>
                        <m:sty m:val="bi"/>
                      </m:rPr>
                      <w:rPr>
                        <w:rFonts w:ascii="Cambria Math" w:hAnsi="Cambria Math"/>
                        <w:lang w:val="en-US" w:eastAsia="uk-UA"/>
                      </w:rPr>
                      <m:t>t</m:t>
                    </m:r>
                  </m:sub>
                  <m:sup>
                    <m:r>
                      <m:rPr>
                        <m:sty m:val="bi"/>
                      </m:rPr>
                      <w:rPr>
                        <w:rFonts w:ascii="Cambria Math" w:hAnsi="Cambria Math"/>
                        <w:lang w:eastAsia="uk-UA"/>
                      </w:rPr>
                      <m:t>тар</m:t>
                    </m:r>
                  </m:sup>
                </m:sSubSup>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ТЧП</m:t>
                    </m:r>
                  </m:e>
                  <m:sub>
                    <m:r>
                      <m:rPr>
                        <m:sty m:val="bi"/>
                      </m:rPr>
                      <w:rPr>
                        <w:rFonts w:ascii="Cambria Math" w:hAnsi="Cambria Math"/>
                        <w:lang w:eastAsia="uk-UA"/>
                      </w:rPr>
                      <m:t>t-1</m:t>
                    </m:r>
                  </m:sub>
                  <m:sup>
                    <m:r>
                      <m:rPr>
                        <m:sty m:val="bi"/>
                      </m:rPr>
                      <w:rPr>
                        <w:rFonts w:ascii="Cambria Math" w:hAnsi="Cambria Math"/>
                        <w:lang w:eastAsia="uk-UA"/>
                      </w:rPr>
                      <m:t>тар</m:t>
                    </m:r>
                  </m:sup>
                </m:sSubSup>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КУ</m:t>
                    </m:r>
                  </m:e>
                  <m:sub>
                    <m:r>
                      <m:rPr>
                        <m:sty m:val="bi"/>
                      </m:rPr>
                      <w:rPr>
                        <w:rFonts w:ascii="Cambria Math" w:hAnsi="Cambria Math"/>
                        <w:lang w:eastAsia="uk-UA"/>
                      </w:rPr>
                      <m:t>УО</m:t>
                    </m:r>
                  </m:sub>
                  <m:sup>
                    <m:r>
                      <m:rPr>
                        <m:sty m:val="bi"/>
                      </m:rPr>
                      <w:rPr>
                        <w:rFonts w:ascii="Cambria Math" w:hAnsi="Cambria Math"/>
                        <w:lang w:eastAsia="uk-UA"/>
                      </w:rPr>
                      <m:t>І</m:t>
                    </m:r>
                  </m:sup>
                </m:sSubSup>
                <m:r>
                  <m:rPr>
                    <m:sty m:val="bi"/>
                  </m:rPr>
                  <w:rPr>
                    <w:rFonts w:ascii="Cambria Math" w:hAnsi="Cambria Math"/>
                    <w:lang w:eastAsia="uk-UA"/>
                  </w:rPr>
                  <m:t xml:space="preserve">,    </m:t>
                </m:r>
                <m:r>
                  <m:rPr>
                    <m:sty m:val="b"/>
                  </m:rPr>
                  <w:rPr>
                    <w:rFonts w:ascii="Cambria Math" w:hAnsi="Cambria Math"/>
                    <w:u w:val="single"/>
                  </w:rPr>
                  <m:t>осіб ,</m:t>
                </m:r>
                <m:r>
                  <m:rPr>
                    <m:sty m:val="b"/>
                  </m:rPr>
                  <w:rPr>
                    <w:rFonts w:ascii="Cambria Math" w:hAnsi="Cambria Math"/>
                  </w:rPr>
                  <m:t xml:space="preserve">   </m:t>
                </m:r>
                <w:hyperlink r:id="rId177" w:tgtFrame="_blank" w:history="1">
                  <m:r>
                    <m:rPr>
                      <m:sty m:val="b"/>
                    </m:rPr>
                    <w:rPr>
                      <w:rFonts w:ascii="Cambria Math" w:hAnsi="Cambria Math"/>
                      <w:u w:val="single"/>
                    </w:rPr>
                    <m:t>(14)</m:t>
                  </m:r>
                </w:hyperlink>
              </m:oMath>
            </m:oMathPara>
          </w:p>
          <w:p w:rsidR="00CF2AC1" w:rsidRPr="005A615E" w:rsidRDefault="00CF2AC1" w:rsidP="00CF2AC1">
            <w:pPr>
              <w:shd w:val="clear" w:color="auto" w:fill="FFFFFF"/>
              <w:ind w:firstLine="450"/>
              <w:jc w:val="both"/>
              <w:rPr>
                <w:rFonts w:ascii="Times New Roman" w:hAnsi="Times New Roman"/>
                <w:b/>
                <w:u w:val="single"/>
              </w:rPr>
            </w:pPr>
          </w:p>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 xml:space="preserve">де </w:t>
            </w:r>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t-1</m:t>
                  </m:r>
                </m:sub>
                <m:sup>
                  <m:r>
                    <w:rPr>
                      <w:rFonts w:ascii="Cambria Math" w:hAnsi="Cambria Math"/>
                      <w:lang w:eastAsia="uk-UA"/>
                    </w:rPr>
                    <m:t xml:space="preserve">тар </m:t>
                  </m:r>
                </m:sup>
              </m:sSubSup>
              <m:r>
                <w:rPr>
                  <w:rFonts w:ascii="Cambria Math" w:hAnsi="Cambria Math"/>
                  <w:lang w:eastAsia="uk-UA"/>
                </w:rPr>
                <m:t xml:space="preserve"> - </m:t>
              </m:r>
            </m:oMath>
            <w:r w:rsidRPr="005A615E">
              <w:rPr>
                <w:rFonts w:ascii="Times New Roman" w:hAnsi="Times New Roman"/>
              </w:rPr>
              <w:t>тарифна чисельність працівників, що врахована у діючих тарифах, осіб;</w:t>
            </w:r>
          </w:p>
          <w:p w:rsidR="00CF2AC1" w:rsidRPr="005A615E" w:rsidRDefault="00CF2AC1" w:rsidP="00CF2AC1">
            <w:pPr>
              <w:shd w:val="clear" w:color="auto" w:fill="FFFFFF"/>
              <w:ind w:firstLine="173"/>
              <w:jc w:val="both"/>
              <w:rPr>
                <w:rFonts w:ascii="Times New Roman" w:hAnsi="Times New Roman"/>
                <w:b/>
                <w:strike/>
              </w:rPr>
            </w:pPr>
            <w:r w:rsidRPr="005A615E">
              <w:rPr>
                <w:rFonts w:ascii="Times New Roman" w:hAnsi="Times New Roman"/>
                <w:b/>
                <w:strike/>
              </w:rPr>
              <w:t xml:space="preserve">n </w:t>
            </w:r>
            <m:oMath>
              <m:r>
                <m:rPr>
                  <m:sty m:val="b"/>
                </m:rPr>
                <w:rPr>
                  <w:rFonts w:ascii="Cambria Math" w:hAnsi="Cambria Math"/>
                  <w:strike/>
                </w:rPr>
                <m:t>–</m:t>
              </m:r>
            </m:oMath>
            <w:r w:rsidRPr="005A615E">
              <w:rPr>
                <w:rFonts w:ascii="Times New Roman" w:hAnsi="Times New Roman"/>
                <w:b/>
                <w:strike/>
              </w:rPr>
              <w:t xml:space="preserve"> кількість років попереднього регуляторного періоду, протягом яких застосовувався загальний показник ефективності для операційних контрольованих витрат, встановлений НКРЕКП (за винятком останнього року), які визначають показник степеня.</w:t>
            </w:r>
          </w:p>
          <w:p w:rsidR="00CF2AC1" w:rsidRPr="005A615E" w:rsidRDefault="00CF2AC1" w:rsidP="00CF2AC1">
            <w:pPr>
              <w:shd w:val="clear" w:color="auto" w:fill="FFFFFF"/>
              <w:ind w:firstLine="173"/>
              <w:jc w:val="both"/>
              <w:rPr>
                <w:rFonts w:ascii="Times New Roman" w:hAnsi="Times New Roman"/>
                <w:b/>
              </w:rPr>
            </w:pPr>
            <w:r w:rsidRPr="005A615E">
              <w:rPr>
                <w:rFonts w:ascii="Times New Roman" w:hAnsi="Times New Roman"/>
                <w:b/>
              </w:rPr>
              <w:t>…</w:t>
            </w:r>
          </w:p>
          <w:p w:rsidR="00CF2AC1" w:rsidRPr="005A615E" w:rsidRDefault="00CF2AC1" w:rsidP="00CF2AC1">
            <w:pPr>
              <w:shd w:val="clear" w:color="auto" w:fill="FFFFFF"/>
              <w:ind w:firstLine="173"/>
              <w:contextualSpacing/>
              <w:jc w:val="both"/>
              <w:rPr>
                <w:rFonts w:ascii="Times New Roman" w:hAnsi="Times New Roman"/>
              </w:rPr>
            </w:pPr>
            <w:r w:rsidRPr="005A615E">
              <w:rPr>
                <w:rFonts w:ascii="Times New Roman" w:hAnsi="Times New Roman"/>
              </w:rPr>
              <w:t xml:space="preserve">Для другого року другого та наступних регуляторних періодів при визначенні прогнозованого фонду оплати праці (витрат на оплату праці) у році t </w:t>
            </w:r>
            <m:oMath>
              <m:r>
                <w:rPr>
                  <w:rFonts w:ascii="Cambria Math" w:hAnsi="Cambria Math"/>
                </w:rPr>
                <m:t>(</m:t>
              </m:r>
              <m:sSubSup>
                <m:sSubSupPr>
                  <m:ctrlPr>
                    <w:rPr>
                      <w:rFonts w:ascii="Cambria Math" w:hAnsi="Cambria Math"/>
                      <w:i/>
                    </w:rPr>
                  </m:ctrlPr>
                </m:sSubSupPr>
                <m:e>
                  <m:r>
                    <w:rPr>
                      <w:rFonts w:ascii="Cambria Math" w:hAnsi="Cambria Math"/>
                      <w:lang w:eastAsia="uk-UA"/>
                    </w:rPr>
                    <m:t>ФОП</m:t>
                  </m:r>
                </m:e>
                <m:sub>
                  <m:r>
                    <w:rPr>
                      <w:rFonts w:ascii="Cambria Math" w:hAnsi="Cambria Math"/>
                      <w:lang w:eastAsia="uk-UA"/>
                    </w:rPr>
                    <m:t>t</m:t>
                  </m:r>
                </m:sub>
                <m:sup>
                  <m:r>
                    <w:rPr>
                      <w:rFonts w:ascii="Cambria Math" w:hAnsi="Cambria Math"/>
                      <w:lang w:eastAsia="uk-UA"/>
                    </w:rPr>
                    <m:t>n</m:t>
                  </m:r>
                </m:sup>
              </m:sSubSup>
              <m:r>
                <w:rPr>
                  <w:rFonts w:ascii="Cambria Math" w:hAnsi="Cambria Math"/>
                </w:rPr>
                <m:t>)</m:t>
              </m:r>
            </m:oMath>
            <w:r w:rsidRPr="005A615E">
              <w:rPr>
                <w:rFonts w:ascii="Times New Roman" w:hAnsi="Times New Roman"/>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lang w:eastAsia="uk-UA"/>
              </w:rPr>
              <w:t>(</w:t>
            </w:r>
            <m:oMath>
              <m:sSubSup>
                <m:sSubSupPr>
                  <m:ctrlPr>
                    <w:rPr>
                      <w:rFonts w:ascii="Cambria Math" w:hAnsi="Cambria Math"/>
                      <w:i/>
                      <w:lang w:eastAsia="uk-UA"/>
                    </w:rPr>
                  </m:ctrlPr>
                </m:sSubSupPr>
                <m:e>
                  <m:r>
                    <w:rPr>
                      <w:rFonts w:ascii="Cambria Math" w:hAnsi="Cambria Math"/>
                      <w:lang w:eastAsia="uk-UA"/>
                    </w:rPr>
                    <m:t>ТЧП</m:t>
                  </m:r>
                </m:e>
                <m:sub>
                  <m:r>
                    <w:rPr>
                      <w:rFonts w:ascii="Cambria Math" w:hAnsi="Cambria Math"/>
                      <w:lang w:eastAsia="uk-UA"/>
                    </w:rPr>
                    <m:t>t</m:t>
                  </m:r>
                </m:sub>
                <m:sup>
                  <m:r>
                    <w:rPr>
                      <w:rFonts w:ascii="Cambria Math" w:hAnsi="Cambria Math"/>
                      <w:lang w:eastAsia="uk-UA"/>
                    </w:rPr>
                    <m:t>тар</m:t>
                  </m:r>
                </m:sup>
              </m:sSubSup>
            </m:oMath>
            <w:r w:rsidRPr="005A615E">
              <w:rPr>
                <w:rFonts w:ascii="Times New Roman" w:hAnsi="Times New Roman"/>
                <w:lang w:eastAsia="uk-UA"/>
              </w:rPr>
              <w:t xml:space="preserve">) </w:t>
            </w:r>
            <w:r w:rsidRPr="005A615E">
              <w:rPr>
                <w:rFonts w:ascii="Times New Roman" w:hAnsi="Times New Roman"/>
              </w:rPr>
              <w:t>розраховується за формулою</w:t>
            </w:r>
          </w:p>
          <w:p w:rsidR="00CF2AC1" w:rsidRPr="005A615E" w:rsidRDefault="00CF2AC1" w:rsidP="00CF2AC1">
            <w:pPr>
              <w:shd w:val="clear" w:color="auto" w:fill="FFFFFF"/>
              <w:ind w:firstLine="173"/>
              <w:contextualSpacing/>
              <w:jc w:val="both"/>
              <w:rPr>
                <w:rFonts w:ascii="Times New Roman" w:hAnsi="Times New Roman"/>
              </w:rPr>
            </w:pPr>
          </w:p>
          <w:p w:rsidR="00CF2AC1" w:rsidRPr="005A615E" w:rsidRDefault="000D13C5" w:rsidP="00CF2AC1">
            <w:pPr>
              <w:shd w:val="clear" w:color="auto" w:fill="FFFFFF"/>
              <w:ind w:firstLine="450"/>
              <w:jc w:val="both"/>
              <w:rPr>
                <w:rFonts w:ascii="Times New Roman" w:hAnsi="Times New Roman"/>
                <w:b/>
                <w:u w:val="single"/>
              </w:rPr>
            </w:pPr>
            <m:oMathPara>
              <m:oMath>
                <m:sSubSup>
                  <m:sSubSupPr>
                    <m:ctrlPr>
                      <w:rPr>
                        <w:rFonts w:ascii="Cambria Math" w:hAnsi="Cambria Math"/>
                        <w:b/>
                        <w:i/>
                        <w:lang w:eastAsia="uk-UA"/>
                      </w:rPr>
                    </m:ctrlPr>
                  </m:sSubSupPr>
                  <m:e>
                    <m:r>
                      <m:rPr>
                        <m:sty m:val="bi"/>
                      </m:rPr>
                      <w:rPr>
                        <w:rFonts w:ascii="Cambria Math" w:hAnsi="Cambria Math"/>
                        <w:lang w:eastAsia="uk-UA"/>
                      </w:rPr>
                      <m:t>ТЧП</m:t>
                    </m:r>
                  </m:e>
                  <m:sub>
                    <m:r>
                      <m:rPr>
                        <m:sty m:val="bi"/>
                      </m:rPr>
                      <w:rPr>
                        <w:rFonts w:ascii="Cambria Math" w:hAnsi="Cambria Math"/>
                        <w:lang w:val="en-US" w:eastAsia="uk-UA"/>
                      </w:rPr>
                      <m:t>t</m:t>
                    </m:r>
                  </m:sub>
                  <m:sup>
                    <m:r>
                      <m:rPr>
                        <m:sty m:val="bi"/>
                      </m:rPr>
                      <w:rPr>
                        <w:rFonts w:ascii="Cambria Math" w:hAnsi="Cambria Math"/>
                        <w:lang w:eastAsia="uk-UA"/>
                      </w:rPr>
                      <m:t>тар</m:t>
                    </m:r>
                  </m:sup>
                </m:sSubSup>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ТЧП</m:t>
                    </m:r>
                  </m:e>
                  <m:sub>
                    <m:r>
                      <m:rPr>
                        <m:sty m:val="bi"/>
                      </m:rPr>
                      <w:rPr>
                        <w:rFonts w:ascii="Cambria Math" w:hAnsi="Cambria Math"/>
                        <w:lang w:eastAsia="uk-UA"/>
                      </w:rPr>
                      <m:t>t-1</m:t>
                    </m:r>
                  </m:sub>
                  <m:sup>
                    <m:r>
                      <m:rPr>
                        <m:sty m:val="bi"/>
                      </m:rPr>
                      <w:rPr>
                        <w:rFonts w:ascii="Cambria Math" w:hAnsi="Cambria Math"/>
                        <w:lang w:eastAsia="uk-UA"/>
                      </w:rPr>
                      <m:t>тар</m:t>
                    </m:r>
                  </m:sup>
                </m:sSubSup>
                <m:r>
                  <m:rPr>
                    <m:sty m:val="bi"/>
                  </m:rPr>
                  <w:rPr>
                    <w:rFonts w:ascii="Cambria Math" w:hAnsi="Cambria Math"/>
                    <w:lang w:eastAsia="uk-UA"/>
                  </w:rPr>
                  <m:t>×</m:t>
                </m:r>
                <m:sSubSup>
                  <m:sSubSupPr>
                    <m:ctrlPr>
                      <w:rPr>
                        <w:rFonts w:ascii="Cambria Math" w:hAnsi="Cambria Math"/>
                        <w:b/>
                        <w:i/>
                        <w:lang w:eastAsia="uk-UA"/>
                      </w:rPr>
                    </m:ctrlPr>
                  </m:sSubSupPr>
                  <m:e>
                    <m:r>
                      <m:rPr>
                        <m:sty m:val="bi"/>
                      </m:rPr>
                      <w:rPr>
                        <w:rFonts w:ascii="Cambria Math" w:hAnsi="Cambria Math"/>
                        <w:lang w:eastAsia="uk-UA"/>
                      </w:rPr>
                      <m:t>КУ</m:t>
                    </m:r>
                  </m:e>
                  <m:sub>
                    <m:r>
                      <m:rPr>
                        <m:sty m:val="bi"/>
                      </m:rPr>
                      <w:rPr>
                        <w:rFonts w:ascii="Cambria Math" w:hAnsi="Cambria Math"/>
                        <w:lang w:eastAsia="uk-UA"/>
                      </w:rPr>
                      <m:t>УО</m:t>
                    </m:r>
                  </m:sub>
                  <m:sup>
                    <m:r>
                      <m:rPr>
                        <m:sty m:val="bi"/>
                      </m:rPr>
                      <w:rPr>
                        <w:rFonts w:ascii="Cambria Math" w:hAnsi="Cambria Math"/>
                        <w:lang w:eastAsia="uk-UA"/>
                      </w:rPr>
                      <m:t>II</m:t>
                    </m:r>
                  </m:sup>
                </m:sSubSup>
                <m:r>
                  <m:rPr>
                    <m:sty m:val="bi"/>
                  </m:rPr>
                  <w:rPr>
                    <w:rFonts w:ascii="Cambria Math" w:hAnsi="Cambria Math"/>
                    <w:lang w:eastAsia="uk-UA"/>
                  </w:rPr>
                  <m:t xml:space="preserve">,    </m:t>
                </m:r>
                <m:r>
                  <m:rPr>
                    <m:sty m:val="b"/>
                  </m:rPr>
                  <w:rPr>
                    <w:rFonts w:ascii="Cambria Math" w:hAnsi="Cambria Math"/>
                    <w:u w:val="single"/>
                  </w:rPr>
                  <m:t xml:space="preserve">осіб,   </m:t>
                </m:r>
                <w:hyperlink r:id="rId178" w:tgtFrame="_blank" w:history="1">
                  <m:r>
                    <m:rPr>
                      <m:sty m:val="b"/>
                    </m:rPr>
                    <w:rPr>
                      <w:rFonts w:ascii="Cambria Math" w:hAnsi="Cambria Math"/>
                      <w:u w:val="single"/>
                    </w:rPr>
                    <m:t>(17)</m:t>
                  </m:r>
                </w:hyperlink>
              </m:oMath>
            </m:oMathPara>
          </w:p>
          <w:p w:rsidR="00CF2AC1" w:rsidRPr="005A615E" w:rsidRDefault="00CF2AC1" w:rsidP="00CF2AC1">
            <w:pPr>
              <w:shd w:val="clear" w:color="auto" w:fill="FFFFFF"/>
              <w:ind w:firstLine="173"/>
              <w:jc w:val="both"/>
              <w:rPr>
                <w:rFonts w:ascii="Times New Roman" w:hAnsi="Times New Roman"/>
              </w:rPr>
            </w:pPr>
          </w:p>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Економія операційних контрольованих витрат за останній рік попереднього регуляторного періоду</w:t>
            </w:r>
            <m:oMath>
              <m:r>
                <w:rPr>
                  <w:rFonts w:ascii="Cambria Math" w:hAnsi="Cambria Math"/>
                </w:rPr>
                <m:t xml:space="preserve">  </m:t>
              </m:r>
              <m:sSup>
                <m:sSupPr>
                  <m:ctrlPr>
                    <w:rPr>
                      <w:rFonts w:ascii="Cambria Math" w:hAnsi="Cambria Math"/>
                    </w:rPr>
                  </m:ctrlPr>
                </m:sSupPr>
                <m:e>
                  <m:r>
                    <m:rPr>
                      <m:sty m:val="p"/>
                    </m:rPr>
                    <w:rPr>
                      <w:rFonts w:ascii="Cambria Math" w:hAnsi="Cambria Math"/>
                    </w:rPr>
                    <m:t xml:space="preserve"> ЕОКВ</m:t>
                  </m:r>
                </m:e>
                <m:sup>
                  <m:r>
                    <m:rPr>
                      <m:sty m:val="p"/>
                    </m:rPr>
                    <w:rPr>
                      <w:rFonts w:ascii="Cambria Math" w:hAnsi="Cambria Math"/>
                    </w:rPr>
                    <m:t>ІІ</m:t>
                  </m:r>
                </m:sup>
              </m:sSup>
            </m:oMath>
            <w:r w:rsidRPr="005A615E">
              <w:rPr>
                <w:rFonts w:ascii="Times New Roman" w:hAnsi="Times New Roman"/>
              </w:rPr>
              <w:t>, тис. грн,  розраховується за формулою</w:t>
            </w:r>
          </w:p>
          <w:p w:rsidR="00CF2AC1" w:rsidRPr="005A615E" w:rsidRDefault="00CF2AC1" w:rsidP="00CF2AC1">
            <w:pPr>
              <w:shd w:val="clear" w:color="auto" w:fill="FFFFFF"/>
              <w:ind w:firstLine="567"/>
              <w:jc w:val="both"/>
              <w:rPr>
                <w:rFonts w:ascii="Times New Roman" w:hAnsi="Times New Roman"/>
              </w:rPr>
            </w:pPr>
          </w:p>
          <w:p w:rsidR="00CF2AC1" w:rsidRPr="005A615E" w:rsidRDefault="000D13C5" w:rsidP="00CF2AC1">
            <w:pPr>
              <w:shd w:val="clear" w:color="auto" w:fill="FFFFFF"/>
              <w:ind w:firstLine="567"/>
              <w:jc w:val="both"/>
              <w:rPr>
                <w:rFonts w:ascii="Times New Roman" w:hAnsi="Times New Roman"/>
                <w:i/>
                <w:lang w:eastAsia="uk-UA"/>
              </w:rPr>
            </w:pPr>
            <m:oMath>
              <m:sSup>
                <m:sSupPr>
                  <m:ctrlPr>
                    <w:rPr>
                      <w:rFonts w:ascii="Cambria Math" w:hAnsi="Cambria Math"/>
                      <w:i/>
                      <w:lang w:eastAsia="uk-UA"/>
                    </w:rPr>
                  </m:ctrlPr>
                </m:sSupPr>
                <m:e>
                  <m:r>
                    <w:rPr>
                      <w:rFonts w:ascii="Cambria Math" w:hAnsi="Cambria Math"/>
                      <w:lang w:eastAsia="uk-UA"/>
                    </w:rPr>
                    <m:t>ЕОКВ</m:t>
                  </m:r>
                </m:e>
                <m:sup>
                  <m:r>
                    <w:rPr>
                      <w:rFonts w:ascii="Cambria Math" w:hAnsi="Cambria Math"/>
                      <w:lang w:eastAsia="uk-UA"/>
                    </w:rPr>
                    <m:t>ІІ</m:t>
                  </m:r>
                </m:sup>
              </m:s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ОКВ</m:t>
                  </m:r>
                </m:e>
                <m:sub>
                  <m:r>
                    <w:rPr>
                      <w:rFonts w:ascii="Cambria Math" w:hAnsi="Cambria Math"/>
                      <w:lang w:eastAsia="uk-UA"/>
                    </w:rPr>
                    <m:t>t-1</m:t>
                  </m:r>
                </m:sub>
                <m:sup>
                  <m:r>
                    <w:rPr>
                      <w:rFonts w:ascii="Cambria Math" w:hAnsi="Cambria Math"/>
                      <w:lang w:eastAsia="uk-UA"/>
                    </w:rPr>
                    <m:t>y</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ОКВ</m:t>
                  </m:r>
                </m:e>
                <m:sub>
                  <m:r>
                    <w:rPr>
                      <w:rFonts w:ascii="Cambria Math" w:hAnsi="Cambria Math"/>
                      <w:lang w:eastAsia="uk-UA"/>
                    </w:rPr>
                    <m:t xml:space="preserve">t-1   </m:t>
                  </m:r>
                </m:sub>
                <m:sup>
                  <m:r>
                    <w:rPr>
                      <w:rFonts w:ascii="Cambria Math" w:hAnsi="Cambria Math"/>
                      <w:lang w:eastAsia="uk-UA"/>
                    </w:rPr>
                    <m:t>ф</m:t>
                  </m:r>
                </m:sup>
              </m:sSubSup>
              <m:r>
                <w:rPr>
                  <w:rFonts w:ascii="Cambria Math" w:hAnsi="Cambria Math"/>
                  <w:lang w:eastAsia="uk-UA"/>
                </w:rPr>
                <m:t>,  тис. грн</m:t>
              </m:r>
            </m:oMath>
            <w:r w:rsidR="00CF2AC1" w:rsidRPr="005A615E">
              <w:rPr>
                <w:rFonts w:ascii="Times New Roman" w:eastAsiaTheme="minorEastAsia" w:hAnsi="Times New Roman"/>
                <w:i/>
                <w:lang w:eastAsia="uk-UA"/>
              </w:rPr>
              <w:t xml:space="preserve"> </w:t>
            </w:r>
            <w:r w:rsidR="00CF2AC1" w:rsidRPr="005A615E">
              <w:rPr>
                <w:rFonts w:ascii="Times New Roman" w:hAnsi="Times New Roman"/>
              </w:rPr>
              <w:t>(18)</w:t>
            </w:r>
          </w:p>
          <w:p w:rsidR="00CF2AC1" w:rsidRPr="005A615E" w:rsidRDefault="00CF2AC1" w:rsidP="00CF2AC1">
            <w:pPr>
              <w:ind w:firstLine="567"/>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noProof/>
                <w:lang w:eastAsia="uk-UA"/>
              </w:rPr>
              <w:drawing>
                <wp:inline distT="0" distB="0" distL="0" distR="0" wp14:anchorId="4A9C30CC" wp14:editId="6508F0ED">
                  <wp:extent cx="373711" cy="178362"/>
                  <wp:effectExtent l="0" t="0" r="7620" b="0"/>
                  <wp:docPr id="792200258" name="Рисунок 792200258" descr="https://zakon-pro.ligazakon.net/l_flib1.nsf/LookupFiles/GK40721_IMG_381.GIF/$file/GK40721_IMG_3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2" name="Рисунок 1993780122" descr="https://zakon-pro.ligazakon.net/l_flib1.nsf/LookupFiles/GK40721_IMG_381.GIF/$file/GK40721_IMG_381.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376132" cy="179518"/>
                          </a:xfrm>
                          <a:prstGeom prst="rect">
                            <a:avLst/>
                          </a:prstGeom>
                          <a:noFill/>
                          <a:ln>
                            <a:noFill/>
                          </a:ln>
                        </pic:spPr>
                      </pic:pic>
                    </a:graphicData>
                  </a:graphic>
                </wp:inline>
              </w:drawing>
            </w:r>
            <w:r w:rsidRPr="005A615E">
              <w:rPr>
                <w:rFonts w:ascii="Times New Roman" w:hAnsi="Times New Roman"/>
              </w:rPr>
              <w:t xml:space="preserve"> - уточнені операційні контрольовані витрати у році t, тис. грн (на 2022 - </w:t>
            </w:r>
            <w:r w:rsidRPr="005A615E">
              <w:rPr>
                <w:rFonts w:ascii="Times New Roman" w:hAnsi="Times New Roman"/>
                <w:b/>
              </w:rPr>
              <w:t>2025 роки</w:t>
            </w:r>
            <w:r w:rsidRPr="005A615E">
              <w:rPr>
                <w:rFonts w:ascii="Times New Roman" w:hAnsi="Times New Roman"/>
              </w:rPr>
              <w:t> </w:t>
            </w:r>
            <w:r w:rsidRPr="005A615E">
              <w:rPr>
                <w:noProof/>
                <w:lang w:eastAsia="uk-UA"/>
              </w:rPr>
              <w:drawing>
                <wp:inline distT="0" distB="0" distL="0" distR="0" wp14:anchorId="230FA6BD" wp14:editId="2A7C770E">
                  <wp:extent cx="946205" cy="217019"/>
                  <wp:effectExtent l="0" t="0" r="6350" b="0"/>
                  <wp:docPr id="792200261" name="Рисунок 792200261" descr="https://zakon-pro.ligazakon.net/l_flib1.nsf/LookupFiles/GK40721_IMG_382.GIF/$file/GK40721_IMG_3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3" name="Рисунок 1993780123" descr="https://zakon-pro.ligazakon.net/l_flib1.nsf/LookupFiles/GK40721_IMG_382.GIF/$file/GK40721_IMG_382.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948320" cy="217504"/>
                          </a:xfrm>
                          <a:prstGeom prst="rect">
                            <a:avLst/>
                          </a:prstGeom>
                          <a:noFill/>
                          <a:ln>
                            <a:noFill/>
                          </a:ln>
                        </pic:spPr>
                      </pic:pic>
                    </a:graphicData>
                  </a:graphic>
                </wp:inline>
              </w:drawing>
            </w:r>
            <w:r w:rsidRPr="005A615E">
              <w:rPr>
                <w:rFonts w:ascii="Times New Roman" w:hAnsi="Times New Roman"/>
              </w:rPr>
              <w:t>);</w:t>
            </w:r>
          </w:p>
          <w:p w:rsidR="00CF2AC1" w:rsidRPr="005A615E" w:rsidRDefault="00CF2AC1" w:rsidP="00CF2AC1">
            <w:pPr>
              <w:ind w:firstLine="173"/>
              <w:jc w:val="both"/>
              <w:rPr>
                <w:rFonts w:ascii="Times New Roman" w:hAnsi="Times New Roman"/>
              </w:rPr>
            </w:pPr>
            <w:r w:rsidRPr="005A615E">
              <w:rPr>
                <w:noProof/>
                <w:lang w:eastAsia="uk-UA"/>
              </w:rPr>
              <w:drawing>
                <wp:inline distT="0" distB="0" distL="0" distR="0" wp14:anchorId="03F01820" wp14:editId="2CDA3468">
                  <wp:extent cx="429371" cy="243961"/>
                  <wp:effectExtent l="0" t="0" r="8890" b="3810"/>
                  <wp:docPr id="792200262" name="Рисунок 792200262" descr="https://zakon-pro.ligazakon.net/l_flib1.nsf/LookupFiles/GK40721_IMG_383.GIF/$file/GK40721_IMG_3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4" name="Рисунок 1993780124" descr="https://zakon-pro.ligazakon.net/l_flib1.nsf/LookupFiles/GK40721_IMG_383.GIF/$file/GK40721_IMG_383.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430174" cy="244417"/>
                          </a:xfrm>
                          <a:prstGeom prst="rect">
                            <a:avLst/>
                          </a:prstGeom>
                          <a:noFill/>
                          <a:ln>
                            <a:noFill/>
                          </a:ln>
                        </pic:spPr>
                      </pic:pic>
                    </a:graphicData>
                  </a:graphic>
                </wp:inline>
              </w:drawing>
            </w:r>
            <w:r w:rsidRPr="005A615E">
              <w:rPr>
                <w:rFonts w:ascii="Times New Roman" w:hAnsi="Times New Roman"/>
              </w:rPr>
              <w:t> - фактичні операційні контрольовані витрати у році t, що враховують обґрунтований перелік складових витрат, підтверджений результатами заходів контролю, які відносяться до діяльності з розподілу, тис. грн.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p>
          <w:p w:rsidR="00CF2AC1" w:rsidRPr="005A615E" w:rsidRDefault="00CF2AC1" w:rsidP="00CF2AC1">
            <w:pPr>
              <w:ind w:firstLine="173"/>
              <w:jc w:val="both"/>
              <w:rPr>
                <w:rFonts w:ascii="Times New Roman" w:hAnsi="Times New Roman"/>
              </w:rPr>
            </w:pPr>
          </w:p>
          <w:p w:rsidR="00CF2AC1" w:rsidRPr="005A615E" w:rsidRDefault="00CF2AC1" w:rsidP="00CF2AC1">
            <w:pPr>
              <w:ind w:firstLine="173"/>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rFonts w:ascii="Times New Roman" w:hAnsi="Times New Roman"/>
              </w:rPr>
              <w:t>k - кількість років у попередньому періоді регулювання (без урахування 2022</w:t>
            </w:r>
            <w:r w:rsidRPr="005A615E">
              <w:rPr>
                <w:rFonts w:ascii="Times New Roman" w:hAnsi="Times New Roman"/>
                <w:b/>
              </w:rPr>
              <w:t>-2025 років</w:t>
            </w:r>
            <w:r w:rsidRPr="005A615E">
              <w:rPr>
                <w:rFonts w:ascii="Times New Roman" w:hAnsi="Times New Roman"/>
              </w:rPr>
              <w:t>, для яких </w:t>
            </w:r>
            <w:r w:rsidRPr="005A615E">
              <w:rPr>
                <w:noProof/>
                <w:lang w:eastAsia="uk-UA"/>
              </w:rPr>
              <w:drawing>
                <wp:inline distT="0" distB="0" distL="0" distR="0" wp14:anchorId="4A1936C6" wp14:editId="44571E39">
                  <wp:extent cx="863194" cy="197980"/>
                  <wp:effectExtent l="0" t="0" r="0" b="0"/>
                  <wp:docPr id="792200263" name="Рисунок 792200263" descr="https://zakon-pro.ligazakon.net/l_flib1.nsf/LookupFiles/GK40721_IMG_384.GIF/$file/GK40721_IMG_384.GIF">
                    <a:hlinkClick xmlns:a="http://schemas.openxmlformats.org/drawingml/2006/main" r:id="rId14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zakon-pro.ligazakon.net/l_flib1.nsf/LookupFiles/GK40721_IMG_384.GIF/$file/GK40721_IMG_384.GIF">
                            <a:hlinkClick r:id="rId148" tgtFrame="&quot;_blank&quot;"/>
                          </pic:cNvPr>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882273" cy="202356"/>
                          </a:xfrm>
                          <a:prstGeom prst="rect">
                            <a:avLst/>
                          </a:prstGeom>
                          <a:noFill/>
                          <a:ln>
                            <a:noFill/>
                          </a:ln>
                        </pic:spPr>
                      </pic:pic>
                    </a:graphicData>
                  </a:graphic>
                </wp:inline>
              </w:drawing>
            </w:r>
            <w:r w:rsidRPr="005A615E">
              <w:rPr>
                <w:rFonts w:ascii="Times New Roman" w:hAnsi="Times New Roman"/>
              </w:rPr>
              <w:t>).</w:t>
            </w:r>
          </w:p>
          <w:p w:rsidR="00CF2AC1" w:rsidRPr="005A615E" w:rsidRDefault="00CF2AC1" w:rsidP="00CF2AC1">
            <w:pPr>
              <w:shd w:val="clear" w:color="auto" w:fill="FFFFFF"/>
              <w:ind w:firstLine="173"/>
              <w:jc w:val="both"/>
              <w:rPr>
                <w:rFonts w:ascii="Times New Roman" w:hAnsi="Times New Roman"/>
                <w:b/>
                <w:strike/>
              </w:rPr>
            </w:pPr>
          </w:p>
          <w:p w:rsidR="00CF2AC1" w:rsidRPr="005A615E" w:rsidRDefault="00CF2AC1" w:rsidP="00CF2AC1">
            <w:pPr>
              <w:shd w:val="clear" w:color="auto" w:fill="FFFFFF"/>
              <w:jc w:val="both"/>
              <w:rPr>
                <w:rFonts w:ascii="Times New Roman" w:hAnsi="Times New Roman"/>
                <w:b/>
                <w:u w:val="single"/>
              </w:rPr>
            </w:pPr>
            <w:r w:rsidRPr="005A615E">
              <w:rPr>
                <w:rFonts w:ascii="Times New Roman" w:hAnsi="Times New Roman"/>
                <w:b/>
                <w:i/>
                <w:u w:val="single"/>
              </w:rPr>
              <w:t>Обгрунтування</w:t>
            </w:r>
          </w:p>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Пропонуємо не застосовувати у формулі 14 та 17 показник ефективності:</w:t>
            </w:r>
          </w:p>
          <w:p w:rsidR="00CF2AC1" w:rsidRPr="005A615E" w:rsidRDefault="000D13C5" w:rsidP="00CF2AC1">
            <w:pPr>
              <w:shd w:val="clear" w:color="auto" w:fill="FFFFFF"/>
              <w:ind w:firstLine="450"/>
              <w:jc w:val="both"/>
              <w:rPr>
                <w:rFonts w:ascii="Times New Roman" w:hAnsi="Times New Roman"/>
                <w:u w:val="single"/>
              </w:rPr>
            </w:pPr>
            <m:oMathPara>
              <m:oMath>
                <m:sSup>
                  <m:sSupPr>
                    <m:ctrlPr>
                      <w:rPr>
                        <w:rFonts w:ascii="Cambria Math" w:hAnsi="Cambria Math"/>
                        <w:i/>
                        <w:lang w:eastAsia="uk-UA"/>
                      </w:rPr>
                    </m:ctrlPr>
                  </m:sSupPr>
                  <m:e>
                    <m:r>
                      <w:rPr>
                        <w:rFonts w:ascii="Cambria Math" w:hAnsi="Cambria Math"/>
                        <w:lang w:eastAsia="uk-UA"/>
                      </w:rPr>
                      <m:t>(1-</m:t>
                    </m:r>
                    <m:f>
                      <m:fPr>
                        <m:ctrlPr>
                          <w:rPr>
                            <w:rFonts w:ascii="Cambria Math" w:hAnsi="Cambria Math"/>
                            <w:i/>
                            <w:lang w:eastAsia="uk-UA"/>
                          </w:rPr>
                        </m:ctrlPr>
                      </m:fPr>
                      <m:num>
                        <m:sSub>
                          <m:sSubPr>
                            <m:ctrlPr>
                              <w:rPr>
                                <w:rFonts w:ascii="Cambria Math" w:hAnsi="Cambria Math"/>
                                <w:i/>
                                <w:lang w:eastAsia="uk-UA"/>
                              </w:rPr>
                            </m:ctrlPr>
                          </m:sSubPr>
                          <m:e>
                            <m:r>
                              <w:rPr>
                                <w:rFonts w:ascii="Cambria Math" w:hAnsi="Cambria Math"/>
                                <w:lang w:eastAsia="uk-UA"/>
                              </w:rPr>
                              <m:t>ПЕ</m:t>
                            </m:r>
                          </m:e>
                          <m:sub>
                            <m:r>
                              <w:rPr>
                                <w:rFonts w:ascii="Cambria Math" w:hAnsi="Cambria Math"/>
                                <w:lang w:eastAsia="uk-UA"/>
                              </w:rPr>
                              <m:t>з</m:t>
                            </m:r>
                          </m:sub>
                        </m:sSub>
                      </m:num>
                      <m:den>
                        <m:r>
                          <w:rPr>
                            <w:rFonts w:ascii="Cambria Math" w:hAnsi="Cambria Math"/>
                            <w:lang w:eastAsia="uk-UA"/>
                          </w:rPr>
                          <m:t>100</m:t>
                        </m:r>
                      </m:den>
                    </m:f>
                    <m:r>
                      <w:rPr>
                        <w:rFonts w:ascii="Cambria Math" w:hAnsi="Cambria Math"/>
                        <w:lang w:eastAsia="uk-UA"/>
                      </w:rPr>
                      <m:t>)</m:t>
                    </m:r>
                  </m:e>
                  <m:sup>
                    <m:r>
                      <w:rPr>
                        <w:rFonts w:ascii="Cambria Math" w:hAnsi="Cambria Math"/>
                        <w:lang w:val="en-US" w:eastAsia="uk-UA"/>
                      </w:rPr>
                      <m:t>n</m:t>
                    </m:r>
                  </m:sup>
                </m:sSup>
                <m:r>
                  <w:rPr>
                    <w:rFonts w:ascii="Cambria Math" w:hAnsi="Cambria Math"/>
                    <w:lang w:eastAsia="uk-UA"/>
                  </w:rPr>
                  <m:t xml:space="preserve"> </m:t>
                </m:r>
              </m:oMath>
            </m:oMathPara>
          </w:p>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 xml:space="preserve">оскільки коефіцієнт зміни умовних одиниць електротехнічного обладнання </w:t>
            </w:r>
            <w:r w:rsidRPr="005A615E">
              <w:rPr>
                <w:rFonts w:ascii="Times New Roman" w:hAnsi="Times New Roman"/>
                <w:b/>
              </w:rPr>
              <w:t>КУ</w:t>
            </w:r>
            <w:r w:rsidRPr="005A615E">
              <w:rPr>
                <w:rFonts w:ascii="Times New Roman" w:hAnsi="Times New Roman"/>
              </w:rPr>
              <w:t xml:space="preserve"> вже враховує заміну «застарілого обладнання», яке має більші значення умовних одиниць за нове – сучасне обладнання, а також розвиток електричних мереж.</w:t>
            </w:r>
          </w:p>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Для прикладу, застарілі масляні вимикачі вимінюються на сучасні елегазові/вакуумні, розмір умовних одиниць яких значно менші за масляні.</w:t>
            </w:r>
          </w:p>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Аналогічна ситуація по ПЛ.</w:t>
            </w:r>
          </w:p>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Відповідно чисельність працівників буде справедливо враховувати зміну обсягів умовних одиниць технологічного обладнання пов’язаних із заміною застарілого обладнання на нове, а також враховуватиме розвиток електричних мереж, пов’язаних, в тому числі з виконанням вимог щодо реконструкції мереж (зменшення довжин фідерів 0,4кВ від ТП-10(6)/0,4кВ із встановленням розвантажувальних ТП, встановлення реклоузерів 6-10кВ, тощо).</w:t>
            </w:r>
          </w:p>
          <w:p w:rsidR="00CF2AC1" w:rsidRPr="005A615E" w:rsidRDefault="00CF2AC1" w:rsidP="00CF2AC1">
            <w:pPr>
              <w:shd w:val="clear" w:color="auto" w:fill="FFFFFF"/>
              <w:ind w:firstLine="450"/>
              <w:jc w:val="both"/>
              <w:rPr>
                <w:rFonts w:ascii="Times New Roman" w:hAnsi="Times New Roman"/>
              </w:rPr>
            </w:pPr>
            <w:r w:rsidRPr="005A615E">
              <w:rPr>
                <w:rFonts w:ascii="Times New Roman" w:hAnsi="Times New Roman"/>
              </w:rPr>
              <w:t xml:space="preserve">При цьому пропонуємо продовжити на 2025 рік врахування показника </w:t>
            </w:r>
            <w:r w:rsidRPr="005A615E">
              <w:rPr>
                <w:noProof/>
                <w:lang w:eastAsia="uk-UA"/>
              </w:rPr>
              <w:drawing>
                <wp:inline distT="0" distB="0" distL="0" distR="0" wp14:anchorId="5D2F57CF" wp14:editId="7C4877A3">
                  <wp:extent cx="863194" cy="197980"/>
                  <wp:effectExtent l="0" t="0" r="0" b="0"/>
                  <wp:docPr id="792200264" name="Рисунок 792200264" descr="https://zakon-pro.ligazakon.net/l_flib1.nsf/LookupFiles/GK40721_IMG_384.GIF/$file/GK40721_IMG_384.GIF">
                    <a:hlinkClick xmlns:a="http://schemas.openxmlformats.org/drawingml/2006/main" r:id="rId14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zakon-pro.ligazakon.net/l_flib1.nsf/LookupFiles/GK40721_IMG_384.GIF/$file/GK40721_IMG_384.GIF">
                            <a:hlinkClick r:id="rId148" tgtFrame="&quot;_blank&quot;"/>
                          </pic:cNvPr>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882273" cy="202356"/>
                          </a:xfrm>
                          <a:prstGeom prst="rect">
                            <a:avLst/>
                          </a:prstGeom>
                          <a:noFill/>
                          <a:ln>
                            <a:noFill/>
                          </a:ln>
                        </pic:spPr>
                      </pic:pic>
                    </a:graphicData>
                  </a:graphic>
                </wp:inline>
              </w:drawing>
            </w:r>
            <w:r w:rsidRPr="005A615E">
              <w:rPr>
                <w:rFonts w:ascii="Times New Roman" w:hAnsi="Times New Roman"/>
              </w:rPr>
              <w:t xml:space="preserve">, оскільки економія операційних контрольованих витрат за 2022-2025рр. першого регуляторного періоду спричинена тривалістю дії воєнного стану, який супроводжувався факторами що ускладнювали стабільну діяльність ОСР та створювали дефіцит обігових коштів  (різке зростання цін на куповану е/е для компенсації ТВЕ, необхідні термінові капіталовкладення у відновлення електричних мереж, зменшення обсягів розподілу тощо), відповідно, відбувся дефіцит коштів на операційні витрати ОСР.  </w:t>
            </w:r>
          </w:p>
          <w:p w:rsidR="00CF2AC1" w:rsidRPr="005A615E" w:rsidRDefault="00CF2AC1" w:rsidP="00CF2AC1">
            <w:pPr>
              <w:shd w:val="clear" w:color="auto" w:fill="FFFFFF"/>
              <w:ind w:firstLine="450"/>
              <w:jc w:val="both"/>
              <w:rPr>
                <w:rFonts w:ascii="Times New Roman" w:hAnsi="Times New Roman"/>
              </w:rPr>
            </w:pPr>
            <w:r w:rsidRPr="005A615E">
              <w:rPr>
                <w:rFonts w:ascii="Times New Roman" w:hAnsi="Times New Roman"/>
              </w:rPr>
              <w:t>При розрахунку ОКВ на другий регуляторний період на основі прогнозованих індексів цін виробників промислової продукції (далі-ІЦВ) на 2027р.,  показника ефективності до ОКВ, використання економії операційних контрольованих витрат за перший регуляторний період, при цьому неврахування фактичних індексів ІЦВ за перший регуляторний період, створить закладений дефіцит обігових коштів для ОСР на другий регуляторний період.</w:t>
            </w:r>
          </w:p>
          <w:p w:rsidR="00CF2AC1" w:rsidRPr="005A615E" w:rsidRDefault="00CF2AC1" w:rsidP="00CF2AC1">
            <w:pPr>
              <w:shd w:val="clear" w:color="auto" w:fill="FFFFFF"/>
              <w:ind w:firstLine="173"/>
              <w:jc w:val="both"/>
              <w:rPr>
                <w:rFonts w:ascii="Times New Roman" w:hAnsi="Times New Roman"/>
              </w:rPr>
            </w:pPr>
            <w:r w:rsidRPr="005A615E">
              <w:rPr>
                <w:rFonts w:ascii="Times New Roman" w:hAnsi="Times New Roman"/>
              </w:rPr>
              <w:t xml:space="preserve">Враховуючи наведене пропонуємо продовжити на 2025 рік врахування показника </w:t>
            </w:r>
            <w:r w:rsidRPr="005A615E">
              <w:rPr>
                <w:noProof/>
                <w:lang w:eastAsia="uk-UA"/>
              </w:rPr>
              <w:drawing>
                <wp:inline distT="0" distB="0" distL="0" distR="0" wp14:anchorId="0322A772" wp14:editId="637E845F">
                  <wp:extent cx="863194" cy="197980"/>
                  <wp:effectExtent l="0" t="0" r="0" b="0"/>
                  <wp:docPr id="792200265" name="Рисунок 792200265" descr="https://zakon-pro.ligazakon.net/l_flib1.nsf/LookupFiles/GK40721_IMG_384.GIF/$file/GK40721_IMG_384.GIF">
                    <a:hlinkClick xmlns:a="http://schemas.openxmlformats.org/drawingml/2006/main" r:id="rId14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zakon-pro.ligazakon.net/l_flib1.nsf/LookupFiles/GK40721_IMG_384.GIF/$file/GK40721_IMG_384.GIF">
                            <a:hlinkClick r:id="rId148" tgtFrame="&quot;_blank&quot;"/>
                          </pic:cNvPr>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882273" cy="202356"/>
                          </a:xfrm>
                          <a:prstGeom prst="rect">
                            <a:avLst/>
                          </a:prstGeom>
                          <a:noFill/>
                          <a:ln>
                            <a:noFill/>
                          </a:ln>
                        </pic:spPr>
                      </pic:pic>
                    </a:graphicData>
                  </a:graphic>
                </wp:inline>
              </w:drawing>
            </w:r>
            <w:r w:rsidRPr="005A615E">
              <w:rPr>
                <w:rFonts w:ascii="Times New Roman" w:hAnsi="Times New Roman"/>
              </w:rPr>
              <w:t>.</w:t>
            </w:r>
          </w:p>
          <w:p w:rsidR="00CF2AC1" w:rsidRPr="005A615E" w:rsidRDefault="00CF2AC1" w:rsidP="00CF2AC1">
            <w:pPr>
              <w:shd w:val="clear" w:color="auto" w:fill="FFFFFF"/>
              <w:ind w:firstLine="173"/>
              <w:jc w:val="both"/>
              <w:rPr>
                <w:rFonts w:ascii="Times New Roman" w:hAnsi="Times New Roman"/>
                <w:b/>
                <w:u w:val="single"/>
              </w:rPr>
            </w:pPr>
          </w:p>
          <w:p w:rsidR="00CF2AC1" w:rsidRPr="005A615E" w:rsidRDefault="00CF2AC1" w:rsidP="00CF2AC1">
            <w:pPr>
              <w:shd w:val="clear" w:color="auto" w:fill="FFFFFF"/>
              <w:jc w:val="both"/>
              <w:rPr>
                <w:rFonts w:ascii="Times New Roman" w:hAnsi="Times New Roman"/>
              </w:rPr>
            </w:pPr>
            <w:r w:rsidRPr="005A615E">
              <w:rPr>
                <w:rFonts w:ascii="Times New Roman" w:hAnsi="Times New Roman"/>
                <w:b/>
                <w:sz w:val="24"/>
                <w:u w:val="single"/>
              </w:rPr>
              <w:t>ПрАТ «Закарпаттяобленерго» (лист від 27.07.2026 № 154-25/7715)</w:t>
            </w:r>
            <w:r w:rsidRPr="005A615E">
              <w:rPr>
                <w:rFonts w:ascii="Times New Roman" w:eastAsia="Times New Roman" w:hAnsi="Times New Roman"/>
                <w:sz w:val="24"/>
                <w:szCs w:val="24"/>
                <w:lang w:eastAsia="ru-RU"/>
              </w:rPr>
              <w:t xml:space="preserve">                    </w:t>
            </w:r>
          </w:p>
          <w:p w:rsidR="00CF2AC1" w:rsidRPr="005A615E" w:rsidRDefault="00CF2AC1" w:rsidP="00CF2AC1">
            <w:pPr>
              <w:jc w:val="both"/>
              <w:outlineLvl w:val="2"/>
              <w:rPr>
                <w:rFonts w:ascii="Times New Roman" w:hAnsi="Times New Roman"/>
              </w:rPr>
            </w:pPr>
            <w:r w:rsidRPr="005A615E">
              <w:rPr>
                <w:rFonts w:ascii="Times New Roman" w:hAnsi="Times New Roman"/>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CF2AC1" w:rsidP="00CF2AC1">
            <w:pPr>
              <w:jc w:val="both"/>
              <w:outlineLvl w:val="2"/>
              <w:rPr>
                <w:rFonts w:ascii="Times New Roman" w:hAnsi="Times New Roman"/>
              </w:rPr>
            </w:pPr>
            <w:r w:rsidRPr="005A615E">
              <w:rPr>
                <w:rFonts w:ascii="Times New Roman" w:hAnsi="Times New Roman"/>
              </w:rPr>
              <w:t>…</w:t>
            </w:r>
          </w:p>
          <w:p w:rsidR="00CF2AC1" w:rsidRPr="005A615E" w:rsidRDefault="00CF2AC1" w:rsidP="00CF2AC1">
            <w:pPr>
              <w:jc w:val="both"/>
              <w:outlineLvl w:val="2"/>
              <w:rPr>
                <w:rFonts w:ascii="Times New Roman" w:hAnsi="Times New Roman"/>
              </w:rPr>
            </w:pPr>
            <w:r w:rsidRPr="005A615E">
              <w:rPr>
                <w:rFonts w:ascii="Times New Roman" w:hAnsi="Times New Roman"/>
              </w:rPr>
              <w:t>Базові рівні операційних контрольованих витрат на другий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CF2AC1" w:rsidP="00CF2AC1">
            <w:pPr>
              <w:ind w:firstLine="173"/>
              <w:jc w:val="both"/>
              <w:rPr>
                <w:rFonts w:ascii="Times New Roman" w:hAnsi="Times New Roman"/>
              </w:rPr>
            </w:pPr>
            <w:r w:rsidRPr="005A615E">
              <w:rPr>
                <w:rFonts w:ascii="Times New Roman" w:hAnsi="Times New Roman"/>
                <w:noProof/>
              </w:rPr>
              <w:drawing>
                <wp:inline distT="0" distB="0" distL="0" distR="0" wp14:anchorId="07A9270E" wp14:editId="7F4BF5D6">
                  <wp:extent cx="2085975" cy="228600"/>
                  <wp:effectExtent l="0" t="0" r="9525" b="0"/>
                  <wp:docPr id="792200267" name="Рисунок 792200267" descr="https://zakon-pro.ligazakon.net/l_flib1.nsf/LookupFiles/GK40721_IMG_376.GIF/$file/GK40721_IMG_3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20" descr="https://zakon-pro.ligazakon.net/l_flib1.nsf/LookupFiles/GK40721_IMG_376.GIF/$file/GK40721_IMG_376.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085975" cy="228600"/>
                          </a:xfrm>
                          <a:prstGeom prst="rect">
                            <a:avLst/>
                          </a:prstGeom>
                          <a:noFill/>
                          <a:ln>
                            <a:noFill/>
                          </a:ln>
                        </pic:spPr>
                      </pic:pic>
                    </a:graphicData>
                  </a:graphic>
                </wp:inline>
              </w:drawing>
            </w:r>
            <w:r w:rsidRPr="005A615E">
              <w:rPr>
                <w:rFonts w:ascii="Times New Roman" w:hAnsi="Times New Roman"/>
              </w:rPr>
              <w:t>, тис грн (15)</w:t>
            </w:r>
          </w:p>
          <w:p w:rsidR="00CF2AC1" w:rsidRPr="005A615E" w:rsidRDefault="00CF2AC1" w:rsidP="00CF2AC1">
            <w:pPr>
              <w:jc w:val="both"/>
              <w:outlineLvl w:val="2"/>
              <w:rPr>
                <w:rFonts w:ascii="Times New Roman" w:hAnsi="Times New Roman"/>
              </w:rPr>
            </w:pPr>
          </w:p>
          <w:p w:rsidR="00CF2AC1" w:rsidRPr="005A615E" w:rsidRDefault="00CF2AC1" w:rsidP="00CF2AC1">
            <w:pPr>
              <w:jc w:val="both"/>
              <w:outlineLvl w:val="2"/>
              <w:rPr>
                <w:rFonts w:ascii="Times New Roman" w:hAnsi="Times New Roman"/>
              </w:rPr>
            </w:pPr>
          </w:p>
          <w:p w:rsidR="00CF2AC1" w:rsidRPr="005A615E" w:rsidRDefault="00CF2AC1" w:rsidP="00CF2AC1">
            <w:pPr>
              <w:jc w:val="both"/>
              <w:outlineLvl w:val="2"/>
              <w:rPr>
                <w:rFonts w:ascii="Times New Roman" w:hAnsi="Times New Roman"/>
              </w:rPr>
            </w:pPr>
            <w:r w:rsidRPr="005A615E">
              <w:rPr>
                <w:rFonts w:ascii="Times New Roman" w:hAnsi="Times New Roman"/>
              </w:rPr>
              <w:t xml:space="preserve">де </w:t>
            </w:r>
            <m:oMath>
              <m:sSubSup>
                <m:sSubSupPr>
                  <m:ctrlPr>
                    <w:rPr>
                      <w:rFonts w:ascii="Cambria Math" w:hAnsi="Cambria Math"/>
                      <w:i/>
                    </w:rPr>
                  </m:ctrlPr>
                </m:sSubSupPr>
                <m:e>
                  <m:r>
                    <w:rPr>
                      <w:rFonts w:ascii="Cambria Math" w:hAnsi="Cambria Math"/>
                      <w:lang w:eastAsia="uk-UA"/>
                    </w:rPr>
                    <m:t>ОКВ</m:t>
                  </m:r>
                </m:e>
                <m:sub>
                  <m:r>
                    <w:rPr>
                      <w:rFonts w:ascii="Cambria Math" w:hAnsi="Cambria Math"/>
                      <w:lang w:eastAsia="uk-UA"/>
                    </w:rPr>
                    <m:t>ост</m:t>
                  </m:r>
                </m:sub>
                <m:sup>
                  <m:r>
                    <w:rPr>
                      <w:rFonts w:ascii="Cambria Math" w:hAnsi="Cambria Math"/>
                      <w:lang w:eastAsia="uk-UA"/>
                    </w:rPr>
                    <m:t>ІІ</m:t>
                  </m:r>
                </m:sup>
              </m:sSubSup>
            </m:oMath>
            <w:r w:rsidRPr="005A615E">
              <w:rPr>
                <w:rFonts w:ascii="Times New Roman" w:hAnsi="Times New Roman"/>
              </w:rPr>
              <w:t>- прогнозовані операційні контрольовані витрати враховані в діючих тарифах, тис. грн;</w:t>
            </w:r>
          </w:p>
          <w:p w:rsidR="00CF2AC1" w:rsidRPr="005A615E" w:rsidRDefault="00CF2AC1" w:rsidP="00CF2AC1">
            <w:pPr>
              <w:jc w:val="both"/>
              <w:outlineLvl w:val="2"/>
              <w:rPr>
                <w:rFonts w:ascii="Times New Roman" w:hAnsi="Times New Roman"/>
              </w:rPr>
            </w:pPr>
            <w:r w:rsidRPr="005A615E">
              <w:rPr>
                <w:rFonts w:ascii="Times New Roman" w:hAnsi="Times New Roman"/>
              </w:rPr>
              <w:t xml:space="preserve"> </w:t>
            </w:r>
          </w:p>
          <w:p w:rsidR="00CF2AC1" w:rsidRPr="005A615E" w:rsidRDefault="00CF2AC1" w:rsidP="00CF2AC1">
            <w:pPr>
              <w:jc w:val="both"/>
              <w:outlineLvl w:val="2"/>
              <w:rPr>
                <w:rFonts w:ascii="Times New Roman" w:hAnsi="Times New Roman"/>
              </w:rPr>
            </w:pPr>
            <w:r w:rsidRPr="005A615E">
              <w:rPr>
                <w:rFonts w:ascii="Times New Roman" w:hAnsi="Times New Roman"/>
              </w:rPr>
              <w:t xml:space="preserve"> </w:t>
            </w:r>
            <w:r w:rsidRPr="005A615E">
              <w:rPr>
                <w:rFonts w:ascii="Times New Roman" w:hAnsi="Times New Roman"/>
                <w:noProof/>
              </w:rPr>
              <w:drawing>
                <wp:inline distT="0" distB="0" distL="0" distR="0" wp14:anchorId="202303F6" wp14:editId="7A5BB986">
                  <wp:extent cx="495300" cy="142875"/>
                  <wp:effectExtent l="0" t="0" r="0" b="9525"/>
                  <wp:docPr id="792200268" name="Рисунок 792200268" descr="https://zakon-pro.ligazakon.net/l_flib1.nsf/LookupFiles/GK40721_IMG_377.GIF/$file/GK40721_IMG_377.GIF">
                    <a:hlinkClick xmlns:a="http://schemas.openxmlformats.org/drawingml/2006/main" r:id="rId14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21" descr="https://zakon-pro.ligazakon.net/l_flib1.nsf/LookupFiles/GK40721_IMG_377.GIF/$file/GK40721_IMG_377.GIF">
                            <a:hlinkClick r:id="rId140" tgtFrame="&quot;_blank&quot;"/>
                          </pic:cNvPr>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95300" cy="142875"/>
                          </a:xfrm>
                          <a:prstGeom prst="rect">
                            <a:avLst/>
                          </a:prstGeom>
                          <a:noFill/>
                          <a:ln>
                            <a:noFill/>
                          </a:ln>
                        </pic:spPr>
                      </pic:pic>
                    </a:graphicData>
                  </a:graphic>
                </wp:inline>
              </w:drawing>
            </w:r>
            <w:r w:rsidRPr="005A615E">
              <w:rPr>
                <w:rFonts w:ascii="Times New Roman" w:hAnsi="Times New Roman"/>
              </w:rPr>
              <w:t xml:space="preserve"> - економія операційних контрольованих витрат за останній рік попереднього регуляторного періоду</w:t>
            </w:r>
            <w:r w:rsidRPr="005A615E">
              <w:rPr>
                <w:rFonts w:ascii="Times New Roman" w:hAnsi="Times New Roman"/>
                <w:b/>
                <w:bCs/>
              </w:rPr>
              <w:t>, з врахуванням наявних перевитрат ОКВ за попередній регуляторний період визначений без врахування останнього року</w:t>
            </w:r>
            <w:r w:rsidRPr="005A615E">
              <w:rPr>
                <w:rFonts w:ascii="Times New Roman" w:hAnsi="Times New Roman"/>
              </w:rPr>
              <w:t xml:space="preserve"> тис. грн;</w:t>
            </w:r>
          </w:p>
          <w:p w:rsidR="00CF2AC1" w:rsidRPr="005A615E" w:rsidRDefault="00CF2AC1" w:rsidP="00CF2AC1">
            <w:pPr>
              <w:shd w:val="clear" w:color="auto" w:fill="FFFFFF"/>
              <w:ind w:firstLine="173"/>
              <w:jc w:val="both"/>
              <w:rPr>
                <w:rFonts w:ascii="Times New Roman" w:hAnsi="Times New Roman"/>
                <w:b/>
                <w:u w:val="single"/>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outlineLvl w:val="2"/>
              <w:rPr>
                <w:rFonts w:ascii="Times New Roman" w:hAnsi="Times New Roman"/>
              </w:rPr>
            </w:pPr>
            <w:r w:rsidRPr="005A615E">
              <w:rPr>
                <w:rFonts w:ascii="Times New Roman" w:hAnsi="Times New Roman"/>
              </w:rPr>
              <w:t xml:space="preserve">Якщо за результатом першого регуляторного періоду (без останнього року) у товариства буде  відсутня економія, а наявне перефінансування ОКВ то запропонованою НКРЕКП формулою цей факт не буде враховуватися. Буде враховуватися тільки економія або перевитрати останнього року. Пропонуємо  при розрахунку економії останнього року попереднього регуляторного періоду  враховувати перевитрати за попередні роки в межах одного регуляторного періоду. </w:t>
            </w:r>
          </w:p>
          <w:p w:rsidR="00CF2AC1" w:rsidRPr="005A615E" w:rsidRDefault="00CF2AC1" w:rsidP="00CF2AC1">
            <w:pPr>
              <w:jc w:val="both"/>
              <w:rPr>
                <w:rFonts w:ascii="Times New Roman" w:hAnsi="Times New Roman"/>
              </w:rPr>
            </w:pPr>
            <w:r w:rsidRPr="005A615E">
              <w:rPr>
                <w:rFonts w:ascii="Times New Roman" w:hAnsi="Times New Roman"/>
              </w:rPr>
              <w:t>Що збереже концепцію цілісності регуляторного періоду, і буде враховувати дані всього регуляторного періоду.</w:t>
            </w:r>
          </w:p>
          <w:p w:rsidR="00CF2AC1" w:rsidRPr="005A615E" w:rsidRDefault="00CF2AC1" w:rsidP="00CF2AC1">
            <w:pPr>
              <w:jc w:val="both"/>
              <w:rPr>
                <w:rFonts w:ascii="Times New Roman" w:hAnsi="Times New Roman"/>
                <w:b/>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ind w:firstLine="173"/>
              <w:jc w:val="both"/>
              <w:rPr>
                <w:rFonts w:ascii="Times New Roman" w:hAnsi="Times New Roman"/>
              </w:rPr>
            </w:pPr>
            <w:r w:rsidRPr="005A615E">
              <w:rPr>
                <w:rFonts w:ascii="Times New Roman" w:hAnsi="Times New Roman"/>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CF2AC1" w:rsidP="00CF2AC1">
            <w:pPr>
              <w:ind w:firstLine="173"/>
              <w:jc w:val="both"/>
              <w:rPr>
                <w:rFonts w:ascii="Times New Roman" w:hAnsi="Times New Roman"/>
                <w:szCs w:val="28"/>
              </w:rPr>
            </w:pPr>
            <w:r w:rsidRPr="005A615E">
              <w:rPr>
                <w:rFonts w:ascii="Times New Roman" w:hAnsi="Times New Roman"/>
                <w:szCs w:val="28"/>
              </w:rPr>
              <w:t>….</w:t>
            </w:r>
          </w:p>
          <w:p w:rsidR="00CF2AC1" w:rsidRPr="005A615E" w:rsidRDefault="00CF2AC1" w:rsidP="00CF2AC1">
            <w:pPr>
              <w:ind w:firstLine="173"/>
              <w:jc w:val="both"/>
              <w:rPr>
                <w:rFonts w:ascii="Times New Roman" w:hAnsi="Times New Roman"/>
                <w:szCs w:val="28"/>
              </w:rPr>
            </w:pPr>
          </w:p>
          <w:p w:rsidR="00CF2AC1" w:rsidRPr="005A615E" w:rsidRDefault="00CF2AC1" w:rsidP="00CF2AC1">
            <w:pPr>
              <w:jc w:val="both"/>
              <w:rPr>
                <w:rFonts w:ascii="Times New Roman" w:hAnsi="Times New Roman"/>
                <w:b/>
                <w:lang w:eastAsia="uk-UA"/>
              </w:rPr>
            </w:pPr>
            <w:r w:rsidRPr="005A615E">
              <w:rPr>
                <w:rFonts w:ascii="Times New Roman" w:hAnsi="Times New Roman"/>
                <w:szCs w:val="28"/>
              </w:rPr>
              <w:t>де </w:t>
            </w:r>
            <w:r w:rsidRPr="005A615E">
              <w:rPr>
                <w:rFonts w:ascii="Times New Roman" w:hAnsi="Times New Roman"/>
                <w:noProof/>
                <w:szCs w:val="28"/>
              </w:rPr>
              <w:drawing>
                <wp:inline distT="0" distB="0" distL="0" distR="0" wp14:anchorId="2BE93C9F" wp14:editId="2DC76BD1">
                  <wp:extent cx="469127" cy="167545"/>
                  <wp:effectExtent l="0" t="0" r="7620" b="4445"/>
                  <wp:docPr id="792200271" name="Рисунок 792200271" descr="https://zakon-pro.ligazakon.net/l_flib1.nsf/LookupFiles/GK40721_IMG_370.GIF/$file/GK40721_IMG_370.GIF">
                    <a:hlinkClick xmlns:a="http://schemas.openxmlformats.org/drawingml/2006/main" r:id="rId1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akon-pro.ligazakon.net/l_flib1.nsf/LookupFiles/GK40721_IMG_370.GIF/$file/GK40721_IMG_370.GIF">
                            <a:hlinkClick r:id="rId124" tgtFrame="&quot;_blank&quot;"/>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77751" cy="170625"/>
                          </a:xfrm>
                          <a:prstGeom prst="rect">
                            <a:avLst/>
                          </a:prstGeom>
                          <a:noFill/>
                          <a:ln>
                            <a:noFill/>
                          </a:ln>
                        </pic:spPr>
                      </pic:pic>
                    </a:graphicData>
                  </a:graphic>
                </wp:inline>
              </w:drawing>
            </w:r>
            <w:r w:rsidRPr="005A615E">
              <w:rPr>
                <w:rFonts w:ascii="Times New Roman" w:hAnsi="Times New Roman"/>
                <w:szCs w:val="28"/>
              </w:rPr>
              <w:t> </w:t>
            </w:r>
            <m:oMath>
              <m:r>
                <m:rPr>
                  <m:sty m:val="p"/>
                </m:rPr>
                <w:rPr>
                  <w:rFonts w:ascii="Cambria Math" w:hAnsi="Cambria Math"/>
                  <w:sz w:val="18"/>
                  <w:szCs w:val="20"/>
                  <w:lang w:eastAsia="uk-UA"/>
                </w:rPr>
                <m:t>-</m:t>
              </m:r>
            </m:oMath>
            <w:r w:rsidRPr="005A615E">
              <w:rPr>
                <w:rFonts w:ascii="Times New Roman" w:hAnsi="Times New Roman"/>
                <w:szCs w:val="28"/>
              </w:rPr>
              <w:t xml:space="preserve"> </w:t>
            </w:r>
            <w:r w:rsidRPr="005A615E">
              <w:rPr>
                <w:rFonts w:ascii="Times New Roman" w:hAnsi="Times New Roman"/>
                <w:lang w:eastAsia="uk-UA"/>
              </w:rPr>
              <w:t xml:space="preserve">прогнозовані операційні контрольовані витрати в останньому році попереднього регуляторного періоду, </w:t>
            </w:r>
            <w:r w:rsidRPr="005A615E">
              <w:rPr>
                <w:rFonts w:ascii="Times New Roman" w:hAnsi="Times New Roman"/>
                <w:b/>
                <w:lang w:eastAsia="uk-UA"/>
              </w:rPr>
              <w:t xml:space="preserve">без урахування розміру </w:t>
            </w:r>
            <w:r w:rsidRPr="005A615E">
              <w:rPr>
                <w:rFonts w:ascii="Times New Roman" w:hAnsi="Times New Roman"/>
                <w:b/>
                <w:shd w:val="clear" w:color="auto" w:fill="FFFFFF"/>
              </w:rPr>
              <w:t xml:space="preserve">прогнозованої вартості придбання електричної енергії для господарських потреб </w:t>
            </w:r>
            <w:r w:rsidRPr="005A615E">
              <w:rPr>
                <w:rFonts w:ascii="Times New Roman" w:hAnsi="Times New Roman"/>
                <w:b/>
                <w:lang w:eastAsia="uk-UA"/>
              </w:rPr>
              <w:t>в останньому році першого регуляторного періоду, тис.грн.</w:t>
            </w:r>
          </w:p>
          <w:p w:rsidR="00CF2AC1" w:rsidRPr="005A615E" w:rsidRDefault="00CF2AC1" w:rsidP="00CF2AC1">
            <w:pPr>
              <w:ind w:firstLine="173"/>
              <w:jc w:val="both"/>
              <w:rPr>
                <w:rFonts w:ascii="Times New Roman" w:hAnsi="Times New Roman"/>
                <w:szCs w:val="28"/>
              </w:rPr>
            </w:pPr>
            <w:r w:rsidRPr="005A615E">
              <w:rPr>
                <w:rFonts w:ascii="Times New Roman" w:hAnsi="Times New Roman"/>
                <w:b/>
                <w:lang w:eastAsia="uk-UA"/>
              </w:rPr>
              <w:t xml:space="preserve"> Прогнозована вартість витрат на господарські потреби </w:t>
            </w:r>
            <w:r w:rsidRPr="005A615E">
              <w:rPr>
                <w:rFonts w:ascii="Times New Roman" w:hAnsi="Times New Roman"/>
                <w:b/>
                <w:u w:val="single"/>
                <w:lang w:eastAsia="uk-UA"/>
              </w:rPr>
              <w:t>включається до складу операційних неконтрольованих витрат</w:t>
            </w:r>
            <w:r w:rsidRPr="005A615E">
              <w:rPr>
                <w:rFonts w:ascii="Times New Roman" w:hAnsi="Times New Roman"/>
                <w:b/>
                <w:lang w:eastAsia="uk-UA"/>
              </w:rPr>
              <w:t>.</w:t>
            </w:r>
          </w:p>
          <w:p w:rsidR="00CF2AC1" w:rsidRPr="005A615E" w:rsidRDefault="00CF2AC1" w:rsidP="00CF2AC1">
            <w:pPr>
              <w:ind w:firstLine="173"/>
              <w:jc w:val="both"/>
              <w:rPr>
                <w:rFonts w:ascii="Times New Roman" w:hAnsi="Times New Roman"/>
                <w:szCs w:val="28"/>
              </w:rPr>
            </w:pPr>
            <w:r w:rsidRPr="005A615E">
              <w:rPr>
                <w:rFonts w:ascii="Times New Roman" w:hAnsi="Times New Roman"/>
                <w:szCs w:val="28"/>
              </w:rPr>
              <w:t>…</w:t>
            </w:r>
          </w:p>
          <w:p w:rsidR="00CF2AC1" w:rsidRPr="005A615E" w:rsidRDefault="00CF2AC1" w:rsidP="00CF2AC1">
            <w:pPr>
              <w:ind w:firstLine="173"/>
              <w:jc w:val="both"/>
              <w:rPr>
                <w:rFonts w:ascii="Times New Roman" w:hAnsi="Times New Roman"/>
                <w:szCs w:val="28"/>
              </w:rPr>
            </w:pPr>
          </w:p>
          <w:p w:rsidR="00CF2AC1" w:rsidRPr="005A615E" w:rsidRDefault="00CF2AC1" w:rsidP="00CF2AC1">
            <w:pPr>
              <w:shd w:val="clear" w:color="auto" w:fill="FFFFFF"/>
              <w:ind w:firstLine="173"/>
              <w:jc w:val="both"/>
              <w:rPr>
                <w:rFonts w:ascii="Times New Roman" w:hAnsi="Times New Roman"/>
                <w:szCs w:val="28"/>
              </w:rPr>
            </w:pPr>
            <w:r w:rsidRPr="005A615E">
              <w:rPr>
                <w:rFonts w:ascii="Times New Roman" w:hAnsi="Times New Roman"/>
                <w:szCs w:val="28"/>
              </w:rPr>
              <w:t xml:space="preserve">де </w:t>
            </w:r>
            <w:r w:rsidRPr="005A615E">
              <w:rPr>
                <w:rFonts w:ascii="Times New Roman" w:hAnsi="Times New Roman"/>
                <w:szCs w:val="28"/>
              </w:rPr>
              <w:fldChar w:fldCharType="begin"/>
            </w:r>
            <w:r w:rsidRPr="005A615E">
              <w:rPr>
                <w:rFonts w:ascii="Times New Roman" w:hAnsi="Times New Roman"/>
                <w:szCs w:val="28"/>
              </w:rPr>
              <w:instrText xml:space="preserve"> QUOTE </w:instrText>
            </w:r>
            <w:r w:rsidR="009D35A4" w:rsidRPr="005A615E">
              <w:rPr>
                <w:rFonts w:ascii="Times New Roman" w:hAnsi="Times New Roman"/>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5pt" equationxml="&lt;">
                  <v:imagedata r:id="rId179" o:title="" chromakey="white"/>
                </v:shape>
              </w:pict>
            </w:r>
            <w:r w:rsidRPr="005A615E">
              <w:rPr>
                <w:rFonts w:ascii="Times New Roman" w:hAnsi="Times New Roman"/>
                <w:szCs w:val="28"/>
              </w:rPr>
              <w:instrText xml:space="preserve"> </w:instrText>
            </w:r>
            <w:r w:rsidRPr="005A615E">
              <w:rPr>
                <w:rFonts w:ascii="Times New Roman" w:hAnsi="Times New Roman"/>
                <w:szCs w:val="28"/>
              </w:rPr>
              <w:fldChar w:fldCharType="separate"/>
            </w:r>
            <w:r w:rsidR="009D35A4" w:rsidRPr="005A615E">
              <w:rPr>
                <w:rFonts w:ascii="Times New Roman" w:hAnsi="Times New Roman"/>
                <w:position w:val="-8"/>
              </w:rPr>
              <w:pict>
                <v:shape id="_x0000_i1026" type="#_x0000_t75" style="width:48pt;height:15pt" equationxml="&lt;">
                  <v:imagedata r:id="rId179" o:title="" chromakey="white"/>
                </v:shape>
              </w:pict>
            </w:r>
            <w:r w:rsidRPr="005A615E">
              <w:rPr>
                <w:rFonts w:ascii="Times New Roman" w:hAnsi="Times New Roman"/>
                <w:szCs w:val="28"/>
              </w:rPr>
              <w:fldChar w:fldCharType="end"/>
            </w:r>
            <w:r w:rsidRPr="005A615E">
              <w:rPr>
                <w:rFonts w:ascii="Times New Roman" w:hAnsi="Times New Roman"/>
                <w:szCs w:val="28"/>
              </w:rPr>
              <w:t>тарифна чисельність працівників, що врахована у діючих тарифах, осіб;</w:t>
            </w:r>
          </w:p>
          <w:p w:rsidR="00CF2AC1" w:rsidRPr="005A615E" w:rsidRDefault="00CF2AC1" w:rsidP="00CF2AC1">
            <w:pPr>
              <w:shd w:val="clear" w:color="auto" w:fill="FFFFFF"/>
              <w:spacing w:after="150"/>
              <w:ind w:firstLine="173"/>
              <w:jc w:val="both"/>
              <w:rPr>
                <w:rFonts w:ascii="Times New Roman" w:hAnsi="Times New Roman"/>
                <w:szCs w:val="28"/>
              </w:rPr>
            </w:pPr>
            <w:r w:rsidRPr="005A615E">
              <w:rPr>
                <w:rFonts w:ascii="Times New Roman" w:hAnsi="Times New Roman"/>
                <w:szCs w:val="28"/>
              </w:rPr>
              <w:t xml:space="preserve">n </w:t>
            </w:r>
            <w:r w:rsidRPr="005A615E">
              <w:rPr>
                <w:rFonts w:ascii="Times New Roman" w:hAnsi="Times New Roman"/>
                <w:szCs w:val="28"/>
              </w:rPr>
              <w:fldChar w:fldCharType="begin"/>
            </w:r>
            <w:r w:rsidRPr="005A615E">
              <w:rPr>
                <w:rFonts w:ascii="Times New Roman" w:hAnsi="Times New Roman"/>
                <w:szCs w:val="28"/>
              </w:rPr>
              <w:instrText xml:space="preserve"> QUOTE </w:instrText>
            </w:r>
            <w:r w:rsidR="009D35A4" w:rsidRPr="005A615E">
              <w:rPr>
                <w:rFonts w:ascii="Times New Roman" w:hAnsi="Times New Roman"/>
                <w:position w:val="-6"/>
              </w:rPr>
              <w:pict>
                <v:shape id="_x0000_i1027" type="#_x0000_t75" style="width:5.25pt;height:15.75pt" equationxml="&lt;">
                  <v:imagedata r:id="rId180" o:title="" chromakey="white"/>
                </v:shape>
              </w:pict>
            </w:r>
            <w:r w:rsidRPr="005A615E">
              <w:rPr>
                <w:rFonts w:ascii="Times New Roman" w:hAnsi="Times New Roman"/>
                <w:szCs w:val="28"/>
              </w:rPr>
              <w:instrText xml:space="preserve"> </w:instrText>
            </w:r>
            <w:r w:rsidRPr="005A615E">
              <w:rPr>
                <w:rFonts w:ascii="Times New Roman" w:hAnsi="Times New Roman"/>
                <w:szCs w:val="28"/>
              </w:rPr>
              <w:fldChar w:fldCharType="separate"/>
            </w:r>
            <w:r w:rsidR="009D35A4" w:rsidRPr="005A615E">
              <w:rPr>
                <w:rFonts w:ascii="Times New Roman" w:hAnsi="Times New Roman"/>
                <w:position w:val="-6"/>
              </w:rPr>
              <w:pict>
                <v:shape id="_x0000_i1028" type="#_x0000_t75" style="width:5.25pt;height:15.75pt" equationxml="&lt;">
                  <v:imagedata r:id="rId180" o:title="" chromakey="white"/>
                </v:shape>
              </w:pict>
            </w:r>
            <w:r w:rsidRPr="005A615E">
              <w:rPr>
                <w:rFonts w:ascii="Times New Roman" w:hAnsi="Times New Roman"/>
                <w:szCs w:val="28"/>
              </w:rPr>
              <w:fldChar w:fldCharType="end"/>
            </w:r>
            <w:r w:rsidRPr="005A615E">
              <w:rPr>
                <w:rFonts w:ascii="Times New Roman" w:hAnsi="Times New Roman"/>
                <w:szCs w:val="28"/>
              </w:rPr>
              <w:t xml:space="preserve"> кількість років попереднього регуляторного періоду, протягом яких застосовувався загальний показник ефективності для операційних контрольованих витрат, встановлений НКРЕКП (за винятком останнього року), які визначають показник степеня.</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
              </w:rPr>
              <w:t xml:space="preserve">Для ліцензіатів, перелік яких наведено у додатку 35, при визначенні тарифної чисельності працівників у році t для першого року другого регуляторного періоду, ТЧП </w:t>
            </w:r>
            <w:r w:rsidRPr="005A615E">
              <w:rPr>
                <w:rFonts w:ascii="Times New Roman" w:hAnsi="Times New Roman"/>
                <w:b/>
                <w:vertAlign w:val="superscript"/>
              </w:rPr>
              <w:t>тар</w:t>
            </w:r>
            <w:r w:rsidRPr="005A615E">
              <w:rPr>
                <w:rFonts w:ascii="Times New Roman" w:hAnsi="Times New Roman"/>
                <w:b/>
              </w:rPr>
              <w:t xml:space="preserve"> </w:t>
            </w:r>
            <w:r w:rsidRPr="005A615E">
              <w:rPr>
                <w:rFonts w:ascii="Times New Roman" w:hAnsi="Times New Roman"/>
                <w:b/>
                <w:vertAlign w:val="subscript"/>
                <w:lang w:val="en-US"/>
              </w:rPr>
              <w:t>t</w:t>
            </w:r>
            <w:r w:rsidRPr="005A615E">
              <w:rPr>
                <w:rFonts w:ascii="Times New Roman" w:hAnsi="Times New Roman"/>
                <w:b/>
              </w:rPr>
              <w:t xml:space="preserve"> =  ТЧП </w:t>
            </w:r>
            <w:r w:rsidRPr="005A615E">
              <w:rPr>
                <w:rFonts w:ascii="Times New Roman" w:hAnsi="Times New Roman"/>
                <w:b/>
                <w:vertAlign w:val="superscript"/>
              </w:rPr>
              <w:t>тар</w:t>
            </w:r>
            <w:r w:rsidRPr="005A615E">
              <w:rPr>
                <w:rFonts w:ascii="Times New Roman" w:hAnsi="Times New Roman"/>
                <w:b/>
              </w:rPr>
              <w:t xml:space="preserve"> </w:t>
            </w:r>
            <w:r w:rsidRPr="005A615E">
              <w:rPr>
                <w:rFonts w:ascii="Times New Roman" w:hAnsi="Times New Roman"/>
                <w:b/>
                <w:vertAlign w:val="subscript"/>
                <w:lang w:val="en-US"/>
              </w:rPr>
              <w:t>t</w:t>
            </w:r>
            <w:r w:rsidRPr="005A615E">
              <w:rPr>
                <w:rFonts w:ascii="Times New Roman" w:hAnsi="Times New Roman"/>
                <w:b/>
                <w:vertAlign w:val="subscript"/>
              </w:rPr>
              <w:t>-1</w:t>
            </w:r>
            <w:r w:rsidRPr="005A615E">
              <w:rPr>
                <w:rFonts w:ascii="Times New Roman" w:hAnsi="Times New Roman"/>
                <w:b/>
              </w:rPr>
              <w:t>.</w:t>
            </w:r>
          </w:p>
          <w:p w:rsidR="00CF2AC1" w:rsidRPr="005A615E" w:rsidRDefault="00CF2AC1" w:rsidP="00CF2AC1">
            <w:pPr>
              <w:shd w:val="clear" w:color="auto" w:fill="FFFFFF"/>
              <w:jc w:val="both"/>
              <w:rPr>
                <w:rFonts w:ascii="Times New Roman" w:hAnsi="Times New Roman"/>
                <w:b/>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spacing w:before="120"/>
              <w:jc w:val="both"/>
              <w:rPr>
                <w:rFonts w:ascii="Times New Roman" w:hAnsi="Times New Roman"/>
                <w:lang w:eastAsia="ru-RU"/>
              </w:rPr>
            </w:pPr>
            <w:r w:rsidRPr="005A615E">
              <w:rPr>
                <w:rFonts w:ascii="Times New Roman" w:hAnsi="Times New Roman"/>
                <w:lang w:eastAsia="ru-RU"/>
              </w:rPr>
              <w:t xml:space="preserve">Включення зазначеної статті витрат до базового рівня ОКВ при переході до стимулюючого регулювання відбулося на рівні прогнозованої її вартості у 2020 році. В подальшому така вартість лише щорічно індексувалася. </w:t>
            </w:r>
            <w:r w:rsidRPr="005A615E">
              <w:rPr>
                <w:rFonts w:ascii="Times New Roman" w:hAnsi="Times New Roman"/>
                <w:b/>
                <w:lang w:eastAsia="ru-RU"/>
              </w:rPr>
              <w:t>Вже за 2025 рік фактичні перевитрати Товариства по зазначеній статті витрат становили 50,6 млн.грн., що, для порівняння, відповідає майже половині річної програми ремонтів Товариства.</w:t>
            </w:r>
          </w:p>
          <w:p w:rsidR="00CF2AC1" w:rsidRPr="005A615E" w:rsidRDefault="00CF2AC1" w:rsidP="00CF2AC1">
            <w:pPr>
              <w:jc w:val="both"/>
              <w:rPr>
                <w:rFonts w:ascii="Times New Roman" w:hAnsi="Times New Roman"/>
                <w:b/>
                <w:i/>
                <w:u w:val="single"/>
              </w:rPr>
            </w:pPr>
            <w:r w:rsidRPr="005A615E">
              <w:rPr>
                <w:rFonts w:ascii="Times New Roman" w:hAnsi="Times New Roman"/>
                <w:lang w:eastAsia="ru-RU"/>
              </w:rPr>
              <w:t xml:space="preserve">Оскільки </w:t>
            </w:r>
            <w:r w:rsidRPr="005A615E">
              <w:rPr>
                <w:rFonts w:ascii="Times New Roman" w:hAnsi="Times New Roman"/>
                <w:b/>
                <w:u w:val="single"/>
                <w:lang w:eastAsia="ru-RU"/>
              </w:rPr>
              <w:t>Товариство не має жодного впливу на рівень ціни електричної енергії для господарських потреби</w:t>
            </w:r>
            <w:r w:rsidRPr="005A615E">
              <w:rPr>
                <w:rFonts w:ascii="Times New Roman" w:hAnsi="Times New Roman"/>
                <w:lang w:eastAsia="ru-RU"/>
              </w:rPr>
              <w:t>, оскільки така ціна відповідає рівню ціни електричної енергії, як товару на ринку електричної енергії, з врахуванням тарифу НЕК «УКРЕНЕРГО» на послуги з передачі електричної енергії, пропонуємо виключити її зі складу ОКВ та планувати у складі ОНВ.</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 xml:space="preserve">Протягом 2023-2025 років, в умовах фактично діючих дефіцитних тарифів, ОСР додатку 35 не мали фінансової можливості забезпечити фінансування повного тарифного рівня ФОП у порівнянні з іншими ОСР України, що призводило до </w:t>
            </w:r>
            <w:r w:rsidRPr="005A615E">
              <w:rPr>
                <w:rFonts w:ascii="Times New Roman" w:hAnsi="Times New Roman"/>
                <w:b/>
                <w:lang w:eastAsia="ru-RU"/>
              </w:rPr>
              <w:t>неконкурентного рівня заробітних плат  персоналу Товариства, зокрема й висококваліфікованого виробничого персоналу</w:t>
            </w:r>
            <w:r w:rsidRPr="005A615E">
              <w:rPr>
                <w:rFonts w:ascii="Times New Roman" w:hAnsi="Times New Roman"/>
                <w:lang w:eastAsia="ru-RU"/>
              </w:rPr>
              <w:t>. Внаслідок зазначеного, АТ «ЖИТОМИРОБЛЕНЕРГО» також не мало жодних фінансових можливостей забезпечити ринковим рівнем заробітної плати вакантні штатні позиції з метою залучення додаткового персоналу.</w:t>
            </w:r>
          </w:p>
          <w:p w:rsidR="00CF2AC1" w:rsidRPr="005A615E" w:rsidRDefault="00CF2AC1" w:rsidP="00CF2AC1">
            <w:pPr>
              <w:jc w:val="both"/>
              <w:rPr>
                <w:rFonts w:ascii="Times New Roman" w:hAnsi="Times New Roman"/>
                <w:lang w:eastAsia="ru-RU"/>
              </w:rPr>
            </w:pPr>
            <w:r w:rsidRPr="005A615E">
              <w:rPr>
                <w:rFonts w:ascii="Times New Roman" w:hAnsi="Times New Roman"/>
                <w:lang w:eastAsia="ru-RU"/>
              </w:rPr>
              <w:t>Застосування загального показника ефективності при визначенні тарифної чисельності працівників на відповідний регуляторний період призведе до зменшення тарифного рівня ФОП, що значним чином погіршить поточні умови оплати праці персоналу Товариства, а також можливості залучення додаткового персоналу.</w:t>
            </w:r>
          </w:p>
          <w:p w:rsidR="00CF2AC1" w:rsidRPr="005A615E" w:rsidRDefault="00CF2AC1" w:rsidP="00CF2AC1">
            <w:pPr>
              <w:jc w:val="both"/>
              <w:rPr>
                <w:rFonts w:ascii="Times New Roman" w:hAnsi="Times New Roman"/>
                <w:b/>
                <w:lang w:eastAsia="ru-RU"/>
              </w:rPr>
            </w:pPr>
            <w:r w:rsidRPr="005A615E">
              <w:rPr>
                <w:rFonts w:ascii="Times New Roman" w:hAnsi="Times New Roman"/>
                <w:lang w:eastAsia="ru-RU"/>
              </w:rPr>
              <w:t xml:space="preserve">З огляду на вказане, в умовах значного дефіциту кадрів та нагальної необхідності забезпечити належний рівень оплати праці персоналу ОСР, які забезпечують обслуговування та експлуатацію системи розподілу електричної енергії в умовах постійного ризику ураження критичної енергетичної інфраструктури, </w:t>
            </w:r>
            <w:r w:rsidRPr="005A615E">
              <w:rPr>
                <w:rFonts w:ascii="Times New Roman" w:hAnsi="Times New Roman"/>
                <w:b/>
                <w:lang w:eastAsia="ru-RU"/>
              </w:rPr>
              <w:t>пропонуємо при визначенні ФОП для ОСР додатку 35 для першого року другого регуляторного періоду, тарифну чисельність працівників на прогнозний період визначати на рівні тарифної чисельності попереднього регуляторного періоду.</w:t>
            </w:r>
          </w:p>
          <w:p w:rsidR="00CF2AC1" w:rsidRPr="005A615E" w:rsidRDefault="00CF2AC1" w:rsidP="00CF2AC1">
            <w:pPr>
              <w:jc w:val="both"/>
              <w:rPr>
                <w:rFonts w:ascii="Times New Roman" w:hAnsi="Times New Roman"/>
                <w:b/>
                <w:lang w:eastAsia="ru-RU"/>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АТ «ДТЕК ДОНЕЦЬКІ ЕЛЕКТРОМЕРЕЖІ» (лист від 04.08.2026 №06/9293-вих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ind w:firstLine="173"/>
              <w:jc w:val="both"/>
              <w:rPr>
                <w:rFonts w:ascii="Times New Roman" w:hAnsi="Times New Roman"/>
                <w:szCs w:val="28"/>
              </w:rPr>
            </w:pPr>
            <w:r w:rsidRPr="005A615E">
              <w:rPr>
                <w:rFonts w:ascii="Times New Roman" w:hAnsi="Times New Roman"/>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jc w:val="both"/>
              <w:rPr>
                <w:rFonts w:ascii="Times New Roman" w:hAnsi="Times New Roman" w:cs="Times New Roman"/>
              </w:rPr>
            </w:pPr>
            <w:r w:rsidRPr="005A615E">
              <w:rPr>
                <w:rFonts w:ascii="Times New Roman" w:hAnsi="Times New Roman" w:cs="Times New Roman"/>
              </w:rPr>
              <w:t xml:space="preserve">Для АТ «ЖИТОМИРОБЛЕНЕРГО», ПРАТ «КІРОВОГРАДОБЛЕНЕРГО», ПРАТ «РІВНЕОБЛЕНЕРГО», АТ «ХЕРСОНОБЛЕНЕРГО», АТ «ЧЕРНІВЦІОБЛЕНЕРГО» </w:t>
            </w:r>
            <w:r w:rsidRPr="005A615E">
              <w:rPr>
                <w:rFonts w:ascii="Times New Roman" w:hAnsi="Times New Roman" w:cs="Times New Roman"/>
                <w:b/>
                <w:bCs/>
              </w:rPr>
              <w:t>та ліцензіатів, перелік яких наведено в додатку 30 до цього Порядку,</w:t>
            </w:r>
            <w:r w:rsidRPr="005A615E">
              <w:rPr>
                <w:rFonts w:ascii="Times New Roman" w:hAnsi="Times New Roman" w:cs="Times New Roman"/>
              </w:rPr>
              <w:t xml:space="preserve"> економія операційних контрольованих витрат за перший регуляторний період за 2022 – 2026 роки не визначається, а при визначенні економії операційних контрольованих витрат за попередній регуляторний період показник k не враховує 2022 – 2026 роки.</w:t>
            </w:r>
          </w:p>
          <w:p w:rsidR="00CF2AC1" w:rsidRPr="005A615E" w:rsidRDefault="00CF2AC1" w:rsidP="00CF2AC1">
            <w:pPr>
              <w:jc w:val="both"/>
              <w:rPr>
                <w:rFonts w:ascii="Times New Roman" w:hAnsi="Times New Roman" w:cs="Times New Roman"/>
                <w:b/>
                <w:bCs/>
              </w:rPr>
            </w:pPr>
            <w:r w:rsidRPr="005A615E">
              <w:rPr>
                <w:rFonts w:ascii="Times New Roman" w:hAnsi="Times New Roman" w:cs="Times New Roman"/>
                <w:b/>
                <w:bCs/>
              </w:rPr>
              <w:t>Для ліцензіатів, перелік яких наведено в додатку 30 до цього Порядку, економія за 2021 рік визначається з урахуванням КФУ, розрахованого наростаючим підсумком до фактичного значення року t-1</w:t>
            </w:r>
          </w:p>
          <w:p w:rsidR="00CF2AC1" w:rsidRPr="005A615E" w:rsidRDefault="00CF2AC1" w:rsidP="00CF2AC1">
            <w:pPr>
              <w:jc w:val="both"/>
              <w:rPr>
                <w:rFonts w:ascii="Times New Roman" w:hAnsi="Times New Roman" w:cs="Times New Roman"/>
                <w:b/>
                <w:bCs/>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ind w:firstLine="308"/>
              <w:jc w:val="both"/>
              <w:rPr>
                <w:rFonts w:ascii="Times New Roman" w:hAnsi="Times New Roman" w:cs="Times New Roman"/>
              </w:rPr>
            </w:pPr>
            <w:r w:rsidRPr="005A615E">
              <w:rPr>
                <w:rFonts w:ascii="Times New Roman" w:hAnsi="Times New Roman" w:cs="Times New Roman"/>
                <w:shd w:val="clear" w:color="auto" w:fill="FFFFFF"/>
              </w:rPr>
              <w:t>Внаслідок активних бойових дій «прифронтові ОСР», що зазначені у додатку 30 не мають можливості повноцінно фінансувати витрати, які необхідні для забезпечення сталого функціонування мереж на контрольованій території.</w:t>
            </w:r>
          </w:p>
          <w:p w:rsidR="00CF2AC1" w:rsidRPr="005A615E" w:rsidRDefault="00CF2AC1" w:rsidP="00CF2AC1">
            <w:pPr>
              <w:jc w:val="both"/>
              <w:rPr>
                <w:rFonts w:ascii="Times New Roman" w:hAnsi="Times New Roman"/>
                <w:b/>
                <w:u w:val="single"/>
              </w:rPr>
            </w:pPr>
            <w:r w:rsidRPr="005A615E">
              <w:rPr>
                <w:rFonts w:ascii="Times New Roman" w:hAnsi="Times New Roman" w:cs="Times New Roman"/>
              </w:rPr>
              <w:t>У зв’язку з воєнними діями відбулася втрата контролю над частинами територій у зв’язку з чим сумарні ОКВ знизилися з урахуванням  КФУ. Пропонується до знижених ОКВ застосовувати економію, знижену на КФУ.</w:t>
            </w:r>
          </w:p>
        </w:tc>
        <w:tc>
          <w:tcPr>
            <w:tcW w:w="3969" w:type="dxa"/>
            <w:gridSpan w:val="2"/>
          </w:tcPr>
          <w:p w:rsidR="001F767A" w:rsidRPr="005A615E" w:rsidRDefault="001F767A" w:rsidP="001F767A">
            <w:pPr>
              <w:ind w:firstLine="308"/>
              <w:jc w:val="both"/>
              <w:rPr>
                <w:rFonts w:ascii="Times New Roman" w:hAnsi="Times New Roman"/>
                <w:b/>
              </w:rPr>
            </w:pPr>
            <w:r w:rsidRPr="005A615E">
              <w:rPr>
                <w:rFonts w:ascii="Times New Roman" w:hAnsi="Times New Roman"/>
                <w:b/>
              </w:rPr>
              <w:t>Враховано частково</w:t>
            </w:r>
          </w:p>
          <w:p w:rsidR="001F767A" w:rsidRPr="005A615E" w:rsidRDefault="001F767A" w:rsidP="001F767A">
            <w:pPr>
              <w:ind w:firstLine="308"/>
              <w:jc w:val="both"/>
              <w:rPr>
                <w:rFonts w:ascii="Times New Roman" w:hAnsi="Times New Roman"/>
                <w:b/>
              </w:rPr>
            </w:pPr>
            <w:r w:rsidRPr="005A615E">
              <w:rPr>
                <w:rFonts w:ascii="Times New Roman" w:hAnsi="Times New Roman"/>
                <w:b/>
              </w:rPr>
              <w:t xml:space="preserve">Запропонована редакція </w:t>
            </w:r>
          </w:p>
          <w:p w:rsidR="001F767A" w:rsidRPr="005A615E" w:rsidRDefault="001F767A" w:rsidP="001F767A">
            <w:pPr>
              <w:ind w:firstLine="308"/>
              <w:jc w:val="both"/>
              <w:rPr>
                <w:rFonts w:ascii="Times New Roman" w:hAnsi="Times New Roman" w:cs="Times New Roman"/>
              </w:rPr>
            </w:pPr>
            <w:r w:rsidRPr="005A615E">
              <w:rPr>
                <w:rFonts w:ascii="Times New Roman" w:hAnsi="Times New Roman" w:cs="Times New Roman"/>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1F767A" w:rsidRPr="005A615E" w:rsidRDefault="000D13C5" w:rsidP="001F767A">
            <w:pPr>
              <w:ind w:firstLine="308"/>
              <w:jc w:val="both"/>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ОКВ</m:t>
                  </m:r>
                </m:e>
                <m:sub>
                  <m:r>
                    <w:rPr>
                      <w:rFonts w:ascii="Cambria Math" w:hAnsi="Cambria Math" w:cs="Times New Roman"/>
                    </w:rPr>
                    <m:t>0</m:t>
                  </m:r>
                </m:sub>
                <m:sup>
                  <m:r>
                    <w:rPr>
                      <w:rFonts w:ascii="Cambria Math" w:hAnsi="Cambria Math" w:cs="Times New Roman"/>
                    </w:rPr>
                    <m:t>І</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ОКВ</m:t>
                  </m:r>
                </m:e>
                <m:sub>
                  <m:r>
                    <w:rPr>
                      <w:rFonts w:ascii="Cambria Math" w:hAnsi="Cambria Math" w:cs="Times New Roman"/>
                    </w:rPr>
                    <m:t>ост</m:t>
                  </m:r>
                </m:sub>
                <m:sup>
                  <m:r>
                    <w:rPr>
                      <w:rFonts w:ascii="Cambria Math" w:hAnsi="Cambria Math" w:cs="Times New Roman"/>
                    </w:rPr>
                    <m:t>п</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К</m:t>
                  </m:r>
                </m:e>
                <m:sub>
                  <m:r>
                    <w:rPr>
                      <w:rFonts w:ascii="Cambria Math" w:hAnsi="Cambria Math" w:cs="Times New Roman"/>
                    </w:rPr>
                    <m:t>УО</m:t>
                  </m:r>
                </m:sub>
                <m:sup>
                  <m:r>
                    <w:rPr>
                      <w:rFonts w:ascii="Cambria Math" w:hAnsi="Cambria Math" w:cs="Times New Roman"/>
                    </w:rPr>
                    <m:t>І</m:t>
                  </m:r>
                </m:sup>
              </m:sSubSup>
              <m:r>
                <w:rPr>
                  <w:rFonts w:ascii="Cambria Math" w:hAnsi="Cambria Math" w:cs="Times New Roman"/>
                </w:rPr>
                <m:t>-</m:t>
              </m:r>
              <m:f>
                <m:fPr>
                  <m:ctrlPr>
                    <w:rPr>
                      <w:rFonts w:ascii="Cambria Math" w:hAnsi="Cambria Math" w:cs="Times New Roman"/>
                      <w:i/>
                    </w:rPr>
                  </m:ctrlPr>
                </m:fPr>
                <m:num>
                  <m:r>
                    <m:rPr>
                      <m:sty m:val="p"/>
                    </m:rPr>
                    <w:rPr>
                      <w:rFonts w:ascii="Cambria Math" w:hAnsi="Cambria Math" w:cs="Times New Roman"/>
                      <w:lang w:val="en-US"/>
                    </w:rPr>
                    <m:t>max</m:t>
                  </m:r>
                  <m:r>
                    <m:rPr>
                      <m:sty m:val="p"/>
                    </m:rPr>
                    <w:rPr>
                      <w:rFonts w:ascii="Cambria Math" w:hAnsi="Cambria Math" w:cs="Times New Roman"/>
                    </w:rPr>
                    <m:t>⁡</m:t>
                  </m:r>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ЕОКВ</m:t>
                      </m:r>
                    </m:e>
                    <m:sup>
                      <m:r>
                        <w:rPr>
                          <w:rFonts w:ascii="Cambria Math" w:hAnsi="Cambria Math" w:cs="Times New Roman"/>
                        </w:rPr>
                        <m:t>І</m:t>
                      </m:r>
                    </m:sup>
                  </m:sSup>
                  <m:r>
                    <w:rPr>
                      <w:rFonts w:ascii="Cambria Math" w:hAnsi="Cambria Math" w:cs="Times New Roman"/>
                    </w:rPr>
                    <m:t>,0)</m:t>
                  </m:r>
                </m:num>
                <m:den>
                  <m:r>
                    <w:rPr>
                      <w:rFonts w:ascii="Cambria Math" w:hAnsi="Cambria Math" w:cs="Times New Roman"/>
                    </w:rPr>
                    <m:t>2</m:t>
                  </m:r>
                </m:den>
              </m:f>
            </m:oMath>
            <w:r w:rsidR="001F767A" w:rsidRPr="005A615E">
              <w:rPr>
                <w:rFonts w:ascii="Times New Roman" w:hAnsi="Times New Roman" w:cs="Times New Roman"/>
              </w:rPr>
              <w:t>, тис грн (11)</w:t>
            </w:r>
          </w:p>
          <w:p w:rsidR="001F767A" w:rsidRPr="005A615E" w:rsidRDefault="001F767A" w:rsidP="001F767A">
            <w:pPr>
              <w:ind w:right="-33" w:firstLine="173"/>
              <w:jc w:val="both"/>
              <w:rPr>
                <w:rFonts w:ascii="Times New Roman" w:hAnsi="Times New Roman" w:cs="Times New Roman"/>
              </w:rPr>
            </w:pPr>
            <w:r w:rsidRPr="005A615E">
              <w:rPr>
                <w:rFonts w:ascii="Times New Roman" w:hAnsi="Times New Roman" w:cs="Times New Roman"/>
              </w:rPr>
              <w:t>де </w:t>
            </w:r>
            <w:r w:rsidRPr="005A615E">
              <w:rPr>
                <w:rFonts w:ascii="Times New Roman" w:hAnsi="Times New Roman" w:cs="Times New Roman"/>
                <w:noProof/>
              </w:rPr>
              <w:drawing>
                <wp:inline distT="0" distB="0" distL="0" distR="0">
                  <wp:extent cx="466725" cy="171450"/>
                  <wp:effectExtent l="0" t="0" r="9525" b="0"/>
                  <wp:docPr id="271230471" name="Рисунок 271230471" descr="https://zakon-pro.ligazakon.net/l_flib1.nsf/LookupFiles/GK40721_IMG_370.GIF/$file/GK40721_IMG_370.GIF">
                    <a:hlinkClick xmlns:a="http://schemas.openxmlformats.org/drawingml/2006/main" r:id="rId1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296" descr="https://zakon-pro.ligazakon.net/l_flib1.nsf/LookupFiles/GK40721_IMG_370.GIF/$file/GK40721_IMG_370.GIF">
                            <a:hlinkClick r:id="rId124" tgtFrame="&quot;_blank&quot;"/>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66725" cy="171450"/>
                          </a:xfrm>
                          <a:prstGeom prst="rect">
                            <a:avLst/>
                          </a:prstGeom>
                          <a:noFill/>
                          <a:ln>
                            <a:noFill/>
                          </a:ln>
                        </pic:spPr>
                      </pic:pic>
                    </a:graphicData>
                  </a:graphic>
                </wp:inline>
              </w:drawing>
            </w:r>
            <w:r w:rsidRPr="005A615E">
              <w:rPr>
                <w:rFonts w:ascii="Times New Roman" w:hAnsi="Times New Roman" w:cs="Times New Roman"/>
              </w:rPr>
              <w:t> </w:t>
            </w:r>
            <m:oMath>
              <m:r>
                <m:rPr>
                  <m:sty m:val="p"/>
                </m:rPr>
                <w:rPr>
                  <w:rFonts w:ascii="Cambria Math" w:hAnsi="Cambria Math" w:cs="Times New Roman"/>
                  <w:lang w:eastAsia="uk-UA"/>
                </w:rPr>
                <m:t>-</m:t>
              </m:r>
            </m:oMath>
            <w:r w:rsidRPr="005A615E">
              <w:rPr>
                <w:rFonts w:ascii="Times New Roman" w:hAnsi="Times New Roman" w:cs="Times New Roman"/>
              </w:rPr>
              <w:t xml:space="preserve"> прогнозовані операційні контрольовані витрати в останньому році попереднього регуляторного періоду, тис. грн;</w:t>
            </w:r>
          </w:p>
          <w:p w:rsidR="001F767A" w:rsidRPr="005A615E" w:rsidRDefault="001F767A" w:rsidP="001F767A">
            <w:pPr>
              <w:ind w:right="-33" w:firstLine="173"/>
              <w:jc w:val="both"/>
              <w:rPr>
                <w:rFonts w:ascii="Times New Roman" w:hAnsi="Times New Roman" w:cs="Times New Roman"/>
              </w:rPr>
            </w:pPr>
            <w:r w:rsidRPr="005A615E">
              <w:rPr>
                <w:rFonts w:ascii="Times New Roman" w:hAnsi="Times New Roman" w:cs="Times New Roman"/>
                <w:noProof/>
              </w:rPr>
              <w:drawing>
                <wp:inline distT="0" distB="0" distL="0" distR="0">
                  <wp:extent cx="428625" cy="133350"/>
                  <wp:effectExtent l="0" t="0" r="9525" b="0"/>
                  <wp:docPr id="271230470" name="Рисунок 271230470" descr="https://zakon-pro.ligazakon.net/l_flib1.nsf/LookupFiles/GK40721_IMG_371.GIF/$file/GK40721_IMG_371.GIF">
                    <a:hlinkClick xmlns:a="http://schemas.openxmlformats.org/drawingml/2006/main" r:id="rId1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297" descr="https://zakon-pro.ligazakon.net/l_flib1.nsf/LookupFiles/GK40721_IMG_371.GIF/$file/GK40721_IMG_371.GIF">
                            <a:hlinkClick r:id="rId126" tgtFrame="&quot;_blank&quot;"/>
                          </pic:cNvPr>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428625" cy="133350"/>
                          </a:xfrm>
                          <a:prstGeom prst="rect">
                            <a:avLst/>
                          </a:prstGeom>
                          <a:noFill/>
                          <a:ln>
                            <a:noFill/>
                          </a:ln>
                        </pic:spPr>
                      </pic:pic>
                    </a:graphicData>
                  </a:graphic>
                </wp:inline>
              </w:drawing>
            </w:r>
            <w:r w:rsidRPr="005A615E">
              <w:rPr>
                <w:rFonts w:ascii="Times New Roman" w:hAnsi="Times New Roman" w:cs="Times New Roman"/>
              </w:rPr>
              <w:t> - економія операційних контрольованих витрат за попередній регуляторний період (за винятком останнього року), що розраховується за формулою</w:t>
            </w:r>
          </w:p>
          <w:p w:rsidR="001F767A" w:rsidRPr="005A615E" w:rsidRDefault="001F767A" w:rsidP="001F767A">
            <w:pPr>
              <w:ind w:right="-33" w:firstLine="173"/>
              <w:jc w:val="both"/>
              <w:rPr>
                <w:rFonts w:ascii="Times New Roman" w:hAnsi="Times New Roman" w:cs="Times New Roman"/>
              </w:rPr>
            </w:pPr>
          </w:p>
          <w:p w:rsidR="001F767A" w:rsidRPr="005A615E" w:rsidRDefault="000D13C5" w:rsidP="001F767A">
            <w:pPr>
              <w:ind w:firstLine="173"/>
              <w:jc w:val="both"/>
              <w:rPr>
                <w:rFonts w:ascii="Times New Roman" w:hAnsi="Times New Roman" w:cs="Times New Roman"/>
              </w:rPr>
            </w:pPr>
            <m:oMath>
              <m:sSup>
                <m:sSupPr>
                  <m:ctrlPr>
                    <w:rPr>
                      <w:rFonts w:ascii="Cambria Math" w:hAnsi="Cambria Math" w:cs="Times New Roman"/>
                      <w:i/>
                    </w:rPr>
                  </m:ctrlPr>
                </m:sSupPr>
                <m:e>
                  <m:r>
                    <w:rPr>
                      <w:rFonts w:ascii="Cambria Math" w:hAnsi="Cambria Math" w:cs="Times New Roman"/>
                    </w:rPr>
                    <m:t>ЕОКВ</m:t>
                  </m:r>
                </m:e>
                <m:sup>
                  <m:r>
                    <w:rPr>
                      <w:rFonts w:ascii="Cambria Math" w:hAnsi="Cambria Math" w:cs="Times New Roman"/>
                    </w:rPr>
                    <m:t>І</m:t>
                  </m:r>
                </m:sup>
              </m:sSup>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lang w:val="en-US"/>
                    </w:rPr>
                    <m:t>k</m:t>
                  </m:r>
                  <m:r>
                    <w:rPr>
                      <w:rFonts w:ascii="Cambria Math" w:hAnsi="Cambria Math" w:cs="Times New Roman"/>
                      <w:lang w:val="ru-RU"/>
                    </w:rPr>
                    <m:t>-1</m:t>
                  </m:r>
                </m:den>
              </m:f>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t=1</m:t>
                  </m:r>
                </m:sub>
                <m:sup>
                  <m:r>
                    <w:rPr>
                      <w:rFonts w:ascii="Cambria Math" w:hAnsi="Cambria Math" w:cs="Times New Roman"/>
                    </w:rPr>
                    <m:t>k-1</m:t>
                  </m:r>
                </m:sup>
                <m:e>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ОКВ</m:t>
                      </m:r>
                    </m:e>
                    <m:sub>
                      <m:r>
                        <w:rPr>
                          <w:rFonts w:ascii="Cambria Math" w:hAnsi="Cambria Math" w:cs="Times New Roman"/>
                        </w:rPr>
                        <m:t>t</m:t>
                      </m:r>
                    </m:sub>
                    <m:sup>
                      <m:r>
                        <w:rPr>
                          <w:rFonts w:ascii="Cambria Math" w:hAnsi="Cambria Math" w:cs="Times New Roman"/>
                          <w:lang w:val="en-US"/>
                        </w:rPr>
                        <m:t>y</m:t>
                      </m:r>
                    </m:sup>
                  </m:sSubSup>
                </m:e>
              </m:nary>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ОКВ</m:t>
                  </m:r>
                </m:e>
                <m:sub>
                  <m:r>
                    <w:rPr>
                      <w:rFonts w:ascii="Cambria Math" w:hAnsi="Cambria Math" w:cs="Times New Roman"/>
                      <w:lang w:val="en-US"/>
                    </w:rPr>
                    <m:t>t</m:t>
                  </m:r>
                </m:sub>
                <m:sup>
                  <m:r>
                    <w:rPr>
                      <w:rFonts w:ascii="Cambria Math" w:hAnsi="Cambria Math" w:cs="Times New Roman"/>
                    </w:rPr>
                    <m:t>ф</m:t>
                  </m:r>
                </m:sup>
              </m:sSubSup>
              <m:r>
                <w:rPr>
                  <w:rFonts w:ascii="Cambria Math" w:hAnsi="Cambria Math" w:cs="Times New Roman"/>
                </w:rPr>
                <m:t>),</m:t>
              </m:r>
            </m:oMath>
            <w:r w:rsidR="001F767A" w:rsidRPr="005A615E">
              <w:rPr>
                <w:rFonts w:ascii="Times New Roman" w:hAnsi="Times New Roman" w:cs="Times New Roman"/>
              </w:rPr>
              <w:t>, тис грн, (12)</w:t>
            </w:r>
          </w:p>
          <w:p w:rsidR="001F767A" w:rsidRPr="005A615E" w:rsidRDefault="001F767A" w:rsidP="001F767A">
            <w:pPr>
              <w:ind w:firstLine="308"/>
              <w:jc w:val="both"/>
              <w:rPr>
                <w:rFonts w:ascii="Times New Roman" w:hAnsi="Times New Roman" w:cs="Times New Roman"/>
                <w:shd w:val="clear" w:color="auto" w:fill="FFFFFF"/>
              </w:rPr>
            </w:pPr>
          </w:p>
          <w:p w:rsidR="001F767A" w:rsidRPr="005A615E" w:rsidRDefault="000D13C5" w:rsidP="001F767A">
            <w:pPr>
              <w:ind w:firstLine="173"/>
              <w:jc w:val="both"/>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К</m:t>
                  </m:r>
                </m:e>
                <m:sub>
                  <m:r>
                    <w:rPr>
                      <w:rFonts w:ascii="Cambria Math" w:hAnsi="Cambria Math" w:cs="Times New Roman"/>
                    </w:rPr>
                    <m:t>УО</m:t>
                  </m:r>
                </m:sub>
                <m:sup>
                  <m:r>
                    <w:rPr>
                      <w:rFonts w:ascii="Cambria Math" w:hAnsi="Cambria Math" w:cs="Times New Roman"/>
                    </w:rPr>
                    <m:t>І</m:t>
                  </m:r>
                </m:sup>
              </m:sSubSup>
            </m:oMath>
            <w:r w:rsidR="001F767A" w:rsidRPr="005A615E">
              <w:rPr>
                <w:rFonts w:ascii="Times New Roman" w:hAnsi="Times New Roman" w:cs="Times New Roman"/>
                <w:lang w:eastAsia="uk-UA"/>
              </w:rPr>
              <w:t xml:space="preserve"> </w:t>
            </w:r>
            <m:oMath>
              <m:r>
                <m:rPr>
                  <m:sty m:val="p"/>
                </m:rPr>
                <w:rPr>
                  <w:rFonts w:ascii="Cambria Math" w:hAnsi="Cambria Math" w:cs="Times New Roman"/>
                  <w:lang w:eastAsia="uk-UA"/>
                </w:rPr>
                <m:t>-</m:t>
              </m:r>
            </m:oMath>
            <w:r w:rsidR="001F767A" w:rsidRPr="005A615E">
              <w:rPr>
                <w:rFonts w:ascii="Times New Roman" w:hAnsi="Times New Roman" w:cs="Times New Roman"/>
              </w:rPr>
              <w:t xml:space="preserve"> коефіцієнт, що враховує зміну умовних одиниць обладнання за попередній регуляторний період (за винятком останнього року), що розраховується за формулою</w:t>
            </w:r>
          </w:p>
          <w:p w:rsidR="001F767A" w:rsidRPr="005A615E" w:rsidRDefault="000D13C5" w:rsidP="001F767A">
            <w:pPr>
              <w:ind w:firstLine="173"/>
              <w:jc w:val="both"/>
              <w:rPr>
                <w:rFonts w:ascii="Times New Roman" w:hAnsi="Times New Roman" w:cs="Times New Roman"/>
                <w:i/>
                <w:lang w:val="en-US"/>
              </w:rPr>
            </w:pPr>
            <m:oMathPara>
              <m:oMath>
                <m:sSubSup>
                  <m:sSubSupPr>
                    <m:ctrlPr>
                      <w:rPr>
                        <w:rFonts w:ascii="Cambria Math" w:hAnsi="Cambria Math" w:cs="Times New Roman"/>
                        <w:i/>
                      </w:rPr>
                    </m:ctrlPr>
                  </m:sSubSupPr>
                  <m:e>
                    <m:r>
                      <w:rPr>
                        <w:rFonts w:ascii="Cambria Math" w:hAnsi="Cambria Math" w:cs="Times New Roman"/>
                      </w:rPr>
                      <m:t>К</m:t>
                    </m:r>
                  </m:e>
                  <m:sub>
                    <m:r>
                      <w:rPr>
                        <w:rFonts w:ascii="Cambria Math" w:hAnsi="Cambria Math" w:cs="Times New Roman"/>
                      </w:rPr>
                      <m:t>УО</m:t>
                    </m:r>
                  </m:sub>
                  <m:sup>
                    <m:r>
                      <w:rPr>
                        <w:rFonts w:ascii="Cambria Math" w:hAnsi="Cambria Math" w:cs="Times New Roman"/>
                      </w:rPr>
                      <m:t>І</m:t>
                    </m:r>
                  </m:sup>
                </m:sSubSup>
                <m:r>
                  <w:rPr>
                    <w:rFonts w:ascii="Cambria Math" w:hAnsi="Cambria Math" w:cs="Times New Roman"/>
                  </w:rPr>
                  <m:t>=1+КУ×</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∆УО</m:t>
                        </m:r>
                      </m:e>
                      <m:sup>
                        <m:r>
                          <w:rPr>
                            <w:rFonts w:ascii="Cambria Math" w:hAnsi="Cambria Math" w:cs="Times New Roman"/>
                          </w:rPr>
                          <m:t>І</m:t>
                        </m:r>
                      </m:sup>
                    </m:sSup>
                  </m:num>
                  <m:den>
                    <m:sSubSup>
                      <m:sSubSupPr>
                        <m:ctrlPr>
                          <w:rPr>
                            <w:rFonts w:ascii="Cambria Math" w:hAnsi="Cambria Math" w:cs="Times New Roman"/>
                            <w:i/>
                          </w:rPr>
                        </m:ctrlPr>
                      </m:sSubSupPr>
                      <m:e>
                        <m:r>
                          <w:rPr>
                            <w:rFonts w:ascii="Cambria Math" w:hAnsi="Cambria Math" w:cs="Times New Roman"/>
                          </w:rPr>
                          <m:t>УО</m:t>
                        </m:r>
                      </m:e>
                      <m:sub>
                        <m:r>
                          <w:rPr>
                            <w:rFonts w:ascii="Cambria Math" w:hAnsi="Cambria Math" w:cs="Times New Roman"/>
                            <w:lang w:val="en-US"/>
                          </w:rPr>
                          <m:t>t</m:t>
                        </m:r>
                        <m:r>
                          <w:rPr>
                            <w:rFonts w:ascii="Cambria Math" w:hAnsi="Cambria Math" w:cs="Times New Roman"/>
                          </w:rPr>
                          <m:t>=1</m:t>
                        </m:r>
                      </m:sub>
                      <m:sup>
                        <m:r>
                          <w:rPr>
                            <w:rFonts w:ascii="Cambria Math" w:hAnsi="Cambria Math" w:cs="Times New Roman"/>
                          </w:rPr>
                          <m:t>поч</m:t>
                        </m:r>
                      </m:sup>
                    </m:sSubSup>
                  </m:den>
                </m:f>
                <m:r>
                  <w:rPr>
                    <w:rFonts w:ascii="Cambria Math" w:hAnsi="Cambria Math" w:cs="Times New Roman"/>
                  </w:rPr>
                  <m:t>,</m:t>
                </m:r>
                <m:r>
                  <m:rPr>
                    <m:sty m:val="p"/>
                  </m:rPr>
                  <w:rPr>
                    <w:rFonts w:ascii="Cambria Math" w:hAnsi="Cambria Math" w:cs="Times New Roman"/>
                  </w:rPr>
                  <m:t>відносних одиниць</m:t>
                </m:r>
                <m:r>
                  <w:rPr>
                    <w:rFonts w:ascii="Cambria Math" w:hAnsi="Cambria Math" w:cs="Times New Roman"/>
                  </w:rPr>
                  <m:t xml:space="preserve"> (13)</m:t>
                </m:r>
              </m:oMath>
            </m:oMathPara>
          </w:p>
          <w:p w:rsidR="001F767A" w:rsidRPr="005A615E" w:rsidRDefault="001F767A" w:rsidP="001F767A">
            <w:pPr>
              <w:ind w:firstLine="173"/>
              <w:jc w:val="both"/>
              <w:rPr>
                <w:rFonts w:ascii="Times New Roman" w:hAnsi="Times New Roman" w:cs="Times New Roman"/>
              </w:rPr>
            </w:pPr>
          </w:p>
          <w:p w:rsidR="001F767A" w:rsidRPr="005A615E" w:rsidRDefault="001F767A" w:rsidP="001F767A">
            <w:pPr>
              <w:ind w:firstLine="173"/>
              <w:jc w:val="both"/>
              <w:rPr>
                <w:rFonts w:ascii="Times New Roman" w:hAnsi="Times New Roman" w:cs="Times New Roman"/>
              </w:rPr>
            </w:pPr>
            <w:r w:rsidRPr="005A615E">
              <w:rPr>
                <w:rFonts w:ascii="Times New Roman" w:hAnsi="Times New Roman" w:cs="Times New Roman"/>
              </w:rPr>
              <w:t>де </w:t>
            </w:r>
            <m:oMath>
              <m:sSubSup>
                <m:sSubSupPr>
                  <m:ctrlPr>
                    <w:rPr>
                      <w:rFonts w:ascii="Cambria Math" w:hAnsi="Cambria Math" w:cs="Times New Roman"/>
                    </w:rPr>
                  </m:ctrlPr>
                </m:sSubSupPr>
                <m:e>
                  <m:r>
                    <m:rPr>
                      <m:sty m:val="p"/>
                    </m:rPr>
                    <w:rPr>
                      <w:rFonts w:ascii="Cambria Math" w:hAnsi="Cambria Math" w:cs="Times New Roman"/>
                    </w:rPr>
                    <m:t>УО</m:t>
                  </m:r>
                </m:e>
                <m:sub>
                  <m:r>
                    <w:rPr>
                      <w:rFonts w:ascii="Cambria Math" w:hAnsi="Cambria Math" w:cs="Times New Roman"/>
                    </w:rPr>
                    <m:t>t</m:t>
                  </m:r>
                  <m:r>
                    <m:rPr>
                      <m:sty m:val="p"/>
                    </m:rPr>
                    <w:rPr>
                      <w:rFonts w:ascii="Cambria Math" w:hAnsi="Cambria Math" w:cs="Times New Roman"/>
                    </w:rPr>
                    <m:t>=1</m:t>
                  </m:r>
                </m:sub>
                <m:sup>
                  <m:r>
                    <m:rPr>
                      <m:sty m:val="p"/>
                    </m:rPr>
                    <w:rPr>
                      <w:rFonts w:ascii="Cambria Math" w:hAnsi="Cambria Math" w:cs="Times New Roman"/>
                    </w:rPr>
                    <m:t>поч</m:t>
                  </m:r>
                </m:sup>
              </m:sSubSup>
            </m:oMath>
            <w:r w:rsidRPr="005A615E">
              <w:rPr>
                <w:rFonts w:ascii="Times New Roman" w:hAnsi="Times New Roman" w:cs="Times New Roman"/>
              </w:rPr>
              <w:t xml:space="preserve"> </w:t>
            </w:r>
            <m:oMath>
              <m:r>
                <m:rPr>
                  <m:sty m:val="p"/>
                </m:rPr>
                <w:rPr>
                  <w:rFonts w:ascii="Cambria Math" w:hAnsi="Cambria Math" w:cs="Times New Roman"/>
                </w:rPr>
                <m:t>-</m:t>
              </m:r>
            </m:oMath>
            <w:r w:rsidRPr="005A615E">
              <w:rPr>
                <w:rFonts w:ascii="Times New Roman" w:hAnsi="Times New Roman" w:cs="Times New Roman"/>
              </w:rPr>
              <w:t xml:space="preserve"> кількість умовних одиниць обладнання на початок першого року попереднього регуляторного періоду (для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 рік t-1);</w:t>
            </w:r>
          </w:p>
          <w:p w:rsidR="001F767A" w:rsidRPr="005A615E" w:rsidRDefault="001F767A" w:rsidP="001F767A">
            <w:pPr>
              <w:ind w:firstLine="173"/>
              <w:jc w:val="both"/>
              <w:rPr>
                <w:rFonts w:ascii="Times New Roman" w:eastAsiaTheme="minorEastAsia" w:hAnsi="Times New Roman" w:cs="Times New Roman"/>
                <w:lang w:eastAsia="uk-UA"/>
              </w:rPr>
            </w:pPr>
          </w:p>
          <w:p w:rsidR="001F767A" w:rsidRPr="005A615E" w:rsidRDefault="000D13C5" w:rsidP="001F767A">
            <w:pPr>
              <w:ind w:firstLine="173"/>
              <w:jc w:val="both"/>
              <w:rPr>
                <w:rFonts w:ascii="Times New Roman" w:hAnsi="Times New Roman" w:cs="Times New Roman"/>
              </w:rPr>
            </w:pPr>
            <m:oMath>
              <m:sSup>
                <m:sSupPr>
                  <m:ctrlPr>
                    <w:rPr>
                      <w:rFonts w:ascii="Cambria Math" w:hAnsi="Cambria Math" w:cs="Times New Roman"/>
                      <w:i/>
                      <w:noProof/>
                    </w:rPr>
                  </m:ctrlPr>
                </m:sSupPr>
                <m:e>
                  <m:r>
                    <w:rPr>
                      <w:rFonts w:ascii="Cambria Math" w:hAnsi="Cambria Math" w:cs="Times New Roman"/>
                      <w:noProof/>
                      <w:lang w:eastAsia="uk-UA"/>
                    </w:rPr>
                    <m:t>∆УО</m:t>
                  </m:r>
                </m:e>
                <m:sup>
                  <m:r>
                    <w:rPr>
                      <w:rFonts w:ascii="Cambria Math" w:hAnsi="Cambria Math" w:cs="Times New Roman"/>
                      <w:noProof/>
                      <w:lang w:eastAsia="uk-UA"/>
                    </w:rPr>
                    <m:t>І</m:t>
                  </m:r>
                </m:sup>
              </m:sSup>
              <m:r>
                <w:rPr>
                  <w:rFonts w:ascii="Cambria Math" w:hAnsi="Cambria Math" w:cs="Times New Roman"/>
                  <w:noProof/>
                  <w:lang w:eastAsia="uk-UA"/>
                </w:rPr>
                <m:t xml:space="preserve"> </m:t>
              </m:r>
              <m:r>
                <w:rPr>
                  <w:rFonts w:ascii="Cambria Math" w:hAnsi="Cambria Math" w:cs="Times New Roman"/>
                  <w:lang w:eastAsia="uk-UA"/>
                </w:rPr>
                <m:t xml:space="preserve">- </m:t>
              </m:r>
            </m:oMath>
            <w:r w:rsidR="001F767A" w:rsidRPr="005A615E">
              <w:rPr>
                <w:rFonts w:ascii="Times New Roman" w:hAnsi="Times New Roman" w:cs="Times New Roman"/>
              </w:rPr>
              <w:t xml:space="preserve">зміна фактичної кількості умовних одиниць енергетичного обладнання </w:t>
            </w:r>
            <w:r w:rsidR="001F767A" w:rsidRPr="005A615E">
              <w:rPr>
                <w:rFonts w:ascii="Times New Roman" w:hAnsi="Times New Roman" w:cs="Times New Roman"/>
                <w:b/>
                <w:bCs/>
              </w:rPr>
              <w:t xml:space="preserve">за попередній регуляторний період (за винятком останнього року) </w:t>
            </w:r>
            <w:r w:rsidR="001F767A" w:rsidRPr="005A615E">
              <w:rPr>
                <w:rFonts w:ascii="Times New Roman" w:hAnsi="Times New Roman" w:cs="Times New Roman"/>
              </w:rPr>
              <w:t>(для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 рік t-1 до фактичної кількості умовних одиниць енергетичного обладнання ліцензіата  на кінець року t-2).</w:t>
            </w:r>
          </w:p>
          <w:p w:rsidR="001F767A" w:rsidRPr="005A615E" w:rsidRDefault="001F767A" w:rsidP="001F767A">
            <w:pPr>
              <w:ind w:firstLine="173"/>
              <w:jc w:val="both"/>
              <w:rPr>
                <w:rFonts w:ascii="Times New Roman" w:hAnsi="Times New Roman" w:cs="Times New Roman"/>
              </w:rPr>
            </w:pPr>
          </w:p>
          <w:p w:rsidR="001F767A" w:rsidRPr="005A615E" w:rsidRDefault="001F767A" w:rsidP="001F767A">
            <w:pPr>
              <w:ind w:firstLine="173"/>
              <w:jc w:val="both"/>
              <w:rPr>
                <w:rFonts w:ascii="Times New Roman" w:hAnsi="Times New Roman" w:cs="Times New Roman"/>
              </w:rPr>
            </w:pPr>
            <w:r w:rsidRPr="005A615E">
              <w:rPr>
                <w:rFonts w:ascii="Times New Roman" w:hAnsi="Times New Roman" w:cs="Times New Roman"/>
              </w:rPr>
              <w:t xml:space="preserve">Для першого року другого та наступних  регуляторних періодів при визначенні прогнозованого фонду оплати праці (витрат на оплату праці) у році t </w:t>
            </w:r>
            <m:oMath>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lang w:eastAsia="uk-UA"/>
                    </w:rPr>
                    <m:t>ФОП</m:t>
                  </m:r>
                </m:e>
                <m:sub>
                  <m:r>
                    <w:rPr>
                      <w:rFonts w:ascii="Cambria Math" w:hAnsi="Cambria Math" w:cs="Times New Roman"/>
                      <w:lang w:eastAsia="uk-UA"/>
                    </w:rPr>
                    <m:t>t</m:t>
                  </m:r>
                </m:sub>
                <m:sup>
                  <m:r>
                    <w:rPr>
                      <w:rFonts w:ascii="Cambria Math" w:hAnsi="Cambria Math" w:cs="Times New Roman"/>
                      <w:lang w:eastAsia="uk-UA"/>
                    </w:rPr>
                    <m:t>n</m:t>
                  </m:r>
                </m:sup>
              </m:sSubSup>
              <m:r>
                <w:rPr>
                  <w:rFonts w:ascii="Cambria Math" w:hAnsi="Cambria Math" w:cs="Times New Roman"/>
                </w:rPr>
                <m:t xml:space="preserve"> )</m:t>
              </m:r>
            </m:oMath>
            <w:r w:rsidRPr="005A615E">
              <w:rPr>
                <w:rFonts w:ascii="Times New Roman" w:hAnsi="Times New Roman" w:cs="Times New Roman"/>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cs="Times New Roman"/>
                <w:lang w:eastAsia="uk-UA"/>
              </w:rPr>
              <w:t>(</w:t>
            </w:r>
            <m:oMath>
              <m:sSubSup>
                <m:sSubSupPr>
                  <m:ctrlPr>
                    <w:rPr>
                      <w:rFonts w:ascii="Cambria Math" w:hAnsi="Cambria Math" w:cs="Times New Roman"/>
                      <w:i/>
                    </w:rPr>
                  </m:ctrlPr>
                </m:sSubSupPr>
                <m:e>
                  <m:r>
                    <w:rPr>
                      <w:rFonts w:ascii="Cambria Math" w:hAnsi="Cambria Math" w:cs="Times New Roman"/>
                      <w:lang w:eastAsia="uk-UA"/>
                    </w:rPr>
                    <m:t>ТЧП</m:t>
                  </m:r>
                </m:e>
                <m:sub>
                  <m:r>
                    <w:rPr>
                      <w:rFonts w:ascii="Cambria Math" w:hAnsi="Cambria Math" w:cs="Times New Roman"/>
                      <w:lang w:eastAsia="uk-UA"/>
                    </w:rPr>
                    <m:t>t</m:t>
                  </m:r>
                </m:sub>
                <m:sup>
                  <m:r>
                    <w:rPr>
                      <w:rFonts w:ascii="Cambria Math" w:hAnsi="Cambria Math" w:cs="Times New Roman"/>
                      <w:lang w:eastAsia="uk-UA"/>
                    </w:rPr>
                    <m:t>тар</m:t>
                  </m:r>
                </m:sup>
              </m:sSubSup>
            </m:oMath>
            <w:r w:rsidRPr="005A615E">
              <w:rPr>
                <w:rFonts w:ascii="Times New Roman" w:hAnsi="Times New Roman" w:cs="Times New Roman"/>
                <w:lang w:eastAsia="uk-UA"/>
              </w:rPr>
              <w:t xml:space="preserve">) </w:t>
            </w:r>
            <w:r w:rsidRPr="005A615E">
              <w:rPr>
                <w:rFonts w:ascii="Times New Roman" w:hAnsi="Times New Roman" w:cs="Times New Roman"/>
              </w:rPr>
              <w:t>розраховується за формулою</w:t>
            </w:r>
          </w:p>
          <w:p w:rsidR="001F767A" w:rsidRPr="005A615E" w:rsidRDefault="001F767A" w:rsidP="001F767A">
            <w:pPr>
              <w:ind w:firstLine="308"/>
              <w:jc w:val="both"/>
              <w:rPr>
                <w:rFonts w:ascii="Times New Roman" w:hAnsi="Times New Roman" w:cs="Times New Roman"/>
                <w:shd w:val="clear" w:color="auto" w:fill="FFFFFF"/>
              </w:rPr>
            </w:pPr>
          </w:p>
          <w:p w:rsidR="001F767A" w:rsidRPr="005A615E" w:rsidRDefault="000D13C5" w:rsidP="001F767A">
            <w:pPr>
              <w:shd w:val="clear" w:color="auto" w:fill="FFFFFF"/>
              <w:spacing w:after="150"/>
              <w:ind w:firstLine="450"/>
              <w:jc w:val="both"/>
              <w:rPr>
                <w:rFonts w:ascii="Times New Roman" w:hAnsi="Times New Roman" w:cs="Times New Roman"/>
                <w:shd w:val="clear" w:color="auto" w:fill="FFFFFF"/>
              </w:rPr>
            </w:pPr>
            <m:oMathPara>
              <m:oMath>
                <m:sSubSup>
                  <m:sSubSupPr>
                    <m:ctrlPr>
                      <w:rPr>
                        <w:rFonts w:ascii="Cambria Math" w:hAnsi="Cambria Math" w:cs="Times New Roman"/>
                        <w:i/>
                      </w:rPr>
                    </m:ctrlPr>
                  </m:sSubSupPr>
                  <m:e>
                    <m:r>
                      <w:rPr>
                        <w:rFonts w:ascii="Cambria Math" w:hAnsi="Cambria Math" w:cs="Times New Roman"/>
                        <w:lang w:eastAsia="uk-UA"/>
                      </w:rPr>
                      <m:t>ТЧП</m:t>
                    </m:r>
                  </m:e>
                  <m:sub>
                    <m:r>
                      <w:rPr>
                        <w:rFonts w:ascii="Cambria Math" w:hAnsi="Cambria Math" w:cs="Times New Roman"/>
                        <w:lang w:val="en-US" w:eastAsia="uk-UA"/>
                      </w:rPr>
                      <m:t>t</m:t>
                    </m:r>
                  </m:sub>
                  <m:sup>
                    <m:r>
                      <w:rPr>
                        <w:rFonts w:ascii="Cambria Math" w:hAnsi="Cambria Math" w:cs="Times New Roman"/>
                        <w:lang w:eastAsia="uk-UA"/>
                      </w:rPr>
                      <m:t>тар</m:t>
                    </m:r>
                  </m:sup>
                </m:sSubSup>
                <m:r>
                  <w:rPr>
                    <w:rFonts w:ascii="Cambria Math" w:hAnsi="Cambria Math" w:cs="Times New Roman"/>
                    <w:lang w:eastAsia="uk-UA"/>
                  </w:rPr>
                  <m:t>=</m:t>
                </m:r>
                <m:sSubSup>
                  <m:sSubSupPr>
                    <m:ctrlPr>
                      <w:rPr>
                        <w:rFonts w:ascii="Cambria Math" w:hAnsi="Cambria Math" w:cs="Times New Roman"/>
                        <w:i/>
                      </w:rPr>
                    </m:ctrlPr>
                  </m:sSubSupPr>
                  <m:e>
                    <m:r>
                      <w:rPr>
                        <w:rFonts w:ascii="Cambria Math" w:hAnsi="Cambria Math" w:cs="Times New Roman"/>
                        <w:lang w:eastAsia="uk-UA"/>
                      </w:rPr>
                      <m:t>ТЧП</m:t>
                    </m:r>
                  </m:e>
                  <m:sub>
                    <m:r>
                      <w:rPr>
                        <w:rFonts w:ascii="Cambria Math" w:hAnsi="Cambria Math" w:cs="Times New Roman"/>
                        <w:lang w:eastAsia="uk-UA"/>
                      </w:rPr>
                      <m:t>t-1</m:t>
                    </m:r>
                  </m:sub>
                  <m:sup>
                    <m:r>
                      <w:rPr>
                        <w:rFonts w:ascii="Cambria Math" w:hAnsi="Cambria Math" w:cs="Times New Roman"/>
                        <w:lang w:eastAsia="uk-UA"/>
                      </w:rPr>
                      <m:t>тар</m:t>
                    </m:r>
                  </m:sup>
                </m:sSubSup>
                <m:r>
                  <w:rPr>
                    <w:rFonts w:ascii="Cambria Math" w:hAnsi="Cambria Math" w:cs="Times New Roman"/>
                    <w:lang w:eastAsia="uk-UA"/>
                  </w:rPr>
                  <m:t>×</m:t>
                </m:r>
                <m:sSup>
                  <m:sSupPr>
                    <m:ctrlPr>
                      <w:rPr>
                        <w:rFonts w:ascii="Cambria Math" w:hAnsi="Cambria Math" w:cs="Times New Roman"/>
                        <w:i/>
                      </w:rPr>
                    </m:ctrlPr>
                  </m:sSupPr>
                  <m:e>
                    <m:r>
                      <w:rPr>
                        <w:rFonts w:ascii="Cambria Math" w:hAnsi="Cambria Math" w:cs="Times New Roman"/>
                        <w:lang w:eastAsia="uk-UA"/>
                      </w:rPr>
                      <m:t>(1-</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lang w:eastAsia="uk-UA"/>
                              </w:rPr>
                              <m:t>ПЕ</m:t>
                            </m:r>
                          </m:e>
                          <m:sub>
                            <m:r>
                              <w:rPr>
                                <w:rFonts w:ascii="Cambria Math" w:hAnsi="Cambria Math" w:cs="Times New Roman"/>
                                <w:lang w:eastAsia="uk-UA"/>
                              </w:rPr>
                              <m:t>з</m:t>
                            </m:r>
                          </m:sub>
                        </m:sSub>
                      </m:num>
                      <m:den>
                        <m:r>
                          <w:rPr>
                            <w:rFonts w:ascii="Cambria Math" w:hAnsi="Cambria Math" w:cs="Times New Roman"/>
                            <w:lang w:eastAsia="uk-UA"/>
                          </w:rPr>
                          <m:t>100</m:t>
                        </m:r>
                      </m:den>
                    </m:f>
                    <m:r>
                      <w:rPr>
                        <w:rFonts w:ascii="Cambria Math" w:hAnsi="Cambria Math" w:cs="Times New Roman"/>
                        <w:lang w:eastAsia="uk-UA"/>
                      </w:rPr>
                      <m:t>)</m:t>
                    </m:r>
                  </m:e>
                  <m:sup>
                    <m:r>
                      <w:rPr>
                        <w:rFonts w:ascii="Cambria Math" w:hAnsi="Cambria Math" w:cs="Times New Roman"/>
                        <w:lang w:val="en-US" w:eastAsia="uk-UA"/>
                      </w:rPr>
                      <m:t>n</m:t>
                    </m:r>
                  </m:sup>
                </m:sSup>
                <m:r>
                  <w:rPr>
                    <w:rFonts w:ascii="Cambria Math" w:hAnsi="Cambria Math" w:cs="Times New Roman"/>
                    <w:lang w:eastAsia="uk-UA"/>
                  </w:rPr>
                  <m:t xml:space="preserve"> ×</m:t>
                </m:r>
                <m:sSubSup>
                  <m:sSubSupPr>
                    <m:ctrlPr>
                      <w:rPr>
                        <w:rFonts w:ascii="Cambria Math" w:hAnsi="Cambria Math" w:cs="Times New Roman"/>
                        <w:i/>
                      </w:rPr>
                    </m:ctrlPr>
                  </m:sSubSupPr>
                  <m:e>
                    <m:r>
                      <w:rPr>
                        <w:rFonts w:ascii="Cambria Math" w:hAnsi="Cambria Math" w:cs="Times New Roman"/>
                        <w:lang w:eastAsia="uk-UA"/>
                      </w:rPr>
                      <m:t>КУ</m:t>
                    </m:r>
                  </m:e>
                  <m:sub>
                    <m:r>
                      <w:rPr>
                        <w:rFonts w:ascii="Cambria Math" w:hAnsi="Cambria Math" w:cs="Times New Roman"/>
                        <w:lang w:eastAsia="uk-UA"/>
                      </w:rPr>
                      <m:t>УО</m:t>
                    </m:r>
                  </m:sub>
                  <m:sup>
                    <m:r>
                      <w:rPr>
                        <w:rFonts w:ascii="Cambria Math" w:hAnsi="Cambria Math" w:cs="Times New Roman"/>
                        <w:lang w:eastAsia="uk-UA"/>
                      </w:rPr>
                      <m:t>І</m:t>
                    </m:r>
                  </m:sup>
                </m:sSubSup>
                <m:r>
                  <w:rPr>
                    <w:rFonts w:ascii="Cambria Math" w:hAnsi="Cambria Math" w:cs="Times New Roman"/>
                    <w:lang w:eastAsia="uk-UA"/>
                  </w:rPr>
                  <m:t xml:space="preserve">,    </m:t>
                </m:r>
                <m:r>
                  <m:rPr>
                    <m:sty m:val="p"/>
                  </m:rPr>
                  <w:rPr>
                    <w:rFonts w:ascii="Cambria Math" w:hAnsi="Cambria Math" w:cs="Times New Roman"/>
                    <w:u w:val="single"/>
                  </w:rPr>
                  <m:t>осіб ,</m:t>
                </m:r>
                <m:r>
                  <m:rPr>
                    <m:sty m:val="p"/>
                  </m:rPr>
                  <w:rPr>
                    <w:rFonts w:ascii="Cambria Math" w:hAnsi="Cambria Math" w:cs="Times New Roman"/>
                  </w:rPr>
                  <m:t xml:space="preserve">   </m:t>
                </m:r>
                <w:hyperlink r:id="rId181" w:tgtFrame="_blank" w:history="1">
                  <m:r>
                    <m:rPr>
                      <m:sty m:val="p"/>
                    </m:rPr>
                    <w:rPr>
                      <w:rStyle w:val="a9"/>
                      <w:rFonts w:ascii="Cambria Math" w:hAnsi="Cambria Math" w:cs="Times New Roman"/>
                      <w:color w:val="auto"/>
                    </w:rPr>
                    <m:t>(14)</m:t>
                  </m:r>
                </w:hyperlink>
              </m:oMath>
            </m:oMathPara>
          </w:p>
          <w:p w:rsidR="001F767A" w:rsidRPr="005A615E" w:rsidRDefault="001F767A" w:rsidP="001F767A">
            <w:pPr>
              <w:shd w:val="clear" w:color="auto" w:fill="FFFFFF"/>
              <w:ind w:firstLine="173"/>
              <w:jc w:val="both"/>
              <w:rPr>
                <w:rFonts w:ascii="Times New Roman" w:eastAsia="Times New Roman" w:hAnsi="Times New Roman" w:cs="Times New Roman"/>
                <w:lang w:eastAsia="ru-RU"/>
              </w:rPr>
            </w:pPr>
            <w:r w:rsidRPr="005A615E">
              <w:rPr>
                <w:rFonts w:ascii="Times New Roman" w:eastAsia="Times New Roman" w:hAnsi="Times New Roman" w:cs="Times New Roman"/>
                <w:lang w:eastAsia="ru-RU"/>
              </w:rPr>
              <w:t xml:space="preserve">де </w:t>
            </w:r>
            <m:oMath>
              <m:sSubSup>
                <m:sSubSupPr>
                  <m:ctrlPr>
                    <w:rPr>
                      <w:rFonts w:ascii="Cambria Math" w:eastAsia="Times New Roman" w:hAnsi="Cambria Math" w:cs="Times New Roman"/>
                      <w:i/>
                    </w:rPr>
                  </m:ctrlPr>
                </m:sSubSupPr>
                <m:e>
                  <m:r>
                    <w:rPr>
                      <w:rFonts w:ascii="Cambria Math" w:eastAsia="Times New Roman" w:hAnsi="Cambria Math" w:cs="Times New Roman"/>
                      <w:lang w:eastAsia="uk-UA"/>
                    </w:rPr>
                    <m:t>ТЧП</m:t>
                  </m:r>
                </m:e>
                <m:sub>
                  <m:r>
                    <w:rPr>
                      <w:rFonts w:ascii="Cambria Math" w:eastAsia="Times New Roman" w:hAnsi="Cambria Math" w:cs="Times New Roman"/>
                      <w:lang w:eastAsia="uk-UA"/>
                    </w:rPr>
                    <m:t>t-1</m:t>
                  </m:r>
                </m:sub>
                <m:sup>
                  <m:r>
                    <w:rPr>
                      <w:rFonts w:ascii="Cambria Math" w:eastAsia="Times New Roman" w:hAnsi="Cambria Math" w:cs="Times New Roman"/>
                      <w:lang w:eastAsia="uk-UA"/>
                    </w:rPr>
                    <m:t xml:space="preserve">тар </m:t>
                  </m:r>
                </m:sup>
              </m:sSubSup>
              <m:r>
                <w:rPr>
                  <w:rFonts w:ascii="Cambria Math" w:eastAsia="Times New Roman" w:hAnsi="Cambria Math" w:cs="Times New Roman"/>
                  <w:lang w:eastAsia="uk-UA"/>
                </w:rPr>
                <m:t xml:space="preserve"> - </m:t>
              </m:r>
            </m:oMath>
            <w:r w:rsidRPr="005A615E">
              <w:rPr>
                <w:rFonts w:ascii="Times New Roman" w:eastAsia="Times New Roman" w:hAnsi="Times New Roman" w:cs="Times New Roman"/>
                <w:lang w:eastAsia="ru-RU"/>
              </w:rPr>
              <w:t>тарифна чисельність працівників, що врахована у діючих тарифах, осіб;</w:t>
            </w:r>
          </w:p>
          <w:p w:rsidR="001F767A" w:rsidRPr="005A615E" w:rsidRDefault="001F767A" w:rsidP="001F767A">
            <w:pPr>
              <w:shd w:val="clear" w:color="auto" w:fill="FFFFFF"/>
              <w:spacing w:after="150"/>
              <w:ind w:firstLine="173"/>
              <w:jc w:val="both"/>
              <w:rPr>
                <w:rFonts w:ascii="Times New Roman" w:eastAsia="Times New Roman" w:hAnsi="Times New Roman" w:cs="Times New Roman"/>
                <w:lang w:eastAsia="ru-RU"/>
              </w:rPr>
            </w:pPr>
            <w:r w:rsidRPr="005A615E">
              <w:rPr>
                <w:rFonts w:ascii="Times New Roman" w:eastAsia="Times New Roman" w:hAnsi="Times New Roman" w:cs="Times New Roman"/>
                <w:lang w:eastAsia="ru-RU"/>
              </w:rPr>
              <w:t xml:space="preserve">n </w:t>
            </w:r>
            <m:oMath>
              <m:r>
                <m:rPr>
                  <m:sty m:val="p"/>
                </m:rPr>
                <w:rPr>
                  <w:rFonts w:ascii="Cambria Math" w:eastAsia="Times New Roman" w:hAnsi="Cambria Math" w:cs="Times New Roman"/>
                  <w:lang w:eastAsia="ru-RU"/>
                </w:rPr>
                <m:t>-</m:t>
              </m:r>
            </m:oMath>
            <w:r w:rsidRPr="005A615E">
              <w:rPr>
                <w:rFonts w:ascii="Times New Roman" w:eastAsia="Times New Roman" w:hAnsi="Times New Roman" w:cs="Times New Roman"/>
                <w:lang w:eastAsia="ru-RU"/>
              </w:rPr>
              <w:t xml:space="preserve"> кількість років попереднього регуляторного періоду, протягом яких застосовувався загальний показник ефективності для операційних контрольованих витрат, встановлений НКРЕКП (за винятком останнього року), які визначають показник степеня.</w:t>
            </w:r>
          </w:p>
          <w:p w:rsidR="001F767A" w:rsidRPr="005A615E" w:rsidRDefault="001F767A" w:rsidP="001F767A">
            <w:pPr>
              <w:shd w:val="clear" w:color="auto" w:fill="FFFFFF"/>
              <w:spacing w:after="150"/>
              <w:ind w:firstLine="450"/>
              <w:jc w:val="both"/>
              <w:rPr>
                <w:rFonts w:ascii="Times New Roman" w:hAnsi="Times New Roman" w:cs="Times New Roman"/>
                <w:u w:val="single"/>
              </w:rPr>
            </w:pPr>
            <w:r w:rsidRPr="005A615E">
              <w:rPr>
                <w:rFonts w:ascii="Times New Roman" w:eastAsia="Times New Roman" w:hAnsi="Times New Roman" w:cs="Times New Roman"/>
                <w:lang w:eastAsia="ru-RU"/>
              </w:rPr>
              <w:t>Базові рівні операційних контрольованих витрат на другий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1F767A" w:rsidRPr="005A615E" w:rsidRDefault="000D13C5" w:rsidP="001F767A">
            <w:pPr>
              <w:rPr>
                <w:rFonts w:ascii="Times New Roman" w:eastAsiaTheme="minorEastAsia" w:hAnsi="Times New Roman" w:cs="Times New Roman"/>
                <w:b/>
                <w:bCs/>
                <w:lang w:eastAsia="uk-UA"/>
              </w:rPr>
            </w:pPr>
            <m:oMath>
              <m:sSubSup>
                <m:sSubSupPr>
                  <m:ctrlPr>
                    <w:rPr>
                      <w:rFonts w:ascii="Cambria Math" w:hAnsi="Cambria Math" w:cs="Times New Roman"/>
                      <w:b/>
                      <w:bCs/>
                      <w:i/>
                    </w:rPr>
                  </m:ctrlPr>
                </m:sSubSupPr>
                <m:e>
                  <m:r>
                    <m:rPr>
                      <m:sty m:val="bi"/>
                    </m:rPr>
                    <w:rPr>
                      <w:rFonts w:ascii="Cambria Math" w:hAnsi="Cambria Math" w:cs="Times New Roman"/>
                    </w:rPr>
                    <m:t>ОКВ</m:t>
                  </m:r>
                </m:e>
                <m:sub>
                  <m:r>
                    <m:rPr>
                      <m:sty m:val="bi"/>
                    </m:rPr>
                    <w:rPr>
                      <w:rFonts w:ascii="Cambria Math" w:hAnsi="Cambria Math" w:cs="Times New Roman"/>
                    </w:rPr>
                    <m:t>0</m:t>
                  </m:r>
                </m:sub>
                <m:sup>
                  <m:r>
                    <m:rPr>
                      <m:sty m:val="bi"/>
                    </m:rPr>
                    <w:rPr>
                      <w:rFonts w:ascii="Cambria Math" w:hAnsi="Cambria Math" w:cs="Times New Roman"/>
                    </w:rPr>
                    <m:t>ІІ</m:t>
                  </m:r>
                </m:sup>
              </m:sSubSup>
              <m:r>
                <m:rPr>
                  <m:sty m:val="bi"/>
                </m:rPr>
                <w:rPr>
                  <w:rFonts w:ascii="Cambria Math" w:hAnsi="Cambria Math" w:cs="Times New Roman"/>
                </w:rPr>
                <m:t>=</m:t>
              </m:r>
              <m:sSubSup>
                <m:sSubSupPr>
                  <m:ctrlPr>
                    <w:rPr>
                      <w:rFonts w:ascii="Cambria Math" w:hAnsi="Cambria Math" w:cs="Times New Roman"/>
                      <w:b/>
                      <w:bCs/>
                      <w:i/>
                    </w:rPr>
                  </m:ctrlPr>
                </m:sSubSupPr>
                <m:e>
                  <m:r>
                    <m:rPr>
                      <m:sty m:val="bi"/>
                    </m:rPr>
                    <w:rPr>
                      <w:rFonts w:ascii="Cambria Math" w:hAnsi="Cambria Math" w:cs="Times New Roman"/>
                    </w:rPr>
                    <m:t>ОКВ</m:t>
                  </m:r>
                </m:e>
                <m:sub>
                  <m:r>
                    <m:rPr>
                      <m:sty m:val="bi"/>
                    </m:rPr>
                    <w:rPr>
                      <w:rFonts w:ascii="Cambria Math" w:hAnsi="Cambria Math" w:cs="Times New Roman"/>
                    </w:rPr>
                    <m:t>ост</m:t>
                  </m:r>
                </m:sub>
                <m:sup>
                  <m:r>
                    <m:rPr>
                      <m:sty m:val="bi"/>
                    </m:rPr>
                    <w:rPr>
                      <w:rFonts w:ascii="Cambria Math" w:hAnsi="Cambria Math" w:cs="Times New Roman"/>
                    </w:rPr>
                    <m:t>п</m:t>
                  </m:r>
                </m:sup>
              </m:sSubSup>
              <m:r>
                <m:rPr>
                  <m:sty m:val="bi"/>
                </m:rPr>
                <w:rPr>
                  <w:rFonts w:ascii="Cambria Math" w:hAnsi="Cambria Math" w:cs="Times New Roman"/>
                </w:rPr>
                <m:t>×</m:t>
              </m:r>
              <m:sSubSup>
                <m:sSubSupPr>
                  <m:ctrlPr>
                    <w:rPr>
                      <w:rFonts w:ascii="Cambria Math" w:hAnsi="Cambria Math" w:cs="Times New Roman"/>
                      <w:b/>
                      <w:bCs/>
                      <w:i/>
                    </w:rPr>
                  </m:ctrlPr>
                </m:sSubSupPr>
                <m:e>
                  <m:r>
                    <m:rPr>
                      <m:sty m:val="bi"/>
                    </m:rPr>
                    <w:rPr>
                      <w:rFonts w:ascii="Cambria Math" w:hAnsi="Cambria Math" w:cs="Times New Roman"/>
                    </w:rPr>
                    <m:t>К</m:t>
                  </m:r>
                </m:e>
                <m:sub>
                  <m:r>
                    <m:rPr>
                      <m:sty m:val="bi"/>
                    </m:rPr>
                    <w:rPr>
                      <w:rFonts w:ascii="Cambria Math" w:hAnsi="Cambria Math" w:cs="Times New Roman"/>
                    </w:rPr>
                    <m:t>УО</m:t>
                  </m:r>
                </m:sub>
                <m:sup>
                  <m:r>
                    <m:rPr>
                      <m:sty m:val="bi"/>
                    </m:rPr>
                    <w:rPr>
                      <w:rFonts w:ascii="Cambria Math" w:hAnsi="Cambria Math" w:cs="Times New Roman"/>
                    </w:rPr>
                    <m:t>ІІ</m:t>
                  </m:r>
                </m:sup>
              </m:sSubSup>
              <m:r>
                <m:rPr>
                  <m:sty m:val="bi"/>
                </m:rPr>
                <w:rPr>
                  <w:rFonts w:ascii="Cambria Math" w:hAnsi="Cambria Math" w:cs="Times New Roman"/>
                </w:rPr>
                <m:t>-</m:t>
              </m:r>
              <m:f>
                <m:fPr>
                  <m:ctrlPr>
                    <w:rPr>
                      <w:rFonts w:ascii="Cambria Math" w:hAnsi="Cambria Math" w:cs="Times New Roman"/>
                      <w:b/>
                      <w:bCs/>
                      <w:i/>
                    </w:rPr>
                  </m:ctrlPr>
                </m:fPr>
                <m:num>
                  <m:r>
                    <m:rPr>
                      <m:sty m:val="b"/>
                    </m:rPr>
                    <w:rPr>
                      <w:rFonts w:ascii="Cambria Math" w:hAnsi="Cambria Math" w:cs="Times New Roman"/>
                      <w:lang w:val="en-US"/>
                    </w:rPr>
                    <m:t>max</m:t>
                  </m:r>
                  <m:r>
                    <m:rPr>
                      <m:sty m:val="b"/>
                    </m:rPr>
                    <w:rPr>
                      <w:rFonts w:ascii="Cambria Math" w:hAnsi="Cambria Math" w:cs="Times New Roman"/>
                    </w:rPr>
                    <m:t>⁡</m:t>
                  </m:r>
                  <m:r>
                    <m:rPr>
                      <m:sty m:val="bi"/>
                    </m:rPr>
                    <w:rPr>
                      <w:rFonts w:ascii="Cambria Math" w:hAnsi="Cambria Math" w:cs="Times New Roman"/>
                    </w:rPr>
                    <m:t>(</m:t>
                  </m:r>
                  <m:sSup>
                    <m:sSupPr>
                      <m:ctrlPr>
                        <w:rPr>
                          <w:rFonts w:ascii="Cambria Math" w:hAnsi="Cambria Math" w:cs="Times New Roman"/>
                          <w:b/>
                          <w:bCs/>
                          <w:i/>
                        </w:rPr>
                      </m:ctrlPr>
                    </m:sSupPr>
                    <m:e>
                      <m:r>
                        <m:rPr>
                          <m:sty m:val="bi"/>
                        </m:rPr>
                        <w:rPr>
                          <w:rFonts w:ascii="Cambria Math" w:hAnsi="Cambria Math" w:cs="Times New Roman"/>
                        </w:rPr>
                        <m:t>ЕОКВ</m:t>
                      </m:r>
                    </m:e>
                    <m:sup>
                      <m:r>
                        <m:rPr>
                          <m:sty m:val="bi"/>
                        </m:rPr>
                        <w:rPr>
                          <w:rFonts w:ascii="Cambria Math" w:hAnsi="Cambria Math" w:cs="Times New Roman"/>
                        </w:rPr>
                        <m:t>ІІ</m:t>
                      </m:r>
                    </m:sup>
                  </m:sSup>
                  <m:r>
                    <m:rPr>
                      <m:sty m:val="bi"/>
                    </m:rPr>
                    <w:rPr>
                      <w:rFonts w:ascii="Cambria Math" w:hAnsi="Cambria Math" w:cs="Times New Roman"/>
                    </w:rPr>
                    <m:t>,0)</m:t>
                  </m:r>
                </m:num>
                <m:den>
                  <m:r>
                    <m:rPr>
                      <m:sty m:val="bi"/>
                    </m:rPr>
                    <w:rPr>
                      <w:rFonts w:ascii="Cambria Math" w:hAnsi="Cambria Math" w:cs="Times New Roman"/>
                    </w:rPr>
                    <m:t>2</m:t>
                  </m:r>
                </m:den>
              </m:f>
            </m:oMath>
            <w:r w:rsidR="001F767A" w:rsidRPr="005A615E">
              <w:rPr>
                <w:rFonts w:ascii="Times New Roman" w:hAnsi="Times New Roman" w:cs="Times New Roman"/>
                <w:b/>
              </w:rPr>
              <w:t>(15)</w:t>
            </w:r>
          </w:p>
          <w:p w:rsidR="001F767A" w:rsidRPr="005A615E" w:rsidRDefault="001F767A" w:rsidP="001F767A">
            <w:pPr>
              <w:jc w:val="both"/>
              <w:rPr>
                <w:rFonts w:ascii="Times New Roman" w:hAnsi="Times New Roman" w:cs="Times New Roman"/>
                <w:lang w:eastAsia="uk-UA"/>
              </w:rPr>
            </w:pPr>
          </w:p>
          <w:p w:rsidR="001F767A" w:rsidRPr="005A615E" w:rsidRDefault="001F767A" w:rsidP="001F767A">
            <w:pPr>
              <w:jc w:val="both"/>
              <w:rPr>
                <w:rFonts w:ascii="Times New Roman" w:hAnsi="Times New Roman" w:cs="Times New Roman"/>
                <w:b/>
                <w:bCs/>
                <w:lang w:eastAsia="uk-UA"/>
              </w:rPr>
            </w:pPr>
            <w:r w:rsidRPr="005A615E">
              <w:rPr>
                <w:rFonts w:ascii="Times New Roman" w:hAnsi="Times New Roman" w:cs="Times New Roman"/>
                <w:lang w:eastAsia="uk-UA"/>
              </w:rPr>
              <w:t xml:space="preserve">де </w:t>
            </w:r>
            <w:r w:rsidRPr="005A615E">
              <w:rPr>
                <w:rFonts w:ascii="Times New Roman" w:hAnsi="Times New Roman" w:cs="Times New Roman"/>
                <w:noProof/>
              </w:rPr>
              <w:drawing>
                <wp:inline distT="0" distB="0" distL="0" distR="0">
                  <wp:extent cx="466725" cy="171450"/>
                  <wp:effectExtent l="0" t="0" r="9525" b="0"/>
                  <wp:docPr id="271230469" name="Рисунок 271230469" descr="https://zakon-pro.ligazakon.net/l_flib1.nsf/LookupFiles/GK40721_IMG_370.GIF/$file/GK40721_IMG_370.GIF">
                    <a:hlinkClick xmlns:a="http://schemas.openxmlformats.org/drawingml/2006/main" r:id="rId1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307" descr="https://zakon-pro.ligazakon.net/l_flib1.nsf/LookupFiles/GK40721_IMG_370.GIF/$file/GK40721_IMG_370.GIF">
                            <a:hlinkClick r:id="rId124" tgtFrame="&quot;_blank&quot;"/>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66725" cy="171450"/>
                          </a:xfrm>
                          <a:prstGeom prst="rect">
                            <a:avLst/>
                          </a:prstGeom>
                          <a:noFill/>
                          <a:ln>
                            <a:noFill/>
                          </a:ln>
                        </pic:spPr>
                      </pic:pic>
                    </a:graphicData>
                  </a:graphic>
                </wp:inline>
              </w:drawing>
            </w:r>
            <w:r w:rsidRPr="005A615E">
              <w:rPr>
                <w:rFonts w:ascii="Times New Roman" w:hAnsi="Times New Roman" w:cs="Times New Roman"/>
                <w:lang w:eastAsia="uk-UA"/>
              </w:rPr>
              <w:t xml:space="preserve"> -  прогнозовані операційні контрольовані витрати</w:t>
            </w:r>
            <w:r w:rsidRPr="005A615E">
              <w:rPr>
                <w:rFonts w:ascii="Times New Roman" w:hAnsi="Times New Roman" w:cs="Times New Roman"/>
                <w:b/>
                <w:bCs/>
                <w:lang w:eastAsia="uk-UA"/>
              </w:rPr>
              <w:t xml:space="preserve"> в останньому році попереднього регуляторного періоду, тис. грн;</w:t>
            </w:r>
          </w:p>
          <w:p w:rsidR="001F767A" w:rsidRPr="005A615E" w:rsidRDefault="001F767A" w:rsidP="001F767A">
            <w:pPr>
              <w:jc w:val="both"/>
              <w:rPr>
                <w:rFonts w:ascii="Times New Roman" w:hAnsi="Times New Roman" w:cs="Times New Roman"/>
                <w:b/>
                <w:bCs/>
                <w:lang w:eastAsia="uk-UA"/>
              </w:rPr>
            </w:pPr>
          </w:p>
          <w:p w:rsidR="001F767A" w:rsidRPr="005A615E" w:rsidRDefault="001F767A" w:rsidP="001F767A">
            <w:pPr>
              <w:jc w:val="both"/>
              <w:rPr>
                <w:rFonts w:ascii="Times New Roman" w:hAnsi="Times New Roman" w:cs="Times New Roman"/>
                <w:b/>
                <w:bCs/>
              </w:rPr>
            </w:pPr>
          </w:p>
          <w:p w:rsidR="001F767A" w:rsidRPr="005A615E" w:rsidRDefault="001F767A" w:rsidP="001F767A">
            <w:pPr>
              <w:shd w:val="clear" w:color="auto" w:fill="FFFFFF"/>
              <w:spacing w:after="150"/>
              <w:jc w:val="both"/>
              <w:rPr>
                <w:rFonts w:ascii="Times New Roman" w:hAnsi="Times New Roman" w:cs="Times New Roman"/>
                <w:b/>
                <w:bCs/>
                <w:lang w:eastAsia="uk-UA"/>
              </w:rPr>
            </w:pPr>
            <w:r w:rsidRPr="005A615E">
              <w:rPr>
                <w:rFonts w:ascii="Times New Roman" w:hAnsi="Times New Roman" w:cs="Times New Roman"/>
                <w:lang w:eastAsia="uk-UA"/>
              </w:rPr>
              <w:t xml:space="preserve">де </w:t>
            </w:r>
            <w:r w:rsidRPr="005A615E">
              <w:rPr>
                <w:rFonts w:ascii="Times New Roman" w:hAnsi="Times New Roman" w:cs="Times New Roman"/>
                <w:noProof/>
                <w:lang w:eastAsia="uk-UA"/>
              </w:rPr>
              <w:drawing>
                <wp:inline distT="0" distB="0" distL="0" distR="0">
                  <wp:extent cx="447675" cy="180975"/>
                  <wp:effectExtent l="0" t="0" r="9525" b="9525"/>
                  <wp:docPr id="271230468" name="Рисунок 271230468" descr="https://zakon.rada.gov.ua/laws/file/imgs/129/p478167n799-42.gif">
                    <a:hlinkClick xmlns:a="http://schemas.openxmlformats.org/drawingml/2006/main" r:id="rId1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308" descr="https://zakon.rada.gov.ua/laws/file/imgs/129/p478167n799-42.gif">
                            <a:hlinkClick r:id="rId157"/>
                          </pic:cNvPr>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Pr="005A615E">
              <w:rPr>
                <w:rFonts w:ascii="Times New Roman" w:hAnsi="Times New Roman" w:cs="Times New Roman"/>
                <w:lang w:eastAsia="uk-UA"/>
              </w:rPr>
              <w:t xml:space="preserve"> -  </w:t>
            </w:r>
            <w:r w:rsidRPr="005A615E">
              <w:rPr>
                <w:rFonts w:ascii="Times New Roman" w:hAnsi="Times New Roman" w:cs="Times New Roman"/>
                <w:b/>
                <w:bCs/>
                <w:lang w:eastAsia="uk-UA"/>
              </w:rPr>
              <w:t>економія операційних контрольованих витрат за попередній регуляторний період (з урахуванням останнього року попереднього регуляторного періоду), тис.грн</w:t>
            </w:r>
            <w:r w:rsidRPr="005A615E">
              <w:rPr>
                <w:rFonts w:ascii="Times New Roman" w:hAnsi="Times New Roman" w:cs="Times New Roman"/>
                <w:lang w:eastAsia="uk-UA"/>
              </w:rPr>
              <w:t>;</w:t>
            </w:r>
            <w:r w:rsidRPr="005A615E">
              <w:rPr>
                <w:rFonts w:ascii="Times New Roman" w:hAnsi="Times New Roman" w:cs="Times New Roman"/>
                <w:noProof/>
                <w:lang w:eastAsia="uk-UA"/>
              </w:rPr>
              <w:drawing>
                <wp:inline distT="0" distB="0" distL="0" distR="0">
                  <wp:extent cx="2105025" cy="400050"/>
                  <wp:effectExtent l="0" t="0" r="9525" b="0"/>
                  <wp:docPr id="792200315" name="Рисунок 792200315" descr="https://zakon.rada.gov.ua/laws/file/imgs/129/p478167n80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310" descr="https://zakon.rada.gov.ua/laws/file/imgs/129/p478167n800-43.jpg"/>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05025" cy="400050"/>
                          </a:xfrm>
                          <a:prstGeom prst="rect">
                            <a:avLst/>
                          </a:prstGeom>
                          <a:noFill/>
                          <a:ln>
                            <a:noFill/>
                          </a:ln>
                        </pic:spPr>
                      </pic:pic>
                    </a:graphicData>
                  </a:graphic>
                </wp:inline>
              </w:drawing>
            </w:r>
            <w:r w:rsidRPr="005A615E">
              <w:rPr>
                <w:rFonts w:ascii="Times New Roman" w:hAnsi="Times New Roman" w:cs="Times New Roman"/>
                <w:b/>
                <w:bCs/>
                <w:lang w:eastAsia="uk-UA"/>
              </w:rPr>
              <w:t>(15.1)</w:t>
            </w:r>
          </w:p>
          <w:p w:rsidR="001F767A" w:rsidRPr="005A615E" w:rsidRDefault="001F767A" w:rsidP="001F767A">
            <w:pPr>
              <w:shd w:val="clear" w:color="auto" w:fill="FFFFFF"/>
              <w:spacing w:after="150"/>
              <w:jc w:val="both"/>
              <w:rPr>
                <w:rFonts w:ascii="Times New Roman" w:hAnsi="Times New Roman" w:cs="Times New Roman"/>
                <w:b/>
                <w:bCs/>
                <w:lang w:eastAsia="uk-UA"/>
              </w:rPr>
            </w:pPr>
            <w:r w:rsidRPr="005A615E">
              <w:rPr>
                <w:rFonts w:ascii="Times New Roman" w:hAnsi="Times New Roman" w:cs="Times New Roman"/>
                <w:noProof/>
                <w:lang w:eastAsia="uk-UA"/>
              </w:rPr>
              <w:drawing>
                <wp:inline distT="0" distB="0" distL="0" distR="0">
                  <wp:extent cx="257175" cy="200025"/>
                  <wp:effectExtent l="0" t="0" r="9525" b="9525"/>
                  <wp:docPr id="792200312" name="Рисунок 792200312" descr="https://zakon.rada.gov.ua/laws/file/imgs/129/p478167n801-44.gif">
                    <a:hlinkClick xmlns:a="http://schemas.openxmlformats.org/drawingml/2006/main" r:id="rId1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312" descr="https://zakon.rada.gov.ua/laws/file/imgs/129/p478167n801-44.gif">
                            <a:hlinkClick r:id="rId159"/>
                          </pic:cNvPr>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5A615E">
              <w:rPr>
                <w:rFonts w:ascii="Times New Roman" w:hAnsi="Times New Roman" w:cs="Times New Roman"/>
              </w:rPr>
              <w:t xml:space="preserve"> - </w:t>
            </w:r>
            <w:r w:rsidRPr="005A615E">
              <w:rPr>
                <w:rFonts w:ascii="Times New Roman" w:hAnsi="Times New Roman" w:cs="Times New Roman"/>
                <w:lang w:eastAsia="uk-UA"/>
              </w:rPr>
              <w:t xml:space="preserve"> </w:t>
            </w:r>
            <w:r w:rsidRPr="005A615E">
              <w:rPr>
                <w:rFonts w:ascii="Times New Roman" w:hAnsi="Times New Roman" w:cs="Times New Roman"/>
                <w:b/>
                <w:bCs/>
                <w:lang w:eastAsia="uk-UA"/>
              </w:rPr>
              <w:t>коефіцієнт, що враховує зміну умовних одиниць обладнання за попередній регуляторний період (з урахуванням останнього року попереднього регуляторного періоду), що розраховується за формулою</w:t>
            </w:r>
          </w:p>
          <w:p w:rsidR="001F767A" w:rsidRPr="005A615E" w:rsidRDefault="000D13C5" w:rsidP="001F767A">
            <w:pPr>
              <w:rPr>
                <w:rFonts w:ascii="Times New Roman" w:hAnsi="Times New Roman" w:cs="Times New Roman"/>
                <w:b/>
              </w:rPr>
            </w:pPr>
            <m:oMath>
              <m:sSubSup>
                <m:sSubSupPr>
                  <m:ctrlPr>
                    <w:rPr>
                      <w:rFonts w:ascii="Cambria Math" w:hAnsi="Cambria Math" w:cs="Times New Roman"/>
                      <w:b/>
                    </w:rPr>
                  </m:ctrlPr>
                </m:sSubSupPr>
                <m:e>
                  <m:r>
                    <m:rPr>
                      <m:sty m:val="b"/>
                    </m:rPr>
                    <w:rPr>
                      <w:rFonts w:ascii="Cambria Math" w:hAnsi="Cambria Math" w:cs="Times New Roman"/>
                    </w:rPr>
                    <m:t>К</m:t>
                  </m:r>
                </m:e>
                <m:sub>
                  <m:r>
                    <m:rPr>
                      <m:sty m:val="b"/>
                    </m:rPr>
                    <w:rPr>
                      <w:rFonts w:ascii="Cambria Math" w:hAnsi="Cambria Math" w:cs="Times New Roman"/>
                    </w:rPr>
                    <m:t>УО</m:t>
                  </m:r>
                </m:sub>
                <m:sup>
                  <m:r>
                    <m:rPr>
                      <m:sty m:val="b"/>
                    </m:rPr>
                    <w:rPr>
                      <w:rFonts w:ascii="Cambria Math" w:hAnsi="Cambria Math" w:cs="Times New Roman"/>
                    </w:rPr>
                    <m:t>ІІ</m:t>
                  </m:r>
                </m:sup>
              </m:sSubSup>
              <m:r>
                <m:rPr>
                  <m:sty m:val="b"/>
                </m:rPr>
                <w:rPr>
                  <w:rFonts w:ascii="Cambria Math" w:hAnsi="Cambria Math" w:cs="Times New Roman"/>
                </w:rPr>
                <m:t>=1+КУ×</m:t>
              </m:r>
              <m:f>
                <m:fPr>
                  <m:ctrlPr>
                    <w:rPr>
                      <w:rFonts w:ascii="Cambria Math" w:hAnsi="Cambria Math" w:cs="Times New Roman"/>
                      <w:b/>
                    </w:rPr>
                  </m:ctrlPr>
                </m:fPr>
                <m:num>
                  <m:sSup>
                    <m:sSupPr>
                      <m:ctrlPr>
                        <w:rPr>
                          <w:rFonts w:ascii="Cambria Math" w:hAnsi="Cambria Math" w:cs="Times New Roman"/>
                          <w:b/>
                        </w:rPr>
                      </m:ctrlPr>
                    </m:sSupPr>
                    <m:e>
                      <m:r>
                        <m:rPr>
                          <m:sty m:val="b"/>
                        </m:rPr>
                        <w:rPr>
                          <w:rFonts w:ascii="Cambria Math" w:hAnsi="Cambria Math" w:cs="Times New Roman"/>
                        </w:rPr>
                        <m:t>∆УО</m:t>
                      </m:r>
                    </m:e>
                    <m:sup>
                      <m:r>
                        <m:rPr>
                          <m:sty m:val="b"/>
                        </m:rPr>
                        <w:rPr>
                          <w:rFonts w:ascii="Cambria Math" w:hAnsi="Cambria Math" w:cs="Times New Roman"/>
                        </w:rPr>
                        <m:t>ІІ</m:t>
                      </m:r>
                    </m:sup>
                  </m:sSup>
                </m:num>
                <m:den>
                  <m:sSubSup>
                    <m:sSubSupPr>
                      <m:ctrlPr>
                        <w:rPr>
                          <w:rFonts w:ascii="Cambria Math" w:hAnsi="Cambria Math" w:cs="Times New Roman"/>
                          <w:b/>
                        </w:rPr>
                      </m:ctrlPr>
                    </m:sSubSupPr>
                    <m:e>
                      <m:r>
                        <m:rPr>
                          <m:sty m:val="b"/>
                        </m:rPr>
                        <w:rPr>
                          <w:rFonts w:ascii="Cambria Math" w:hAnsi="Cambria Math" w:cs="Times New Roman"/>
                        </w:rPr>
                        <m:t>УО</m:t>
                      </m:r>
                    </m:e>
                    <m:sub>
                      <m:r>
                        <m:rPr>
                          <m:sty m:val="bi"/>
                        </m:rPr>
                        <w:rPr>
                          <w:rFonts w:ascii="Cambria Math" w:hAnsi="Cambria Math" w:cs="Times New Roman"/>
                        </w:rPr>
                        <m:t>t</m:t>
                      </m:r>
                      <m:r>
                        <m:rPr>
                          <m:sty m:val="b"/>
                        </m:rPr>
                        <w:rPr>
                          <w:rFonts w:ascii="Cambria Math" w:hAnsi="Cambria Math" w:cs="Times New Roman"/>
                        </w:rPr>
                        <m:t>-1</m:t>
                      </m:r>
                    </m:sub>
                    <m:sup>
                      <m:r>
                        <m:rPr>
                          <m:sty m:val="b"/>
                        </m:rPr>
                        <w:rPr>
                          <w:rFonts w:ascii="Cambria Math" w:hAnsi="Cambria Math" w:cs="Times New Roman"/>
                        </w:rPr>
                        <m:t>поч</m:t>
                      </m:r>
                    </m:sup>
                  </m:sSubSup>
                </m:den>
              </m:f>
            </m:oMath>
            <w:r w:rsidR="001F767A" w:rsidRPr="005A615E">
              <w:rPr>
                <w:rFonts w:ascii="Times New Roman" w:hAnsi="Times New Roman" w:cs="Times New Roman"/>
                <w:b/>
              </w:rPr>
              <w:t>, в.о., (16)</w:t>
            </w:r>
          </w:p>
          <w:p w:rsidR="001F767A" w:rsidRPr="005A615E" w:rsidRDefault="001F767A" w:rsidP="001F767A">
            <w:pPr>
              <w:ind w:firstLine="308"/>
              <w:jc w:val="both"/>
              <w:rPr>
                <w:rFonts w:ascii="Times New Roman" w:hAnsi="Times New Roman" w:cs="Times New Roman"/>
                <w:shd w:val="clear" w:color="auto" w:fill="FFFFFF"/>
              </w:rPr>
            </w:pPr>
          </w:p>
          <w:p w:rsidR="001F767A" w:rsidRPr="005A615E" w:rsidRDefault="000D13C5" w:rsidP="001F767A">
            <w:pPr>
              <w:ind w:firstLine="173"/>
              <w:jc w:val="both"/>
              <w:rPr>
                <w:rFonts w:ascii="Times New Roman" w:hAnsi="Times New Roman" w:cs="Times New Roman"/>
                <w:b/>
                <w:lang w:eastAsia="uk-UA"/>
              </w:rPr>
            </w:pPr>
            <m:oMath>
              <m:sSup>
                <m:sSupPr>
                  <m:ctrlPr>
                    <w:rPr>
                      <w:rFonts w:ascii="Cambria Math" w:hAnsi="Cambria Math" w:cs="Times New Roman"/>
                      <w:b/>
                    </w:rPr>
                  </m:ctrlPr>
                </m:sSupPr>
                <m:e>
                  <m:r>
                    <m:rPr>
                      <m:sty m:val="b"/>
                    </m:rPr>
                    <w:rPr>
                      <w:rFonts w:ascii="Cambria Math" w:hAnsi="Cambria Math" w:cs="Times New Roman"/>
                    </w:rPr>
                    <m:t>∆УО</m:t>
                  </m:r>
                </m:e>
                <m:sup>
                  <m:r>
                    <m:rPr>
                      <m:sty m:val="b"/>
                    </m:rPr>
                    <w:rPr>
                      <w:rFonts w:ascii="Cambria Math" w:hAnsi="Cambria Math" w:cs="Times New Roman"/>
                    </w:rPr>
                    <m:t>ІІ</m:t>
                  </m:r>
                </m:sup>
              </m:sSup>
              <m:r>
                <m:rPr>
                  <m:sty m:val="b"/>
                </m:rPr>
                <w:rPr>
                  <w:rFonts w:ascii="Cambria Math" w:hAnsi="Cambria Math" w:cs="Times New Roman"/>
                </w:rPr>
                <m:t xml:space="preserve">- </m:t>
              </m:r>
            </m:oMath>
            <w:r w:rsidR="001F767A" w:rsidRPr="005A615E">
              <w:rPr>
                <w:rFonts w:ascii="Times New Roman" w:hAnsi="Times New Roman" w:cs="Times New Roman"/>
                <w:b/>
              </w:rPr>
              <w:t xml:space="preserve">зміна фактичної кількості умовних одиниць енергетичного обладнання за попередній регуляторний період </w:t>
            </w:r>
            <w:r w:rsidR="001F767A" w:rsidRPr="005A615E">
              <w:rPr>
                <w:rFonts w:ascii="Times New Roman" w:hAnsi="Times New Roman" w:cs="Times New Roman"/>
                <w:b/>
                <w:bCs/>
                <w:lang w:eastAsia="uk-UA"/>
              </w:rPr>
              <w:t>(з урахуванням останнього року попереднього регуляторного періоду</w:t>
            </w:r>
            <w:r w:rsidR="001F767A" w:rsidRPr="005A615E">
              <w:rPr>
                <w:rFonts w:ascii="Times New Roman" w:hAnsi="Times New Roman" w:cs="Times New Roman"/>
                <w:b/>
              </w:rPr>
              <w:t xml:space="preserve"> (для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w:t>
            </w:r>
            <w:r w:rsidR="001F767A" w:rsidRPr="005A615E">
              <w:rPr>
                <w:rFonts w:ascii="Times New Roman" w:hAnsi="Times New Roman" w:cs="Times New Roman"/>
                <w:bCs/>
              </w:rPr>
              <w:t xml:space="preserve"> </w:t>
            </w:r>
            <w:r w:rsidR="001F767A" w:rsidRPr="005A615E">
              <w:rPr>
                <w:rFonts w:ascii="Times New Roman" w:hAnsi="Times New Roman" w:cs="Times New Roman"/>
                <w:b/>
              </w:rPr>
              <w:t>рік t-1 до фактичної кількості умовних одиниць енергетичного обладнання ліцензіата  на кінець року t-2).</w:t>
            </w:r>
          </w:p>
          <w:p w:rsidR="001F767A" w:rsidRPr="005A615E" w:rsidRDefault="001F767A" w:rsidP="001F767A">
            <w:pPr>
              <w:shd w:val="clear" w:color="auto" w:fill="FFFFFF"/>
              <w:ind w:firstLine="173"/>
              <w:jc w:val="both"/>
              <w:rPr>
                <w:rFonts w:ascii="Times New Roman" w:hAnsi="Times New Roman" w:cs="Times New Roman"/>
                <w:b/>
              </w:rPr>
            </w:pPr>
            <w:r w:rsidRPr="005A615E">
              <w:rPr>
                <w:rFonts w:ascii="Times New Roman" w:hAnsi="Times New Roman" w:cs="Times New Roman"/>
                <w:b/>
              </w:rPr>
              <w:t xml:space="preserve">Для другого року другого та наступних регуляторних періодів при визначенні прогнозованого фонду оплати праці (витрат на оплату праці) у році t </w:t>
            </w:r>
            <m:oMath>
              <m:r>
                <m:rPr>
                  <m:sty m:val="bi"/>
                </m:rPr>
                <w:rPr>
                  <w:rFonts w:ascii="Cambria Math" w:hAnsi="Cambria Math" w:cs="Times New Roman"/>
                </w:rPr>
                <m:t>(</m:t>
              </m:r>
              <m:sSubSup>
                <m:sSubSupPr>
                  <m:ctrlPr>
                    <w:rPr>
                      <w:rFonts w:ascii="Cambria Math" w:hAnsi="Cambria Math" w:cs="Times New Roman"/>
                      <w:b/>
                      <w:i/>
                    </w:rPr>
                  </m:ctrlPr>
                </m:sSubSupPr>
                <m:e>
                  <m:r>
                    <m:rPr>
                      <m:sty m:val="bi"/>
                    </m:rPr>
                    <w:rPr>
                      <w:rFonts w:ascii="Cambria Math" w:hAnsi="Cambria Math" w:cs="Times New Roman"/>
                      <w:lang w:eastAsia="uk-UA"/>
                    </w:rPr>
                    <m:t>ФОП</m:t>
                  </m:r>
                </m:e>
                <m:sub>
                  <m:r>
                    <m:rPr>
                      <m:sty m:val="bi"/>
                    </m:rPr>
                    <w:rPr>
                      <w:rFonts w:ascii="Cambria Math" w:hAnsi="Cambria Math" w:cs="Times New Roman"/>
                      <w:lang w:eastAsia="uk-UA"/>
                    </w:rPr>
                    <m:t>t</m:t>
                  </m:r>
                </m:sub>
                <m:sup>
                  <m:r>
                    <m:rPr>
                      <m:sty m:val="bi"/>
                    </m:rPr>
                    <w:rPr>
                      <w:rFonts w:ascii="Cambria Math" w:hAnsi="Cambria Math" w:cs="Times New Roman"/>
                      <w:lang w:eastAsia="uk-UA"/>
                    </w:rPr>
                    <m:t>n</m:t>
                  </m:r>
                </m:sup>
              </m:sSubSup>
              <m:r>
                <m:rPr>
                  <m:sty m:val="bi"/>
                </m:rPr>
                <w:rPr>
                  <w:rFonts w:ascii="Cambria Math" w:hAnsi="Cambria Math" w:cs="Times New Roman"/>
                </w:rPr>
                <m:t>)</m:t>
              </m:r>
            </m:oMath>
            <w:r w:rsidRPr="005A615E">
              <w:rPr>
                <w:rFonts w:ascii="Times New Roman" w:hAnsi="Times New Roman" w:cs="Times New Roman"/>
                <w:b/>
              </w:rPr>
              <w:t xml:space="preserve">, що розраховується відповідно до Порядку визначення витрат на оплату праці тарифна чисельність працівників у році t </w:t>
            </w:r>
            <w:r w:rsidRPr="005A615E">
              <w:rPr>
                <w:rFonts w:ascii="Times New Roman" w:hAnsi="Times New Roman" w:cs="Times New Roman"/>
                <w:b/>
                <w:lang w:eastAsia="uk-UA"/>
              </w:rPr>
              <w:t>(</w:t>
            </w:r>
            <m:oMath>
              <m:sSubSup>
                <m:sSubSupPr>
                  <m:ctrlPr>
                    <w:rPr>
                      <w:rFonts w:ascii="Cambria Math" w:hAnsi="Cambria Math" w:cs="Times New Roman"/>
                      <w:b/>
                      <w:i/>
                    </w:rPr>
                  </m:ctrlPr>
                </m:sSubSupPr>
                <m:e>
                  <m:r>
                    <m:rPr>
                      <m:sty m:val="bi"/>
                    </m:rPr>
                    <w:rPr>
                      <w:rFonts w:ascii="Cambria Math" w:hAnsi="Cambria Math" w:cs="Times New Roman"/>
                      <w:lang w:eastAsia="uk-UA"/>
                    </w:rPr>
                    <m:t>ТЧП</m:t>
                  </m:r>
                </m:e>
                <m:sub>
                  <m:r>
                    <m:rPr>
                      <m:sty m:val="bi"/>
                    </m:rPr>
                    <w:rPr>
                      <w:rFonts w:ascii="Cambria Math" w:hAnsi="Cambria Math" w:cs="Times New Roman"/>
                      <w:lang w:eastAsia="uk-UA"/>
                    </w:rPr>
                    <m:t>t</m:t>
                  </m:r>
                </m:sub>
                <m:sup>
                  <m:r>
                    <m:rPr>
                      <m:sty m:val="bi"/>
                    </m:rPr>
                    <w:rPr>
                      <w:rFonts w:ascii="Cambria Math" w:hAnsi="Cambria Math" w:cs="Times New Roman"/>
                      <w:lang w:eastAsia="uk-UA"/>
                    </w:rPr>
                    <m:t>тар</m:t>
                  </m:r>
                </m:sup>
              </m:sSubSup>
            </m:oMath>
            <w:r w:rsidRPr="005A615E">
              <w:rPr>
                <w:rFonts w:ascii="Times New Roman" w:hAnsi="Times New Roman" w:cs="Times New Roman"/>
                <w:b/>
                <w:lang w:eastAsia="uk-UA"/>
              </w:rPr>
              <w:t xml:space="preserve">) </w:t>
            </w:r>
            <w:r w:rsidRPr="005A615E">
              <w:rPr>
                <w:rFonts w:ascii="Times New Roman" w:hAnsi="Times New Roman" w:cs="Times New Roman"/>
                <w:b/>
              </w:rPr>
              <w:t>розраховується за формулою</w:t>
            </w:r>
          </w:p>
          <w:p w:rsidR="001F767A" w:rsidRPr="005A615E" w:rsidRDefault="000D13C5" w:rsidP="001F767A">
            <w:pP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ТЧП</m:t>
                  </m:r>
                </m:e>
                <m:sub>
                  <m:r>
                    <w:rPr>
                      <w:rFonts w:ascii="Cambria Math" w:hAnsi="Cambria Math" w:cs="Times New Roman"/>
                      <w:lang w:val="en-US"/>
                    </w:rPr>
                    <m:t>t</m:t>
                  </m:r>
                </m:sub>
                <m:sup>
                  <m:r>
                    <w:rPr>
                      <w:rFonts w:ascii="Cambria Math" w:hAnsi="Cambria Math" w:cs="Times New Roman"/>
                    </w:rPr>
                    <m:t>тар</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ТЧП</m:t>
                  </m:r>
                </m:e>
                <m:sub>
                  <m:r>
                    <w:rPr>
                      <w:rFonts w:ascii="Cambria Math" w:hAnsi="Cambria Math" w:cs="Times New Roman"/>
                    </w:rPr>
                    <m:t>t-1</m:t>
                  </m:r>
                </m:sub>
                <m:sup>
                  <m:r>
                    <w:rPr>
                      <w:rFonts w:ascii="Cambria Math" w:hAnsi="Cambria Math" w:cs="Times New Roman"/>
                    </w:rPr>
                    <m:t>тар</m:t>
                  </m:r>
                </m:sup>
              </m:sSub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ПЕ</m:t>
                          </m:r>
                        </m:e>
                        <m:sub>
                          <m:r>
                            <w:rPr>
                              <w:rFonts w:ascii="Cambria Math" w:hAnsi="Cambria Math" w:cs="Times New Roman"/>
                            </w:rPr>
                            <m:t>з</m:t>
                          </m:r>
                        </m:sub>
                      </m:sSub>
                    </m:num>
                    <m:den>
                      <m:r>
                        <w:rPr>
                          <w:rFonts w:ascii="Cambria Math" w:hAnsi="Cambria Math" w:cs="Times New Roman"/>
                        </w:rPr>
                        <m:t>100</m:t>
                      </m:r>
                    </m:den>
                  </m:f>
                  <m:r>
                    <w:rPr>
                      <w:rFonts w:ascii="Cambria Math" w:hAnsi="Cambria Math" w:cs="Times New Roman"/>
                    </w:rPr>
                    <m:t>)</m:t>
                  </m:r>
                </m:e>
                <m:sup>
                  <m:r>
                    <m:rPr>
                      <m:sty m:val="bi"/>
                    </m:rPr>
                    <w:rPr>
                      <w:rFonts w:ascii="Cambria Math" w:hAnsi="Cambria Math" w:cs="Times New Roman"/>
                      <w:lang w:val="en-US"/>
                    </w:rPr>
                    <m:t>m</m:t>
                  </m:r>
                </m:sup>
              </m:sSup>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КУ</m:t>
                  </m:r>
                </m:e>
                <m:sub>
                  <m:r>
                    <w:rPr>
                      <w:rFonts w:ascii="Cambria Math" w:hAnsi="Cambria Math" w:cs="Times New Roman"/>
                    </w:rPr>
                    <m:t>УО</m:t>
                  </m:r>
                </m:sub>
                <m:sup>
                  <m:r>
                    <w:rPr>
                      <w:rFonts w:ascii="Cambria Math" w:hAnsi="Cambria Math" w:cs="Times New Roman"/>
                    </w:rPr>
                    <m:t>II</m:t>
                  </m:r>
                </m:sup>
              </m:sSubSup>
              <m:r>
                <w:rPr>
                  <w:rFonts w:ascii="Cambria Math" w:hAnsi="Cambria Math" w:cs="Times New Roman"/>
                </w:rPr>
                <m:t>,    осіб,</m:t>
              </m:r>
            </m:oMath>
            <w:r w:rsidR="001F767A" w:rsidRPr="005A615E">
              <w:rPr>
                <w:rFonts w:ascii="Times New Roman" w:eastAsiaTheme="minorEastAsia" w:hAnsi="Times New Roman" w:cs="Times New Roman"/>
              </w:rPr>
              <w:t xml:space="preserve"> (17)</w:t>
            </w:r>
          </w:p>
          <w:p w:rsidR="001F767A" w:rsidRPr="005A615E" w:rsidRDefault="001F767A" w:rsidP="001F767A">
            <w:pPr>
              <w:ind w:firstLine="308"/>
              <w:jc w:val="both"/>
              <w:rPr>
                <w:rFonts w:ascii="Times New Roman" w:hAnsi="Times New Roman" w:cs="Times New Roman"/>
                <w:shd w:val="clear" w:color="auto" w:fill="FFFFFF"/>
              </w:rPr>
            </w:pPr>
          </w:p>
          <w:p w:rsidR="001F767A" w:rsidRPr="005A615E" w:rsidRDefault="001F767A" w:rsidP="001F767A">
            <w:pPr>
              <w:shd w:val="clear" w:color="auto" w:fill="FFFFFF"/>
              <w:spacing w:after="150"/>
              <w:ind w:firstLine="173"/>
              <w:jc w:val="both"/>
              <w:rPr>
                <w:rFonts w:ascii="Times New Roman" w:eastAsia="Times New Roman" w:hAnsi="Times New Roman" w:cs="Times New Roman"/>
                <w:lang w:eastAsia="ru-RU"/>
              </w:rPr>
            </w:pPr>
            <w:r w:rsidRPr="005A615E">
              <w:rPr>
                <w:rFonts w:ascii="Times New Roman" w:eastAsia="Times New Roman" w:hAnsi="Times New Roman" w:cs="Times New Roman"/>
                <w:b/>
                <w:bCs/>
                <w:lang w:val="en-US" w:eastAsia="ru-RU"/>
              </w:rPr>
              <w:t>m</w:t>
            </w:r>
            <w:r w:rsidRPr="005A615E">
              <w:rPr>
                <w:rFonts w:ascii="Times New Roman" w:eastAsia="Times New Roman" w:hAnsi="Times New Roman" w:cs="Times New Roman"/>
                <w:b/>
                <w:bCs/>
                <w:lang w:val="ru-RU" w:eastAsia="ru-RU"/>
              </w:rPr>
              <w:t xml:space="preserve"> </w:t>
            </w:r>
            <m:oMath>
              <m:r>
                <m:rPr>
                  <m:sty m:val="b"/>
                </m:rPr>
                <w:rPr>
                  <w:rFonts w:ascii="Cambria Math" w:eastAsia="Times New Roman" w:hAnsi="Cambria Math" w:cs="Times New Roman"/>
                  <w:lang w:eastAsia="ru-RU"/>
                </w:rPr>
                <m:t>-</m:t>
              </m:r>
            </m:oMath>
            <w:r w:rsidRPr="005A615E">
              <w:rPr>
                <w:rFonts w:ascii="Times New Roman" w:eastAsia="Times New Roman" w:hAnsi="Times New Roman" w:cs="Times New Roman"/>
                <w:b/>
                <w:bCs/>
                <w:lang w:eastAsia="ru-RU"/>
              </w:rPr>
              <w:t xml:space="preserve"> кількість років попереднього регуляторного періоду,</w:t>
            </w:r>
            <w:r w:rsidRPr="005A615E">
              <w:rPr>
                <w:rFonts w:ascii="Times New Roman" w:eastAsia="Times New Roman" w:hAnsi="Times New Roman" w:cs="Times New Roman"/>
                <w:lang w:eastAsia="ru-RU"/>
              </w:rPr>
              <w:t xml:space="preserve"> протягом яких застосовувався загальний показник ефективності для операційних контрольованих витрат, встановлений НКРЕКП (з урахуванням останнього року), які визначають показник степеня.</w:t>
            </w:r>
          </w:p>
          <w:p w:rsidR="001F767A" w:rsidRPr="005A615E" w:rsidRDefault="001F767A" w:rsidP="001F767A">
            <w:pPr>
              <w:shd w:val="clear" w:color="auto" w:fill="FFFFFF"/>
              <w:spacing w:after="150"/>
              <w:ind w:firstLine="180"/>
              <w:jc w:val="both"/>
              <w:rPr>
                <w:rFonts w:ascii="Times New Roman" w:hAnsi="Times New Roman" w:cs="Times New Roman"/>
                <w:lang w:eastAsia="uk-UA"/>
              </w:rPr>
            </w:pPr>
            <w:r w:rsidRPr="005A615E">
              <w:rPr>
                <w:rFonts w:ascii="Times New Roman" w:hAnsi="Times New Roman" w:cs="Times New Roman"/>
                <w:noProof/>
                <w:lang w:eastAsia="uk-UA"/>
              </w:rPr>
              <w:drawing>
                <wp:inline distT="0" distB="0" distL="0" distR="0">
                  <wp:extent cx="438150" cy="228600"/>
                  <wp:effectExtent l="0" t="0" r="0" b="0"/>
                  <wp:docPr id="792200310" name="Рисунок 792200310" descr="https://zakon.rada.gov.ua/laws/file/imgs/129/p478167n803-46.gif">
                    <a:hlinkClick xmlns:a="http://schemas.openxmlformats.org/drawingml/2006/main" r:id="rId1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315" descr="https://zakon.rada.gov.ua/laws/file/imgs/129/p478167n803-46.gif">
                            <a:hlinkClick r:id="rId161"/>
                          </pic:cNvPr>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5A615E">
              <w:rPr>
                <w:rFonts w:ascii="Times New Roman" w:hAnsi="Times New Roman" w:cs="Times New Roman"/>
                <w:lang w:eastAsia="uk-UA"/>
              </w:rPr>
              <w:t xml:space="preserve"> - </w:t>
            </w:r>
            <w:r w:rsidRPr="005A615E">
              <w:rPr>
                <w:rFonts w:ascii="Times New Roman" w:hAnsi="Times New Roman" w:cs="Times New Roman"/>
              </w:rPr>
              <w:t xml:space="preserve"> </w:t>
            </w:r>
            <w:r w:rsidRPr="005A615E">
              <w:rPr>
                <w:rFonts w:ascii="Times New Roman" w:hAnsi="Times New Roman" w:cs="Times New Roman"/>
                <w:lang w:eastAsia="uk-UA"/>
              </w:rPr>
              <w:t xml:space="preserve">уточнені операційні контрольовані витрати у році t, тис. грн (на 2022 – 2024 роки </w:t>
            </w:r>
            <w:r w:rsidRPr="005A615E">
              <w:rPr>
                <w:rFonts w:ascii="Times New Roman" w:hAnsi="Times New Roman" w:cs="Times New Roman"/>
                <w:noProof/>
                <w:lang w:eastAsia="uk-UA"/>
              </w:rPr>
              <w:drawing>
                <wp:inline distT="0" distB="0" distL="0" distR="0">
                  <wp:extent cx="333375" cy="171450"/>
                  <wp:effectExtent l="0" t="0" r="9525" b="0"/>
                  <wp:docPr id="792200308" name="Рисунок 792200308" descr="https://zakon.rada.gov.ua/laws/file/imgs/129/p478167n803-47.gif">
                    <a:hlinkClick xmlns:a="http://schemas.openxmlformats.org/drawingml/2006/main" r:id="rId1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68" descr="https://zakon.rada.gov.ua/laws/file/imgs/129/p478167n803-47.gif">
                            <a:hlinkClick r:id="rId163"/>
                          </pic:cNvPr>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5A615E">
              <w:rPr>
                <w:rFonts w:ascii="Times New Roman" w:hAnsi="Times New Roman" w:cs="Times New Roman"/>
                <w:lang w:eastAsia="uk-UA"/>
              </w:rPr>
              <w:t xml:space="preserve">  = </w:t>
            </w:r>
            <w:r w:rsidRPr="005A615E">
              <w:rPr>
                <w:rFonts w:ascii="Times New Roman" w:hAnsi="Times New Roman" w:cs="Times New Roman"/>
                <w:noProof/>
                <w:lang w:eastAsia="uk-UA"/>
              </w:rPr>
              <w:drawing>
                <wp:inline distT="0" distB="0" distL="0" distR="0">
                  <wp:extent cx="323850" cy="190500"/>
                  <wp:effectExtent l="0" t="0" r="0" b="0"/>
                  <wp:docPr id="792200307" name="Рисунок 792200307" descr="https://zakon.rada.gov.ua/laws/file/imgs/129/p478167n803-48.gif">
                    <a:hlinkClick xmlns:a="http://schemas.openxmlformats.org/drawingml/2006/main" r:id="rId1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69" descr="https://zakon.rada.gov.ua/laws/file/imgs/129/p478167n803-48.gif">
                            <a:hlinkClick r:id="rId165"/>
                          </pic:cNvPr>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r w:rsidRPr="005A615E">
              <w:rPr>
                <w:rFonts w:ascii="Times New Roman" w:hAnsi="Times New Roman" w:cs="Times New Roman"/>
                <w:lang w:eastAsia="uk-UA"/>
              </w:rPr>
              <w:t xml:space="preserve"> );</w:t>
            </w:r>
          </w:p>
          <w:p w:rsidR="001F767A" w:rsidRPr="005A615E" w:rsidRDefault="001F767A" w:rsidP="001F767A">
            <w:pPr>
              <w:shd w:val="clear" w:color="auto" w:fill="FFFFFF"/>
              <w:spacing w:after="150"/>
              <w:ind w:firstLine="180"/>
              <w:jc w:val="both"/>
              <w:rPr>
                <w:rFonts w:ascii="Times New Roman" w:hAnsi="Times New Roman" w:cs="Times New Roman"/>
                <w:lang w:eastAsia="uk-UA"/>
              </w:rPr>
            </w:pPr>
            <w:r w:rsidRPr="005A615E">
              <w:rPr>
                <w:rFonts w:ascii="Times New Roman" w:hAnsi="Times New Roman" w:cs="Times New Roman"/>
                <w:noProof/>
                <w:lang w:eastAsia="uk-UA"/>
              </w:rPr>
              <w:drawing>
                <wp:inline distT="0" distB="0" distL="0" distR="0">
                  <wp:extent cx="438150" cy="257175"/>
                  <wp:effectExtent l="0" t="0" r="0" b="9525"/>
                  <wp:docPr id="792200297" name="Рисунок 792200297" descr="https://zakon.rada.gov.ua/laws/file/imgs/129/p478167n803-49.gif">
                    <a:hlinkClick xmlns:a="http://schemas.openxmlformats.org/drawingml/2006/main" r:id="rId1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0" descr="https://zakon.rada.gov.ua/laws/file/imgs/129/p478167n803-49.gif">
                            <a:hlinkClick r:id="rId167"/>
                          </pic:cNvPr>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438150" cy="257175"/>
                          </a:xfrm>
                          <a:prstGeom prst="rect">
                            <a:avLst/>
                          </a:prstGeom>
                          <a:noFill/>
                          <a:ln>
                            <a:noFill/>
                          </a:ln>
                        </pic:spPr>
                      </pic:pic>
                    </a:graphicData>
                  </a:graphic>
                </wp:inline>
              </w:drawing>
            </w:r>
            <w:r w:rsidRPr="005A615E">
              <w:rPr>
                <w:rFonts w:ascii="Times New Roman" w:hAnsi="Times New Roman" w:cs="Times New Roman"/>
                <w:lang w:eastAsia="uk-UA"/>
              </w:rPr>
              <w:t xml:space="preserve"> - </w:t>
            </w:r>
            <w:r w:rsidRPr="005A615E">
              <w:rPr>
                <w:rFonts w:ascii="Times New Roman" w:hAnsi="Times New Roman" w:cs="Times New Roman"/>
              </w:rPr>
              <w:t xml:space="preserve"> </w:t>
            </w:r>
            <w:r w:rsidRPr="005A615E">
              <w:rPr>
                <w:rFonts w:ascii="Times New Roman" w:hAnsi="Times New Roman" w:cs="Times New Roman"/>
                <w:lang w:eastAsia="uk-UA"/>
              </w:rPr>
              <w:t>фактичні операційні контрольовані витрати у році t, що враховують обґрунтований перелік складових витрат, підтверджений результатами заходів контролю, які відносяться до діяльності з розподілу, тис. грн.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p>
          <w:p w:rsidR="001F767A" w:rsidRPr="005A615E" w:rsidRDefault="001F767A" w:rsidP="001F767A">
            <w:pPr>
              <w:shd w:val="clear" w:color="auto" w:fill="FFFFFF"/>
              <w:spacing w:after="150"/>
              <w:ind w:firstLine="180"/>
              <w:jc w:val="both"/>
              <w:rPr>
                <w:rFonts w:ascii="Times New Roman" w:hAnsi="Times New Roman" w:cs="Times New Roman"/>
                <w:lang w:eastAsia="uk-UA"/>
              </w:rPr>
            </w:pPr>
            <w:r w:rsidRPr="005A615E">
              <w:rPr>
                <w:rFonts w:ascii="Times New Roman" w:hAnsi="Times New Roman" w:cs="Times New Roman"/>
                <w:noProof/>
                <w:lang w:eastAsia="uk-UA"/>
              </w:rPr>
              <w:drawing>
                <wp:inline distT="0" distB="0" distL="0" distR="0">
                  <wp:extent cx="104775" cy="209550"/>
                  <wp:effectExtent l="0" t="0" r="9525" b="0"/>
                  <wp:docPr id="792200296" name="Рисунок 792200296" descr="https://zakon.rada.gov.ua/laws/file/imgs/129/p478167n803-50.gif">
                    <a:hlinkClick xmlns:a="http://schemas.openxmlformats.org/drawingml/2006/main" r:id="rId1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1" descr="https://zakon.rada.gov.ua/laws/file/imgs/129/p478167n803-50.gif">
                            <a:hlinkClick r:id="rId169"/>
                          </pic:cNvPr>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04775" cy="209550"/>
                          </a:xfrm>
                          <a:prstGeom prst="rect">
                            <a:avLst/>
                          </a:prstGeom>
                          <a:noFill/>
                          <a:ln>
                            <a:noFill/>
                          </a:ln>
                        </pic:spPr>
                      </pic:pic>
                    </a:graphicData>
                  </a:graphic>
                </wp:inline>
              </w:drawing>
            </w:r>
            <w:r w:rsidRPr="005A615E">
              <w:rPr>
                <w:rFonts w:ascii="Times New Roman" w:hAnsi="Times New Roman" w:cs="Times New Roman"/>
                <w:lang w:eastAsia="uk-UA"/>
              </w:rPr>
              <w:t xml:space="preserve"> -  кількість років у попередньому періоді регулювання (без урахування 2022 – 2024 років, для яких </w:t>
            </w:r>
            <w:r w:rsidRPr="005A615E">
              <w:rPr>
                <w:rFonts w:ascii="Times New Roman" w:hAnsi="Times New Roman" w:cs="Times New Roman"/>
                <w:noProof/>
                <w:lang w:eastAsia="uk-UA"/>
              </w:rPr>
              <w:drawing>
                <wp:inline distT="0" distB="0" distL="0" distR="0">
                  <wp:extent cx="371475" cy="190500"/>
                  <wp:effectExtent l="0" t="0" r="9525" b="0"/>
                  <wp:docPr id="792200295" name="Рисунок 792200295" descr="https://zakon.rada.gov.ua/laws/file/imgs/129/p478167n803-51.gif">
                    <a:hlinkClick xmlns:a="http://schemas.openxmlformats.org/drawingml/2006/main" r:id="rId1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2" descr="https://zakon.rada.gov.ua/laws/file/imgs/129/p478167n803-51.gif">
                            <a:hlinkClick r:id="rId171"/>
                          </pic:cNvPr>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5A615E">
              <w:rPr>
                <w:rFonts w:ascii="Times New Roman" w:hAnsi="Times New Roman" w:cs="Times New Roman"/>
                <w:lang w:eastAsia="uk-UA"/>
              </w:rPr>
              <w:t> = </w:t>
            </w:r>
            <w:r w:rsidRPr="005A615E">
              <w:rPr>
                <w:rFonts w:ascii="Times New Roman" w:hAnsi="Times New Roman" w:cs="Times New Roman"/>
                <w:noProof/>
                <w:lang w:eastAsia="uk-UA"/>
              </w:rPr>
              <w:drawing>
                <wp:inline distT="0" distB="0" distL="0" distR="0">
                  <wp:extent cx="371475" cy="219075"/>
                  <wp:effectExtent l="0" t="0" r="9525" b="9525"/>
                  <wp:docPr id="792200294" name="Рисунок 792200294" descr="https://zakon.rada.gov.ua/laws/file/imgs/129/p478167n803-52.gif">
                    <a:hlinkClick xmlns:a="http://schemas.openxmlformats.org/drawingml/2006/main" r:id="rId1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230473" descr="https://zakon.rada.gov.ua/laws/file/imgs/129/p478167n803-52.gif">
                            <a:hlinkClick r:id="rId173"/>
                          </pic:cNvPr>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r w:rsidRPr="005A615E">
              <w:rPr>
                <w:rFonts w:ascii="Times New Roman" w:hAnsi="Times New Roman" w:cs="Times New Roman"/>
                <w:lang w:eastAsia="uk-UA"/>
              </w:rPr>
              <w:t>).</w:t>
            </w:r>
          </w:p>
          <w:p w:rsidR="001F767A" w:rsidRPr="005A615E" w:rsidRDefault="001F767A" w:rsidP="001F767A">
            <w:pPr>
              <w:shd w:val="clear" w:color="auto" w:fill="FFFFFF"/>
              <w:spacing w:after="150"/>
              <w:ind w:firstLine="180"/>
              <w:jc w:val="both"/>
              <w:rPr>
                <w:rFonts w:ascii="Times New Roman" w:hAnsi="Times New Roman" w:cs="Times New Roman"/>
                <w:lang w:eastAsia="uk-UA"/>
              </w:rPr>
            </w:pPr>
            <w:r w:rsidRPr="005A615E">
              <w:rPr>
                <w:rFonts w:ascii="Times New Roman" w:hAnsi="Times New Roman" w:cs="Times New Roman"/>
                <w:lang w:eastAsia="uk-UA"/>
              </w:rPr>
              <w:t>Для АТ «ЖИТОМИРОБЛЕНЕРГО», ПрАТ «КІРОВОГРАДОБЛЕНЕРГО», ПрАТ «РІВНЕОБЛЕНЕРГО», АТ «ХЕРСОНОБЛЕНЕРГО», АТ «ЧЕРНІВЦІОБЛЕНЕРГО» економія операційних контрольованих витрат за перший регуляторний період за 2022 – 2026 роки не визначається, а при визначенні економії операційних контрольованих витрат за попередній регуляторний період показник k не враховує 2022 – 2026 роки.</w:t>
            </w:r>
          </w:p>
          <w:p w:rsidR="00CF2AC1" w:rsidRPr="005A615E" w:rsidRDefault="001F767A" w:rsidP="001F767A">
            <w:pPr>
              <w:ind w:firstLine="173"/>
              <w:jc w:val="both"/>
              <w:rPr>
                <w:rFonts w:ascii="Times New Roman" w:hAnsi="Times New Roman"/>
                <w:b/>
                <w:sz w:val="24"/>
              </w:rPr>
            </w:pPr>
            <w:r w:rsidRPr="005A615E">
              <w:rPr>
                <w:rFonts w:ascii="Times New Roman" w:hAnsi="Times New Roman" w:cs="Times New Roman"/>
                <w:b/>
                <w:lang w:eastAsia="uk-UA"/>
              </w:rPr>
              <w:t>Для АТ «ЗАПОРІЖЖЯОБЛЕНЕРГО» при розрахунку операційних контрольованих витрат на другий регуляторний період економія операційних контрольованих витрат за перший регуляторний період за 2021 – 2026 роки не застосовується.</w:t>
            </w:r>
          </w:p>
        </w:tc>
      </w:tr>
      <w:tr w:rsidR="00CF2AC1" w:rsidRPr="005A615E" w:rsidTr="00A56FEE">
        <w:tc>
          <w:tcPr>
            <w:tcW w:w="6232" w:type="dxa"/>
          </w:tcPr>
          <w:p w:rsidR="00CF2AC1" w:rsidRPr="005A615E" w:rsidRDefault="00CF2AC1" w:rsidP="00CF2AC1">
            <w:pPr>
              <w:shd w:val="clear" w:color="auto" w:fill="FFFFFF"/>
              <w:ind w:firstLine="176"/>
              <w:jc w:val="both"/>
              <w:rPr>
                <w:rFonts w:ascii="Times New Roman" w:hAnsi="Times New Roman"/>
                <w:b/>
                <w:lang w:eastAsia="uk-UA"/>
              </w:rPr>
            </w:pPr>
            <w:r w:rsidRPr="005A615E">
              <w:rPr>
                <w:rFonts w:ascii="Times New Roman" w:hAnsi="Times New Roman"/>
                <w:b/>
                <w:lang w:eastAsia="uk-UA"/>
              </w:rPr>
              <w:t>Зміни не пропонувались</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«Кіровоградобленерго» (лист від 27.07.2026  № 3919/05/34)</w:t>
            </w:r>
          </w:p>
          <w:p w:rsidR="00CF2AC1" w:rsidRPr="005A615E" w:rsidRDefault="000D13C5" w:rsidP="00CF2AC1">
            <w:pPr>
              <w:pStyle w:val="tj"/>
              <w:spacing w:before="0" w:beforeAutospacing="0" w:after="0" w:afterAutospacing="0"/>
              <w:jc w:val="both"/>
              <w:rPr>
                <w:sz w:val="22"/>
                <w:szCs w:val="22"/>
              </w:rPr>
            </w:pPr>
            <w:hyperlink r:id="rId182" w:tgtFrame="_blank" w:history="1">
              <w:r w:rsidR="00CF2AC1" w:rsidRPr="005A615E">
                <w:rPr>
                  <w:rStyle w:val="a9"/>
                  <w:color w:val="auto"/>
                  <w:sz w:val="22"/>
                  <w:szCs w:val="22"/>
                  <w:u w:val="none"/>
                </w:rPr>
                <w:t>5.9. Прогнозовані операційні неконтрольовані витрати з розподілу електричної енергії на рік t  для першого року другого регуляторного періоду визначаються за формулою</w:t>
              </w:r>
            </w:hyperlink>
          </w:p>
          <w:p w:rsidR="00CF2AC1" w:rsidRPr="005A615E" w:rsidRDefault="00CF2AC1" w:rsidP="00CF2AC1">
            <w:pPr>
              <w:pStyle w:val="tj"/>
              <w:spacing w:before="0" w:beforeAutospacing="0" w:after="0" w:afterAutospacing="0"/>
              <w:jc w:val="both"/>
              <w:rPr>
                <w:b/>
                <w:bCs/>
                <w:sz w:val="22"/>
                <w:szCs w:val="22"/>
              </w:rPr>
            </w:pPr>
            <w:r w:rsidRPr="005A615E">
              <w:rPr>
                <w:b/>
                <w:bCs/>
                <w:sz w:val="22"/>
                <w:szCs w:val="22"/>
              </w:rPr>
              <w:t>………</w:t>
            </w:r>
          </w:p>
          <w:p w:rsidR="00CF2AC1" w:rsidRPr="005A615E" w:rsidRDefault="00CF2AC1" w:rsidP="00CF2AC1">
            <w:pPr>
              <w:pStyle w:val="tj"/>
              <w:spacing w:before="0" w:beforeAutospacing="0" w:after="0" w:afterAutospacing="0"/>
              <w:jc w:val="both"/>
              <w:rPr>
                <w:b/>
                <w:bCs/>
                <w:sz w:val="12"/>
                <w:szCs w:val="12"/>
              </w:rPr>
            </w:pPr>
          </w:p>
          <w:p w:rsidR="00CF2AC1" w:rsidRPr="005A615E" w:rsidRDefault="000D13C5" w:rsidP="00CF2AC1">
            <w:pPr>
              <w:pStyle w:val="tj"/>
              <w:spacing w:before="0" w:beforeAutospacing="0" w:after="0" w:afterAutospacing="0"/>
              <w:ind w:firstLine="179"/>
              <w:jc w:val="both"/>
              <w:rPr>
                <w:rStyle w:val="a9"/>
                <w:b/>
                <w:bCs/>
                <w:color w:val="auto"/>
                <w:sz w:val="22"/>
                <w:szCs w:val="22"/>
                <w:u w:val="none"/>
              </w:rPr>
            </w:pPr>
            <w:hyperlink r:id="rId183" w:tgtFrame="_blank" w:history="1">
              <w:r w:rsidR="00CF2AC1" w:rsidRPr="005A615E">
                <w:rPr>
                  <w:rStyle w:val="a9"/>
                  <w:b/>
                  <w:bCs/>
                  <w:color w:val="auto"/>
                  <w:sz w:val="22"/>
                  <w:szCs w:val="22"/>
                  <w:u w:val="none"/>
                </w:rPr>
                <w:t>Прогнозовані операційні неконтрольовані витрати з розподілу електричної енергії на рік t  для першого року другого регуляторного періоду визначаються за формулою</w:t>
              </w:r>
            </w:hyperlink>
          </w:p>
          <w:p w:rsidR="00CF2AC1" w:rsidRPr="005A615E" w:rsidRDefault="00CF2AC1" w:rsidP="00CF2AC1">
            <w:pPr>
              <w:pStyle w:val="tj"/>
              <w:spacing w:before="0" w:beforeAutospacing="0" w:after="0" w:afterAutospacing="0"/>
              <w:ind w:firstLine="179"/>
              <w:jc w:val="both"/>
              <w:rPr>
                <w:rStyle w:val="a9"/>
                <w:b/>
                <w:bCs/>
                <w:color w:val="auto"/>
                <w:sz w:val="12"/>
                <w:szCs w:val="12"/>
                <w:u w:val="none"/>
              </w:rPr>
            </w:pPr>
          </w:p>
          <w:p w:rsidR="00CF2AC1" w:rsidRPr="005A615E" w:rsidRDefault="000D13C5" w:rsidP="00CF2AC1">
            <w:pPr>
              <w:pStyle w:val="tj"/>
              <w:spacing w:before="0" w:beforeAutospacing="0" w:after="0" w:afterAutospacing="0"/>
              <w:ind w:firstLine="179"/>
              <w:jc w:val="both"/>
              <w:rPr>
                <w:b/>
                <w:bCs/>
                <w:sz w:val="18"/>
                <w:szCs w:val="18"/>
              </w:rPr>
            </w:pPr>
            <m:oMath>
              <m:sSubSup>
                <m:sSubSupPr>
                  <m:ctrlPr>
                    <w:rPr>
                      <w:rFonts w:ascii="Cambria Math" w:hAnsi="Cambria Math"/>
                      <w:b/>
                      <w:bCs/>
                      <w:i/>
                      <w:sz w:val="18"/>
                      <w:szCs w:val="18"/>
                    </w:rPr>
                  </m:ctrlPr>
                </m:sSubSupPr>
                <m:e>
                  <m:r>
                    <m:rPr>
                      <m:sty m:val="bi"/>
                    </m:rPr>
                    <w:rPr>
                      <w:rFonts w:ascii="Cambria Math" w:hAnsi="Cambria Math"/>
                      <w:sz w:val="18"/>
                      <w:szCs w:val="18"/>
                    </w:rPr>
                    <m:t>ОНВ</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ОНВ</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ПСП</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ПД</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ПОР</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ВП</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ВР</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СМВ</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ФОП</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 xml:space="preserve"> х</m:t>
              </m:r>
              <m:sSubSup>
                <m:sSubSupPr>
                  <m:ctrlPr>
                    <w:rPr>
                      <w:rFonts w:ascii="Cambria Math" w:hAnsi="Cambria Math"/>
                      <w:b/>
                      <w:bCs/>
                      <w:i/>
                      <w:sz w:val="18"/>
                      <w:szCs w:val="18"/>
                    </w:rPr>
                  </m:ctrlPr>
                </m:sSubSupPr>
                <m:e>
                  <m:r>
                    <m:rPr>
                      <m:sty m:val="bi"/>
                    </m:rPr>
                    <w:rPr>
                      <w:rFonts w:ascii="Cambria Math" w:hAnsi="Cambria Math"/>
                      <w:sz w:val="18"/>
                      <w:szCs w:val="18"/>
                    </w:rPr>
                    <m:t xml:space="preserve"> Н</m:t>
                  </m:r>
                </m:e>
                <m:sub>
                  <m:r>
                    <m:rPr>
                      <m:sty m:val="bi"/>
                    </m:rPr>
                    <w:rPr>
                      <w:rFonts w:ascii="Cambria Math" w:hAnsi="Cambria Math"/>
                      <w:sz w:val="18"/>
                      <w:szCs w:val="18"/>
                    </w:rPr>
                    <m:t>t-1</m:t>
                  </m:r>
                </m:sub>
                <m:sup>
                  <m:r>
                    <m:rPr>
                      <m:sty m:val="bi"/>
                    </m:rPr>
                    <w:rPr>
                      <w:rFonts w:ascii="Cambria Math" w:hAnsi="Cambria Math"/>
                      <w:sz w:val="18"/>
                      <w:szCs w:val="18"/>
                    </w:rPr>
                    <m:t>фоп</m:t>
                  </m:r>
                </m:sup>
              </m:sSubSup>
            </m:oMath>
            <w:r w:rsidR="00CF2AC1" w:rsidRPr="005A615E">
              <w:rPr>
                <w:b/>
                <w:bCs/>
                <w:sz w:val="18"/>
                <w:szCs w:val="18"/>
              </w:rPr>
              <w:t>)</w:t>
            </w:r>
            <m:oMath>
              <m:r>
                <m:rPr>
                  <m:sty m:val="bi"/>
                </m:rPr>
                <w:rPr>
                  <w:rFonts w:ascii="Cambria Math" w:hAnsi="Cambria Math"/>
                  <w:sz w:val="18"/>
                  <w:szCs w:val="18"/>
                </w:rPr>
                <m:t xml:space="preserve">  х </m:t>
              </m:r>
              <m:f>
                <m:fPr>
                  <m:ctrlPr>
                    <w:rPr>
                      <w:rFonts w:ascii="Cambria Math" w:hAnsi="Cambria Math"/>
                      <w:b/>
                      <w:bCs/>
                      <w:i/>
                      <w:sz w:val="18"/>
                      <w:szCs w:val="18"/>
                    </w:rPr>
                  </m:ctrlPr>
                </m:fPr>
                <m:num>
                  <m:sSubSup>
                    <m:sSubSupPr>
                      <m:ctrlPr>
                        <w:rPr>
                          <w:rFonts w:ascii="Cambria Math" w:hAnsi="Cambria Math"/>
                          <w:b/>
                          <w:bCs/>
                          <w:i/>
                          <w:sz w:val="18"/>
                          <w:szCs w:val="18"/>
                        </w:rPr>
                      </m:ctrlPr>
                    </m:sSubSupPr>
                    <m:e>
                      <m:r>
                        <m:rPr>
                          <m:sty m:val="bi"/>
                        </m:rPr>
                        <w:rPr>
                          <w:rFonts w:ascii="Cambria Math" w:hAnsi="Cambria Math"/>
                          <w:sz w:val="18"/>
                          <w:szCs w:val="18"/>
                        </w:rPr>
                        <m:t>ІСЦ</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num>
                <m:den>
                  <m:r>
                    <m:rPr>
                      <m:sty m:val="bi"/>
                    </m:rPr>
                    <w:rPr>
                      <w:rFonts w:ascii="Cambria Math" w:hAnsi="Cambria Math"/>
                      <w:sz w:val="18"/>
                      <w:szCs w:val="18"/>
                    </w:rPr>
                    <m:t>100</m:t>
                  </m:r>
                </m:den>
              </m:f>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ФОП</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х</m:t>
              </m:r>
              <m:sSubSup>
                <m:sSubSupPr>
                  <m:ctrlPr>
                    <w:rPr>
                      <w:rFonts w:ascii="Cambria Math" w:hAnsi="Cambria Math"/>
                      <w:b/>
                      <w:bCs/>
                      <w:i/>
                      <w:sz w:val="18"/>
                      <w:szCs w:val="18"/>
                    </w:rPr>
                  </m:ctrlPr>
                </m:sSubSupPr>
                <m:e>
                  <m:r>
                    <m:rPr>
                      <m:sty m:val="bi"/>
                    </m:rPr>
                    <w:rPr>
                      <w:rFonts w:ascii="Cambria Math" w:hAnsi="Cambria Math"/>
                      <w:sz w:val="18"/>
                      <w:szCs w:val="18"/>
                    </w:rPr>
                    <m:t xml:space="preserve"> Н</m:t>
                  </m:r>
                </m:e>
                <m:sub>
                  <m:r>
                    <m:rPr>
                      <m:sty m:val="bi"/>
                    </m:rPr>
                    <w:rPr>
                      <w:rFonts w:ascii="Cambria Math" w:hAnsi="Cambria Math"/>
                      <w:sz w:val="18"/>
                      <w:szCs w:val="18"/>
                    </w:rPr>
                    <m:t>t</m:t>
                  </m:r>
                </m:sub>
                <m:sup>
                  <m:r>
                    <m:rPr>
                      <m:sty m:val="bi"/>
                    </m:rPr>
                    <w:rPr>
                      <w:rFonts w:ascii="Cambria Math" w:hAnsi="Cambria Math"/>
                      <w:sz w:val="18"/>
                      <w:szCs w:val="18"/>
                    </w:rPr>
                    <m:t>фоп</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ПСП</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ПД</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ПОР</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ЕГП</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ВП</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ВР</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СМВ</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oMath>
            <w:r w:rsidR="00CF2AC1" w:rsidRPr="005A615E">
              <w:rPr>
                <w:b/>
                <w:bCs/>
                <w:sz w:val="18"/>
                <w:szCs w:val="18"/>
              </w:rPr>
              <w:t xml:space="preserve"> , тис. грн</w:t>
            </w:r>
          </w:p>
          <w:p w:rsidR="00CF2AC1" w:rsidRPr="005A615E" w:rsidRDefault="00CF2AC1" w:rsidP="00CF2AC1">
            <w:pPr>
              <w:pStyle w:val="tj"/>
              <w:spacing w:before="0" w:beforeAutospacing="0" w:after="0" w:afterAutospacing="0"/>
              <w:ind w:firstLine="179"/>
              <w:jc w:val="both"/>
              <w:rPr>
                <w:b/>
                <w:bCs/>
                <w:sz w:val="12"/>
                <w:szCs w:val="12"/>
              </w:rPr>
            </w:pP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rPr>
              <w:t xml:space="preserve">де, </w:t>
            </w:r>
            <w:r w:rsidRPr="005A615E">
              <w:rPr>
                <w:rFonts w:ascii="Times New Roman" w:hAnsi="Times New Roman"/>
              </w:rPr>
              <w:fldChar w:fldCharType="begin"/>
            </w:r>
            <w:r w:rsidRPr="005A615E">
              <w:rPr>
                <w:rFonts w:ascii="Times New Roman" w:hAnsi="Times New Roman"/>
              </w:rPr>
              <w:instrText xml:space="preserve"> QUOTE </w:instrText>
            </w:r>
            <m:oMath>
              <m:sSubSup>
                <m:sSubSupPr>
                  <m:ctrlPr>
                    <w:rPr>
                      <w:rFonts w:ascii="Cambria Math" w:hAnsi="Cambria Math"/>
                    </w:rPr>
                  </m:ctrlPr>
                </m:sSubSupPr>
                <m:e>
                  <m:r>
                    <m:rPr>
                      <m:sty m:val="p"/>
                    </m:rPr>
                    <w:rPr>
                      <w:rFonts w:ascii="Cambria Math" w:hAnsi="Cambria Math"/>
                    </w:rPr>
                    <m:t>ЕГП</m:t>
                  </m:r>
                </m:e>
                <m:sub>
                  <m:r>
                    <m:rPr>
                      <m:sty m:val="p"/>
                    </m:rPr>
                    <w:rPr>
                      <w:rFonts w:ascii="Cambria Math" w:hAnsi="Cambria Math"/>
                    </w:rPr>
                    <m:t>t-1</m:t>
                  </m:r>
                </m:sub>
                <m:sup>
                  <m:r>
                    <m:rPr>
                      <m:sty m:val="p"/>
                    </m:rPr>
                    <w:rPr>
                      <w:rFonts w:ascii="Cambria Math" w:hAnsi="Cambria Math"/>
                    </w:rPr>
                    <m:t>n</m:t>
                  </m:r>
                </m:sup>
              </m:sSubSup>
            </m:oMath>
            <w:r w:rsidRPr="005A615E">
              <w:rPr>
                <w:rFonts w:ascii="Times New Roman" w:hAnsi="Times New Roman"/>
              </w:rPr>
              <w:instrText xml:space="preserve"> </w:instrText>
            </w:r>
            <w:r w:rsidRPr="005A615E">
              <w:rPr>
                <w:rFonts w:ascii="Times New Roman" w:hAnsi="Times New Roman"/>
              </w:rPr>
              <w:fldChar w:fldCharType="separate"/>
            </w:r>
            <m:oMath>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ЕГП</m:t>
                  </m:r>
                </m:e>
                <m:sub>
                  <m:r>
                    <m:rPr>
                      <m:sty m:val="p"/>
                    </m:rPr>
                    <w:rPr>
                      <w:rFonts w:ascii="Cambria Math" w:hAnsi="Cambria Math"/>
                    </w:rPr>
                    <m:t>t</m:t>
                  </m:r>
                </m:sub>
                <m:sup>
                  <m:r>
                    <m:rPr>
                      <m:sty m:val="p"/>
                    </m:rPr>
                    <w:rPr>
                      <w:rFonts w:ascii="Cambria Math" w:hAnsi="Cambria Math"/>
                    </w:rPr>
                    <m:t>n</m:t>
                  </m:r>
                </m:sup>
              </m:sSubSup>
            </m:oMath>
            <w:r w:rsidRPr="005A615E">
              <w:rPr>
                <w:rFonts w:ascii="Times New Roman" w:hAnsi="Times New Roman"/>
              </w:rPr>
              <w:fldChar w:fldCharType="end"/>
            </w:r>
            <w:r w:rsidRPr="005A615E">
              <w:rPr>
                <w:rFonts w:ascii="Times New Roman" w:hAnsi="Times New Roman"/>
              </w:rPr>
              <w:t xml:space="preserve"> – </w:t>
            </w:r>
            <w:r w:rsidRPr="005A615E">
              <w:rPr>
                <w:rFonts w:ascii="Times New Roman" w:hAnsi="Times New Roman"/>
                <w:b/>
                <w:bCs/>
              </w:rPr>
              <w:t>прогнозовані</w:t>
            </w:r>
            <w:r w:rsidRPr="005A615E">
              <w:rPr>
                <w:rFonts w:ascii="Times New Roman" w:hAnsi="Times New Roman"/>
              </w:rPr>
              <w:t xml:space="preserve"> </w:t>
            </w:r>
            <w:r w:rsidRPr="005A615E">
              <w:rPr>
                <w:rFonts w:ascii="Times New Roman" w:hAnsi="Times New Roman"/>
                <w:b/>
                <w:bCs/>
              </w:rPr>
              <w:t xml:space="preserve">витрати на купівлю електричної енергії для господарських потреб на </w:t>
            </w:r>
            <w:r w:rsidRPr="005A615E">
              <w:rPr>
                <w:rFonts w:ascii="Times New Roman" w:hAnsi="Times New Roman"/>
                <w:b/>
                <w:bCs/>
                <w:lang w:eastAsia="uk-UA"/>
              </w:rPr>
              <w:t>рік t, тис. грн, що розраховується за формулою</w:t>
            </w:r>
          </w:p>
          <w:p w:rsidR="00CF2AC1" w:rsidRPr="005A615E" w:rsidRDefault="00CF2AC1" w:rsidP="00CF2AC1">
            <w:pPr>
              <w:shd w:val="clear" w:color="auto" w:fill="FFFFFF"/>
              <w:jc w:val="both"/>
              <w:rPr>
                <w:rFonts w:ascii="Times New Roman" w:hAnsi="Times New Roman"/>
                <w:sz w:val="12"/>
                <w:szCs w:val="12"/>
                <w:lang w:eastAsia="uk-UA"/>
              </w:rPr>
            </w:pPr>
          </w:p>
          <w:p w:rsidR="00CF2AC1" w:rsidRPr="005A615E" w:rsidRDefault="000D13C5" w:rsidP="00CF2AC1">
            <w:pPr>
              <w:shd w:val="clear" w:color="auto" w:fill="FFFFFF"/>
              <w:jc w:val="both"/>
              <w:rPr>
                <w:rFonts w:ascii="Times New Roman" w:hAnsi="Times New Roman"/>
              </w:rPr>
            </w:pPr>
            <m:oMath>
              <m:sSubSup>
                <m:sSubSupPr>
                  <m:ctrlPr>
                    <w:rPr>
                      <w:rFonts w:ascii="Cambria Math" w:hAnsi="Cambria Math"/>
                      <w:i/>
                    </w:rPr>
                  </m:ctrlPr>
                </m:sSubSupPr>
                <m:e>
                  <m:r>
                    <w:rPr>
                      <w:rFonts w:ascii="Cambria Math" w:hAnsi="Cambria Math"/>
                    </w:rPr>
                    <m:t>ГП</m:t>
                  </m:r>
                </m:e>
                <m:sub>
                  <m:r>
                    <w:rPr>
                      <w:rFonts w:ascii="Cambria Math" w:hAnsi="Cambria Math"/>
                    </w:rPr>
                    <m:t>t</m:t>
                  </m:r>
                </m:sub>
                <m:sup>
                  <m:r>
                    <w:rPr>
                      <w:rFonts w:ascii="Cambria Math" w:hAnsi="Cambria Math"/>
                    </w:rPr>
                    <m:t>п</m:t>
                  </m:r>
                </m:sup>
              </m:sSubSup>
              <m:r>
                <w:rPr>
                  <w:rFonts w:ascii="Cambria Math" w:hAnsi="Cambria Math"/>
                </w:rPr>
                <m:t>=О</m:t>
              </m:r>
              <m:sSubSup>
                <m:sSubSupPr>
                  <m:ctrlPr>
                    <w:rPr>
                      <w:rFonts w:ascii="Cambria Math" w:hAnsi="Cambria Math"/>
                      <w:i/>
                    </w:rPr>
                  </m:ctrlPr>
                </m:sSubSupPr>
                <m:e>
                  <m:r>
                    <w:rPr>
                      <w:rFonts w:ascii="Cambria Math" w:hAnsi="Cambria Math"/>
                    </w:rPr>
                    <m:t>ГП</m:t>
                  </m:r>
                </m:e>
                <m:sub>
                  <m:r>
                    <w:rPr>
                      <w:rFonts w:ascii="Cambria Math" w:hAnsi="Cambria Math"/>
                    </w:rPr>
                    <m:t>t</m:t>
                  </m:r>
                </m:sub>
                <m:sup>
                  <m:r>
                    <w:rPr>
                      <w:rFonts w:ascii="Cambria Math" w:hAnsi="Cambria Math"/>
                    </w:rPr>
                    <m:t>п</m:t>
                  </m:r>
                </m:sup>
              </m:sSubSup>
              <m:sSubSup>
                <m:sSubSupPr>
                  <m:ctrlPr>
                    <w:rPr>
                      <w:rFonts w:ascii="Cambria Math" w:hAnsi="Cambria Math"/>
                      <w:i/>
                    </w:rPr>
                  </m:ctrlPr>
                </m:sSubSupPr>
                <m:e>
                  <m:r>
                    <w:rPr>
                      <w:rFonts w:ascii="Cambria Math" w:hAnsi="Cambria Math"/>
                    </w:rPr>
                    <m:t xml:space="preserve"> х ЦГП</m:t>
                  </m:r>
                </m:e>
                <m:sub>
                  <m:r>
                    <w:rPr>
                      <w:rFonts w:ascii="Cambria Math" w:hAnsi="Cambria Math"/>
                    </w:rPr>
                    <m:t>t</m:t>
                  </m:r>
                </m:sub>
                <m:sup>
                  <m:r>
                    <w:rPr>
                      <w:rFonts w:ascii="Cambria Math" w:hAnsi="Cambria Math"/>
                    </w:rPr>
                    <m:t>п</m:t>
                  </m:r>
                </m:sup>
              </m:sSubSup>
            </m:oMath>
            <w:r w:rsidR="00CF2AC1" w:rsidRPr="005A615E">
              <w:rPr>
                <w:rFonts w:ascii="Times New Roman" w:hAnsi="Times New Roman"/>
              </w:rPr>
              <w:t>, тис. грн,</w:t>
            </w:r>
          </w:p>
          <w:p w:rsidR="00CF2AC1" w:rsidRPr="005A615E" w:rsidRDefault="00CF2AC1" w:rsidP="00CF2AC1">
            <w:pPr>
              <w:shd w:val="clear" w:color="auto" w:fill="FFFFFF"/>
              <w:jc w:val="both"/>
              <w:rPr>
                <w:rFonts w:ascii="Times New Roman" w:hAnsi="Times New Roman"/>
                <w:sz w:val="12"/>
                <w:szCs w:val="12"/>
              </w:rPr>
            </w:pP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rPr>
              <w:t xml:space="preserve">де  </w:t>
            </w:r>
            <m:oMath>
              <m:r>
                <w:rPr>
                  <w:rFonts w:ascii="Cambria Math" w:hAnsi="Cambria Math"/>
                </w:rPr>
                <m:t>О</m:t>
              </m:r>
              <m:sSubSup>
                <m:sSubSupPr>
                  <m:ctrlPr>
                    <w:rPr>
                      <w:rFonts w:ascii="Cambria Math" w:hAnsi="Cambria Math"/>
                      <w:i/>
                    </w:rPr>
                  </m:ctrlPr>
                </m:sSubSupPr>
                <m:e>
                  <m:r>
                    <w:rPr>
                      <w:rFonts w:ascii="Cambria Math" w:hAnsi="Cambria Math"/>
                    </w:rPr>
                    <m:t>ГП</m:t>
                  </m:r>
                </m:e>
                <m:sub>
                  <m:r>
                    <w:rPr>
                      <w:rFonts w:ascii="Cambria Math" w:hAnsi="Cambria Math"/>
                    </w:rPr>
                    <m:t>t</m:t>
                  </m:r>
                </m:sub>
                <m:sup>
                  <m:r>
                    <w:rPr>
                      <w:rFonts w:ascii="Cambria Math" w:hAnsi="Cambria Math"/>
                    </w:rPr>
                    <m:t>п</m:t>
                  </m:r>
                </m:sup>
              </m:sSubSup>
            </m:oMath>
            <w:r w:rsidRPr="005A615E">
              <w:rPr>
                <w:rFonts w:ascii="Times New Roman" w:hAnsi="Times New Roman"/>
              </w:rPr>
              <w:t xml:space="preserve"> - прогнозований обсяг господарських потреб на </w:t>
            </w:r>
            <w:r w:rsidRPr="005A615E">
              <w:rPr>
                <w:rFonts w:ascii="Times New Roman" w:hAnsi="Times New Roman"/>
                <w:lang w:eastAsia="uk-UA"/>
              </w:rPr>
              <w:t>рік </w:t>
            </w:r>
            <w:r w:rsidRPr="005A615E">
              <w:rPr>
                <w:rFonts w:ascii="Times New Roman" w:hAnsi="Times New Roman"/>
                <w:i/>
                <w:iCs/>
                <w:lang w:eastAsia="uk-UA"/>
              </w:rPr>
              <w:t>t</w:t>
            </w:r>
            <w:r w:rsidRPr="005A615E">
              <w:rPr>
                <w:rFonts w:ascii="Times New Roman" w:hAnsi="Times New Roman"/>
                <w:lang w:eastAsia="uk-UA"/>
              </w:rPr>
              <w:t>, МВт. год;</w:t>
            </w:r>
          </w:p>
          <w:p w:rsidR="00CF2AC1" w:rsidRPr="005A615E" w:rsidRDefault="000D13C5" w:rsidP="00CF2AC1">
            <w:pPr>
              <w:jc w:val="both"/>
              <w:rPr>
                <w:rFonts w:ascii="Times New Roman" w:hAnsi="Times New Roman"/>
                <w:b/>
                <w:bCs/>
              </w:rPr>
            </w:pPr>
            <m:oMath>
              <m:sSubSup>
                <m:sSubSupPr>
                  <m:ctrlPr>
                    <w:rPr>
                      <w:rFonts w:ascii="Cambria Math" w:hAnsi="Cambria Math"/>
                      <w:i/>
                    </w:rPr>
                  </m:ctrlPr>
                </m:sSubSupPr>
                <m:e>
                  <m:r>
                    <w:rPr>
                      <w:rFonts w:ascii="Cambria Math" w:hAnsi="Cambria Math"/>
                    </w:rPr>
                    <m:t>ЦГП</m:t>
                  </m:r>
                </m:e>
                <m:sub>
                  <m:r>
                    <w:rPr>
                      <w:rFonts w:ascii="Cambria Math" w:hAnsi="Cambria Math"/>
                    </w:rPr>
                    <m:t>t</m:t>
                  </m:r>
                </m:sub>
                <m:sup>
                  <m:r>
                    <w:rPr>
                      <w:rFonts w:ascii="Cambria Math" w:hAnsi="Cambria Math"/>
                    </w:rPr>
                    <m:t>п</m:t>
                  </m:r>
                </m:sup>
              </m:sSubSup>
            </m:oMath>
            <w:r w:rsidR="00CF2AC1" w:rsidRPr="005A615E">
              <w:rPr>
                <w:rFonts w:ascii="Times New Roman" w:hAnsi="Times New Roman"/>
              </w:rPr>
              <w:t xml:space="preserve"> - </w:t>
            </w:r>
            <w:r w:rsidR="00CF2AC1" w:rsidRPr="005A615E">
              <w:rPr>
                <w:rFonts w:ascii="Times New Roman" w:hAnsi="Times New Roman"/>
                <w:b/>
                <w:bCs/>
              </w:rPr>
              <w:t xml:space="preserve">прогнозована ціна РДН, збільшена на надбавку постачальників універсальних послуг на рік </w:t>
            </w:r>
            <w:r w:rsidR="00CF2AC1" w:rsidRPr="005A615E">
              <w:rPr>
                <w:rFonts w:ascii="Times New Roman" w:hAnsi="Times New Roman"/>
                <w:b/>
                <w:bCs/>
                <w:i/>
                <w:iCs/>
                <w:lang w:eastAsia="uk-UA"/>
              </w:rPr>
              <w:t xml:space="preserve"> t</w:t>
            </w:r>
            <w:r w:rsidR="00CF2AC1" w:rsidRPr="005A615E">
              <w:rPr>
                <w:rFonts w:ascii="Times New Roman" w:hAnsi="Times New Roman"/>
                <w:b/>
                <w:bCs/>
              </w:rPr>
              <w:t>, грн/МВт. год .</w:t>
            </w:r>
          </w:p>
          <w:p w:rsidR="00CF2AC1" w:rsidRPr="005A615E" w:rsidRDefault="00CF2AC1" w:rsidP="00CF2AC1">
            <w:pPr>
              <w:ind w:firstLine="173"/>
              <w:jc w:val="both"/>
              <w:rPr>
                <w:rFonts w:ascii="Times New Roman" w:hAnsi="Times New Roman"/>
                <w:sz w:val="20"/>
                <w:szCs w:val="20"/>
              </w:rPr>
            </w:pPr>
          </w:p>
          <w:p w:rsidR="00CF2AC1" w:rsidRPr="005A615E" w:rsidRDefault="000D13C5" w:rsidP="00CF2AC1">
            <w:pPr>
              <w:pStyle w:val="tj"/>
              <w:spacing w:before="0" w:beforeAutospacing="0" w:after="0" w:afterAutospacing="0"/>
              <w:ind w:firstLine="179"/>
              <w:jc w:val="both"/>
              <w:rPr>
                <w:rStyle w:val="a9"/>
                <w:b/>
                <w:bCs/>
                <w:color w:val="auto"/>
                <w:sz w:val="22"/>
                <w:szCs w:val="22"/>
                <w:u w:val="none"/>
              </w:rPr>
            </w:pPr>
            <w:hyperlink r:id="rId184" w:tgtFrame="_blank" w:history="1">
              <w:r w:rsidR="00CF2AC1" w:rsidRPr="005A615E">
                <w:rPr>
                  <w:rStyle w:val="a9"/>
                  <w:b/>
                  <w:bCs/>
                  <w:color w:val="auto"/>
                  <w:sz w:val="22"/>
                  <w:szCs w:val="22"/>
                  <w:u w:val="none"/>
                </w:rPr>
                <w:t>Прогнозовані операційні неконтрольовані витрати з розподілу електричної енергії на рік t  для другого і наступних років другого і наступних регуляторних періодів визначаються за формулою</w:t>
              </w:r>
            </w:hyperlink>
          </w:p>
          <w:p w:rsidR="00CF2AC1" w:rsidRPr="005A615E" w:rsidRDefault="00CF2AC1" w:rsidP="00CF2AC1">
            <w:pPr>
              <w:pStyle w:val="tj"/>
              <w:spacing w:before="0" w:beforeAutospacing="0" w:after="0" w:afterAutospacing="0"/>
              <w:ind w:firstLine="179"/>
              <w:jc w:val="both"/>
              <w:rPr>
                <w:rStyle w:val="a9"/>
                <w:b/>
                <w:bCs/>
                <w:color w:val="auto"/>
                <w:sz w:val="22"/>
                <w:szCs w:val="22"/>
                <w:u w:val="none"/>
              </w:rPr>
            </w:pPr>
          </w:p>
          <w:p w:rsidR="00CF2AC1" w:rsidRPr="005A615E" w:rsidRDefault="000D13C5" w:rsidP="00CF2AC1">
            <w:pPr>
              <w:pStyle w:val="tj"/>
              <w:spacing w:before="0" w:beforeAutospacing="0" w:after="0" w:afterAutospacing="0"/>
              <w:ind w:firstLine="179"/>
              <w:jc w:val="both"/>
              <w:rPr>
                <w:b/>
                <w:bCs/>
                <w:sz w:val="18"/>
                <w:szCs w:val="18"/>
              </w:rPr>
            </w:pPr>
            <m:oMath>
              <m:sSubSup>
                <m:sSubSupPr>
                  <m:ctrlPr>
                    <w:rPr>
                      <w:rFonts w:ascii="Cambria Math" w:hAnsi="Cambria Math"/>
                      <w:b/>
                      <w:bCs/>
                      <w:i/>
                      <w:sz w:val="18"/>
                      <w:szCs w:val="18"/>
                    </w:rPr>
                  </m:ctrlPr>
                </m:sSubSupPr>
                <m:e>
                  <m:r>
                    <m:rPr>
                      <m:sty m:val="bi"/>
                    </m:rPr>
                    <w:rPr>
                      <w:rFonts w:ascii="Cambria Math" w:hAnsi="Cambria Math"/>
                      <w:sz w:val="18"/>
                      <w:szCs w:val="18"/>
                    </w:rPr>
                    <m:t>ОНВ</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ОНВ</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ПСП</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ПД</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ПОР</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ЕГП</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ВП</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ВР</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СМВ</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ФОП</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r>
                <m:rPr>
                  <m:sty m:val="bi"/>
                </m:rPr>
                <w:rPr>
                  <w:rFonts w:ascii="Cambria Math" w:hAnsi="Cambria Math"/>
                  <w:sz w:val="18"/>
                  <w:szCs w:val="18"/>
                </w:rPr>
                <m:t xml:space="preserve"> х</m:t>
              </m:r>
              <m:sSubSup>
                <m:sSubSupPr>
                  <m:ctrlPr>
                    <w:rPr>
                      <w:rFonts w:ascii="Cambria Math" w:hAnsi="Cambria Math"/>
                      <w:b/>
                      <w:bCs/>
                      <w:i/>
                      <w:sz w:val="18"/>
                      <w:szCs w:val="18"/>
                    </w:rPr>
                  </m:ctrlPr>
                </m:sSubSupPr>
                <m:e>
                  <m:r>
                    <m:rPr>
                      <m:sty m:val="bi"/>
                    </m:rPr>
                    <w:rPr>
                      <w:rFonts w:ascii="Cambria Math" w:hAnsi="Cambria Math"/>
                      <w:sz w:val="18"/>
                      <w:szCs w:val="18"/>
                    </w:rPr>
                    <m:t xml:space="preserve"> Н</m:t>
                  </m:r>
                </m:e>
                <m:sub>
                  <m:r>
                    <m:rPr>
                      <m:sty m:val="bi"/>
                    </m:rPr>
                    <w:rPr>
                      <w:rFonts w:ascii="Cambria Math" w:hAnsi="Cambria Math"/>
                      <w:sz w:val="18"/>
                      <w:szCs w:val="18"/>
                    </w:rPr>
                    <m:t>t-1</m:t>
                  </m:r>
                </m:sub>
                <m:sup>
                  <m:r>
                    <m:rPr>
                      <m:sty m:val="bi"/>
                    </m:rPr>
                    <w:rPr>
                      <w:rFonts w:ascii="Cambria Math" w:hAnsi="Cambria Math"/>
                      <w:sz w:val="18"/>
                      <w:szCs w:val="18"/>
                    </w:rPr>
                    <m:t>фоп</m:t>
                  </m:r>
                </m:sup>
              </m:sSubSup>
            </m:oMath>
            <w:r w:rsidR="00CF2AC1" w:rsidRPr="005A615E">
              <w:rPr>
                <w:b/>
                <w:bCs/>
                <w:sz w:val="18"/>
                <w:szCs w:val="18"/>
              </w:rPr>
              <w:t>)</w:t>
            </w:r>
            <m:oMath>
              <m:r>
                <m:rPr>
                  <m:sty m:val="bi"/>
                </m:rPr>
                <w:rPr>
                  <w:rFonts w:ascii="Cambria Math" w:hAnsi="Cambria Math"/>
                  <w:sz w:val="18"/>
                  <w:szCs w:val="18"/>
                </w:rPr>
                <m:t xml:space="preserve">  х </m:t>
              </m:r>
              <m:f>
                <m:fPr>
                  <m:ctrlPr>
                    <w:rPr>
                      <w:rFonts w:ascii="Cambria Math" w:hAnsi="Cambria Math"/>
                      <w:b/>
                      <w:bCs/>
                      <w:i/>
                      <w:sz w:val="18"/>
                      <w:szCs w:val="18"/>
                    </w:rPr>
                  </m:ctrlPr>
                </m:fPr>
                <m:num>
                  <m:sSubSup>
                    <m:sSubSupPr>
                      <m:ctrlPr>
                        <w:rPr>
                          <w:rFonts w:ascii="Cambria Math" w:hAnsi="Cambria Math"/>
                          <w:b/>
                          <w:bCs/>
                          <w:i/>
                          <w:sz w:val="18"/>
                          <w:szCs w:val="18"/>
                        </w:rPr>
                      </m:ctrlPr>
                    </m:sSubSupPr>
                    <m:e>
                      <m:r>
                        <m:rPr>
                          <m:sty m:val="bi"/>
                        </m:rPr>
                        <w:rPr>
                          <w:rFonts w:ascii="Cambria Math" w:hAnsi="Cambria Math"/>
                          <w:sz w:val="18"/>
                          <w:szCs w:val="18"/>
                        </w:rPr>
                        <m:t>ІСЦ</m:t>
                      </m:r>
                    </m:e>
                    <m:sub>
                      <m:r>
                        <m:rPr>
                          <m:sty m:val="bi"/>
                        </m:rPr>
                        <w:rPr>
                          <w:rFonts w:ascii="Cambria Math" w:hAnsi="Cambria Math"/>
                          <w:sz w:val="18"/>
                          <w:szCs w:val="18"/>
                        </w:rPr>
                        <m:t>t-1</m:t>
                      </m:r>
                    </m:sub>
                    <m:sup>
                      <m:r>
                        <m:rPr>
                          <m:sty m:val="bi"/>
                        </m:rPr>
                        <w:rPr>
                          <w:rFonts w:ascii="Cambria Math" w:hAnsi="Cambria Math"/>
                          <w:sz w:val="18"/>
                          <w:szCs w:val="18"/>
                          <w:lang w:val="en-US"/>
                        </w:rPr>
                        <m:t>n</m:t>
                      </m:r>
                    </m:sup>
                  </m:sSubSup>
                </m:num>
                <m:den>
                  <m:r>
                    <m:rPr>
                      <m:sty m:val="bi"/>
                    </m:rPr>
                    <w:rPr>
                      <w:rFonts w:ascii="Cambria Math" w:hAnsi="Cambria Math"/>
                      <w:sz w:val="18"/>
                      <w:szCs w:val="18"/>
                    </w:rPr>
                    <m:t>100</m:t>
                  </m:r>
                </m:den>
              </m:f>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ФОП</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х</m:t>
              </m:r>
              <m:sSubSup>
                <m:sSubSupPr>
                  <m:ctrlPr>
                    <w:rPr>
                      <w:rFonts w:ascii="Cambria Math" w:hAnsi="Cambria Math"/>
                      <w:b/>
                      <w:bCs/>
                      <w:i/>
                      <w:sz w:val="18"/>
                      <w:szCs w:val="18"/>
                    </w:rPr>
                  </m:ctrlPr>
                </m:sSubSupPr>
                <m:e>
                  <m:r>
                    <m:rPr>
                      <m:sty m:val="bi"/>
                    </m:rPr>
                    <w:rPr>
                      <w:rFonts w:ascii="Cambria Math" w:hAnsi="Cambria Math"/>
                      <w:sz w:val="18"/>
                      <w:szCs w:val="18"/>
                    </w:rPr>
                    <m:t xml:space="preserve"> Н</m:t>
                  </m:r>
                </m:e>
                <m:sub>
                  <m:r>
                    <m:rPr>
                      <m:sty m:val="bi"/>
                    </m:rPr>
                    <w:rPr>
                      <w:rFonts w:ascii="Cambria Math" w:hAnsi="Cambria Math"/>
                      <w:sz w:val="18"/>
                      <w:szCs w:val="18"/>
                    </w:rPr>
                    <m:t>t</m:t>
                  </m:r>
                </m:sub>
                <m:sup>
                  <m:r>
                    <m:rPr>
                      <m:sty m:val="bi"/>
                    </m:rPr>
                    <w:rPr>
                      <w:rFonts w:ascii="Cambria Math" w:hAnsi="Cambria Math"/>
                      <w:sz w:val="18"/>
                      <w:szCs w:val="18"/>
                    </w:rPr>
                    <m:t>фоп</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ПСП</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ПД</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ПОР</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ЕГП</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ВП</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ВР</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r>
                <m:rPr>
                  <m:sty m:val="bi"/>
                </m:rPr>
                <w:rPr>
                  <w:rFonts w:ascii="Cambria Math" w:hAnsi="Cambria Math"/>
                  <w:sz w:val="18"/>
                  <w:szCs w:val="18"/>
                </w:rPr>
                <m:t>+</m:t>
              </m:r>
              <m:sSubSup>
                <m:sSubSupPr>
                  <m:ctrlPr>
                    <w:rPr>
                      <w:rFonts w:ascii="Cambria Math" w:hAnsi="Cambria Math"/>
                      <w:b/>
                      <w:bCs/>
                      <w:i/>
                      <w:sz w:val="18"/>
                      <w:szCs w:val="18"/>
                    </w:rPr>
                  </m:ctrlPr>
                </m:sSubSupPr>
                <m:e>
                  <m:r>
                    <m:rPr>
                      <m:sty m:val="bi"/>
                    </m:rPr>
                    <w:rPr>
                      <w:rFonts w:ascii="Cambria Math" w:hAnsi="Cambria Math"/>
                      <w:sz w:val="18"/>
                      <w:szCs w:val="18"/>
                    </w:rPr>
                    <m:t>СМВ</m:t>
                  </m:r>
                </m:e>
                <m:sub>
                  <m:r>
                    <m:rPr>
                      <m:sty m:val="bi"/>
                    </m:rPr>
                    <w:rPr>
                      <w:rFonts w:ascii="Cambria Math" w:hAnsi="Cambria Math"/>
                      <w:sz w:val="18"/>
                      <w:szCs w:val="18"/>
                    </w:rPr>
                    <m:t>t</m:t>
                  </m:r>
                </m:sub>
                <m:sup>
                  <m:r>
                    <m:rPr>
                      <m:sty m:val="bi"/>
                    </m:rPr>
                    <w:rPr>
                      <w:rFonts w:ascii="Cambria Math" w:hAnsi="Cambria Math"/>
                      <w:sz w:val="18"/>
                      <w:szCs w:val="18"/>
                      <w:lang w:val="en-US"/>
                    </w:rPr>
                    <m:t>n</m:t>
                  </m:r>
                </m:sup>
              </m:sSubSup>
            </m:oMath>
            <w:r w:rsidR="00CF2AC1" w:rsidRPr="005A615E">
              <w:rPr>
                <w:b/>
                <w:bCs/>
                <w:sz w:val="18"/>
                <w:szCs w:val="18"/>
              </w:rPr>
              <w:t xml:space="preserve"> , тис. грн</w:t>
            </w:r>
          </w:p>
          <w:p w:rsidR="00CF2AC1" w:rsidRPr="005A615E" w:rsidRDefault="00CF2AC1" w:rsidP="00CF2AC1">
            <w:pPr>
              <w:pStyle w:val="tj"/>
              <w:spacing w:before="0" w:beforeAutospacing="0" w:after="0" w:afterAutospacing="0"/>
              <w:ind w:firstLine="179"/>
              <w:jc w:val="both"/>
              <w:rPr>
                <w:sz w:val="16"/>
                <w:szCs w:val="16"/>
              </w:rPr>
            </w:pPr>
          </w:p>
          <w:p w:rsidR="00CF2AC1" w:rsidRPr="005A615E" w:rsidRDefault="00CF2AC1" w:rsidP="00CF2AC1">
            <w:pPr>
              <w:pStyle w:val="tj"/>
              <w:spacing w:before="0" w:beforeAutospacing="0" w:after="0" w:afterAutospacing="0"/>
              <w:ind w:firstLine="179"/>
              <w:jc w:val="both"/>
              <w:rPr>
                <w:b/>
                <w:bCs/>
                <w:sz w:val="18"/>
                <w:szCs w:val="18"/>
              </w:rPr>
            </w:pPr>
            <w:r w:rsidRPr="005A615E">
              <w:rPr>
                <w:sz w:val="22"/>
                <w:szCs w:val="22"/>
              </w:rPr>
              <w:t xml:space="preserve">де, </w:t>
            </w:r>
            <w:r w:rsidRPr="005A615E">
              <w:rPr>
                <w:sz w:val="22"/>
                <w:szCs w:val="22"/>
              </w:rPr>
              <w:fldChar w:fldCharType="begin"/>
            </w:r>
            <w:r w:rsidRPr="005A615E">
              <w:rPr>
                <w:sz w:val="22"/>
                <w:szCs w:val="22"/>
              </w:rPr>
              <w:instrText xml:space="preserve"> QUOTE </w:instrText>
            </w:r>
            <m:oMath>
              <m:sSubSup>
                <m:sSubSupPr>
                  <m:ctrlPr>
                    <w:rPr>
                      <w:rFonts w:ascii="Cambria Math" w:hAnsi="Cambria Math"/>
                      <w:sz w:val="22"/>
                      <w:szCs w:val="22"/>
                    </w:rPr>
                  </m:ctrlPr>
                </m:sSubSupPr>
                <m:e>
                  <m:r>
                    <m:rPr>
                      <m:sty m:val="p"/>
                    </m:rPr>
                    <w:rPr>
                      <w:rFonts w:ascii="Cambria Math" w:hAnsi="Cambria Math"/>
                      <w:sz w:val="22"/>
                      <w:szCs w:val="22"/>
                    </w:rPr>
                    <m:t>ЕГП</m:t>
                  </m:r>
                </m:e>
                <m:sub>
                  <m:r>
                    <m:rPr>
                      <m:sty m:val="p"/>
                    </m:rPr>
                    <w:rPr>
                      <w:rFonts w:ascii="Cambria Math" w:hAnsi="Cambria Math"/>
                      <w:sz w:val="22"/>
                      <w:szCs w:val="22"/>
                    </w:rPr>
                    <m:t>t-1</m:t>
                  </m:r>
                </m:sub>
                <m:sup>
                  <m:r>
                    <m:rPr>
                      <m:sty m:val="p"/>
                    </m:rPr>
                    <w:rPr>
                      <w:rFonts w:ascii="Cambria Math" w:hAnsi="Cambria Math"/>
                      <w:sz w:val="22"/>
                      <w:szCs w:val="22"/>
                    </w:rPr>
                    <m:t>n</m:t>
                  </m:r>
                </m:sup>
              </m:sSubSup>
            </m:oMath>
            <w:r w:rsidRPr="005A615E">
              <w:rPr>
                <w:sz w:val="22"/>
                <w:szCs w:val="22"/>
              </w:rPr>
              <w:instrText xml:space="preserve"> </w:instrText>
            </w:r>
            <w:r w:rsidRPr="005A615E">
              <w:rPr>
                <w:sz w:val="22"/>
                <w:szCs w:val="22"/>
              </w:rPr>
              <w:fldChar w:fldCharType="separate"/>
            </w:r>
            <m:oMath>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ЕГП</m:t>
                  </m:r>
                </m:e>
                <m:sub>
                  <m:r>
                    <m:rPr>
                      <m:sty m:val="p"/>
                    </m:rPr>
                    <w:rPr>
                      <w:rFonts w:ascii="Cambria Math" w:hAnsi="Cambria Math"/>
                      <w:sz w:val="22"/>
                      <w:szCs w:val="22"/>
                    </w:rPr>
                    <m:t>t-1</m:t>
                  </m:r>
                </m:sub>
                <m:sup>
                  <m:r>
                    <m:rPr>
                      <m:sty m:val="p"/>
                    </m:rPr>
                    <w:rPr>
                      <w:rFonts w:ascii="Cambria Math" w:hAnsi="Cambria Math"/>
                      <w:sz w:val="22"/>
                      <w:szCs w:val="22"/>
                    </w:rPr>
                    <m:t>n</m:t>
                  </m:r>
                </m:sup>
              </m:sSubSup>
            </m:oMath>
            <w:r w:rsidRPr="005A615E">
              <w:rPr>
                <w:sz w:val="22"/>
                <w:szCs w:val="22"/>
              </w:rPr>
              <w:fldChar w:fldCharType="end"/>
            </w:r>
            <w:r w:rsidRPr="005A615E">
              <w:rPr>
                <w:sz w:val="22"/>
                <w:szCs w:val="22"/>
              </w:rPr>
              <w:t xml:space="preserve"> - </w:t>
            </w:r>
            <w:r w:rsidRPr="005A615E">
              <w:rPr>
                <w:b/>
                <w:bCs/>
                <w:sz w:val="22"/>
                <w:szCs w:val="22"/>
              </w:rPr>
              <w:t>витрати на купівлю електричної енергії для господарських потреб, ураховані в тарифах на послуги з розподілу електричної енергії в році t</w:t>
            </w:r>
            <w:r w:rsidRPr="005A615E">
              <w:rPr>
                <w:b/>
                <w:bCs/>
                <w:sz w:val="18"/>
                <w:szCs w:val="18"/>
              </w:rPr>
              <w:t>-1, тис. грн.</w:t>
            </w:r>
          </w:p>
          <w:p w:rsidR="00CF2AC1" w:rsidRPr="005A615E" w:rsidRDefault="00CF2AC1" w:rsidP="00CF2AC1">
            <w:pPr>
              <w:jc w:val="both"/>
              <w:rPr>
                <w:rFonts w:ascii="Times New Roman" w:hAnsi="Times New Roman"/>
                <w:b/>
                <w:sz w:val="24"/>
              </w:rPr>
            </w:pPr>
          </w:p>
          <w:p w:rsidR="00CF2AC1" w:rsidRPr="005A615E" w:rsidRDefault="00CF2AC1" w:rsidP="00CF2AC1">
            <w:pPr>
              <w:rPr>
                <w:rFonts w:ascii="Times New Roman" w:hAnsi="Times New Roman"/>
                <w:szCs w:val="28"/>
                <w:u w:val="single"/>
              </w:rPr>
            </w:pPr>
            <w:r w:rsidRPr="005A615E">
              <w:rPr>
                <w:rFonts w:ascii="Times New Roman" w:hAnsi="Times New Roman"/>
                <w:b/>
                <w:i/>
                <w:u w:val="single"/>
              </w:rPr>
              <w:t>Обгрунтування</w:t>
            </w:r>
          </w:p>
          <w:p w:rsidR="00CF2AC1" w:rsidRPr="005A615E" w:rsidRDefault="00CF2AC1" w:rsidP="00CF2AC1">
            <w:pPr>
              <w:pStyle w:val="3"/>
              <w:spacing w:before="0" w:after="0"/>
              <w:ind w:firstLine="318"/>
              <w:jc w:val="both"/>
              <w:outlineLvl w:val="2"/>
              <w:rPr>
                <w:rFonts w:ascii="Times New Roman" w:hAnsi="Times New Roman"/>
                <w:b w:val="0"/>
                <w:sz w:val="22"/>
                <w:szCs w:val="24"/>
              </w:rPr>
            </w:pPr>
            <w:r w:rsidRPr="005A615E">
              <w:rPr>
                <w:rFonts w:ascii="Times New Roman" w:hAnsi="Times New Roman"/>
                <w:b w:val="0"/>
                <w:sz w:val="22"/>
                <w:szCs w:val="24"/>
              </w:rPr>
              <w:t xml:space="preserve">Пропонуємо виокремити витрати на електричну енергію для господарських потреб із ОКВ в ОНВ, так як ціна на закупівлю ГП формується ринковими відносинами та має безпосередній і значний вплив при визначенні вартості даних витрат. ІЦВ, який враховується при визначенні витрат на ГП, не покриває навіть половини фактичної вартості ГП. Так за 2025 рік перевитрати по ГП склали 22 064 тис. грн, а за 6 місяців 2026 року перевитрати вже складають 20 956 тис. грн. </w:t>
            </w:r>
          </w:p>
          <w:p w:rsidR="00CF2AC1" w:rsidRPr="005A615E" w:rsidRDefault="00CF2AC1" w:rsidP="00CF2AC1">
            <w:pPr>
              <w:pStyle w:val="3"/>
              <w:spacing w:before="0" w:after="0"/>
              <w:ind w:firstLine="318"/>
              <w:jc w:val="both"/>
              <w:outlineLvl w:val="2"/>
              <w:rPr>
                <w:rFonts w:ascii="Times New Roman" w:hAnsi="Times New Roman"/>
                <w:b w:val="0"/>
                <w:sz w:val="22"/>
                <w:szCs w:val="24"/>
              </w:rPr>
            </w:pPr>
            <w:r w:rsidRPr="005A615E">
              <w:rPr>
                <w:rFonts w:ascii="Times New Roman" w:hAnsi="Times New Roman"/>
                <w:b w:val="0"/>
                <w:sz w:val="22"/>
                <w:szCs w:val="24"/>
              </w:rPr>
              <w:t>ОСР неодноразово зверталися з пропозицією щодо винесення витрат на ГП із складу ОКВ, на що представники НКРЕКП, під час відкритих обговорень, запевнили, що дане питання буде розглянуто при підготовці НПА на другий регуляторний період.</w:t>
            </w:r>
          </w:p>
          <w:p w:rsidR="00CF2AC1" w:rsidRPr="005A615E" w:rsidRDefault="00CF2AC1" w:rsidP="00CF2AC1">
            <w:pPr>
              <w:rPr>
                <w:lang w:eastAsia="ru-RU"/>
              </w:rPr>
            </w:pPr>
          </w:p>
          <w:p w:rsidR="00CF2AC1" w:rsidRPr="005A615E" w:rsidRDefault="00CF2AC1" w:rsidP="00CF2AC1">
            <w:pPr>
              <w:rPr>
                <w:rFonts w:ascii="Times New Roman" w:hAnsi="Times New Roman"/>
                <w:b/>
                <w:sz w:val="24"/>
                <w:u w:val="single"/>
              </w:rPr>
            </w:pPr>
            <w:r w:rsidRPr="005A615E">
              <w:rPr>
                <w:rFonts w:ascii="Times New Roman" w:hAnsi="Times New Roman"/>
                <w:b/>
                <w:sz w:val="24"/>
                <w:u w:val="single"/>
              </w:rPr>
              <w:t>АТ «ДТЕК Одеські електромережі» (лист від 27.07.2026 № 101/04/03-9473)</w:t>
            </w:r>
          </w:p>
          <w:p w:rsidR="00CF2AC1" w:rsidRPr="005A615E" w:rsidRDefault="000D13C5" w:rsidP="00CF2AC1">
            <w:pPr>
              <w:pStyle w:val="tj"/>
              <w:spacing w:before="0" w:beforeAutospacing="0" w:after="0" w:afterAutospacing="0"/>
              <w:jc w:val="both"/>
              <w:rPr>
                <w:sz w:val="22"/>
                <w:szCs w:val="22"/>
              </w:rPr>
            </w:pPr>
            <w:hyperlink r:id="rId185" w:tgtFrame="_blank" w:history="1">
              <w:r w:rsidR="00CF2AC1" w:rsidRPr="005A615E">
                <w:rPr>
                  <w:rStyle w:val="a9"/>
                  <w:color w:val="auto"/>
                  <w:sz w:val="22"/>
                  <w:szCs w:val="22"/>
                  <w:u w:val="none"/>
                </w:rPr>
                <w:t>5.9. Прогнозовані операційні неконтрольовані витрати з розподілу електричної енергії на рік t  для першого року другого регуляторного періоду визначаються за формулою</w:t>
              </w:r>
            </w:hyperlink>
          </w:p>
          <w:p w:rsidR="00CF2AC1" w:rsidRPr="005A615E" w:rsidRDefault="00CF2AC1" w:rsidP="00CF2AC1">
            <w:pPr>
              <w:jc w:val="both"/>
              <w:rPr>
                <w:rFonts w:ascii="Times New Roman" w:hAnsi="Times New Roman"/>
                <w:b/>
                <w:lang w:eastAsia="uk-UA"/>
              </w:rPr>
            </w:pPr>
            <w:r w:rsidRPr="005A615E">
              <w:rPr>
                <w:rFonts w:ascii="Times New Roman" w:hAnsi="Times New Roman"/>
                <w:b/>
                <w:lang w:eastAsia="uk-UA"/>
              </w:rPr>
              <w:t>…</w:t>
            </w:r>
          </w:p>
          <w:p w:rsidR="00CF2AC1" w:rsidRPr="005A615E" w:rsidRDefault="000D13C5" w:rsidP="00CF2AC1">
            <w:pPr>
              <w:jc w:val="both"/>
              <w:rPr>
                <w:rFonts w:ascii="Times New Roman" w:hAnsi="Times New Roman"/>
                <w:bCs/>
                <w:lang w:eastAsia="uk-UA"/>
              </w:rPr>
            </w:pPr>
            <m:oMath>
              <m:sSubSup>
                <m:sSubSupPr>
                  <m:ctrlPr>
                    <w:rPr>
                      <w:rFonts w:ascii="Cambria Math" w:hAnsi="Cambria Math"/>
                      <w:b/>
                      <w:i/>
                      <w:sz w:val="24"/>
                      <w:szCs w:val="24"/>
                    </w:rPr>
                  </m:ctrlPr>
                </m:sSubSupPr>
                <m:e>
                  <m:r>
                    <m:rPr>
                      <m:sty m:val="bi"/>
                    </m:rPr>
                    <w:rPr>
                      <w:rFonts w:ascii="Cambria Math" w:hAnsi="Cambria Math"/>
                      <w:lang w:eastAsia="uk-UA"/>
                    </w:rPr>
                    <m:t>ПОР_УЕБ</m:t>
                  </m:r>
                </m:e>
                <m:sub>
                  <m:r>
                    <m:rPr>
                      <m:sty m:val="bi"/>
                    </m:rPr>
                    <w:rPr>
                      <w:rFonts w:ascii="Cambria Math" w:hAnsi="Cambria Math"/>
                      <w:lang w:eastAsia="uk-UA"/>
                    </w:rPr>
                    <m:t>t</m:t>
                  </m:r>
                </m:sub>
                <m:sup>
                  <m:r>
                    <m:rPr>
                      <m:sty m:val="bi"/>
                    </m:rPr>
                    <w:rPr>
                      <w:rFonts w:ascii="Cambria Math" w:hAnsi="Cambria Math"/>
                      <w:lang w:val="en-US" w:eastAsia="uk-UA"/>
                    </w:rPr>
                    <m:t>n</m:t>
                  </m:r>
                </m:sup>
              </m:sSubSup>
              <m:r>
                <m:rPr>
                  <m:sty m:val="bi"/>
                </m:rPr>
                <w:rPr>
                  <w:rFonts w:ascii="Cambria Math" w:hAnsi="Cambria Math"/>
                  <w:lang w:eastAsia="uk-UA"/>
                </w:rPr>
                <m:t xml:space="preserve"> </m:t>
              </m:r>
            </m:oMath>
            <w:r w:rsidR="00CF2AC1" w:rsidRPr="005A615E">
              <w:rPr>
                <w:rFonts w:ascii="Times New Roman" w:eastAsiaTheme="minorEastAsia" w:hAnsi="Times New Roman"/>
                <w:b/>
                <w:lang w:eastAsia="uk-UA"/>
              </w:rPr>
              <w:t xml:space="preserve"> </w:t>
            </w:r>
            <w:r w:rsidR="00CF2AC1" w:rsidRPr="005A615E">
              <w:rPr>
                <w:rFonts w:ascii="Times New Roman" w:hAnsi="Times New Roman"/>
                <w:bCs/>
                <w:lang w:eastAsia="uk-UA"/>
              </w:rPr>
              <w:t xml:space="preserve">прогнозовані витрати на послуги оператора ринку (витрати на здійснення фіксованого платежу за участь на ринку "на добу наперед" та внутрішньодобовому ринку та витрати на здійснення операцій купівлі-продажу на ринку "на добу наперед" та внутрішньодобовому ринку) на рік t, що визначені з урахуванням встановленого/прогнозованого рівня фіксованого платежу за участь на ринку "на добу наперед" та внутрішньодобовому ринку та тарифу на здійснення операцій купівлі-продажу на ринку "на добу наперед" та внутрішньодобовому ринку та прогнозованих обсягів технологічних витрат електричної енергії на її розподіл на рік t </w:t>
            </w:r>
            <w:r w:rsidR="00CF2AC1" w:rsidRPr="005A615E">
              <w:rPr>
                <w:rFonts w:ascii="Times New Roman" w:hAnsi="Times New Roman"/>
                <w:b/>
                <w:lang w:eastAsia="uk-UA"/>
              </w:rPr>
              <w:t>та витрати на послуги ТОВ «Українська енергетична біржа» на рік t</w:t>
            </w:r>
            <w:r w:rsidR="00CF2AC1" w:rsidRPr="005A615E">
              <w:rPr>
                <w:rFonts w:ascii="Times New Roman" w:hAnsi="Times New Roman"/>
                <w:bCs/>
                <w:lang w:eastAsia="uk-UA"/>
              </w:rPr>
              <w:t>, тис. грн;</w:t>
            </w:r>
          </w:p>
          <w:p w:rsidR="00CF2AC1" w:rsidRPr="005A615E" w:rsidRDefault="00CF2AC1" w:rsidP="00CF2AC1">
            <w:pPr>
              <w:jc w:val="both"/>
              <w:rPr>
                <w:rFonts w:ascii="Times New Roman" w:hAnsi="Times New Roman"/>
                <w:b/>
                <w:sz w:val="24"/>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Пропонуємо у другому регуляторному періоді врахувати в складі операційних неконтрольованих витрат, витрати на послуги УЕБ, які є обов’язковими, та не були враховані в базових операційних неконтрольованих витратах першого регуляторного періоду.</w:t>
            </w:r>
          </w:p>
          <w:p w:rsidR="00CF2AC1" w:rsidRPr="005A615E" w:rsidRDefault="00CF2AC1" w:rsidP="00CF2AC1">
            <w:pPr>
              <w:jc w:val="both"/>
              <w:rPr>
                <w:rFonts w:ascii="Times New Roman" w:hAnsi="Times New Roman"/>
                <w:b/>
                <w:sz w:val="24"/>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shd w:val="clear" w:color="auto" w:fill="FFFFFF"/>
              <w:spacing w:after="150"/>
              <w:ind w:firstLine="450"/>
              <w:jc w:val="both"/>
              <w:rPr>
                <w:rFonts w:ascii="Times New Roman" w:hAnsi="Times New Roman"/>
                <w:b/>
                <w:lang w:eastAsia="ru-RU"/>
              </w:rPr>
            </w:pPr>
            <w:r w:rsidRPr="005A615E">
              <w:rPr>
                <w:rFonts w:ascii="Times New Roman" w:hAnsi="Times New Roman"/>
                <w:b/>
                <w:lang w:eastAsia="ru-RU"/>
              </w:rPr>
              <w:t>Доповнити пункт 5.9. новим абзацом та формулою:</w:t>
            </w:r>
          </w:p>
          <w:p w:rsidR="00CF2AC1" w:rsidRPr="005A615E" w:rsidRDefault="00CF2AC1" w:rsidP="00CF2AC1">
            <w:pPr>
              <w:shd w:val="clear" w:color="auto" w:fill="FFFFFF"/>
              <w:spacing w:after="150"/>
              <w:ind w:firstLine="450"/>
              <w:jc w:val="both"/>
              <w:rPr>
                <w:rFonts w:ascii="Times New Roman" w:hAnsi="Times New Roman"/>
                <w:b/>
                <w:lang w:eastAsia="uk-UA"/>
              </w:rPr>
            </w:pPr>
            <w:r w:rsidRPr="005A615E">
              <w:rPr>
                <w:rFonts w:ascii="Times New Roman" w:hAnsi="Times New Roman"/>
                <w:b/>
                <w:lang w:eastAsia="ru-RU"/>
              </w:rPr>
              <w:t xml:space="preserve">«Починаючи з першого року другого регуляторного періоду, до складу прогнозованих операційних неконтрольованих витрат з розподілу електричної енергії на рік t включається </w:t>
            </w:r>
            <w:r w:rsidRPr="005A615E">
              <w:rPr>
                <w:rFonts w:ascii="Times New Roman" w:hAnsi="Times New Roman"/>
                <w:b/>
                <w:lang w:eastAsia="uk-UA"/>
              </w:rPr>
              <w:t>прогнозовані витрати на придбання електричної енергії для  господарських потреб (ГП), які визначаються за формулою:</w:t>
            </w:r>
          </w:p>
          <w:p w:rsidR="00CF2AC1" w:rsidRPr="005A615E" w:rsidRDefault="00CF2AC1" w:rsidP="00CF2AC1">
            <w:pPr>
              <w:ind w:left="54"/>
              <w:jc w:val="both"/>
              <w:rPr>
                <w:rFonts w:ascii="Times New Roman" w:hAnsi="Times New Roman"/>
                <w:b/>
                <w:lang w:eastAsia="uk-UA"/>
              </w:rPr>
            </w:pPr>
            <w:r w:rsidRPr="005A615E">
              <w:rPr>
                <w:rFonts w:ascii="Times New Roman" w:hAnsi="Times New Roman"/>
                <w:b/>
                <w:lang w:eastAsia="uk-UA"/>
              </w:rPr>
              <w:t>ГП</w:t>
            </w:r>
            <w:r w:rsidRPr="005A615E">
              <w:rPr>
                <w:rFonts w:ascii="Times New Roman" w:hAnsi="Times New Roman"/>
                <w:b/>
                <w:vertAlign w:val="superscript"/>
                <w:lang w:eastAsia="uk-UA"/>
              </w:rPr>
              <w:t>п</w:t>
            </w:r>
            <w:r w:rsidRPr="005A615E">
              <w:rPr>
                <w:rFonts w:ascii="Times New Roman" w:hAnsi="Times New Roman"/>
                <w:b/>
                <w:vertAlign w:val="subscript"/>
                <w:lang w:val="en-US" w:eastAsia="uk-UA"/>
              </w:rPr>
              <w:t>t</w:t>
            </w:r>
            <w:r w:rsidRPr="005A615E">
              <w:rPr>
                <w:rFonts w:ascii="Times New Roman" w:hAnsi="Times New Roman"/>
                <w:b/>
                <w:lang w:eastAsia="uk-UA"/>
              </w:rPr>
              <w:t xml:space="preserve"> = </w:t>
            </w:r>
            <w:r w:rsidRPr="005A615E">
              <w:rPr>
                <w:rFonts w:ascii="Times New Roman" w:hAnsi="Times New Roman"/>
                <w:b/>
                <w:lang w:val="en-US" w:eastAsia="uk-UA"/>
              </w:rPr>
              <w:t>W</w:t>
            </w:r>
            <w:r w:rsidRPr="005A615E">
              <w:rPr>
                <w:rFonts w:ascii="Times New Roman" w:hAnsi="Times New Roman"/>
                <w:b/>
                <w:vertAlign w:val="subscript"/>
                <w:lang w:eastAsia="uk-UA"/>
              </w:rPr>
              <w:t>гп</w:t>
            </w:r>
            <w:r w:rsidRPr="005A615E">
              <w:rPr>
                <w:rFonts w:ascii="Times New Roman" w:hAnsi="Times New Roman"/>
                <w:b/>
                <w:lang w:eastAsia="uk-UA"/>
              </w:rPr>
              <w:t xml:space="preserve"> * (Ц</w:t>
            </w:r>
            <w:r w:rsidRPr="005A615E">
              <w:rPr>
                <w:rFonts w:ascii="Times New Roman" w:hAnsi="Times New Roman"/>
                <w:b/>
                <w:vertAlign w:val="subscript"/>
                <w:lang w:eastAsia="uk-UA"/>
              </w:rPr>
              <w:t>рдд</w:t>
            </w:r>
            <w:r w:rsidRPr="005A615E">
              <w:rPr>
                <w:rFonts w:ascii="Times New Roman" w:hAnsi="Times New Roman"/>
                <w:b/>
                <w:lang w:eastAsia="uk-UA"/>
              </w:rPr>
              <w:t xml:space="preserve"> + Т</w:t>
            </w:r>
            <w:r w:rsidRPr="005A615E">
              <w:rPr>
                <w:rFonts w:ascii="Times New Roman" w:hAnsi="Times New Roman"/>
                <w:b/>
                <w:vertAlign w:val="subscript"/>
                <w:lang w:eastAsia="uk-UA"/>
              </w:rPr>
              <w:t>пер</w:t>
            </w:r>
            <w:r w:rsidRPr="005A615E">
              <w:rPr>
                <w:rFonts w:ascii="Times New Roman" w:hAnsi="Times New Roman"/>
                <w:b/>
                <w:lang w:eastAsia="uk-UA"/>
              </w:rPr>
              <w:t>), де</w:t>
            </w:r>
          </w:p>
          <w:p w:rsidR="00CF2AC1" w:rsidRPr="005A615E" w:rsidRDefault="00CF2AC1" w:rsidP="00CF2AC1">
            <w:pPr>
              <w:ind w:left="54"/>
              <w:jc w:val="both"/>
              <w:rPr>
                <w:rFonts w:ascii="Times New Roman" w:hAnsi="Times New Roman"/>
                <w:b/>
                <w:lang w:eastAsia="uk-UA"/>
              </w:rPr>
            </w:pPr>
            <w:r w:rsidRPr="005A615E">
              <w:rPr>
                <w:rFonts w:ascii="Times New Roman" w:hAnsi="Times New Roman"/>
                <w:b/>
                <w:lang w:val="en-US" w:eastAsia="uk-UA"/>
              </w:rPr>
              <w:t>W</w:t>
            </w:r>
            <w:r w:rsidRPr="005A615E">
              <w:rPr>
                <w:rFonts w:ascii="Times New Roman" w:hAnsi="Times New Roman"/>
                <w:b/>
                <w:vertAlign w:val="subscript"/>
                <w:lang w:eastAsia="uk-UA"/>
              </w:rPr>
              <w:t>гп</w:t>
            </w:r>
            <w:r w:rsidRPr="005A615E">
              <w:rPr>
                <w:rFonts w:ascii="Times New Roman" w:hAnsi="Times New Roman"/>
                <w:b/>
                <w:lang w:eastAsia="uk-UA"/>
              </w:rPr>
              <w:t xml:space="preserve"> – обсяги господарських потреб, визначені для розрахунку тарифів у останньому році першого регуляторного періоду;</w:t>
            </w:r>
          </w:p>
          <w:p w:rsidR="00CF2AC1" w:rsidRPr="005A615E" w:rsidRDefault="00CF2AC1" w:rsidP="00CF2AC1">
            <w:pPr>
              <w:ind w:left="54"/>
              <w:jc w:val="both"/>
              <w:rPr>
                <w:rFonts w:ascii="Times New Roman" w:hAnsi="Times New Roman"/>
                <w:b/>
                <w:lang w:eastAsia="uk-UA"/>
              </w:rPr>
            </w:pPr>
            <w:r w:rsidRPr="005A615E">
              <w:rPr>
                <w:rFonts w:ascii="Times New Roman" w:hAnsi="Times New Roman"/>
                <w:b/>
                <w:lang w:eastAsia="uk-UA"/>
              </w:rPr>
              <w:t>Ц</w:t>
            </w:r>
            <w:r w:rsidRPr="005A615E">
              <w:rPr>
                <w:rFonts w:ascii="Times New Roman" w:hAnsi="Times New Roman"/>
                <w:b/>
                <w:vertAlign w:val="subscript"/>
                <w:lang w:eastAsia="uk-UA"/>
              </w:rPr>
              <w:t>рдд</w:t>
            </w:r>
            <w:r w:rsidRPr="005A615E">
              <w:rPr>
                <w:rFonts w:ascii="Times New Roman" w:hAnsi="Times New Roman"/>
                <w:b/>
                <w:lang w:eastAsia="uk-UA"/>
              </w:rPr>
              <w:t xml:space="preserve"> – прогнозований рівень ціни придбання електричної енергії з метою компенсації ТВЕ на ринку двосторонніх договорів, передбачений при розрахунку тарифів на послуги з розподілу на прогнозний рік;</w:t>
            </w:r>
          </w:p>
          <w:p w:rsidR="00CF2AC1" w:rsidRPr="005A615E" w:rsidRDefault="00CF2AC1" w:rsidP="00CF2AC1">
            <w:pPr>
              <w:jc w:val="both"/>
              <w:rPr>
                <w:rFonts w:ascii="Times New Roman" w:hAnsi="Times New Roman"/>
                <w:b/>
                <w:sz w:val="24"/>
                <w:u w:val="single"/>
              </w:rPr>
            </w:pPr>
            <w:r w:rsidRPr="005A615E">
              <w:rPr>
                <w:rFonts w:ascii="Times New Roman" w:hAnsi="Times New Roman"/>
                <w:b/>
                <w:lang w:eastAsia="uk-UA"/>
              </w:rPr>
              <w:t>Т</w:t>
            </w:r>
            <w:r w:rsidRPr="005A615E">
              <w:rPr>
                <w:rFonts w:ascii="Times New Roman" w:hAnsi="Times New Roman"/>
                <w:b/>
                <w:vertAlign w:val="subscript"/>
                <w:lang w:eastAsia="uk-UA"/>
              </w:rPr>
              <w:t>пер</w:t>
            </w:r>
            <w:r w:rsidRPr="005A615E">
              <w:rPr>
                <w:rFonts w:ascii="Times New Roman" w:hAnsi="Times New Roman"/>
                <w:b/>
                <w:lang w:eastAsia="uk-UA"/>
              </w:rPr>
              <w:t xml:space="preserve"> – рівень тарифу НЕК «УКРЕНЕРГО» на послуги з передачі електричної енергії, передбачений при розрахунку тарифів на послуги з розподілу електричної енергії на прогнозний рік.»</w:t>
            </w:r>
          </w:p>
          <w:p w:rsidR="00CF2AC1" w:rsidRPr="005A615E" w:rsidRDefault="00CF2AC1" w:rsidP="00CF2AC1">
            <w:pPr>
              <w:jc w:val="both"/>
              <w:rPr>
                <w:rFonts w:ascii="Times New Roman" w:hAnsi="Times New Roman"/>
                <w:b/>
                <w:sz w:val="24"/>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spacing w:before="120"/>
              <w:jc w:val="both"/>
              <w:rPr>
                <w:rFonts w:ascii="Times New Roman" w:hAnsi="Times New Roman"/>
                <w:lang w:eastAsia="ru-RU"/>
              </w:rPr>
            </w:pPr>
            <w:r w:rsidRPr="005A615E">
              <w:rPr>
                <w:rFonts w:ascii="Times New Roman" w:hAnsi="Times New Roman"/>
                <w:lang w:eastAsia="ru-RU"/>
              </w:rPr>
              <w:t xml:space="preserve">Включення зазначеної статті витрат до базового рівня ОКВ при переході до стимулюючого регулювання відбулося на рівні прогнозованої її вартості у 2020 році. В подальшому така вартість лише щорічно індексувалася. </w:t>
            </w:r>
            <w:r w:rsidRPr="005A615E">
              <w:rPr>
                <w:rFonts w:ascii="Times New Roman" w:hAnsi="Times New Roman"/>
                <w:b/>
                <w:lang w:eastAsia="ru-RU"/>
              </w:rPr>
              <w:t>Вже за 2025 рік фактичні перевитрати Товариства по зазначеній статті витрат становили 50,6 млн.грн., що, для порівняння, відповідає майже половині річної програми ремонтів Товариства.</w:t>
            </w:r>
          </w:p>
          <w:p w:rsidR="00CF2AC1" w:rsidRPr="005A615E" w:rsidRDefault="00CF2AC1" w:rsidP="00CF2AC1">
            <w:pPr>
              <w:jc w:val="both"/>
              <w:rPr>
                <w:rFonts w:ascii="Times New Roman" w:hAnsi="Times New Roman"/>
                <w:b/>
                <w:sz w:val="24"/>
              </w:rPr>
            </w:pPr>
            <w:r w:rsidRPr="005A615E">
              <w:rPr>
                <w:rFonts w:ascii="Times New Roman" w:hAnsi="Times New Roman"/>
                <w:lang w:eastAsia="ru-RU"/>
              </w:rPr>
              <w:t xml:space="preserve">Оскільки </w:t>
            </w:r>
            <w:r w:rsidRPr="005A615E">
              <w:rPr>
                <w:rFonts w:ascii="Times New Roman" w:hAnsi="Times New Roman"/>
                <w:b/>
                <w:u w:val="single"/>
                <w:lang w:eastAsia="ru-RU"/>
              </w:rPr>
              <w:t>Товариство не має жодного впливу на рівень ціни електричної енергії для господарських потреби</w:t>
            </w:r>
            <w:r w:rsidRPr="005A615E">
              <w:rPr>
                <w:rFonts w:ascii="Times New Roman" w:hAnsi="Times New Roman"/>
                <w:lang w:eastAsia="ru-RU"/>
              </w:rPr>
              <w:t>, оскільки така ціна відповідає рівню ціни електричної енергії, як товару на ринку електричної енергії, з врахуванням тарифу НЕК «УКРЕНЕРГО» на послуги з передачі електричної енергії, пропонуємо виключити її зі складу ОКВ та планувати у складі ОНВ.</w:t>
            </w:r>
          </w:p>
        </w:tc>
        <w:tc>
          <w:tcPr>
            <w:tcW w:w="3969" w:type="dxa"/>
            <w:gridSpan w:val="2"/>
          </w:tcPr>
          <w:p w:rsidR="00CB419F" w:rsidRPr="005A615E" w:rsidRDefault="00CB419F" w:rsidP="00CB419F">
            <w:pPr>
              <w:pStyle w:val="tj"/>
              <w:spacing w:before="0" w:beforeAutospacing="0" w:after="0" w:afterAutospacing="0"/>
              <w:jc w:val="both"/>
              <w:rPr>
                <w:b/>
                <w:sz w:val="22"/>
                <w:szCs w:val="22"/>
                <w:lang w:val="uk-UA"/>
              </w:rPr>
            </w:pPr>
            <w:r w:rsidRPr="005A615E">
              <w:rPr>
                <w:b/>
                <w:sz w:val="22"/>
                <w:szCs w:val="22"/>
                <w:lang w:val="uk-UA"/>
              </w:rPr>
              <w:t>Частково враховано</w:t>
            </w:r>
          </w:p>
          <w:p w:rsidR="00CB419F" w:rsidRPr="005A615E" w:rsidRDefault="00CB419F" w:rsidP="00CB419F">
            <w:pPr>
              <w:pStyle w:val="tj"/>
              <w:spacing w:before="0" w:beforeAutospacing="0" w:after="0" w:afterAutospacing="0"/>
              <w:jc w:val="both"/>
              <w:rPr>
                <w:b/>
                <w:sz w:val="22"/>
                <w:szCs w:val="22"/>
                <w:lang w:val="uk-UA"/>
              </w:rPr>
            </w:pPr>
            <w:r w:rsidRPr="005A615E">
              <w:rPr>
                <w:b/>
                <w:sz w:val="22"/>
                <w:szCs w:val="22"/>
                <w:lang w:val="uk-UA"/>
              </w:rPr>
              <w:t>Запропонована редакція до обговорення :</w:t>
            </w:r>
          </w:p>
          <w:p w:rsidR="00CB419F" w:rsidRPr="005A615E" w:rsidRDefault="00CB419F" w:rsidP="00CB419F">
            <w:pPr>
              <w:pStyle w:val="rvps2"/>
              <w:shd w:val="clear" w:color="auto" w:fill="FFFFFF"/>
              <w:spacing w:after="150" w:afterAutospacing="0"/>
              <w:ind w:firstLine="450"/>
              <w:jc w:val="both"/>
              <w:rPr>
                <w:sz w:val="22"/>
                <w:szCs w:val="22"/>
                <w:lang w:val="uk-UA" w:eastAsia="uk-UA"/>
              </w:rPr>
            </w:pPr>
            <w:r w:rsidRPr="005A615E">
              <w:rPr>
                <w:sz w:val="22"/>
                <w:szCs w:val="22"/>
                <w:lang w:val="uk-UA"/>
              </w:rPr>
              <w:t>«</w:t>
            </w:r>
            <w:r w:rsidRPr="005A615E">
              <w:rPr>
                <w:sz w:val="22"/>
                <w:szCs w:val="22"/>
                <w:lang w:val="uk-UA" w:eastAsia="uk-UA"/>
              </w:rPr>
              <w:t>5.9. Прогнозовані операційні неконтрольовані витрати з розподілу електричної енергії на рік t визначаються за формулою</w:t>
            </w:r>
          </w:p>
          <w:tbl>
            <w:tblPr>
              <w:tblW w:w="3720" w:type="dxa"/>
              <w:tblLayout w:type="fixed"/>
              <w:tblCellMar>
                <w:top w:w="60" w:type="dxa"/>
                <w:left w:w="60" w:type="dxa"/>
                <w:bottom w:w="60" w:type="dxa"/>
                <w:right w:w="60" w:type="dxa"/>
              </w:tblCellMar>
              <w:tblLook w:val="04A0" w:firstRow="1" w:lastRow="0" w:firstColumn="1" w:lastColumn="0" w:noHBand="0" w:noVBand="1"/>
            </w:tblPr>
            <w:tblGrid>
              <w:gridCol w:w="3153"/>
              <w:gridCol w:w="567"/>
            </w:tblGrid>
            <w:tr w:rsidR="00CB419F" w:rsidRPr="005A615E" w:rsidTr="00CB419F">
              <w:tc>
                <w:tcPr>
                  <w:tcW w:w="3153" w:type="dxa"/>
                  <w:tcBorders>
                    <w:top w:val="single" w:sz="2" w:space="0" w:color="auto"/>
                    <w:left w:val="single" w:sz="2" w:space="0" w:color="auto"/>
                    <w:bottom w:val="single" w:sz="2" w:space="0" w:color="auto"/>
                    <w:right w:val="single" w:sz="2" w:space="0" w:color="auto"/>
                  </w:tcBorders>
                  <w:hideMark/>
                </w:tcPr>
                <w:p w:rsidR="00CB419F" w:rsidRPr="005A615E" w:rsidRDefault="00CB419F" w:rsidP="00CB419F">
                  <w:pPr>
                    <w:spacing w:before="150" w:after="150" w:line="240" w:lineRule="auto"/>
                    <w:jc w:val="center"/>
                    <w:rPr>
                      <w:rFonts w:ascii="Times New Roman" w:eastAsia="Times New Roman" w:hAnsi="Times New Roman" w:cs="Times New Roman"/>
                      <w:lang w:eastAsia="uk-UA"/>
                    </w:rPr>
                  </w:pPr>
                  <w:bookmarkStart w:id="7" w:name="n486"/>
                  <w:bookmarkEnd w:id="7"/>
                  <w:r w:rsidRPr="005A615E">
                    <w:rPr>
                      <w:rFonts w:ascii="Times New Roman" w:eastAsia="Times New Roman" w:hAnsi="Times New Roman" w:cs="Times New Roman"/>
                      <w:noProof/>
                      <w:lang w:eastAsia="uk-UA"/>
                    </w:rPr>
                    <w:drawing>
                      <wp:inline distT="0" distB="0" distL="0" distR="0">
                        <wp:extent cx="2162175" cy="285750"/>
                        <wp:effectExtent l="0" t="0" r="9525" b="0"/>
                        <wp:docPr id="792200293" name="Рисунок 792200293" descr="https://zakon.rada.gov.ua/laws/file/imgs/129/p478167n486v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295" descr="https://zakon.rada.gov.ua/laws/file/imgs/129/p478167n486v2-53.gif"/>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162175" cy="285750"/>
                                </a:xfrm>
                                <a:prstGeom prst="rect">
                                  <a:avLst/>
                                </a:prstGeom>
                                <a:noFill/>
                                <a:ln>
                                  <a:noFill/>
                                </a:ln>
                              </pic:spPr>
                            </pic:pic>
                          </a:graphicData>
                        </a:graphic>
                      </wp:inline>
                    </w:drawing>
                  </w:r>
                </w:p>
              </w:tc>
              <w:tc>
                <w:tcPr>
                  <w:tcW w:w="567" w:type="dxa"/>
                  <w:tcBorders>
                    <w:top w:val="single" w:sz="2" w:space="0" w:color="auto"/>
                    <w:left w:val="single" w:sz="2" w:space="0" w:color="auto"/>
                    <w:bottom w:val="single" w:sz="2" w:space="0" w:color="auto"/>
                    <w:right w:val="single" w:sz="2" w:space="0" w:color="auto"/>
                  </w:tcBorders>
                  <w:hideMark/>
                </w:tcPr>
                <w:p w:rsidR="00CB419F" w:rsidRPr="005A615E" w:rsidRDefault="00CB419F" w:rsidP="00CB419F">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(17)</w:t>
                  </w:r>
                </w:p>
              </w:tc>
            </w:tr>
          </w:tbl>
          <w:p w:rsidR="00CB419F" w:rsidRPr="005A615E" w:rsidRDefault="00CB419F" w:rsidP="00CB419F">
            <w:pPr>
              <w:pStyle w:val="tj"/>
              <w:spacing w:before="0" w:beforeAutospacing="0" w:after="0" w:afterAutospacing="0"/>
              <w:jc w:val="both"/>
              <w:rPr>
                <w:sz w:val="22"/>
                <w:szCs w:val="22"/>
              </w:rPr>
            </w:pPr>
          </w:p>
          <w:p w:rsidR="00CB419F" w:rsidRPr="005A615E" w:rsidRDefault="00CB419F" w:rsidP="00CB419F">
            <w:pPr>
              <w:pStyle w:val="tj"/>
              <w:spacing w:before="0" w:beforeAutospacing="0" w:after="0" w:afterAutospacing="0"/>
              <w:jc w:val="both"/>
              <w:rPr>
                <w:sz w:val="22"/>
                <w:szCs w:val="22"/>
                <w:lang w:val="uk-UA"/>
              </w:rPr>
            </w:pPr>
            <w:r w:rsidRPr="005A615E">
              <w:rPr>
                <w:sz w:val="22"/>
                <w:szCs w:val="22"/>
                <w:lang w:val="uk-UA"/>
              </w:rPr>
              <w:t>......</w:t>
            </w:r>
          </w:p>
          <w:p w:rsidR="00CB419F" w:rsidRPr="005A615E" w:rsidRDefault="00CB419F" w:rsidP="00CB419F">
            <w:pPr>
              <w:pStyle w:val="tj"/>
              <w:spacing w:before="0" w:beforeAutospacing="0" w:after="0" w:afterAutospacing="0"/>
              <w:jc w:val="both"/>
              <w:rPr>
                <w:sz w:val="22"/>
                <w:szCs w:val="22"/>
              </w:rPr>
            </w:pPr>
          </w:p>
          <w:p w:rsidR="00CB419F" w:rsidRPr="005A615E" w:rsidRDefault="00CB419F" w:rsidP="00CB419F">
            <w:pPr>
              <w:pStyle w:val="tj"/>
              <w:spacing w:before="0" w:beforeAutospacing="0" w:after="0" w:afterAutospacing="0"/>
              <w:jc w:val="both"/>
              <w:rPr>
                <w:sz w:val="22"/>
                <w:szCs w:val="22"/>
                <w:lang w:val="uk-UA"/>
              </w:rPr>
            </w:pPr>
            <w:r w:rsidRPr="005A615E">
              <w:rPr>
                <w:sz w:val="22"/>
                <w:szCs w:val="22"/>
              </w:rPr>
              <w:t xml:space="preserve">Для ліцензіатів, перелік яких наведено в додатку 30 до цього Порядку, на 2025 </w:t>
            </w:r>
            <w:r w:rsidRPr="005A615E">
              <w:rPr>
                <w:b/>
                <w:sz w:val="22"/>
                <w:szCs w:val="22"/>
                <w:lang w:val="uk-UA"/>
              </w:rPr>
              <w:t xml:space="preserve">та 2026 </w:t>
            </w:r>
            <w:r w:rsidRPr="005A615E">
              <w:rPr>
                <w:b/>
                <w:sz w:val="22"/>
                <w:szCs w:val="22"/>
              </w:rPr>
              <w:t>р</w:t>
            </w:r>
            <w:r w:rsidRPr="005A615E">
              <w:rPr>
                <w:b/>
                <w:sz w:val="22"/>
                <w:szCs w:val="22"/>
                <w:lang w:val="uk-UA"/>
              </w:rPr>
              <w:t>оки</w:t>
            </w:r>
            <w:r w:rsidRPr="005A615E">
              <w:rPr>
                <w:b/>
                <w:sz w:val="22"/>
                <w:szCs w:val="22"/>
              </w:rPr>
              <w:t xml:space="preserve"> </w:t>
            </w:r>
            <w:r w:rsidRPr="005A615E">
              <w:rPr>
                <w:b/>
                <w:strike/>
                <w:sz w:val="22"/>
                <w:szCs w:val="22"/>
              </w:rPr>
              <w:t>та на кожний наступний рік</w:t>
            </w:r>
            <w:r w:rsidRPr="005A615E">
              <w:rPr>
                <w:sz w:val="22"/>
                <w:szCs w:val="22"/>
              </w:rPr>
              <w:t xml:space="preserve"> прогнозовані операційні неконтрольовані витрати з розподілу електричної енергії на </w:t>
            </w:r>
            <w:r w:rsidRPr="005A615E">
              <w:rPr>
                <w:sz w:val="22"/>
                <w:szCs w:val="22"/>
                <w:lang w:val="uk-UA"/>
              </w:rPr>
              <w:t>рік t визначаються за формулою</w:t>
            </w:r>
          </w:p>
          <w:p w:rsidR="00CB419F" w:rsidRPr="005A615E" w:rsidRDefault="00CB419F" w:rsidP="00CB419F">
            <w:pPr>
              <w:pStyle w:val="tj"/>
              <w:spacing w:before="0" w:beforeAutospacing="0" w:after="0" w:afterAutospacing="0"/>
              <w:jc w:val="both"/>
              <w:rPr>
                <w:sz w:val="22"/>
                <w:szCs w:val="22"/>
                <w:lang w:val="uk-UA"/>
              </w:rPr>
            </w:pPr>
            <w:r w:rsidRPr="005A615E">
              <w:rPr>
                <w:sz w:val="22"/>
                <w:szCs w:val="22"/>
                <w:lang w:val="uk-UA"/>
              </w:rPr>
              <w:t>....</w:t>
            </w:r>
          </w:p>
          <w:p w:rsidR="00CB419F" w:rsidRPr="005A615E" w:rsidRDefault="00CB419F" w:rsidP="00CB419F">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 xml:space="preserve">для першого року другого регуляторного періоду за формулою </w:t>
            </w:r>
          </w:p>
          <w:p w:rsidR="00CB419F" w:rsidRPr="005A615E" w:rsidRDefault="000D13C5" w:rsidP="00CB419F">
            <w:pPr>
              <w:shd w:val="clear" w:color="auto" w:fill="FFFFFF"/>
              <w:spacing w:after="150"/>
              <w:ind w:firstLine="173"/>
              <w:jc w:val="both"/>
              <w:rPr>
                <w:rFonts w:ascii="Times New Roman" w:eastAsiaTheme="minorEastAsia" w:hAnsi="Times New Roman"/>
              </w:rPr>
            </w:pPr>
            <m:oMath>
              <m:sSubSup>
                <m:sSubSupPr>
                  <m:ctrlPr>
                    <w:rPr>
                      <w:rFonts w:ascii="Cambria Math" w:hAnsi="Cambria Math"/>
                      <w:i/>
                    </w:rPr>
                  </m:ctrlPr>
                </m:sSubSupPr>
                <m:e>
                  <m:r>
                    <w:rPr>
                      <w:rFonts w:ascii="Cambria Math" w:hAnsi="Cambria Math"/>
                    </w:rPr>
                    <m:t>ОНВ</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ОНВ</m:t>
                      </m:r>
                    </m:e>
                    <m:sub>
                      <m:r>
                        <w:rPr>
                          <w:rFonts w:ascii="Cambria Math" w:hAnsi="Cambria Math"/>
                        </w:rPr>
                        <m:t>t-1</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ПСП</m:t>
                      </m:r>
                    </m:e>
                    <m:sub>
                      <m:r>
                        <w:rPr>
                          <w:rFonts w:ascii="Cambria Math" w:hAnsi="Cambria Math"/>
                        </w:rPr>
                        <m:t>t-1</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ПД</m:t>
                      </m:r>
                    </m:e>
                    <m:sub>
                      <m:r>
                        <w:rPr>
                          <w:rFonts w:ascii="Cambria Math" w:hAnsi="Cambria Math"/>
                        </w:rPr>
                        <m:t>t-1</m:t>
                      </m:r>
                    </m:sub>
                    <m:sup>
                      <m:r>
                        <w:rPr>
                          <w:rFonts w:ascii="Cambria Math" w:hAnsi="Cambria Math"/>
                        </w:rPr>
                        <m:t>n</m:t>
                      </m:r>
                    </m:sup>
                  </m:sSubSup>
                  <m:sSubSup>
                    <m:sSubSupPr>
                      <m:ctrlPr>
                        <w:rPr>
                          <w:rFonts w:ascii="Cambria Math" w:hAnsi="Cambria Math"/>
                          <w:i/>
                        </w:rPr>
                      </m:ctrlPr>
                    </m:sSubSupPr>
                    <m:e>
                      <m:r>
                        <w:rPr>
                          <w:rFonts w:ascii="Cambria Math" w:hAnsi="Cambria Math"/>
                        </w:rPr>
                        <m:t xml:space="preserve">- ПОР </m:t>
                      </m:r>
                    </m:e>
                    <m:sub>
                      <m:r>
                        <w:rPr>
                          <w:rFonts w:ascii="Cambria Math" w:hAnsi="Cambria Math"/>
                        </w:rPr>
                        <m:t>t-1</m:t>
                      </m:r>
                    </m:sub>
                    <m:sup>
                      <m:r>
                        <w:rPr>
                          <w:rFonts w:ascii="Cambria Math" w:hAnsi="Cambria Math"/>
                        </w:rPr>
                        <m:t>n</m:t>
                      </m:r>
                    </m:sup>
                  </m:sSubSup>
                  <m:r>
                    <w:rPr>
                      <w:rFonts w:ascii="Cambria Math" w:hAnsi="Cambria Math"/>
                    </w:rPr>
                    <m:t xml:space="preserve"> </m:t>
                  </m:r>
                  <m:sSubSup>
                    <m:sSubSupPr>
                      <m:ctrlPr>
                        <w:rPr>
                          <w:rFonts w:ascii="Cambria Math" w:hAnsi="Cambria Math"/>
                          <w:i/>
                        </w:rPr>
                      </m:ctrlPr>
                    </m:sSubSupPr>
                    <m:e>
                      <m:r>
                        <w:rPr>
                          <w:rFonts w:ascii="Cambria Math" w:hAnsi="Cambria Math"/>
                        </w:rPr>
                        <m:t>- ВП</m:t>
                      </m:r>
                    </m:e>
                    <m:sub>
                      <m:r>
                        <w:rPr>
                          <w:rFonts w:ascii="Cambria Math" w:hAnsi="Cambria Math"/>
                        </w:rPr>
                        <m:t>t-1</m:t>
                      </m:r>
                    </m:sub>
                    <m:sup>
                      <m:r>
                        <w:rPr>
                          <w:rFonts w:ascii="Cambria Math" w:hAnsi="Cambria Math"/>
                        </w:rPr>
                        <m:t>n</m:t>
                      </m:r>
                    </m:sup>
                  </m:sSubSup>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 ВР</m:t>
                          </m:r>
                        </m:e>
                        <m:sub>
                          <m:r>
                            <w:rPr>
                              <w:rFonts w:ascii="Cambria Math" w:hAnsi="Cambria Math"/>
                            </w:rPr>
                            <m:t>t-1</m:t>
                          </m:r>
                        </m:sub>
                        <m:sup>
                          <m:r>
                            <w:rPr>
                              <w:rFonts w:ascii="Cambria Math" w:hAnsi="Cambria Math"/>
                            </w:rPr>
                            <m:t>n</m:t>
                          </m:r>
                        </m:sup>
                      </m:sSubSup>
                      <m:sSubSup>
                        <m:sSubSupPr>
                          <m:ctrlPr>
                            <w:rPr>
                              <w:rFonts w:ascii="Cambria Math" w:hAnsi="Cambria Math"/>
                              <w:i/>
                            </w:rPr>
                          </m:ctrlPr>
                        </m:sSubSupPr>
                        <m:e>
                          <m:r>
                            <w:rPr>
                              <w:rFonts w:ascii="Cambria Math" w:hAnsi="Cambria Math"/>
                            </w:rPr>
                            <m:t>- СВМ</m:t>
                          </m:r>
                        </m:e>
                        <m:sub>
                          <m:r>
                            <w:rPr>
                              <w:rFonts w:ascii="Cambria Math" w:hAnsi="Cambria Math"/>
                            </w:rPr>
                            <m:t>t-1</m:t>
                          </m:r>
                        </m:sub>
                        <m:sup>
                          <m:r>
                            <w:rPr>
                              <w:rFonts w:ascii="Cambria Math" w:hAnsi="Cambria Math"/>
                            </w:rPr>
                            <m:t>n</m:t>
                          </m:r>
                        </m:sup>
                      </m:sSubSup>
                      <m:r>
                        <w:rPr>
                          <w:rFonts w:ascii="Cambria Math" w:hAnsi="Cambria Math"/>
                        </w:rPr>
                        <m:t>- ФОП</m:t>
                      </m:r>
                    </m:e>
                    <m:sub>
                      <m:r>
                        <w:rPr>
                          <w:rFonts w:ascii="Cambria Math" w:hAnsi="Cambria Math"/>
                        </w:rPr>
                        <m:t>t-1</m:t>
                      </m:r>
                    </m:sub>
                    <m:sup>
                      <m:r>
                        <w:rPr>
                          <w:rFonts w:ascii="Cambria Math" w:hAnsi="Cambria Math"/>
                        </w:rPr>
                        <m:t>n</m:t>
                      </m:r>
                    </m:sup>
                  </m:sSubSup>
                  <m:r>
                    <w:rPr>
                      <w:rFonts w:ascii="Cambria Math" w:hAnsi="Cambria Math"/>
                    </w:rPr>
                    <m:t>х</m:t>
                  </m:r>
                  <m:sSubSup>
                    <m:sSubSupPr>
                      <m:ctrlPr>
                        <w:rPr>
                          <w:rFonts w:ascii="Cambria Math" w:hAnsi="Cambria Math"/>
                          <w:i/>
                        </w:rPr>
                      </m:ctrlPr>
                    </m:sSubSupPr>
                    <m:e>
                      <m:r>
                        <w:rPr>
                          <w:rFonts w:ascii="Cambria Math" w:hAnsi="Cambria Math"/>
                        </w:rPr>
                        <m:t>Н</m:t>
                      </m:r>
                    </m:e>
                    <m:sub>
                      <m:r>
                        <w:rPr>
                          <w:rFonts w:ascii="Cambria Math" w:hAnsi="Cambria Math"/>
                        </w:rPr>
                        <m:t>t-1</m:t>
                      </m:r>
                    </m:sub>
                    <m:sup>
                      <m:r>
                        <w:rPr>
                          <w:rFonts w:ascii="Cambria Math" w:hAnsi="Cambria Math"/>
                        </w:rPr>
                        <m:t>фоп</m:t>
                      </m:r>
                    </m:sup>
                  </m:sSubSup>
                </m:e>
              </m:d>
              <m:r>
                <w:rPr>
                  <w:rFonts w:ascii="Cambria Math" w:hAnsi="Cambria Math"/>
                </w:rPr>
                <m:t xml:space="preserve"> х</m:t>
              </m:r>
              <m:f>
                <m:fPr>
                  <m:ctrlPr>
                    <w:rPr>
                      <w:rFonts w:ascii="Cambria Math" w:hAnsi="Cambria Math"/>
                      <w:i/>
                    </w:rPr>
                  </m:ctrlPr>
                </m:fPr>
                <m:num>
                  <m:sSubSup>
                    <m:sSubSupPr>
                      <m:ctrlPr>
                        <w:rPr>
                          <w:rFonts w:ascii="Cambria Math" w:hAnsi="Cambria Math"/>
                          <w:i/>
                        </w:rPr>
                      </m:ctrlPr>
                    </m:sSubSupPr>
                    <m:e>
                      <m:r>
                        <w:rPr>
                          <w:rFonts w:ascii="Cambria Math" w:hAnsi="Cambria Math"/>
                        </w:rPr>
                        <m:t>ІСЦ</m:t>
                      </m:r>
                    </m:e>
                    <m:sub>
                      <m:r>
                        <w:rPr>
                          <w:rFonts w:ascii="Cambria Math" w:hAnsi="Cambria Math"/>
                        </w:rPr>
                        <m:t>t</m:t>
                      </m:r>
                    </m:sub>
                    <m:sup>
                      <m:r>
                        <w:rPr>
                          <w:rFonts w:ascii="Cambria Math" w:hAnsi="Cambria Math"/>
                        </w:rPr>
                        <m:t>n</m:t>
                      </m:r>
                    </m:sup>
                  </m:sSubSup>
                  <m:r>
                    <w:rPr>
                      <w:rFonts w:ascii="Cambria Math" w:hAnsi="Cambria Math"/>
                    </w:rPr>
                    <m:t xml:space="preserve"> </m:t>
                  </m:r>
                </m:num>
                <m:den>
                  <m:r>
                    <w:rPr>
                      <w:rFonts w:ascii="Cambria Math" w:hAnsi="Cambria Math"/>
                    </w:rPr>
                    <m:t>100</m:t>
                  </m:r>
                </m:den>
              </m:f>
              <m:r>
                <w:rPr>
                  <w:rFonts w:ascii="Cambria Math" w:hAnsi="Cambria Math"/>
                </w:rPr>
                <m:t>+</m:t>
              </m:r>
              <m:sSubSup>
                <m:sSubSupPr>
                  <m:ctrlPr>
                    <w:rPr>
                      <w:rFonts w:ascii="Cambria Math" w:hAnsi="Cambria Math"/>
                      <w:i/>
                    </w:rPr>
                  </m:ctrlPr>
                </m:sSubSupPr>
                <m:e>
                  <m:r>
                    <w:rPr>
                      <w:rFonts w:ascii="Cambria Math" w:hAnsi="Cambria Math"/>
                    </w:rPr>
                    <m:t xml:space="preserve"> ФОП</m:t>
                  </m:r>
                </m:e>
                <m:sub>
                  <m:r>
                    <w:rPr>
                      <w:rFonts w:ascii="Cambria Math" w:hAnsi="Cambria Math"/>
                    </w:rPr>
                    <m:t>t</m:t>
                  </m:r>
                </m:sub>
                <m:sup>
                  <m:r>
                    <w:rPr>
                      <w:rFonts w:ascii="Cambria Math" w:hAnsi="Cambria Math"/>
                    </w:rPr>
                    <m:t>n</m:t>
                  </m:r>
                </m:sup>
              </m:sSubSup>
              <m:r>
                <w:rPr>
                  <w:rFonts w:ascii="Cambria Math" w:hAnsi="Cambria Math"/>
                </w:rPr>
                <m:t xml:space="preserve"> х </m:t>
              </m:r>
              <m:sSubSup>
                <m:sSubSupPr>
                  <m:ctrlPr>
                    <w:rPr>
                      <w:rFonts w:ascii="Cambria Math" w:hAnsi="Cambria Math"/>
                      <w:i/>
                    </w:rPr>
                  </m:ctrlPr>
                </m:sSubSupPr>
                <m:e>
                  <m:r>
                    <w:rPr>
                      <w:rFonts w:ascii="Cambria Math" w:hAnsi="Cambria Math"/>
                    </w:rPr>
                    <m:t xml:space="preserve"> </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m:t>
                              </m:r>
                            </m:sub>
                          </m:sSub>
                        </m:num>
                        <m:den>
                          <m:r>
                            <w:rPr>
                              <w:rFonts w:ascii="Cambria Math" w:hAnsi="Cambria Math"/>
                            </w:rPr>
                            <m:t>100</m:t>
                          </m:r>
                        </m:den>
                      </m:f>
                    </m:e>
                  </m:d>
                  <m:r>
                    <w:rPr>
                      <w:rFonts w:ascii="Cambria Math" w:hAnsi="Cambria Math"/>
                    </w:rPr>
                    <m:t>х Н</m:t>
                  </m:r>
                </m:e>
                <m:sub>
                  <m:r>
                    <w:rPr>
                      <w:rFonts w:ascii="Cambria Math" w:hAnsi="Cambria Math"/>
                    </w:rPr>
                    <m:t>t</m:t>
                  </m:r>
                </m:sub>
                <m:sup>
                  <m:r>
                    <w:rPr>
                      <w:rFonts w:ascii="Cambria Math" w:hAnsi="Cambria Math"/>
                    </w:rPr>
                    <m:t>фоп</m:t>
                  </m:r>
                </m:sup>
              </m:sSubSup>
              <m:r>
                <w:rPr>
                  <w:rFonts w:ascii="Cambria Math" w:hAnsi="Cambria Math"/>
                </w:rPr>
                <m:t>+</m:t>
              </m:r>
              <m:sSubSup>
                <m:sSubSupPr>
                  <m:ctrlPr>
                    <w:rPr>
                      <w:rFonts w:ascii="Cambria Math" w:hAnsi="Cambria Math"/>
                      <w:i/>
                    </w:rPr>
                  </m:ctrlPr>
                </m:sSubSupPr>
                <m:e>
                  <m:r>
                    <w:rPr>
                      <w:rFonts w:ascii="Cambria Math" w:hAnsi="Cambria Math"/>
                    </w:rPr>
                    <m:t>ПСП</m:t>
                  </m:r>
                </m:e>
                <m:sub>
                  <m:r>
                    <w:rPr>
                      <w:rFonts w:ascii="Cambria Math" w:hAnsi="Cambria Math"/>
                    </w:rPr>
                    <m:t>t</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ПД</m:t>
                  </m:r>
                </m:e>
                <m:sub>
                  <m:r>
                    <w:rPr>
                      <w:rFonts w:ascii="Cambria Math" w:hAnsi="Cambria Math"/>
                    </w:rPr>
                    <m:t>t</m:t>
                  </m:r>
                </m:sub>
                <m:sup>
                  <m:r>
                    <w:rPr>
                      <w:rFonts w:ascii="Cambria Math" w:hAnsi="Cambria Math"/>
                    </w:rPr>
                    <m:t>n</m:t>
                  </m:r>
                </m:sup>
              </m:sSubSup>
              <m:sSubSup>
                <m:sSubSupPr>
                  <m:ctrlPr>
                    <w:rPr>
                      <w:rFonts w:ascii="Cambria Math" w:hAnsi="Cambria Math"/>
                      <w:i/>
                    </w:rPr>
                  </m:ctrlPr>
                </m:sSubSupPr>
                <m:e>
                  <m:r>
                    <w:rPr>
                      <w:rFonts w:ascii="Cambria Math" w:hAnsi="Cambria Math"/>
                    </w:rPr>
                    <m:t>+ ПОР_УЕБ</m:t>
                  </m:r>
                </m:e>
                <m:sub>
                  <m:r>
                    <w:rPr>
                      <w:rFonts w:ascii="Cambria Math" w:hAnsi="Cambria Math"/>
                    </w:rPr>
                    <m:t>t</m:t>
                  </m:r>
                </m:sub>
                <m:sup>
                  <m:r>
                    <w:rPr>
                      <w:rFonts w:ascii="Cambria Math" w:hAnsi="Cambria Math"/>
                    </w:rPr>
                    <m:t>n</m:t>
                  </m:r>
                </m:sup>
              </m:sSubSup>
              <m:sSubSup>
                <m:sSubSupPr>
                  <m:ctrlPr>
                    <w:rPr>
                      <w:rFonts w:ascii="Cambria Math" w:hAnsi="Cambria Math"/>
                      <w:i/>
                    </w:rPr>
                  </m:ctrlPr>
                </m:sSubSupPr>
                <m:e>
                  <m:r>
                    <w:rPr>
                      <w:rFonts w:ascii="Cambria Math" w:hAnsi="Cambria Math"/>
                    </w:rPr>
                    <m:t xml:space="preserve"> + ВП</m:t>
                  </m:r>
                </m:e>
                <m:sub>
                  <m:r>
                    <w:rPr>
                      <w:rFonts w:ascii="Cambria Math" w:hAnsi="Cambria Math"/>
                    </w:rPr>
                    <m:t>t</m:t>
                  </m:r>
                </m:sub>
                <m:sup>
                  <m:r>
                    <w:rPr>
                      <w:rFonts w:ascii="Cambria Math" w:hAnsi="Cambria Math"/>
                    </w:rPr>
                    <m:t>n</m:t>
                  </m:r>
                </m:sup>
              </m:sSubSup>
              <m:sSubSup>
                <m:sSubSupPr>
                  <m:ctrlPr>
                    <w:rPr>
                      <w:rFonts w:ascii="Cambria Math" w:hAnsi="Cambria Math"/>
                      <w:i/>
                    </w:rPr>
                  </m:ctrlPr>
                </m:sSubSupPr>
                <m:e>
                  <m:r>
                    <w:rPr>
                      <w:rFonts w:ascii="Cambria Math" w:hAnsi="Cambria Math"/>
                    </w:rPr>
                    <m:t>+ ВР</m:t>
                  </m:r>
                </m:e>
                <m:sub>
                  <m:r>
                    <w:rPr>
                      <w:rFonts w:ascii="Cambria Math" w:hAnsi="Cambria Math"/>
                    </w:rPr>
                    <m:t>t</m:t>
                  </m:r>
                </m:sub>
                <m:sup>
                  <m:r>
                    <w:rPr>
                      <w:rFonts w:ascii="Cambria Math" w:hAnsi="Cambria Math"/>
                    </w:rPr>
                    <m:t>n</m:t>
                  </m:r>
                </m:sup>
              </m:sSubSup>
              <m:sSubSup>
                <m:sSubSupPr>
                  <m:ctrlPr>
                    <w:rPr>
                      <w:rFonts w:ascii="Cambria Math" w:hAnsi="Cambria Math"/>
                      <w:i/>
                    </w:rPr>
                  </m:ctrlPr>
                </m:sSubSupPr>
                <m:e>
                  <m:r>
                    <w:rPr>
                      <w:rFonts w:ascii="Cambria Math" w:hAnsi="Cambria Math"/>
                    </w:rPr>
                    <m:t>+ СВМ</m:t>
                  </m:r>
                </m:e>
                <m:sub>
                  <m:r>
                    <w:rPr>
                      <w:rFonts w:ascii="Cambria Math" w:hAnsi="Cambria Math"/>
                    </w:rPr>
                    <m:t>t</m:t>
                  </m:r>
                </m:sub>
                <m:sup>
                  <m:r>
                    <w:rPr>
                      <w:rFonts w:ascii="Cambria Math" w:hAnsi="Cambria Math"/>
                    </w:rPr>
                    <m:t>n</m:t>
                  </m:r>
                </m:sup>
              </m:sSubSup>
            </m:oMath>
            <w:r w:rsidR="00CB419F" w:rsidRPr="005A615E">
              <w:rPr>
                <w:rFonts w:ascii="Times New Roman" w:eastAsiaTheme="minorEastAsia" w:hAnsi="Times New Roman"/>
              </w:rPr>
              <w:t>, тис.грн (18)</w:t>
            </w:r>
          </w:p>
          <w:p w:rsidR="00CB419F" w:rsidRPr="005A615E" w:rsidRDefault="00CB419F" w:rsidP="00CB419F">
            <w:pPr>
              <w:shd w:val="clear" w:color="auto" w:fill="FFFFFF"/>
              <w:spacing w:after="150"/>
              <w:ind w:firstLine="173"/>
              <w:jc w:val="both"/>
              <w:rPr>
                <w:rFonts w:ascii="Times New Roman" w:hAnsi="Times New Roman"/>
                <w:lang w:eastAsia="uk-UA"/>
              </w:rPr>
            </w:pPr>
          </w:p>
          <w:p w:rsidR="00CB419F" w:rsidRPr="005A615E" w:rsidRDefault="00CB419F" w:rsidP="00CB419F">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 xml:space="preserve">для другого та наступних років другого регуляторного періоду за формулою </w:t>
            </w:r>
          </w:p>
          <w:p w:rsidR="00CB419F" w:rsidRPr="005A615E" w:rsidRDefault="000D13C5" w:rsidP="00CB419F">
            <w:pPr>
              <w:shd w:val="clear" w:color="auto" w:fill="FFFFFF"/>
              <w:spacing w:after="150"/>
              <w:ind w:firstLine="173"/>
              <w:jc w:val="both"/>
              <w:rPr>
                <w:rFonts w:ascii="Times New Roman" w:hAnsi="Times New Roman"/>
                <w:lang w:eastAsia="uk-UA"/>
              </w:rPr>
            </w:pPr>
            <m:oMath>
              <m:sSubSup>
                <m:sSubSupPr>
                  <m:ctrlPr>
                    <w:rPr>
                      <w:rFonts w:ascii="Cambria Math" w:hAnsi="Cambria Math"/>
                      <w:i/>
                    </w:rPr>
                  </m:ctrlPr>
                </m:sSubSupPr>
                <m:e>
                  <m:r>
                    <w:rPr>
                      <w:rFonts w:ascii="Cambria Math" w:hAnsi="Cambria Math"/>
                    </w:rPr>
                    <m:t>ОНВ</m:t>
                  </m:r>
                </m:e>
                <m:sub>
                  <m:r>
                    <w:rPr>
                      <w:rFonts w:ascii="Cambria Math" w:hAnsi="Cambria Math"/>
                    </w:rPr>
                    <m:t>t</m:t>
                  </m:r>
                </m:sub>
                <m:sup>
                  <m:r>
                    <w:rPr>
                      <w:rFonts w:ascii="Cambria Math" w:hAnsi="Cambria Math"/>
                    </w:rPr>
                    <m:t>n</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ОНВ</m:t>
                      </m:r>
                    </m:e>
                    <m:sub>
                      <m:r>
                        <w:rPr>
                          <w:rFonts w:ascii="Cambria Math" w:hAnsi="Cambria Math"/>
                        </w:rPr>
                        <m:t>t-1</m:t>
                      </m:r>
                    </m:sub>
                    <m:sup>
                      <m:r>
                        <w:rPr>
                          <w:rFonts w:ascii="Cambria Math" w:hAnsi="Cambria Math"/>
                        </w:rPr>
                        <m:t>n</m:t>
                      </m:r>
                    </m:sup>
                  </m:sSubSup>
                  <w:bookmarkStart w:id="8" w:name="_Hlk50644520"/>
                  <m:r>
                    <w:rPr>
                      <w:rFonts w:ascii="Cambria Math" w:hAnsi="Cambria Math"/>
                    </w:rPr>
                    <m:t>-</m:t>
                  </m:r>
                  <w:bookmarkEnd w:id="8"/>
                  <m:sSubSup>
                    <m:sSubSupPr>
                      <m:ctrlPr>
                        <w:rPr>
                          <w:rFonts w:ascii="Cambria Math" w:hAnsi="Cambria Math"/>
                          <w:i/>
                        </w:rPr>
                      </m:ctrlPr>
                    </m:sSubSupPr>
                    <m:e>
                      <m:r>
                        <w:rPr>
                          <w:rFonts w:ascii="Cambria Math" w:hAnsi="Cambria Math"/>
                        </w:rPr>
                        <m:t>ПСП</m:t>
                      </m:r>
                    </m:e>
                    <m:sub>
                      <m:r>
                        <w:rPr>
                          <w:rFonts w:ascii="Cambria Math" w:hAnsi="Cambria Math"/>
                        </w:rPr>
                        <m:t>t-1</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ПД</m:t>
                      </m:r>
                    </m:e>
                    <m:sub>
                      <m:r>
                        <w:rPr>
                          <w:rFonts w:ascii="Cambria Math" w:hAnsi="Cambria Math"/>
                        </w:rPr>
                        <m:t>t-1</m:t>
                      </m:r>
                    </m:sub>
                    <m:sup>
                      <m:r>
                        <w:rPr>
                          <w:rFonts w:ascii="Cambria Math" w:hAnsi="Cambria Math"/>
                        </w:rPr>
                        <m:t>n</m:t>
                      </m:r>
                    </m:sup>
                  </m:sSubSup>
                  <m:sSubSup>
                    <m:sSubSupPr>
                      <m:ctrlPr>
                        <w:rPr>
                          <w:rFonts w:ascii="Cambria Math" w:hAnsi="Cambria Math"/>
                          <w:i/>
                        </w:rPr>
                      </m:ctrlPr>
                    </m:sSubSupPr>
                    <m:e>
                      <m:r>
                        <w:rPr>
                          <w:rFonts w:ascii="Cambria Math" w:hAnsi="Cambria Math"/>
                        </w:rPr>
                        <m:t>- ПОР_УЕБ</m:t>
                      </m:r>
                    </m:e>
                    <m:sub>
                      <m:r>
                        <w:rPr>
                          <w:rFonts w:ascii="Cambria Math" w:hAnsi="Cambria Math"/>
                        </w:rPr>
                        <m:t>t-1</m:t>
                      </m:r>
                    </m:sub>
                    <m:sup>
                      <m:r>
                        <w:rPr>
                          <w:rFonts w:ascii="Cambria Math" w:hAnsi="Cambria Math"/>
                        </w:rPr>
                        <m:t>n</m:t>
                      </m:r>
                    </m:sup>
                  </m:sSubSup>
                  <m:r>
                    <w:rPr>
                      <w:rFonts w:ascii="Cambria Math" w:hAnsi="Cambria Math"/>
                    </w:rPr>
                    <m:t xml:space="preserve"> </m:t>
                  </m:r>
                  <w:bookmarkStart w:id="9" w:name="_Hlk50732854"/>
                  <m:sSubSup>
                    <m:sSubSupPr>
                      <m:ctrlPr>
                        <w:rPr>
                          <w:rFonts w:ascii="Cambria Math" w:hAnsi="Cambria Math"/>
                          <w:i/>
                        </w:rPr>
                      </m:ctrlPr>
                    </m:sSubSupPr>
                    <m:e>
                      <m:r>
                        <w:rPr>
                          <w:rFonts w:ascii="Cambria Math" w:hAnsi="Cambria Math"/>
                        </w:rPr>
                        <m:t>- ВП</m:t>
                      </m:r>
                    </m:e>
                    <m:sub>
                      <m:r>
                        <w:rPr>
                          <w:rFonts w:ascii="Cambria Math" w:hAnsi="Cambria Math"/>
                        </w:rPr>
                        <m:t>t-1</m:t>
                      </m:r>
                    </m:sub>
                    <m:sup>
                      <m:r>
                        <w:rPr>
                          <w:rFonts w:ascii="Cambria Math" w:hAnsi="Cambria Math"/>
                        </w:rPr>
                        <m:t>n</m:t>
                      </m:r>
                    </m:sup>
                  </m:sSubSup>
                  <w:bookmarkEnd w:id="9"/>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 ВР</m:t>
                          </m:r>
                        </m:e>
                        <m:sub>
                          <m:r>
                            <w:rPr>
                              <w:rFonts w:ascii="Cambria Math" w:hAnsi="Cambria Math"/>
                            </w:rPr>
                            <m:t>t-1</m:t>
                          </m:r>
                        </m:sub>
                        <m:sup>
                          <m:r>
                            <w:rPr>
                              <w:rFonts w:ascii="Cambria Math" w:hAnsi="Cambria Math"/>
                            </w:rPr>
                            <m:t>n</m:t>
                          </m:r>
                        </m:sup>
                      </m:sSubSup>
                      <m:sSubSup>
                        <m:sSubSupPr>
                          <m:ctrlPr>
                            <w:rPr>
                              <w:rFonts w:ascii="Cambria Math" w:hAnsi="Cambria Math"/>
                              <w:i/>
                            </w:rPr>
                          </m:ctrlPr>
                        </m:sSubSupPr>
                        <m:e>
                          <m:r>
                            <w:rPr>
                              <w:rFonts w:ascii="Cambria Math" w:hAnsi="Cambria Math"/>
                            </w:rPr>
                            <m:t>- СВМ</m:t>
                          </m:r>
                        </m:e>
                        <m:sub>
                          <m:r>
                            <w:rPr>
                              <w:rFonts w:ascii="Cambria Math" w:hAnsi="Cambria Math"/>
                            </w:rPr>
                            <m:t>t-1</m:t>
                          </m:r>
                        </m:sub>
                        <m:sup>
                          <m:r>
                            <w:rPr>
                              <w:rFonts w:ascii="Cambria Math" w:hAnsi="Cambria Math"/>
                            </w:rPr>
                            <m:t>n</m:t>
                          </m:r>
                        </m:sup>
                      </m:sSubSup>
                      <m:r>
                        <w:rPr>
                          <w:rFonts w:ascii="Cambria Math" w:hAnsi="Cambria Math"/>
                        </w:rPr>
                        <m:t>- ФОП</m:t>
                      </m:r>
                    </m:e>
                    <m:sub>
                      <m:r>
                        <w:rPr>
                          <w:rFonts w:ascii="Cambria Math" w:hAnsi="Cambria Math"/>
                        </w:rPr>
                        <m:t>t-1</m:t>
                      </m:r>
                    </m:sub>
                    <m:sup>
                      <m:r>
                        <w:rPr>
                          <w:rFonts w:ascii="Cambria Math" w:hAnsi="Cambria Math"/>
                        </w:rPr>
                        <m:t>n</m:t>
                      </m:r>
                    </m:sup>
                  </m:sSubSup>
                  <m:r>
                    <w:rPr>
                      <w:rFonts w:ascii="Cambria Math" w:hAnsi="Cambria Math"/>
                    </w:rPr>
                    <m:t>х (1-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m:t>
                          </m:r>
                        </m:sub>
                      </m:sSub>
                    </m:num>
                    <m:den>
                      <m:r>
                        <w:rPr>
                          <w:rFonts w:ascii="Cambria Math" w:hAnsi="Cambria Math"/>
                        </w:rPr>
                        <m:t>100</m:t>
                      </m:r>
                    </m:den>
                  </m:f>
                  <m:r>
                    <w:rPr>
                      <w:rFonts w:ascii="Cambria Math" w:hAnsi="Cambria Math"/>
                    </w:rPr>
                    <m:t>)х</m:t>
                  </m:r>
                  <m:sSubSup>
                    <m:sSubSupPr>
                      <m:ctrlPr>
                        <w:rPr>
                          <w:rFonts w:ascii="Cambria Math" w:hAnsi="Cambria Math"/>
                          <w:i/>
                        </w:rPr>
                      </m:ctrlPr>
                    </m:sSubSupPr>
                    <m:e>
                      <m:r>
                        <w:rPr>
                          <w:rFonts w:ascii="Cambria Math" w:hAnsi="Cambria Math"/>
                        </w:rPr>
                        <m:t>Н</m:t>
                      </m:r>
                    </m:e>
                    <m:sub>
                      <m:r>
                        <w:rPr>
                          <w:rFonts w:ascii="Cambria Math" w:hAnsi="Cambria Math"/>
                        </w:rPr>
                        <m:t>t-1</m:t>
                      </m:r>
                    </m:sub>
                    <m:sup>
                      <m:r>
                        <w:rPr>
                          <w:rFonts w:ascii="Cambria Math" w:hAnsi="Cambria Math"/>
                        </w:rPr>
                        <m:t>фоп</m:t>
                      </m:r>
                    </m:sup>
                  </m:sSubSup>
                </m:e>
              </m:d>
              <m:r>
                <w:rPr>
                  <w:rFonts w:ascii="Cambria Math" w:hAnsi="Cambria Math"/>
                </w:rPr>
                <m:t xml:space="preserve"> </m:t>
              </m:r>
              <w:bookmarkStart w:id="10" w:name="_Hlk50644532"/>
              <m:r>
                <w:rPr>
                  <w:rFonts w:ascii="Cambria Math" w:hAnsi="Cambria Math"/>
                </w:rPr>
                <m:t>х</m:t>
              </m:r>
              <w:bookmarkEnd w:id="10"/>
              <m:f>
                <m:fPr>
                  <m:ctrlPr>
                    <w:rPr>
                      <w:rFonts w:ascii="Cambria Math" w:hAnsi="Cambria Math"/>
                      <w:i/>
                    </w:rPr>
                  </m:ctrlPr>
                </m:fPr>
                <m:num>
                  <m:sSubSup>
                    <m:sSubSupPr>
                      <m:ctrlPr>
                        <w:rPr>
                          <w:rFonts w:ascii="Cambria Math" w:hAnsi="Cambria Math"/>
                          <w:i/>
                        </w:rPr>
                      </m:ctrlPr>
                    </m:sSubSupPr>
                    <m:e>
                      <m:r>
                        <w:rPr>
                          <w:rFonts w:ascii="Cambria Math" w:hAnsi="Cambria Math"/>
                        </w:rPr>
                        <m:t>ІСЦ</m:t>
                      </m:r>
                    </m:e>
                    <m:sub>
                      <m:r>
                        <w:rPr>
                          <w:rFonts w:ascii="Cambria Math" w:hAnsi="Cambria Math"/>
                        </w:rPr>
                        <m:t>t</m:t>
                      </m:r>
                    </m:sub>
                    <m:sup>
                      <m:r>
                        <w:rPr>
                          <w:rFonts w:ascii="Cambria Math" w:hAnsi="Cambria Math"/>
                        </w:rPr>
                        <m:t>n</m:t>
                      </m:r>
                    </m:sup>
                  </m:sSubSup>
                  <m:r>
                    <w:rPr>
                      <w:rFonts w:ascii="Cambria Math" w:hAnsi="Cambria Math"/>
                    </w:rPr>
                    <m:t xml:space="preserve"> </m:t>
                  </m:r>
                </m:num>
                <m:den>
                  <m:r>
                    <w:rPr>
                      <w:rFonts w:ascii="Cambria Math" w:hAnsi="Cambria Math"/>
                    </w:rPr>
                    <m:t>100</m:t>
                  </m:r>
                </m:den>
              </m:f>
              <m:r>
                <w:rPr>
                  <w:rFonts w:ascii="Cambria Math" w:hAnsi="Cambria Math"/>
                </w:rPr>
                <m:t>+</m:t>
              </m:r>
              <m:sSubSup>
                <m:sSubSupPr>
                  <m:ctrlPr>
                    <w:rPr>
                      <w:rFonts w:ascii="Cambria Math" w:hAnsi="Cambria Math"/>
                      <w:i/>
                    </w:rPr>
                  </m:ctrlPr>
                </m:sSubSupPr>
                <m:e>
                  <m:r>
                    <w:rPr>
                      <w:rFonts w:ascii="Cambria Math" w:hAnsi="Cambria Math"/>
                    </w:rPr>
                    <m:t xml:space="preserve"> ФОП</m:t>
                  </m:r>
                </m:e>
                <m:sub>
                  <m:r>
                    <w:rPr>
                      <w:rFonts w:ascii="Cambria Math" w:hAnsi="Cambria Math"/>
                    </w:rPr>
                    <m:t>t</m:t>
                  </m:r>
                </m:sub>
                <m:sup>
                  <m:r>
                    <w:rPr>
                      <w:rFonts w:ascii="Cambria Math" w:hAnsi="Cambria Math"/>
                    </w:rPr>
                    <m:t>n</m:t>
                  </m:r>
                </m:sup>
              </m:sSubSup>
              <m:r>
                <w:rPr>
                  <w:rFonts w:ascii="Cambria Math" w:hAnsi="Cambria Math"/>
                </w:rPr>
                <m:t xml:space="preserve"> х </m:t>
              </m:r>
              <m:sSubSup>
                <m:sSubSupPr>
                  <m:ctrlPr>
                    <w:rPr>
                      <w:rFonts w:ascii="Cambria Math" w:hAnsi="Cambria Math"/>
                      <w:i/>
                    </w:rPr>
                  </m:ctrlPr>
                </m:sSubSupPr>
                <m:e>
                  <m:r>
                    <w:rPr>
                      <w:rFonts w:ascii="Cambria Math" w:hAnsi="Cambria Math"/>
                    </w:rPr>
                    <m:t xml:space="preserve"> </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ПЕ</m:t>
                              </m:r>
                            </m:e>
                            <m:sub>
                              <m:r>
                                <w:rPr>
                                  <w:rFonts w:ascii="Cambria Math" w:hAnsi="Cambria Math"/>
                                </w:rPr>
                                <m:t>з</m:t>
                              </m:r>
                            </m:sub>
                          </m:sSub>
                        </m:num>
                        <m:den>
                          <m:r>
                            <w:rPr>
                              <w:rFonts w:ascii="Cambria Math" w:hAnsi="Cambria Math"/>
                            </w:rPr>
                            <m:t>100</m:t>
                          </m:r>
                        </m:den>
                      </m:f>
                    </m:e>
                  </m:d>
                  <m:r>
                    <w:rPr>
                      <w:rFonts w:ascii="Cambria Math" w:hAnsi="Cambria Math"/>
                    </w:rPr>
                    <m:t>х Н</m:t>
                  </m:r>
                </m:e>
                <m:sub>
                  <m:r>
                    <w:rPr>
                      <w:rFonts w:ascii="Cambria Math" w:hAnsi="Cambria Math"/>
                    </w:rPr>
                    <m:t>t</m:t>
                  </m:r>
                </m:sub>
                <m:sup>
                  <m:r>
                    <w:rPr>
                      <w:rFonts w:ascii="Cambria Math" w:hAnsi="Cambria Math"/>
                    </w:rPr>
                    <m:t>фоп</m:t>
                  </m:r>
                </m:sup>
              </m:sSubSup>
              <m:r>
                <w:rPr>
                  <w:rFonts w:ascii="Cambria Math" w:hAnsi="Cambria Math"/>
                </w:rPr>
                <m:t>+</m:t>
              </m:r>
              <m:sSubSup>
                <m:sSubSupPr>
                  <m:ctrlPr>
                    <w:rPr>
                      <w:rFonts w:ascii="Cambria Math" w:hAnsi="Cambria Math"/>
                      <w:i/>
                    </w:rPr>
                  </m:ctrlPr>
                </m:sSubSupPr>
                <m:e>
                  <m:r>
                    <w:rPr>
                      <w:rFonts w:ascii="Cambria Math" w:hAnsi="Cambria Math"/>
                    </w:rPr>
                    <m:t>ПСП</m:t>
                  </m:r>
                </m:e>
                <m:sub>
                  <m:r>
                    <w:rPr>
                      <w:rFonts w:ascii="Cambria Math" w:hAnsi="Cambria Math"/>
                    </w:rPr>
                    <m:t>t</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ПД</m:t>
                  </m:r>
                </m:e>
                <m:sub>
                  <m:r>
                    <w:rPr>
                      <w:rFonts w:ascii="Cambria Math" w:hAnsi="Cambria Math"/>
                    </w:rPr>
                    <m:t>t</m:t>
                  </m:r>
                </m:sub>
                <m:sup>
                  <m:r>
                    <w:rPr>
                      <w:rFonts w:ascii="Cambria Math" w:hAnsi="Cambria Math"/>
                    </w:rPr>
                    <m:t>n</m:t>
                  </m:r>
                </m:sup>
              </m:sSubSup>
              <m:sSubSup>
                <m:sSubSupPr>
                  <m:ctrlPr>
                    <w:rPr>
                      <w:rFonts w:ascii="Cambria Math" w:hAnsi="Cambria Math"/>
                      <w:i/>
                    </w:rPr>
                  </m:ctrlPr>
                </m:sSubSupPr>
                <m:e>
                  <m:r>
                    <w:rPr>
                      <w:rFonts w:ascii="Cambria Math" w:hAnsi="Cambria Math"/>
                    </w:rPr>
                    <m:t>+ ПОР_УЕБ</m:t>
                  </m:r>
                </m:e>
                <m:sub>
                  <m:r>
                    <w:rPr>
                      <w:rFonts w:ascii="Cambria Math" w:hAnsi="Cambria Math"/>
                    </w:rPr>
                    <m:t>t</m:t>
                  </m:r>
                </m:sub>
                <m:sup>
                  <m:r>
                    <w:rPr>
                      <w:rFonts w:ascii="Cambria Math" w:hAnsi="Cambria Math"/>
                    </w:rPr>
                    <m:t>n</m:t>
                  </m:r>
                </m:sup>
              </m:sSubSup>
              <m:sSubSup>
                <m:sSubSupPr>
                  <m:ctrlPr>
                    <w:rPr>
                      <w:rFonts w:ascii="Cambria Math" w:hAnsi="Cambria Math"/>
                      <w:i/>
                    </w:rPr>
                  </m:ctrlPr>
                </m:sSubSupPr>
                <m:e>
                  <m:r>
                    <w:rPr>
                      <w:rFonts w:ascii="Cambria Math" w:hAnsi="Cambria Math"/>
                    </w:rPr>
                    <m:t xml:space="preserve"> + ВП</m:t>
                  </m:r>
                </m:e>
                <m:sub>
                  <m:r>
                    <w:rPr>
                      <w:rFonts w:ascii="Cambria Math" w:hAnsi="Cambria Math"/>
                    </w:rPr>
                    <m:t>t</m:t>
                  </m:r>
                </m:sub>
                <m:sup>
                  <m:r>
                    <w:rPr>
                      <w:rFonts w:ascii="Cambria Math" w:hAnsi="Cambria Math"/>
                    </w:rPr>
                    <m:t>n</m:t>
                  </m:r>
                </m:sup>
              </m:sSubSup>
              <m:sSubSup>
                <m:sSubSupPr>
                  <m:ctrlPr>
                    <w:rPr>
                      <w:rFonts w:ascii="Cambria Math" w:hAnsi="Cambria Math"/>
                      <w:i/>
                    </w:rPr>
                  </m:ctrlPr>
                </m:sSubSupPr>
                <m:e>
                  <m:r>
                    <w:rPr>
                      <w:rFonts w:ascii="Cambria Math" w:hAnsi="Cambria Math"/>
                    </w:rPr>
                    <m:t>+ ВР</m:t>
                  </m:r>
                </m:e>
                <m:sub>
                  <m:r>
                    <w:rPr>
                      <w:rFonts w:ascii="Cambria Math" w:hAnsi="Cambria Math"/>
                    </w:rPr>
                    <m:t>t</m:t>
                  </m:r>
                </m:sub>
                <m:sup>
                  <m:r>
                    <w:rPr>
                      <w:rFonts w:ascii="Cambria Math" w:hAnsi="Cambria Math"/>
                    </w:rPr>
                    <m:t>n</m:t>
                  </m:r>
                </m:sup>
              </m:sSubSup>
              <m:sSubSup>
                <m:sSubSupPr>
                  <m:ctrlPr>
                    <w:rPr>
                      <w:rFonts w:ascii="Cambria Math" w:hAnsi="Cambria Math"/>
                      <w:i/>
                    </w:rPr>
                  </m:ctrlPr>
                </m:sSubSupPr>
                <m:e>
                  <m:r>
                    <w:rPr>
                      <w:rFonts w:ascii="Cambria Math" w:hAnsi="Cambria Math"/>
                    </w:rPr>
                    <m:t>+ СВМ</m:t>
                  </m:r>
                </m:e>
                <m:sub>
                  <m:r>
                    <w:rPr>
                      <w:rFonts w:ascii="Cambria Math" w:hAnsi="Cambria Math"/>
                    </w:rPr>
                    <m:t>t</m:t>
                  </m:r>
                </m:sub>
                <m:sup>
                  <m:r>
                    <w:rPr>
                      <w:rFonts w:ascii="Cambria Math" w:hAnsi="Cambria Math"/>
                    </w:rPr>
                    <m:t>n</m:t>
                  </m:r>
                </m:sup>
              </m:sSubSup>
            </m:oMath>
            <w:r w:rsidR="00CB419F" w:rsidRPr="005A615E">
              <w:rPr>
                <w:rFonts w:ascii="Times New Roman" w:eastAsiaTheme="minorEastAsia" w:hAnsi="Times New Roman"/>
              </w:rPr>
              <w:t>, тис. грн (19)</w:t>
            </w:r>
          </w:p>
          <w:p w:rsidR="00CB419F" w:rsidRPr="005A615E" w:rsidRDefault="00CB419F" w:rsidP="00CB419F">
            <w:pPr>
              <w:pStyle w:val="tj"/>
              <w:spacing w:before="0" w:beforeAutospacing="0" w:after="0" w:afterAutospacing="0"/>
              <w:jc w:val="both"/>
              <w:rPr>
                <w:b/>
                <w:sz w:val="22"/>
                <w:szCs w:val="22"/>
                <w:lang w:val="uk-UA"/>
              </w:rPr>
            </w:pPr>
            <w:r w:rsidRPr="005A615E">
              <w:rPr>
                <w:sz w:val="22"/>
                <w:szCs w:val="22"/>
                <w:lang w:val="uk-UA"/>
              </w:rPr>
              <w:t>Для ліцензіатів, перелік яких наведено в додатку 30 до цього Порядку, для другого та наступних років другого регуляторного періоду прогнозовані операційні неконтрольовані витрати з розподілу електричної енергії на рік t визначаються за формулами 18 та 19 відповідно з урахуванням коефіцієнту КФУ.»</w:t>
            </w:r>
          </w:p>
          <w:p w:rsidR="00CB419F" w:rsidRPr="005A615E" w:rsidRDefault="00CB419F" w:rsidP="00CB419F">
            <w:pPr>
              <w:pStyle w:val="3"/>
              <w:spacing w:before="0" w:after="0"/>
              <w:ind w:firstLine="318"/>
              <w:jc w:val="both"/>
              <w:outlineLvl w:val="2"/>
              <w:rPr>
                <w:rFonts w:ascii="Times New Roman" w:hAnsi="Times New Roman"/>
                <w:b w:val="0"/>
                <w:sz w:val="22"/>
                <w:szCs w:val="22"/>
                <w:lang w:val="uk-UA"/>
              </w:rPr>
            </w:pPr>
          </w:p>
          <w:p w:rsidR="00CB419F" w:rsidRPr="005A615E" w:rsidRDefault="00CB419F" w:rsidP="00CB419F">
            <w:pPr>
              <w:pStyle w:val="3"/>
              <w:spacing w:before="0" w:after="0"/>
              <w:jc w:val="both"/>
              <w:outlineLvl w:val="2"/>
              <w:rPr>
                <w:rFonts w:ascii="Times New Roman" w:hAnsi="Times New Roman"/>
                <w:b w:val="0"/>
                <w:sz w:val="22"/>
                <w:szCs w:val="22"/>
                <w:lang w:val="uk-UA"/>
              </w:rPr>
            </w:pPr>
            <w:r w:rsidRPr="005A615E">
              <w:rPr>
                <w:rFonts w:ascii="Times New Roman" w:hAnsi="Times New Roman"/>
                <w:b w:val="0"/>
                <w:sz w:val="22"/>
                <w:szCs w:val="22"/>
                <w:lang w:val="uk-UA"/>
              </w:rPr>
              <w:t xml:space="preserve">З приводу перенесення витрат на  купівлю електричної енергії для господарських потреб до операційно неконтрольованих витрат, НКРЕКП пропонує визначити зміну фактичної вартості електричної енергії, що використовується на господарські потреби проти закладених в складі операціно контрольованих витрат як обєктивний чинник при визначенні недоотриманого доходу під час проведення планових заходів контролю. </w:t>
            </w:r>
          </w:p>
          <w:p w:rsidR="00CF2AC1" w:rsidRPr="005A615E" w:rsidRDefault="00CF2AC1" w:rsidP="00CB419F">
            <w:pPr>
              <w:rPr>
                <w:rFonts w:ascii="Times New Roman" w:hAnsi="Times New Roman"/>
                <w:b/>
              </w:rPr>
            </w:pPr>
          </w:p>
        </w:tc>
      </w:tr>
      <w:tr w:rsidR="00CF2AC1" w:rsidRPr="005A615E" w:rsidTr="00A56FEE">
        <w:tc>
          <w:tcPr>
            <w:tcW w:w="6232" w:type="dxa"/>
          </w:tcPr>
          <w:p w:rsidR="00CF2AC1" w:rsidRPr="005A615E" w:rsidRDefault="00CF2AC1" w:rsidP="00CF2AC1">
            <w:pPr>
              <w:shd w:val="clear" w:color="auto" w:fill="FFFFFF"/>
              <w:ind w:firstLine="176"/>
              <w:jc w:val="both"/>
              <w:rPr>
                <w:rFonts w:ascii="Times New Roman" w:hAnsi="Times New Roman"/>
                <w:lang w:eastAsia="uk-UA"/>
              </w:rPr>
            </w:pPr>
            <w:r w:rsidRPr="005A615E">
              <w:rPr>
                <w:rFonts w:ascii="Times New Roman" w:hAnsi="Times New Roman"/>
                <w:lang w:eastAsia="uk-UA"/>
              </w:rPr>
              <w:t>5.12. Амортизація в році t першого року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p>
          <w:p w:rsidR="00CF2AC1" w:rsidRPr="005A615E" w:rsidRDefault="00CF2AC1" w:rsidP="00CF2AC1">
            <w:pPr>
              <w:ind w:firstLine="176"/>
              <w:rPr>
                <w:rFonts w:ascii="Times New Roman" w:hAnsi="Times New Roman"/>
                <w:lang w:eastAsia="uk-UA"/>
              </w:rPr>
            </w:pPr>
          </w:p>
          <w:p w:rsidR="00CF2AC1" w:rsidRPr="005A615E" w:rsidRDefault="00CF2AC1" w:rsidP="00CF2AC1">
            <w:pPr>
              <w:ind w:firstLine="176"/>
              <w:rPr>
                <w:rFonts w:ascii="Times New Roman" w:hAnsi="Times New Roman"/>
                <w:lang w:eastAsia="uk-UA"/>
              </w:rPr>
            </w:pPr>
            <w:r w:rsidRPr="005A615E">
              <w:rPr>
                <w:rFonts w:ascii="Times New Roman" w:hAnsi="Times New Roman"/>
                <w:lang w:eastAsia="uk-UA"/>
              </w:rPr>
              <w:t>для першого  регуляторного періоду</w:t>
            </w:r>
          </w:p>
          <w:p w:rsidR="00CF2AC1" w:rsidRPr="005A615E" w:rsidRDefault="00CF2AC1" w:rsidP="00CF2AC1">
            <w:pPr>
              <w:ind w:firstLine="176"/>
              <w:rPr>
                <w:rFonts w:ascii="Times New Roman" w:hAnsi="Times New Roman"/>
                <w:lang w:eastAsia="uk-UA"/>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8"/>
              <w:gridCol w:w="572"/>
              <w:gridCol w:w="50"/>
              <w:gridCol w:w="4652"/>
              <w:gridCol w:w="508"/>
            </w:tblGrid>
            <w:tr w:rsidR="00CF2AC1" w:rsidRPr="005A615E" w:rsidTr="009D417C">
              <w:tc>
                <w:tcPr>
                  <w:tcW w:w="6833" w:type="dxa"/>
                  <w:gridSpan w:val="4"/>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567FF269" wp14:editId="05839CE9">
                        <wp:extent cx="3800475" cy="247650"/>
                        <wp:effectExtent l="0" t="0" r="9525" b="0"/>
                        <wp:docPr id="1993780139" name="Рисунок 1993780139" descr="https://zakon.rada.gov.ua/laws/file/imgs/129/p478167n528v2-71.gif">
                          <a:hlinkClick xmlns:a="http://schemas.openxmlformats.org/drawingml/2006/main" r:id="rId1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4962679" descr="https://zakon.rada.gov.ua/laws/file/imgs/129/p478167n528v2-71.gif">
                                  <a:hlinkClick r:id="rId187"/>
                                </pic:cNvPr>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3800475" cy="247650"/>
                                </a:xfrm>
                                <a:prstGeom prst="rect">
                                  <a:avLst/>
                                </a:prstGeom>
                                <a:noFill/>
                                <a:ln>
                                  <a:noFill/>
                                </a:ln>
                              </pic:spPr>
                            </pic:pic>
                          </a:graphicData>
                        </a:graphic>
                      </wp:inline>
                    </w:drawing>
                  </w:r>
                </w:p>
              </w:tc>
              <w:tc>
                <w:tcPr>
                  <w:tcW w:w="59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(19)</w:t>
                  </w:r>
                </w:p>
              </w:tc>
            </w:tr>
            <w:tr w:rsidR="00CF2AC1" w:rsidRPr="005A615E" w:rsidTr="009D417C">
              <w:tc>
                <w:tcPr>
                  <w:tcW w:w="27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70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2527464D" wp14:editId="6EC0BF87">
                        <wp:extent cx="295275" cy="228600"/>
                        <wp:effectExtent l="0" t="0" r="9525" b="0"/>
                        <wp:docPr id="1993780138" name="Рисунок 1993780138" descr="https://zakon.rada.gov.ua/laws/file/imgs/129/p478167n529v7-72.gif">
                          <a:hlinkClick xmlns:a="http://schemas.openxmlformats.org/drawingml/2006/main" r:id="rId1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4962680" descr="https://zakon.rada.gov.ua/laws/file/imgs/129/p478167n529v7-72.gif">
                                  <a:hlinkClick r:id="rId189"/>
                                </pic:cNvPr>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6407" w:type="dxa"/>
                  <w:gridSpan w:val="2"/>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амортизація в році t на активи, створені на</w:t>
                  </w:r>
                  <w:r w:rsidRPr="005A615E">
                    <w:rPr>
                      <w:rFonts w:ascii="Times New Roman" w:hAnsi="Times New Roman"/>
                      <w:noProof/>
                      <w:lang w:eastAsia="uk-UA"/>
                    </w:rPr>
                    <w:drawing>
                      <wp:inline distT="0" distB="0" distL="0" distR="0" wp14:anchorId="738089C9" wp14:editId="2532EC04">
                        <wp:extent cx="38100" cy="209550"/>
                        <wp:effectExtent l="0" t="0" r="0" b="0"/>
                        <wp:docPr id="1993780137" name="Рисунок 1993780137" descr="https://zakon.rada.gov.ua/laws/file/imgs/129/p478167n529v7-73.gif">
                          <a:hlinkClick xmlns:a="http://schemas.openxmlformats.org/drawingml/2006/main" r:id="rId1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4962681" descr="https://zakon.rada.gov.ua/laws/file/imgs/129/p478167n529v7-73.gif">
                                  <a:hlinkClick r:id="rId191"/>
                                </pic:cNvPr>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38100" cy="209550"/>
                                </a:xfrm>
                                <a:prstGeom prst="rect">
                                  <a:avLst/>
                                </a:prstGeom>
                                <a:noFill/>
                                <a:ln>
                                  <a:noFill/>
                                </a:ln>
                              </pic:spPr>
                            </pic:pic>
                          </a:graphicData>
                        </a:graphic>
                      </wp:inline>
                    </w:drawing>
                  </w:r>
                  <w:r w:rsidRPr="005A615E">
                    <w:rPr>
                      <w:rFonts w:ascii="Times New Roman" w:hAnsi="Times New Roman"/>
                      <w:lang w:eastAsia="uk-UA"/>
                    </w:rPr>
                    <w:t> дату переходу до стимулюючого регулювання, що розраховується згідно з додатком 8 до цього Порядку, тис. грн.</w:t>
                  </w:r>
                </w:p>
              </w:tc>
            </w:tr>
            <w:tr w:rsidR="00CF2AC1" w:rsidRPr="005A615E" w:rsidTr="009D417C">
              <w:tc>
                <w:tcPr>
                  <w:tcW w:w="27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lang w:eastAsia="uk-UA"/>
                    </w:rPr>
                  </w:pPr>
                </w:p>
              </w:tc>
              <w:tc>
                <w:tcPr>
                  <w:tcW w:w="70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2D952301" wp14:editId="4D6CB720">
                        <wp:extent cx="257175" cy="228600"/>
                        <wp:effectExtent l="0" t="0" r="9525" b="0"/>
                        <wp:docPr id="1993780136" name="Рисунок 1993780136" descr="https://zakon.rada.gov.ua/laws/file/imgs/129/p478167n529v7-74.gif">
                          <a:hlinkClick xmlns:a="http://schemas.openxmlformats.org/drawingml/2006/main" r:id="rId1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4962682" descr="https://zakon.rada.gov.ua/laws/file/imgs/129/p478167n529v7-74.gif">
                                  <a:hlinkClick r:id="rId193"/>
                                </pic:cNvPr>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6407" w:type="dxa"/>
                  <w:gridSpan w:val="2"/>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jc w:val="both"/>
                    <w:rPr>
                      <w:rFonts w:ascii="Times New Roman" w:hAnsi="Times New Roman"/>
                      <w:lang w:eastAsia="uk-UA"/>
                    </w:rPr>
                  </w:pPr>
                  <w:r w:rsidRPr="005A615E">
                    <w:rPr>
                      <w:rFonts w:ascii="Times New Roman" w:hAnsi="Times New Roman"/>
                    </w:rPr>
                    <w:t>дорівнює регуляторній амортизації на активи, створені на дату переходу до стимулюючого регулювання (А</w:t>
                  </w:r>
                  <w:r w:rsidRPr="005A615E">
                    <w:rPr>
                      <w:rFonts w:ascii="Times New Roman" w:hAnsi="Times New Roman"/>
                      <w:vertAlign w:val="subscript"/>
                    </w:rPr>
                    <w:t>0</w:t>
                  </w:r>
                  <w:r w:rsidRPr="005A615E">
                    <w:rPr>
                      <w:rFonts w:ascii="Times New Roman" w:hAnsi="Times New Roman"/>
                    </w:rPr>
                    <w:t>), розрахованій згідно з Порядком визначення регуляторної бази активів. Якщо А</w:t>
                  </w:r>
                  <w:r w:rsidRPr="005A615E">
                    <w:rPr>
                      <w:rFonts w:ascii="Times New Roman" w:hAnsi="Times New Roman"/>
                      <w:vertAlign w:val="subscript"/>
                    </w:rPr>
                    <w:t>0</w:t>
                  </w:r>
                  <w:r w:rsidRPr="005A615E">
                    <w:rPr>
                      <w:rFonts w:ascii="Times New Roman" w:hAnsi="Times New Roman"/>
                    </w:rPr>
                    <w:t xml:space="preserve"> перевищує рівень амортизації, врахований в діючих тарифах на дату переходу до стимулюючого регулювання, на величину понад 50 %, то А</w:t>
                  </w:r>
                  <w:r w:rsidRPr="005A615E">
                    <w:rPr>
                      <w:rFonts w:ascii="Times New Roman" w:hAnsi="Times New Roman"/>
                      <w:vertAlign w:val="superscript"/>
                    </w:rPr>
                    <w:t>ст</w:t>
                  </w:r>
                  <w:r w:rsidRPr="005A615E">
                    <w:rPr>
                      <w:rFonts w:ascii="Times New Roman" w:hAnsi="Times New Roman"/>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 </w:t>
                  </w:r>
                  <w:r w:rsidRPr="005A615E">
                    <w:rPr>
                      <w:rFonts w:ascii="Times New Roman" w:hAnsi="Times New Roman"/>
                      <w:bCs/>
                      <w:lang w:eastAsia="uk-UA"/>
                    </w:rPr>
                    <w:t xml:space="preserve"> А</w:t>
                  </w:r>
                  <w:r w:rsidRPr="005A615E">
                    <w:rPr>
                      <w:rFonts w:ascii="Times New Roman" w:hAnsi="Times New Roman"/>
                      <w:bCs/>
                      <w:vertAlign w:val="superscript"/>
                      <w:lang w:eastAsia="uk-UA"/>
                    </w:rPr>
                    <w:t>ст</w:t>
                  </w:r>
                  <w:r w:rsidRPr="005A615E">
                    <w:rPr>
                      <w:rFonts w:ascii="Times New Roman" w:hAnsi="Times New Roman"/>
                      <w:bCs/>
                      <w:vertAlign w:val="subscript"/>
                      <w:lang w:eastAsia="uk-UA"/>
                    </w:rPr>
                    <w:t>t-1</w:t>
                  </w:r>
                  <w:r w:rsidRPr="005A615E">
                    <w:rPr>
                      <w:rFonts w:ascii="Times New Roman" w:hAnsi="Times New Roman"/>
                    </w:rPr>
                    <w:t>, врахованого в тарифах попереднього року)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 xml:space="preserve"> (на 2023 – 2026 роки та для АТ «ПОЛТАВАОБЛЕНЕРГО» на 2027 рік амортизація на активи, створені на дату переходу до стимулюючого регулювання (</w:t>
                  </w:r>
                  <w:r w:rsidRPr="005A615E">
                    <w:rPr>
                      <w:rFonts w:ascii="Times New Roman" w:hAnsi="Times New Roman"/>
                      <w:bCs/>
                      <w:lang w:eastAsia="uk-UA"/>
                    </w:rPr>
                    <w:t xml:space="preserve"> А</w:t>
                  </w:r>
                  <w:r w:rsidRPr="005A615E">
                    <w:rPr>
                      <w:rFonts w:ascii="Times New Roman" w:hAnsi="Times New Roman"/>
                      <w:bCs/>
                      <w:vertAlign w:val="superscript"/>
                      <w:lang w:eastAsia="uk-UA"/>
                    </w:rPr>
                    <w:t>ст</w:t>
                  </w:r>
                  <w:r w:rsidRPr="005A615E">
                    <w:rPr>
                      <w:rFonts w:ascii="Times New Roman" w:hAnsi="Times New Roman"/>
                      <w:bCs/>
                      <w:vertAlign w:val="subscript"/>
                      <w:lang w:eastAsia="uk-UA"/>
                    </w:rPr>
                    <w:t>t</w:t>
                  </w:r>
                  <w:r w:rsidRPr="005A615E">
                    <w:rPr>
                      <w:rFonts w:ascii="Times New Roman" w:hAnsi="Times New Roman"/>
                    </w:rPr>
                    <w:t xml:space="preserve">) не перевищує </w:t>
                  </w:r>
                  <w:r w:rsidRPr="005A615E">
                    <w:rPr>
                      <w:rFonts w:ascii="Times New Roman" w:hAnsi="Times New Roman"/>
                      <w:bCs/>
                      <w:lang w:eastAsia="uk-UA"/>
                    </w:rPr>
                    <w:t xml:space="preserve"> А</w:t>
                  </w:r>
                  <w:r w:rsidRPr="005A615E">
                    <w:rPr>
                      <w:rFonts w:ascii="Times New Roman" w:hAnsi="Times New Roman"/>
                      <w:bCs/>
                      <w:vertAlign w:val="superscript"/>
                      <w:lang w:eastAsia="uk-UA"/>
                    </w:rPr>
                    <w:t>ст</w:t>
                  </w:r>
                  <w:r w:rsidRPr="005A615E">
                    <w:rPr>
                      <w:rFonts w:ascii="Times New Roman" w:hAnsi="Times New Roman"/>
                      <w:bCs/>
                      <w:vertAlign w:val="subscript"/>
                      <w:lang w:eastAsia="uk-UA"/>
                    </w:rPr>
                    <w:t>t-1</w:t>
                  </w:r>
                  <w:r w:rsidRPr="005A615E">
                    <w:rPr>
                      <w:rFonts w:ascii="Times New Roman" w:hAnsi="Times New Roman"/>
                    </w:rPr>
                    <w:t>, враховану в тарифах 2022 – 2025 років та для АТ «ПОЛТАВАОБЛЕНЕРГО» 2026 року, відповідно, крім ліцензіатів, перелік яких наведено в додатку 30 до цього Порядку, для яких:</w:t>
                  </w:r>
                </w:p>
              </w:tc>
            </w:tr>
            <w:tr w:rsidR="00CF2AC1" w:rsidRPr="005A615E" w:rsidTr="009D417C">
              <w:tc>
                <w:tcPr>
                  <w:tcW w:w="7432" w:type="dxa"/>
                  <w:gridSpan w:val="5"/>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lang w:eastAsia="uk-UA"/>
                    </w:rPr>
                  </w:pPr>
                </w:p>
              </w:tc>
            </w:tr>
            <w:tr w:rsidR="00CF2AC1" w:rsidRPr="005A615E" w:rsidTr="009D417C">
              <w:tc>
                <w:tcPr>
                  <w:tcW w:w="27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70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5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6407" w:type="dxa"/>
                  <w:gridSpan w:val="2"/>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lang w:eastAsia="uk-UA"/>
                    </w:rPr>
                    <w:t>на 2024 рік амортизація на активи, створені на дату переходу до стимулюючого регулювання (А</w:t>
                  </w:r>
                  <w:r w:rsidRPr="005A615E">
                    <w:rPr>
                      <w:rFonts w:ascii="Times New Roman" w:hAnsi="Times New Roman"/>
                      <w:bCs/>
                      <w:sz w:val="16"/>
                      <w:szCs w:val="16"/>
                      <w:vertAlign w:val="superscript"/>
                      <w:lang w:eastAsia="uk-UA"/>
                    </w:rPr>
                    <w:t>ст</w:t>
                  </w:r>
                  <w:r w:rsidRPr="005A615E">
                    <w:rPr>
                      <w:rFonts w:ascii="Times New Roman" w:hAnsi="Times New Roman"/>
                      <w:bCs/>
                      <w:sz w:val="16"/>
                      <w:szCs w:val="16"/>
                      <w:vertAlign w:val="subscript"/>
                      <w:lang w:eastAsia="uk-UA"/>
                    </w:rPr>
                    <w:t>t</w:t>
                  </w:r>
                  <w:r w:rsidRPr="005A615E">
                    <w:rPr>
                      <w:rFonts w:ascii="Times New Roman" w:hAnsi="Times New Roman"/>
                      <w:lang w:eastAsia="uk-UA"/>
                    </w:rPr>
                    <w:t>), фіксується на рівні А</w:t>
                  </w:r>
                  <w:r w:rsidRPr="005A615E">
                    <w:rPr>
                      <w:rFonts w:ascii="Times New Roman" w:hAnsi="Times New Roman"/>
                      <w:bCs/>
                      <w:sz w:val="16"/>
                      <w:szCs w:val="16"/>
                      <w:vertAlign w:val="superscript"/>
                      <w:lang w:eastAsia="uk-UA"/>
                    </w:rPr>
                    <w:t>ст</w:t>
                  </w:r>
                  <w:r w:rsidRPr="005A615E">
                    <w:rPr>
                      <w:rFonts w:ascii="Times New Roman" w:hAnsi="Times New Roman"/>
                      <w:bCs/>
                      <w:sz w:val="16"/>
                      <w:szCs w:val="16"/>
                      <w:vertAlign w:val="subscript"/>
                      <w:lang w:eastAsia="uk-UA"/>
                    </w:rPr>
                    <w:t>t-1</w:t>
                  </w:r>
                  <w:r w:rsidRPr="005A615E">
                    <w:rPr>
                      <w:rFonts w:ascii="Times New Roman" w:hAnsi="Times New Roman"/>
                      <w:lang w:eastAsia="uk-UA"/>
                    </w:rPr>
                    <w:t>, врахованому в тарифах 2023 року;</w:t>
                  </w:r>
                </w:p>
              </w:tc>
            </w:tr>
            <w:tr w:rsidR="00CF2AC1" w:rsidRPr="005A615E" w:rsidTr="009D417C">
              <w:tc>
                <w:tcPr>
                  <w:tcW w:w="7432" w:type="dxa"/>
                  <w:gridSpan w:val="5"/>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lang w:eastAsia="uk-UA"/>
                    </w:rPr>
                  </w:pPr>
                </w:p>
              </w:tc>
            </w:tr>
            <w:tr w:rsidR="00CF2AC1" w:rsidRPr="005A615E" w:rsidTr="009D417C">
              <w:tc>
                <w:tcPr>
                  <w:tcW w:w="27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70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5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6407" w:type="dxa"/>
                  <w:gridSpan w:val="2"/>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lang w:eastAsia="uk-UA"/>
                    </w:rPr>
                    <w:t>на 2025 рік та на кожний наступний рік, у разі недосягнення у діючих тарифах рівня амортизації A</w:t>
                  </w:r>
                  <w:r w:rsidRPr="005A615E">
                    <w:rPr>
                      <w:rFonts w:ascii="Times New Roman" w:hAnsi="Times New Roman"/>
                      <w:bCs/>
                      <w:sz w:val="16"/>
                      <w:szCs w:val="16"/>
                      <w:vertAlign w:val="superscript"/>
                      <w:lang w:eastAsia="uk-UA"/>
                    </w:rPr>
                    <w:t>o</w:t>
                  </w:r>
                  <w:r w:rsidRPr="005A615E">
                    <w:rPr>
                      <w:rFonts w:ascii="Times New Roman" w:hAnsi="Times New Roman"/>
                      <w:bCs/>
                      <w:sz w:val="16"/>
                      <w:szCs w:val="16"/>
                      <w:vertAlign w:val="subscript"/>
                      <w:lang w:eastAsia="uk-UA"/>
                    </w:rPr>
                    <w:t>t-1</w:t>
                  </w:r>
                  <w:r w:rsidRPr="005A615E">
                    <w:rPr>
                      <w:rFonts w:ascii="Times New Roman" w:hAnsi="Times New Roman"/>
                      <w:lang w:eastAsia="uk-UA"/>
                    </w:rPr>
                    <w:t>, амортизація на активи, створені на дату переходу до стимулюючого регулювання (А</w:t>
                  </w:r>
                  <w:r w:rsidRPr="005A615E">
                    <w:rPr>
                      <w:rFonts w:ascii="Times New Roman" w:hAnsi="Times New Roman"/>
                      <w:bCs/>
                      <w:sz w:val="16"/>
                      <w:szCs w:val="16"/>
                      <w:vertAlign w:val="superscript"/>
                      <w:lang w:eastAsia="uk-UA"/>
                    </w:rPr>
                    <w:t>ст</w:t>
                  </w:r>
                  <w:r w:rsidRPr="005A615E">
                    <w:rPr>
                      <w:rFonts w:ascii="Times New Roman" w:hAnsi="Times New Roman"/>
                      <w:bCs/>
                      <w:sz w:val="16"/>
                      <w:szCs w:val="16"/>
                      <w:vertAlign w:val="subscript"/>
                      <w:lang w:eastAsia="uk-UA"/>
                    </w:rPr>
                    <w:t>t</w:t>
                  </w:r>
                  <w:r w:rsidRPr="005A615E">
                    <w:rPr>
                      <w:rFonts w:ascii="Times New Roman" w:hAnsi="Times New Roman"/>
                      <w:lang w:eastAsia="uk-UA"/>
                    </w:rPr>
                    <w:t>), не повинна перевищувати рівень А</w:t>
                  </w:r>
                  <w:r w:rsidRPr="005A615E">
                    <w:rPr>
                      <w:rFonts w:ascii="Times New Roman" w:hAnsi="Times New Roman"/>
                      <w:bCs/>
                      <w:sz w:val="16"/>
                      <w:szCs w:val="16"/>
                      <w:vertAlign w:val="superscript"/>
                      <w:lang w:eastAsia="uk-UA"/>
                    </w:rPr>
                    <w:t>ст</w:t>
                  </w:r>
                  <w:r w:rsidRPr="005A615E">
                    <w:rPr>
                      <w:rFonts w:ascii="Times New Roman" w:hAnsi="Times New Roman"/>
                      <w:bCs/>
                      <w:sz w:val="16"/>
                      <w:szCs w:val="16"/>
                      <w:vertAlign w:val="subscript"/>
                      <w:lang w:eastAsia="uk-UA"/>
                    </w:rPr>
                    <w:t>t-1</w:t>
                  </w:r>
                  <w:r w:rsidRPr="005A615E">
                    <w:rPr>
                      <w:rFonts w:ascii="Times New Roman" w:hAnsi="Times New Roman"/>
                      <w:lang w:eastAsia="uk-UA"/>
                    </w:rPr>
                    <w:t>, врахований у діючих тарифах з урахуванням коефіцієнта КФУ);</w:t>
                  </w:r>
                </w:p>
              </w:tc>
            </w:tr>
            <w:tr w:rsidR="00CF2AC1" w:rsidRPr="005A615E" w:rsidTr="009D417C">
              <w:tc>
                <w:tcPr>
                  <w:tcW w:w="7432" w:type="dxa"/>
                  <w:gridSpan w:val="5"/>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lang w:eastAsia="uk-UA"/>
                    </w:rPr>
                  </w:pPr>
                </w:p>
              </w:tc>
            </w:tr>
            <w:tr w:rsidR="00CF2AC1" w:rsidRPr="005A615E" w:rsidTr="009D417C">
              <w:tc>
                <w:tcPr>
                  <w:tcW w:w="27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70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5EBA37B1" wp14:editId="28F75ED0">
                        <wp:extent cx="447675" cy="228600"/>
                        <wp:effectExtent l="0" t="0" r="9525" b="0"/>
                        <wp:docPr id="1993780135" name="Рисунок 1993780135" descr="https://zakon.rada.gov.ua/laws/file/imgs/129/p478167n529v7-75.gif">
                          <a:hlinkClick xmlns:a="http://schemas.openxmlformats.org/drawingml/2006/main" r:id="rId1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4962683" descr="https://zakon.rada.gov.ua/laws/file/imgs/129/p478167n529v7-75.gif">
                                  <a:hlinkClick r:id="rId195"/>
                                </pic:cNvPr>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6407" w:type="dxa"/>
                  <w:gridSpan w:val="2"/>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амортизація у році t-1 на активи, віднесені до категорії 1, які створені після переходу на стимулююче регулювання, що розраховується поквартально згідно з </w:t>
                  </w:r>
                  <w:hyperlink r:id="rId197" w:anchor="n316" w:history="1">
                    <w:r w:rsidRPr="005A615E">
                      <w:rPr>
                        <w:rStyle w:val="a9"/>
                        <w:rFonts w:ascii="Times New Roman" w:hAnsi="Times New Roman"/>
                        <w:color w:val="auto"/>
                        <w:lang w:eastAsia="uk-UA"/>
                      </w:rPr>
                      <w:t>додатком 9</w:t>
                    </w:r>
                  </w:hyperlink>
                  <w:r w:rsidRPr="005A615E">
                    <w:rPr>
                      <w:rFonts w:ascii="Times New Roman" w:hAnsi="Times New Roman"/>
                      <w:lang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1, які створені після переходу на стимулююче регулювання, фіксується на рівні, врахованому в тарифах 2023 року, тис. грн;</w:t>
                  </w:r>
                </w:p>
              </w:tc>
            </w:tr>
            <w:tr w:rsidR="00CF2AC1" w:rsidRPr="005A615E" w:rsidTr="009D417C">
              <w:tc>
                <w:tcPr>
                  <w:tcW w:w="7432" w:type="dxa"/>
                  <w:gridSpan w:val="5"/>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lang w:eastAsia="uk-UA"/>
                    </w:rPr>
                  </w:pPr>
                </w:p>
              </w:tc>
            </w:tr>
            <w:tr w:rsidR="00CF2AC1" w:rsidRPr="005A615E" w:rsidTr="009D417C">
              <w:tc>
                <w:tcPr>
                  <w:tcW w:w="27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70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34FD1F6A" wp14:editId="6DAAF4C8">
                        <wp:extent cx="447675" cy="228600"/>
                        <wp:effectExtent l="0" t="0" r="9525" b="0"/>
                        <wp:docPr id="1993780134" name="Рисунок 1993780134" descr="https://zakon.rada.gov.ua/laws/file/imgs/129/p478167n529v7-76.gif">
                          <a:hlinkClick xmlns:a="http://schemas.openxmlformats.org/drawingml/2006/main" r:id="rId1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4962685" descr="https://zakon.rada.gov.ua/laws/file/imgs/129/p478167n529v7-76.gif">
                                  <a:hlinkClick r:id="rId198"/>
                                </pic:cNvPr>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6407" w:type="dxa"/>
                  <w:gridSpan w:val="2"/>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амортизація у році t-1 на активи, віднесені до категорії 2, які створені після переходу на стимулююче регулювання, що розраховується поквартально згідно з </w:t>
                  </w:r>
                  <w:hyperlink r:id="rId200" w:anchor="n316" w:history="1">
                    <w:r w:rsidRPr="005A615E">
                      <w:rPr>
                        <w:rStyle w:val="a9"/>
                        <w:rFonts w:ascii="Times New Roman" w:hAnsi="Times New Roman"/>
                        <w:color w:val="auto"/>
                        <w:lang w:eastAsia="uk-UA"/>
                      </w:rPr>
                      <w:t>додатком 10</w:t>
                    </w:r>
                  </w:hyperlink>
                  <w:r w:rsidRPr="005A615E">
                    <w:rPr>
                      <w:rFonts w:ascii="Times New Roman" w:hAnsi="Times New Roman"/>
                      <w:lang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2, які створені після переходу на стимулююче регулювання, фіксується на рівні, врахованому в тарифах 2023 року), тис. грн;</w:t>
                  </w:r>
                </w:p>
              </w:tc>
            </w:tr>
            <w:tr w:rsidR="00CF2AC1" w:rsidRPr="005A615E" w:rsidTr="009D417C">
              <w:tc>
                <w:tcPr>
                  <w:tcW w:w="7432" w:type="dxa"/>
                  <w:gridSpan w:val="5"/>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lang w:eastAsia="uk-UA"/>
                    </w:rPr>
                  </w:pPr>
                </w:p>
              </w:tc>
            </w:tr>
            <w:tr w:rsidR="00CF2AC1" w:rsidRPr="005A615E" w:rsidTr="009D417C">
              <w:tc>
                <w:tcPr>
                  <w:tcW w:w="27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70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527D7D3D" wp14:editId="333A6C3F">
                        <wp:extent cx="447675" cy="228600"/>
                        <wp:effectExtent l="0" t="0" r="9525" b="0"/>
                        <wp:docPr id="1993780133" name="Рисунок 1993780133" descr="https://zakon.rada.gov.ua/laws/file/imgs/129/p478167n529v7-77.gif">
                          <a:hlinkClick xmlns:a="http://schemas.openxmlformats.org/drawingml/2006/main" r:id="rId2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4962686" descr="https://zakon.rada.gov.ua/laws/file/imgs/129/p478167n529v7-77.gif">
                                  <a:hlinkClick r:id="rId201"/>
                                </pic:cNvPr>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6407" w:type="dxa"/>
                  <w:gridSpan w:val="2"/>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амортизація у році t-1 на активи, віднесені до категорії 3, які отримані після переходу до стимулюючого регулювання, що розраховується поквартально згідно з </w:t>
                  </w:r>
                  <w:hyperlink r:id="rId203" w:anchor="n316" w:history="1">
                    <w:r w:rsidRPr="005A615E">
                      <w:rPr>
                        <w:rStyle w:val="a9"/>
                        <w:rFonts w:ascii="Times New Roman" w:hAnsi="Times New Roman"/>
                        <w:color w:val="auto"/>
                        <w:lang w:eastAsia="uk-UA"/>
                      </w:rPr>
                      <w:t>додатком 11</w:t>
                    </w:r>
                  </w:hyperlink>
                  <w:r w:rsidRPr="005A615E">
                    <w:rPr>
                      <w:rFonts w:ascii="Times New Roman" w:hAnsi="Times New Roman"/>
                      <w:lang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3, які створені після переходу на стимулююче регулювання, фіксується на рівні, врахованому в тарифах 2023 року), тис. грн;</w:t>
                  </w:r>
                </w:p>
              </w:tc>
            </w:tr>
            <w:tr w:rsidR="00CF2AC1" w:rsidRPr="005A615E" w:rsidTr="009D417C">
              <w:tc>
                <w:tcPr>
                  <w:tcW w:w="7432" w:type="dxa"/>
                  <w:gridSpan w:val="5"/>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lang w:eastAsia="uk-UA"/>
                    </w:rPr>
                  </w:pPr>
                </w:p>
              </w:tc>
            </w:tr>
            <w:tr w:rsidR="00CF2AC1" w:rsidRPr="005A615E" w:rsidTr="009D417C">
              <w:tc>
                <w:tcPr>
                  <w:tcW w:w="273"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rPr>
                      <w:rFonts w:ascii="Times New Roman" w:hAnsi="Times New Roman"/>
                      <w:sz w:val="20"/>
                      <w:szCs w:val="20"/>
                      <w:lang w:eastAsia="uk-UA"/>
                    </w:rPr>
                  </w:pPr>
                </w:p>
              </w:tc>
              <w:tc>
                <w:tcPr>
                  <w:tcW w:w="702"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6357739E" wp14:editId="2CFB6039">
                        <wp:extent cx="447675" cy="228600"/>
                        <wp:effectExtent l="0" t="0" r="9525" b="0"/>
                        <wp:docPr id="1993780132" name="Рисунок 1993780132" descr="https://zakon.rada.gov.ua/laws/file/imgs/129/p478167n529v7-78.gif">
                          <a:hlinkClick xmlns:a="http://schemas.openxmlformats.org/drawingml/2006/main" r:id="rId2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34962687" descr="https://zakon.rada.gov.ua/laws/file/imgs/129/p478167n529v7-78.gif">
                                  <a:hlinkClick r:id="rId204"/>
                                </pic:cNvPr>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6407" w:type="dxa"/>
                  <w:gridSpan w:val="2"/>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амортизація у році t-1 на активи, віднесені до категорії 4, які створені після переходу до стимулюючого регулювання, що розраховується поквартально згідно з </w:t>
                  </w:r>
                  <w:hyperlink r:id="rId206" w:anchor="n316" w:history="1">
                    <w:r w:rsidRPr="005A615E">
                      <w:rPr>
                        <w:rStyle w:val="a9"/>
                        <w:rFonts w:ascii="Times New Roman" w:hAnsi="Times New Roman"/>
                        <w:color w:val="auto"/>
                        <w:lang w:eastAsia="uk-UA"/>
                      </w:rPr>
                      <w:t>додатком 12</w:t>
                    </w:r>
                  </w:hyperlink>
                  <w:r w:rsidRPr="005A615E">
                    <w:rPr>
                      <w:rFonts w:ascii="Times New Roman" w:hAnsi="Times New Roman"/>
                      <w:lang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4, які створені після переходу на стимулююче регулювання, фіксується на рівні, врахованому в тарифах 2023 року), тис. грн.</w:t>
                  </w:r>
                </w:p>
              </w:tc>
            </w:tr>
          </w:tbl>
          <w:p w:rsidR="00CF2AC1" w:rsidRPr="005A615E" w:rsidRDefault="00CF2AC1" w:rsidP="00CF2AC1">
            <w:pPr>
              <w:shd w:val="clear" w:color="auto" w:fill="FFFFFF"/>
              <w:spacing w:after="150"/>
              <w:ind w:firstLine="450"/>
              <w:jc w:val="both"/>
              <w:rPr>
                <w:rFonts w:ascii="Times New Roman" w:eastAsia="Times New Roman" w:hAnsi="Times New Roman"/>
                <w:lang w:eastAsia="uk-UA"/>
              </w:rPr>
            </w:pPr>
          </w:p>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для другого регуляторного періоду за формулою 21,</w:t>
            </w:r>
          </w:p>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rPr>
              <w:t xml:space="preserve">де </w:t>
            </w:r>
            <w:r w:rsidRPr="005A615E">
              <w:rPr>
                <w:rFonts w:ascii="Times New Roman" w:hAnsi="Times New Roman"/>
                <w:noProof/>
                <w:lang w:eastAsia="uk-UA"/>
              </w:rPr>
              <w:drawing>
                <wp:inline distT="0" distB="0" distL="0" distR="0" wp14:anchorId="42A72CCB" wp14:editId="226E4988">
                  <wp:extent cx="257175" cy="228600"/>
                  <wp:effectExtent l="0" t="0" r="9525" b="0"/>
                  <wp:docPr id="1993780131" name="Рисунок 1993780131" descr="https://zakon.rada.gov.ua/laws/file/imgs/129/p478167n529v7-74.gif">
                    <a:hlinkClick xmlns:a="http://schemas.openxmlformats.org/drawingml/2006/main" r:id="rId1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36" descr="https://zakon.rada.gov.ua/laws/file/imgs/129/p478167n529v7-74.gif">
                            <a:hlinkClick r:id="rId193"/>
                          </pic:cNvPr>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5A615E">
              <w:rPr>
                <w:rFonts w:ascii="Times New Roman" w:hAnsi="Times New Roman"/>
              </w:rPr>
              <w:t>– дорівнює регуляторній амортизації на активи, створені на дату переходу до стимулюючого регулювання (А</w:t>
            </w:r>
            <w:r w:rsidRPr="005A615E">
              <w:rPr>
                <w:rFonts w:ascii="Times New Roman" w:hAnsi="Times New Roman"/>
                <w:vertAlign w:val="superscript"/>
              </w:rPr>
              <w:t>0</w:t>
            </w:r>
            <w:r w:rsidRPr="005A615E">
              <w:rPr>
                <w:rFonts w:ascii="Times New Roman" w:hAnsi="Times New Roman"/>
              </w:rPr>
              <w:t>), розрахованій згідно з Порядком визначення регуляторної бази активів. Якщо А</w:t>
            </w:r>
            <w:r w:rsidRPr="005A615E">
              <w:rPr>
                <w:rFonts w:ascii="Times New Roman" w:hAnsi="Times New Roman"/>
                <w:vertAlign w:val="superscript"/>
              </w:rPr>
              <w:t>0</w:t>
            </w:r>
            <w:r w:rsidRPr="005A615E">
              <w:rPr>
                <w:rFonts w:ascii="Times New Roman" w:hAnsi="Times New Roman"/>
              </w:rPr>
              <w:t xml:space="preserve"> перевищує рівень амортизації, врахований у діючих тарифах на дату переходу до стимулюючого регулювання, на величину понад 25 %, то А</w:t>
            </w:r>
            <w:r w:rsidRPr="005A615E">
              <w:rPr>
                <w:rFonts w:ascii="Times New Roman" w:hAnsi="Times New Roman"/>
                <w:vertAlign w:val="superscript"/>
              </w:rPr>
              <w:t>ст</w:t>
            </w:r>
            <w:r w:rsidRPr="005A615E">
              <w:rPr>
                <w:rFonts w:ascii="Times New Roman" w:hAnsi="Times New Roman"/>
              </w:rPr>
              <w:t xml:space="preserve"> щорічно збільшується на 25 % (на перший рік другого регуляторного періоду – від рівня амортизації, врахованого останньою структурою тарифів, на наступні роки – від рівня амортизації А</w:t>
            </w:r>
            <w:r w:rsidRPr="005A615E">
              <w:rPr>
                <w:rFonts w:ascii="Times New Roman" w:hAnsi="Times New Roman"/>
                <w:vertAlign w:val="superscript"/>
              </w:rPr>
              <w:t>ст</w:t>
            </w:r>
            <w:r w:rsidRPr="005A615E">
              <w:rPr>
                <w:rFonts w:ascii="Times New Roman" w:hAnsi="Times New Roman"/>
                <w:vertAlign w:val="subscript"/>
              </w:rPr>
              <w:t>t-1</w:t>
            </w:r>
            <w:r w:rsidRPr="005A615E">
              <w:rPr>
                <w:rFonts w:ascii="Times New Roman" w:hAnsi="Times New Roman"/>
              </w:rPr>
              <w:t>, врахованого в тарифах попереднього року)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 (для ліцензіатів, перелік яких наведено в додатку 30 до цього Порядку, на перший рік другого регуляторного періоду – від рівня амортизації, врахованого останньою структурою тарифів, з урахуванням коефіцієнта КФУ на наступні роки – від рівня амортизації А</w:t>
            </w:r>
            <w:r w:rsidRPr="005A615E">
              <w:rPr>
                <w:rFonts w:ascii="Times New Roman" w:hAnsi="Times New Roman"/>
                <w:vertAlign w:val="superscript"/>
              </w:rPr>
              <w:t>ст</w:t>
            </w:r>
            <w:r w:rsidRPr="005A615E">
              <w:rPr>
                <w:rFonts w:ascii="Times New Roman" w:hAnsi="Times New Roman"/>
                <w:vertAlign w:val="subscript"/>
              </w:rPr>
              <w:t>t-1</w:t>
            </w:r>
            <w:r w:rsidRPr="005A615E">
              <w:rPr>
                <w:rFonts w:ascii="Times New Roman" w:hAnsi="Times New Roman"/>
              </w:rPr>
              <w:t>, врахованого в тарифах попереднього року з урахуванням коефіцієнта КФУ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Пропонуємо передбачити механізм повернення недоотриманої амортизації за перший регуляторний період для ОСР, для яких був запроваджений механізм її стримування.</w:t>
            </w:r>
          </w:p>
          <w:p w:rsidR="00CF2AC1" w:rsidRPr="005A615E" w:rsidRDefault="00CF2AC1" w:rsidP="00CF2AC1">
            <w:pPr>
              <w:jc w:val="both"/>
              <w:rPr>
                <w:rFonts w:ascii="Times New Roman" w:hAnsi="Times New Roman"/>
                <w:shd w:val="clear" w:color="auto" w:fill="FFFFFF"/>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 xml:space="preserve">АТ «Прикарпаттяобленерго» (лист </w:t>
            </w:r>
            <w:r w:rsidRPr="005A615E">
              <w:rPr>
                <w:rFonts w:ascii="Times New Roman" w:hAnsi="Times New Roman"/>
                <w:b/>
                <w:u w:val="single"/>
              </w:rPr>
              <w:br/>
              <w:t>від 27.07.2026 № 50012257/12)</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lang w:eastAsia="uk-UA"/>
              </w:rPr>
              <w:t xml:space="preserve">Пропонуємо також передбачити механізм повернення різниці між регуляторною амортизацією </w:t>
            </w:r>
            <w:r w:rsidRPr="005A615E">
              <w:rPr>
                <w:rFonts w:ascii="Times New Roman" w:hAnsi="Times New Roman"/>
              </w:rPr>
              <w:t>на активи, створені на дату переходу до стимулюючого регулювання та  амортизацією врахованою в структурі тарифів за перший регуляторний період.</w:t>
            </w:r>
          </w:p>
          <w:p w:rsidR="00CF2AC1" w:rsidRPr="005A615E" w:rsidRDefault="00CF2AC1" w:rsidP="00CF2AC1">
            <w:pPr>
              <w:jc w:val="both"/>
              <w:rPr>
                <w:rFonts w:ascii="Times New Roman" w:hAnsi="Times New Roman"/>
                <w:b/>
                <w:u w:val="single"/>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«ЧЕРНІГІВОБЛЕНЕРГО» (лист від 24.07.2026 № 49/9422/01-14)</w:t>
            </w:r>
          </w:p>
          <w:p w:rsidR="00CF2AC1" w:rsidRPr="005A615E" w:rsidRDefault="00CF2AC1" w:rsidP="00CF2AC1">
            <w:pPr>
              <w:jc w:val="both"/>
              <w:rPr>
                <w:rFonts w:ascii="Times New Roman" w:hAnsi="Times New Roman"/>
              </w:rPr>
            </w:pPr>
            <w:r w:rsidRPr="005A615E">
              <w:rPr>
                <w:rFonts w:ascii="Times New Roman" w:hAnsi="Times New Roman"/>
              </w:rPr>
              <w:t>5.12. Амортизація в році t першого року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p>
          <w:p w:rsidR="00CF2AC1" w:rsidRPr="005A615E" w:rsidRDefault="00CF2AC1" w:rsidP="00CF2AC1">
            <w:pPr>
              <w:jc w:val="both"/>
              <w:rPr>
                <w:rFonts w:ascii="Times New Roman" w:hAnsi="Times New Roman"/>
              </w:rPr>
            </w:pPr>
            <w:r w:rsidRPr="005A615E">
              <w:rPr>
                <w:rFonts w:ascii="Times New Roman" w:hAnsi="Times New Roman"/>
              </w:rPr>
              <w:t>…</w:t>
            </w:r>
          </w:p>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для другого регуляторного періоду за формулою 21,</w:t>
            </w:r>
          </w:p>
          <w:p w:rsidR="00CF2AC1" w:rsidRPr="005A615E" w:rsidRDefault="00CF2AC1" w:rsidP="00CF2AC1">
            <w:pPr>
              <w:shd w:val="clear" w:color="auto" w:fill="FFFFFF"/>
              <w:spacing w:after="150"/>
              <w:ind w:firstLine="173"/>
              <w:jc w:val="both"/>
              <w:rPr>
                <w:rFonts w:ascii="Times New Roman" w:hAnsi="Times New Roman"/>
              </w:rPr>
            </w:pPr>
            <w:r w:rsidRPr="005A615E">
              <w:rPr>
                <w:rFonts w:ascii="Times New Roman" w:hAnsi="Times New Roman"/>
              </w:rPr>
              <w:t xml:space="preserve">де </w:t>
            </w:r>
            <w:r w:rsidRPr="005A615E">
              <w:rPr>
                <w:noProof/>
                <w:lang w:eastAsia="uk-UA"/>
              </w:rPr>
              <w:drawing>
                <wp:inline distT="0" distB="0" distL="0" distR="0" wp14:anchorId="7C079B74" wp14:editId="4AE3A20F">
                  <wp:extent cx="257175" cy="228600"/>
                  <wp:effectExtent l="0" t="0" r="9525" b="0"/>
                  <wp:docPr id="792200256" name="Рисунок 792200256" descr="https://zakon.rada.gov.ua/laws/file/imgs/129/p478167n529v7-74.gif">
                    <a:hlinkClick xmlns:a="http://schemas.openxmlformats.org/drawingml/2006/main" r:id="rId1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36" descr="https://zakon.rada.gov.ua/laws/file/imgs/129/p478167n529v7-74.gif"/>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5A615E">
              <w:rPr>
                <w:rFonts w:ascii="Times New Roman" w:hAnsi="Times New Roman"/>
              </w:rPr>
              <w:t>– дорівнює регуляторній амортизації на активи, створені на дату переходу до стимулюючого регулювання (Ао), розрахованій згідно з Порядком визначення регуляторної бази активів. Якщо А</w:t>
            </w:r>
            <w:r w:rsidRPr="005A615E">
              <w:rPr>
                <w:rFonts w:ascii="Times New Roman" w:hAnsi="Times New Roman"/>
                <w:vertAlign w:val="subscript"/>
              </w:rPr>
              <w:t>0</w:t>
            </w:r>
            <w:r w:rsidRPr="005A615E">
              <w:rPr>
                <w:rFonts w:ascii="Times New Roman" w:hAnsi="Times New Roman"/>
              </w:rPr>
              <w:t xml:space="preserve"> перевищує рівень амортизації, врахований в діючих тарифах на дату переходу до стимулюючого регулювання, </w:t>
            </w:r>
            <w:r w:rsidRPr="005A615E">
              <w:rPr>
                <w:rFonts w:ascii="Times New Roman" w:hAnsi="Times New Roman"/>
                <w:b/>
              </w:rPr>
              <w:t>на величину понад 50%, то А</w:t>
            </w:r>
            <w:r w:rsidRPr="005A615E">
              <w:rPr>
                <w:rFonts w:ascii="Times New Roman" w:hAnsi="Times New Roman"/>
                <w:vertAlign w:val="superscript"/>
              </w:rPr>
              <w:t>ст</w:t>
            </w:r>
            <w:r w:rsidRPr="005A615E">
              <w:rPr>
                <w:rFonts w:ascii="Times New Roman" w:hAnsi="Times New Roman"/>
                <w:b/>
              </w:rPr>
              <w:t xml:space="preserve"> щорічно збільшується на 50%</w:t>
            </w:r>
            <w:r w:rsidRPr="005A615E">
              <w:rPr>
                <w:rFonts w:ascii="Times New Roman" w:hAnsi="Times New Roman"/>
              </w:rPr>
              <w:t xml:space="preserve"> </w:t>
            </w:r>
            <w:r w:rsidRPr="005A615E">
              <w:rPr>
                <w:rFonts w:ascii="Times New Roman" w:hAnsi="Times New Roman"/>
                <w:b/>
              </w:rPr>
              <w:t xml:space="preserve">(на перший рік другого регуляторного періоду - від рівня амортизації, врахованого в структурі тарифів на 2020 рік) </w:t>
            </w:r>
            <w:r w:rsidRPr="005A615E">
              <w:rPr>
                <w:rFonts w:ascii="Times New Roman" w:hAnsi="Times New Roman"/>
              </w:rPr>
              <w:t>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 (для ліцензіатів, перелік яких наведено в додатку 30 до цього Порядку, на перший рік другого регуляторного періоду – від рівня  амортизації, врахованого останньою структурою тарифів,  з урахуванням коефіцієнта КФУ на наступні роки – від рівня амортизації А</w:t>
            </w:r>
            <w:r w:rsidRPr="005A615E">
              <w:rPr>
                <w:rFonts w:ascii="Times New Roman" w:hAnsi="Times New Roman"/>
                <w:vertAlign w:val="superscript"/>
              </w:rPr>
              <w:t>ст</w:t>
            </w:r>
            <w:r w:rsidRPr="005A615E">
              <w:rPr>
                <w:rFonts w:ascii="Times New Roman" w:hAnsi="Times New Roman"/>
                <w:vertAlign w:val="subscript"/>
              </w:rPr>
              <w:t>t-1</w:t>
            </w:r>
            <w:r w:rsidRPr="005A615E">
              <w:rPr>
                <w:rFonts w:ascii="Times New Roman" w:hAnsi="Times New Roman"/>
              </w:rPr>
              <w:t>, врахованого в тарифах попереднього року з урахуванням коефіцієнта КФУ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keepNext/>
              <w:keepLines/>
              <w:jc w:val="both"/>
              <w:outlineLvl w:val="0"/>
              <w:rPr>
                <w:rFonts w:ascii="Times New Roman" w:hAnsi="Times New Roman"/>
              </w:rPr>
            </w:pPr>
            <w:r w:rsidRPr="005A615E">
              <w:rPr>
                <w:rFonts w:ascii="Times New Roman" w:hAnsi="Times New Roman"/>
              </w:rPr>
              <w:t>Обмеження темпів зростання регуляторної амортизації в тарифах зменшує обсяг інвестиційних ресурсів ОСР та  джерела відновлення активів.</w:t>
            </w:r>
          </w:p>
          <w:p w:rsidR="00CF2AC1" w:rsidRPr="005A615E" w:rsidRDefault="00CF2AC1" w:rsidP="00CF2AC1">
            <w:pPr>
              <w:jc w:val="both"/>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lang w:eastAsia="uk-UA"/>
              </w:rPr>
            </w:pPr>
            <w:r w:rsidRPr="005A615E">
              <w:rPr>
                <w:b/>
                <w:noProof/>
                <w:lang w:eastAsia="uk-UA"/>
              </w:rPr>
              <w:drawing>
                <wp:inline distT="0" distB="0" distL="0" distR="0" wp14:anchorId="19CCE91A" wp14:editId="65174124">
                  <wp:extent cx="257175" cy="228600"/>
                  <wp:effectExtent l="0" t="0" r="9525" b="0"/>
                  <wp:docPr id="1632178336" name="Рисунок 1632178336" descr="https://zakon.rada.gov.ua/laws/file/imgs/129/p478167n529v7-74.gif">
                    <a:hlinkClick xmlns:a="http://schemas.openxmlformats.org/drawingml/2006/main" r:id="rId1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akon.rada.gov.ua/laws/file/imgs/129/p478167n529v7-74.gif">
                            <a:hlinkClick r:id="rId193"/>
                          </pic:cNvPr>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5A615E">
              <w:rPr>
                <w:rFonts w:ascii="Times New Roman" w:hAnsi="Times New Roman"/>
              </w:rPr>
              <w:t xml:space="preserve">– </w:t>
            </w:r>
            <w:r w:rsidRPr="005A615E">
              <w:rPr>
                <w:rFonts w:ascii="Times New Roman" w:hAnsi="Times New Roman"/>
                <w:lang w:eastAsia="uk-UA"/>
              </w:rPr>
              <w:t>дорівнює регуляторній амортизації на активи, створені на дату переходу до стимулюючого регулювання (А</w:t>
            </w:r>
            <w:r w:rsidRPr="005A615E">
              <w:rPr>
                <w:rFonts w:ascii="Times New Roman" w:hAnsi="Times New Roman"/>
                <w:bCs/>
                <w:vertAlign w:val="subscript"/>
                <w:lang w:eastAsia="uk-UA"/>
              </w:rPr>
              <w:t>о</w:t>
            </w:r>
            <w:r w:rsidRPr="005A615E">
              <w:rPr>
                <w:rFonts w:ascii="Times New Roman" w:hAnsi="Times New Roman"/>
                <w:lang w:eastAsia="uk-UA"/>
              </w:rPr>
              <w:t>), розрахованій згідно з Порядком визначення регуляторної бази активів. Якщо А</w:t>
            </w:r>
            <w:r w:rsidRPr="005A615E">
              <w:rPr>
                <w:rFonts w:ascii="Times New Roman" w:hAnsi="Times New Roman"/>
                <w:bCs/>
                <w:vertAlign w:val="superscript"/>
                <w:lang w:eastAsia="uk-UA"/>
              </w:rPr>
              <w:t>-0</w:t>
            </w:r>
            <w:r w:rsidRPr="005A615E">
              <w:rPr>
                <w:rFonts w:ascii="Times New Roman" w:hAnsi="Times New Roman"/>
                <w:lang w:eastAsia="uk-UA"/>
              </w:rPr>
              <w:t xml:space="preserve"> перевищує рівень амортизації, врахований в діючих тарифах на дату переходу до стимулюючого регулювання, на величину понад </w:t>
            </w:r>
            <w:r w:rsidRPr="005A615E">
              <w:rPr>
                <w:rFonts w:ascii="Times New Roman" w:hAnsi="Times New Roman"/>
                <w:bCs/>
                <w:i/>
                <w:iCs/>
                <w:strike/>
              </w:rPr>
              <w:t xml:space="preserve"> 25 %,</w:t>
            </w:r>
            <w:r w:rsidRPr="005A615E">
              <w:rPr>
                <w:rFonts w:ascii="Times New Roman" w:hAnsi="Times New Roman"/>
                <w:lang w:eastAsia="uk-UA"/>
              </w:rPr>
              <w:t xml:space="preserve">  50% то А</w:t>
            </w:r>
            <w:r w:rsidRPr="005A615E">
              <w:rPr>
                <w:rFonts w:ascii="Times New Roman" w:hAnsi="Times New Roman"/>
                <w:bCs/>
                <w:vertAlign w:val="superscript"/>
                <w:lang w:eastAsia="uk-UA"/>
              </w:rPr>
              <w:t>ст</w:t>
            </w:r>
            <w:r w:rsidRPr="005A615E">
              <w:rPr>
                <w:rFonts w:ascii="Times New Roman" w:hAnsi="Times New Roman"/>
                <w:lang w:eastAsia="uk-UA"/>
              </w:rPr>
              <w:t xml:space="preserve"> щорічно збільшується на </w:t>
            </w:r>
            <w:r w:rsidRPr="005A615E">
              <w:rPr>
                <w:rFonts w:ascii="Times New Roman" w:hAnsi="Times New Roman"/>
                <w:bCs/>
                <w:i/>
                <w:iCs/>
                <w:strike/>
              </w:rPr>
              <w:t>25 %,</w:t>
            </w:r>
            <w:r w:rsidRPr="005A615E">
              <w:rPr>
                <w:rFonts w:ascii="Times New Roman" w:hAnsi="Times New Roman"/>
                <w:lang w:eastAsia="uk-UA"/>
              </w:rPr>
              <w:t xml:space="preserve">  50%  (на перший рік другого регуляторного періоду - від рівня амортизації, врахованого останньою структурою тарифів, на наступні роки - від рівня амортизації </w:t>
            </w:r>
            <w:r w:rsidRPr="005A615E">
              <w:rPr>
                <w:rFonts w:ascii="Times New Roman" w:hAnsi="Times New Roman"/>
                <w:bCs/>
                <w:lang w:eastAsia="uk-UA"/>
              </w:rPr>
              <w:t>А</w:t>
            </w:r>
            <w:r w:rsidRPr="005A615E">
              <w:rPr>
                <w:rFonts w:ascii="Times New Roman" w:hAnsi="Times New Roman"/>
                <w:bCs/>
                <w:vertAlign w:val="superscript"/>
                <w:lang w:eastAsia="uk-UA"/>
              </w:rPr>
              <w:t>ст</w:t>
            </w:r>
            <w:r w:rsidRPr="005A615E">
              <w:rPr>
                <w:rFonts w:ascii="Times New Roman" w:hAnsi="Times New Roman"/>
                <w:bCs/>
                <w:vertAlign w:val="subscript"/>
                <w:lang w:eastAsia="uk-UA"/>
              </w:rPr>
              <w:t>t-1</w:t>
            </w:r>
            <w:r w:rsidRPr="005A615E">
              <w:rPr>
                <w:rFonts w:ascii="Times New Roman" w:hAnsi="Times New Roman"/>
                <w:lang w:eastAsia="uk-UA"/>
              </w:rPr>
              <w:t>, врахованого в тарифах попереднього року) до досягнення рівня А</w:t>
            </w:r>
            <w:r w:rsidRPr="005A615E">
              <w:rPr>
                <w:rFonts w:ascii="Times New Roman" w:hAnsi="Times New Roman"/>
                <w:bCs/>
                <w:vertAlign w:val="superscript"/>
                <w:lang w:eastAsia="uk-UA"/>
              </w:rPr>
              <w:t>-0</w:t>
            </w:r>
            <w:r w:rsidRPr="005A615E">
              <w:rPr>
                <w:rFonts w:ascii="Times New Roman" w:hAnsi="Times New Roman"/>
                <w:bCs/>
                <w:vertAlign w:val="subscript"/>
                <w:lang w:eastAsia="uk-UA"/>
              </w:rPr>
              <w:t>t</w:t>
            </w:r>
            <w:r w:rsidRPr="005A615E">
              <w:rPr>
                <w:rFonts w:ascii="Times New Roman" w:hAnsi="Times New Roman"/>
                <w:lang w:eastAsia="uk-UA"/>
              </w:rPr>
              <w:t>. (для ліцензіатів, перелік яких наведено в </w:t>
            </w:r>
            <w:hyperlink r:id="rId208" w:anchor="n649" w:history="1">
              <w:r w:rsidRPr="005A615E">
                <w:rPr>
                  <w:rFonts w:ascii="Times New Roman" w:hAnsi="Times New Roman"/>
                  <w:lang w:eastAsia="uk-UA"/>
                </w:rPr>
                <w:t>додатку 30</w:t>
              </w:r>
            </w:hyperlink>
            <w:r w:rsidRPr="005A615E">
              <w:rPr>
                <w:rFonts w:ascii="Times New Roman" w:hAnsi="Times New Roman"/>
                <w:lang w:eastAsia="uk-UA"/>
              </w:rPr>
              <w:t> до цього Порядку, на перший рік другого регуляторного періоду - від рівня амортизації, врахованого останньою структурою тарифів,  з урахуванням коефіцієнта КФУ на наступні роки - від рівня амортизації Астt-1, врахованого в тарифах попереднього року з урахуванням коефіцієнта КФУ).</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 xml:space="preserve">АТ «Чернівціобленерго» заперечує даний підхід Регулятора щодо розрахунку регуляторної амортизації для другого періоду. </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Порядком встановлення (формування) тарифів на послуги з розподілу електричної енергії, затвердженого постановою НКРЕКП від 05.10.2018 року №1175, на перший регуляторний період було передбачено, що рівень амортизації щорічно збільшується на 50 % від рівня амортизації, врахованого в діючих тарифах на дату переходу до стимулюючого регулювання, до досягнення її повного значення (1/30)..</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Водночас, за рішенням НКРЕКП на 2023 - 2026 роки, амортизація на активи, створені на дату переходу до стимулюючого регулювання зафіксовано на рівні амортизації врахованої в тарифах 2022 року.</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Штучне стримування росту амортизації та її фіксація на рівні 2022 року призвело до недофінансування джерел Інвестиційних програм АТ «ЧЕРНІВЦІОБЛЕНЕРГО» 2021 - 2026 років, за джерелом «Амортизаційні відрахування», на загальну суму 509 397 тис.грн., а саме:</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2021 рік: - 116 459 тис.грн;</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2022 рік: - 80 422 тис.грн.;</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2023 рік: - 79 255 тис.грн ;</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2024 рік: - 79 009 тис.грн ;</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2025 рік: - 77 914 тис.грн ;</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2026 рік: - 76 339 тис.грн .</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Таким чином, за період дії стимулюючого регулювання (RAB-регулювання), рівень тарифної амортизації на активи, створені на дату переходу до стимулюючого регулювання, фактично не досяг економічно обґрунтованих (відновлювальних) показників вартості активів.</w:t>
            </w:r>
          </w:p>
          <w:p w:rsidR="00CF2AC1" w:rsidRPr="005A615E" w:rsidRDefault="00CF2AC1" w:rsidP="00CF2AC1">
            <w:pPr>
              <w:jc w:val="both"/>
              <w:rPr>
                <w:rFonts w:ascii="Times New Roman" w:hAnsi="Times New Roman"/>
                <w:lang w:eastAsia="uk-UA"/>
              </w:rPr>
            </w:pPr>
            <w:r w:rsidRPr="005A615E">
              <w:rPr>
                <w:rFonts w:ascii="Times New Roman" w:hAnsi="Times New Roman"/>
                <w:lang w:eastAsia="uk-UA"/>
              </w:rPr>
              <w:t>Це свідчить про наявність системного розриву між регуляторно-визначеним рівнем амортизаційних відрахувань та реальною відновлювальною вартістю основних засобів, що не забезпечує повного відтворення регуляторної бази активів.</w:t>
            </w:r>
          </w:p>
          <w:p w:rsidR="00CF2AC1" w:rsidRPr="005A615E" w:rsidRDefault="00CF2AC1" w:rsidP="00CF2AC1">
            <w:pPr>
              <w:jc w:val="both"/>
              <w:rPr>
                <w:rFonts w:ascii="Times New Roman" w:hAnsi="Times New Roman"/>
                <w:lang w:eastAsia="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«Харківобленерго» (лист від 27.07.2026 № 02-34/7102), АТ «УКРАЇНСЬКІ РОЗПОДІЛЬНІ МЕРЕЖІ» (лист від 27.07.2026 № 27/07/26-2)</w:t>
            </w:r>
          </w:p>
          <w:p w:rsidR="00CF2AC1" w:rsidRPr="005A615E" w:rsidRDefault="00CF2AC1" w:rsidP="00CF2AC1">
            <w:pPr>
              <w:shd w:val="clear" w:color="auto" w:fill="FFFFFF"/>
              <w:spacing w:after="150"/>
              <w:jc w:val="both"/>
              <w:rPr>
                <w:rFonts w:ascii="Times New Roman" w:hAnsi="Times New Roman"/>
                <w:lang w:eastAsia="uk-UA"/>
              </w:rPr>
            </w:pPr>
            <w:r w:rsidRPr="005A615E">
              <w:rPr>
                <w:rFonts w:ascii="Times New Roman" w:hAnsi="Times New Roman"/>
                <w:lang w:eastAsia="uk-UA"/>
              </w:rPr>
              <w:t>для другого регуляторного періоду за формулою 21,</w:t>
            </w:r>
          </w:p>
          <w:p w:rsidR="00CF2AC1" w:rsidRPr="005A615E" w:rsidRDefault="00CF2AC1" w:rsidP="00CF2AC1">
            <w:pPr>
              <w:ind w:firstLine="308"/>
              <w:jc w:val="both"/>
              <w:rPr>
                <w:rFonts w:ascii="Times New Roman" w:hAnsi="Times New Roman"/>
              </w:rPr>
            </w:pPr>
            <w:r w:rsidRPr="005A615E">
              <w:rPr>
                <w:rFonts w:ascii="Times New Roman" w:hAnsi="Times New Roman"/>
              </w:rPr>
              <w:t xml:space="preserve">де </w:t>
            </w:r>
            <w:r w:rsidRPr="005A615E">
              <w:rPr>
                <w:rFonts w:ascii="Times New Roman" w:hAnsi="Times New Roman"/>
                <w:noProof/>
                <w:lang w:eastAsia="uk-UA"/>
              </w:rPr>
              <w:drawing>
                <wp:inline distT="0" distB="0" distL="0" distR="0" wp14:anchorId="482AF2D8" wp14:editId="32B33078">
                  <wp:extent cx="257175" cy="228600"/>
                  <wp:effectExtent l="0" t="0" r="9525" b="0"/>
                  <wp:docPr id="792200260" name="Рисунок 792200260" descr="https://zakon.rada.gov.ua/laws/file/imgs/129/p478167n529v7-74.gif">
                    <a:hlinkClick xmlns:a="http://schemas.openxmlformats.org/drawingml/2006/main" r:id="rId1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36" descr="https://zakon.rada.gov.ua/laws/file/imgs/129/p478167n529v7-74.gif">
                            <a:hlinkClick r:id="rId193"/>
                          </pic:cNvPr>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5A615E">
              <w:rPr>
                <w:rFonts w:ascii="Times New Roman" w:hAnsi="Times New Roman"/>
              </w:rPr>
              <w:t>– дорівнює регуляторній амортизації на активи, створені на дату переходу до стимулюючого регулювання (А</w:t>
            </w:r>
            <w:r w:rsidRPr="005A615E">
              <w:rPr>
                <w:rFonts w:ascii="Times New Roman" w:hAnsi="Times New Roman"/>
                <w:vertAlign w:val="superscript"/>
              </w:rPr>
              <w:t>0</w:t>
            </w:r>
            <w:r w:rsidRPr="005A615E">
              <w:rPr>
                <w:rFonts w:ascii="Times New Roman" w:hAnsi="Times New Roman"/>
              </w:rPr>
              <w:t>), розрахованій згідно з Порядком визначення регуляторної бази активів. Якщо А</w:t>
            </w:r>
            <w:r w:rsidRPr="005A615E">
              <w:rPr>
                <w:rFonts w:ascii="Times New Roman" w:hAnsi="Times New Roman"/>
                <w:vertAlign w:val="superscript"/>
              </w:rPr>
              <w:t>0</w:t>
            </w:r>
            <w:r w:rsidRPr="005A615E">
              <w:rPr>
                <w:rFonts w:ascii="Times New Roman" w:hAnsi="Times New Roman"/>
              </w:rPr>
              <w:t xml:space="preserve"> перевищує рівень амортизації, врахований у діючих тарифах на дату переходу до стимулюючого регулювання, то А</w:t>
            </w:r>
            <w:r w:rsidRPr="005A615E">
              <w:rPr>
                <w:rFonts w:ascii="Times New Roman" w:hAnsi="Times New Roman"/>
                <w:vertAlign w:val="superscript"/>
              </w:rPr>
              <w:t>ст</w:t>
            </w:r>
            <w:r w:rsidRPr="005A615E">
              <w:rPr>
                <w:rFonts w:ascii="Times New Roman" w:hAnsi="Times New Roman"/>
              </w:rPr>
              <w:t xml:space="preserve"> збільшується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 xml:space="preserve">. </w:t>
            </w:r>
            <w:r w:rsidRPr="005A615E">
              <w:rPr>
                <w:rFonts w:ascii="Times New Roman" w:hAnsi="Times New Roman"/>
                <w:u w:val="single"/>
              </w:rPr>
              <w:t>(але не більше ніж за два роки)</w:t>
            </w:r>
            <w:r w:rsidRPr="005A615E">
              <w:rPr>
                <w:rFonts w:ascii="Times New Roman" w:hAnsi="Times New Roman"/>
              </w:rPr>
              <w:t xml:space="preserve"> (для ліцензіатів, перелік яких наведено в додатку 30 до цього Порядку, на перший рік другого регуляторного періоду – від рівня амортизації, врахованого останньою структурою тарифів, з урахуванням коефіцієнта КФУ на наступні роки – від рівня амортизації А</w:t>
            </w:r>
            <w:r w:rsidRPr="005A615E">
              <w:rPr>
                <w:rFonts w:ascii="Times New Roman" w:hAnsi="Times New Roman"/>
                <w:vertAlign w:val="superscript"/>
              </w:rPr>
              <w:t>ст</w:t>
            </w:r>
            <w:r w:rsidRPr="005A615E">
              <w:rPr>
                <w:rFonts w:ascii="Times New Roman" w:hAnsi="Times New Roman"/>
                <w:vertAlign w:val="subscript"/>
              </w:rPr>
              <w:t>t-1</w:t>
            </w:r>
            <w:r w:rsidRPr="005A615E">
              <w:rPr>
                <w:rFonts w:ascii="Times New Roman" w:hAnsi="Times New Roman"/>
              </w:rPr>
              <w:t>, врахованого в тарифах попереднього року з урахуванням коефіцієнта КФУ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w:t>
            </w:r>
          </w:p>
          <w:p w:rsidR="00CF2AC1" w:rsidRPr="005A615E" w:rsidRDefault="00CF2AC1" w:rsidP="00CF2AC1">
            <w:pPr>
              <w:jc w:val="both"/>
              <w:rPr>
                <w:rFonts w:ascii="Times New Roman" w:hAnsi="Times New Roman"/>
                <w:u w:val="single"/>
              </w:rPr>
            </w:pPr>
            <w:r w:rsidRPr="005A615E">
              <w:rPr>
                <w:rFonts w:ascii="Times New Roman" w:hAnsi="Times New Roman"/>
                <w:u w:val="single"/>
              </w:rPr>
              <w:t>Крім того, протягом другого регуляторного періоду підлягає поверненню через тарифний дохід недоотримана частина амортизації за перший регуляторний період.</w:t>
            </w:r>
          </w:p>
          <w:p w:rsidR="00CF2AC1" w:rsidRPr="005A615E" w:rsidRDefault="00CF2AC1" w:rsidP="00CF2AC1">
            <w:pPr>
              <w:jc w:val="both"/>
              <w:rPr>
                <w:rFonts w:ascii="Times New Roman" w:hAnsi="Times New Roman"/>
                <w:lang w:eastAsia="uk-UA"/>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Пропонуємо передбачити механізм повернення недоотриманої амортизації за перший регуляторний період для ОСР, для яких був запроваджений механізм її стримування.</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shd w:val="clear" w:color="auto" w:fill="FFFFFF"/>
              <w:ind w:firstLine="176"/>
              <w:jc w:val="both"/>
              <w:rPr>
                <w:rFonts w:ascii="Times New Roman" w:hAnsi="Times New Roman"/>
                <w:lang w:eastAsia="uk-UA"/>
              </w:rPr>
            </w:pPr>
            <w:r w:rsidRPr="005A615E">
              <w:rPr>
                <w:rFonts w:ascii="Times New Roman" w:hAnsi="Times New Roman"/>
                <w:lang w:eastAsia="uk-UA"/>
              </w:rPr>
              <w:t xml:space="preserve">Пропонуємо відновити механізм доведення амортизаційних відрахувань до рівня регуляторної амортизації на основі збільшення на 50%  щорічного показника амортизаційних відрахувань на активи, що створені на момент переходу до стимулюючого регулювання до моменту досягнення рівня регуляторної амортизації </w:t>
            </w:r>
            <w:r w:rsidRPr="005A615E">
              <w:rPr>
                <w:rFonts w:ascii="Times New Roman" w:hAnsi="Times New Roman"/>
              </w:rPr>
              <w:t xml:space="preserve"> А</w:t>
            </w:r>
            <w:r w:rsidRPr="005A615E">
              <w:rPr>
                <w:rFonts w:ascii="Times New Roman" w:hAnsi="Times New Roman"/>
                <w:vertAlign w:val="superscript"/>
              </w:rPr>
              <w:t>0</w:t>
            </w:r>
            <w:r w:rsidRPr="005A615E">
              <w:rPr>
                <w:rFonts w:ascii="Times New Roman" w:hAnsi="Times New Roman"/>
                <w:lang w:eastAsia="uk-UA"/>
              </w:rPr>
              <w:t>.</w:t>
            </w:r>
          </w:p>
          <w:p w:rsidR="00CF2AC1" w:rsidRPr="005A615E" w:rsidRDefault="00CF2AC1" w:rsidP="00CF2AC1">
            <w:pPr>
              <w:shd w:val="clear" w:color="auto" w:fill="FFFFFF"/>
              <w:ind w:firstLine="176"/>
              <w:jc w:val="both"/>
              <w:rPr>
                <w:rFonts w:ascii="Times New Roman" w:hAnsi="Times New Roman"/>
                <w:lang w:eastAsia="uk-UA"/>
              </w:rPr>
            </w:pPr>
            <w:r w:rsidRPr="005A615E">
              <w:rPr>
                <w:rFonts w:ascii="Times New Roman" w:hAnsi="Times New Roman"/>
                <w:lang w:eastAsia="uk-UA"/>
              </w:rPr>
              <w:t>Окрім цього, пропонуємо створити механізм повернення недоотриманої амортизації за перший регуляторний період для ОСР, які за перший регуляторний період не досягли рівня регуляторної амортизації через запровадження механізму її обмеження,  оскільки повна сума амортизації від активів, що створені на момент переходу до стимулюючого регулювання повністю врахована у розрахунках зміни вартості РБАпоч та вплинула на обсяг інвестицій та обсяг прибутку від РБА, яка створена до переходу на стимулююче регулювання.</w:t>
            </w:r>
          </w:p>
          <w:p w:rsidR="00CF2AC1" w:rsidRPr="005A615E" w:rsidRDefault="00CF2AC1" w:rsidP="00CF2AC1">
            <w:pPr>
              <w:shd w:val="clear" w:color="auto" w:fill="FFFFFF"/>
              <w:ind w:firstLine="176"/>
              <w:jc w:val="both"/>
              <w:rPr>
                <w:rFonts w:ascii="Times New Roman" w:hAnsi="Times New Roman"/>
                <w:lang w:eastAsia="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shd w:val="clear" w:color="auto" w:fill="FFFFFF"/>
              <w:ind w:firstLine="176"/>
              <w:jc w:val="both"/>
              <w:rPr>
                <w:rFonts w:ascii="Times New Roman" w:hAnsi="Times New Roman"/>
                <w:lang w:eastAsia="uk-UA"/>
              </w:rPr>
            </w:pPr>
            <w:r w:rsidRPr="005A615E">
              <w:rPr>
                <w:rFonts w:ascii="Times New Roman" w:hAnsi="Times New Roman"/>
                <w:lang w:eastAsia="uk-UA"/>
              </w:rPr>
              <w:t>5.12. Амортизація в році t першого року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p>
          <w:p w:rsidR="00CF2AC1" w:rsidRPr="005A615E" w:rsidRDefault="00CF2AC1" w:rsidP="00CF2AC1">
            <w:pPr>
              <w:shd w:val="clear" w:color="auto" w:fill="FFFFFF"/>
              <w:ind w:firstLine="176"/>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для другого регуляторного періоду за формулою 21,</w:t>
            </w:r>
          </w:p>
          <w:p w:rsidR="00CF2AC1" w:rsidRPr="005A615E" w:rsidRDefault="00CF2AC1" w:rsidP="00CF2AC1">
            <w:pPr>
              <w:shd w:val="clear" w:color="auto" w:fill="FFFFFF"/>
              <w:spacing w:after="150"/>
              <w:ind w:firstLine="173"/>
              <w:jc w:val="both"/>
              <w:rPr>
                <w:rFonts w:ascii="Times New Roman" w:hAnsi="Times New Roman"/>
              </w:rPr>
            </w:pPr>
            <w:r w:rsidRPr="005A615E">
              <w:rPr>
                <w:rFonts w:ascii="Times New Roman" w:hAnsi="Times New Roman"/>
              </w:rPr>
              <w:t xml:space="preserve">де </w:t>
            </w:r>
            <w:r w:rsidRPr="005A615E">
              <w:rPr>
                <w:rFonts w:ascii="Times New Roman" w:hAnsi="Times New Roman"/>
                <w:noProof/>
                <w:lang w:eastAsia="ru-RU"/>
              </w:rPr>
              <w:drawing>
                <wp:inline distT="0" distB="0" distL="0" distR="0" wp14:anchorId="1F5749EE" wp14:editId="72BBFD3C">
                  <wp:extent cx="255270" cy="233680"/>
                  <wp:effectExtent l="0" t="0" r="0" b="0"/>
                  <wp:docPr id="792200273" name="Рисунок 792200273" descr="Описание: https://zakon.rada.gov.ua/laws/file/imgs/129/p478167n529v7-74.gif">
                    <a:hlinkClick xmlns:a="http://schemas.openxmlformats.org/drawingml/2006/main" r:id="rId1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36" descr="Описание: https://zakon.rada.gov.ua/laws/file/imgs/129/p478167n529v7-74.gif"/>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A615E">
              <w:rPr>
                <w:rFonts w:ascii="Times New Roman" w:hAnsi="Times New Roman"/>
              </w:rPr>
              <w:t>– дорівнює регуляторній амортизації на активи, створені на дату переходу до стимулюючого регулювання (А</w:t>
            </w:r>
            <w:r w:rsidRPr="005A615E">
              <w:rPr>
                <w:rFonts w:ascii="Times New Roman" w:hAnsi="Times New Roman"/>
                <w:vertAlign w:val="superscript"/>
              </w:rPr>
              <w:t>0</w:t>
            </w:r>
            <w:r w:rsidRPr="005A615E">
              <w:rPr>
                <w:rFonts w:ascii="Times New Roman" w:hAnsi="Times New Roman"/>
              </w:rPr>
              <w:t>), розрахованій згідно з Порядком визначення регуляторної бази активів. Якщо А</w:t>
            </w:r>
            <w:r w:rsidRPr="005A615E">
              <w:rPr>
                <w:rFonts w:ascii="Times New Roman" w:hAnsi="Times New Roman"/>
                <w:vertAlign w:val="superscript"/>
              </w:rPr>
              <w:t>0</w:t>
            </w:r>
            <w:r w:rsidRPr="005A615E">
              <w:rPr>
                <w:rFonts w:ascii="Times New Roman" w:hAnsi="Times New Roman"/>
              </w:rPr>
              <w:t xml:space="preserve"> перевищує рівень амортизації, врахований у діючих тарифах на дату переходу до стимулюючого регулювання, на величину понад </w:t>
            </w:r>
            <w:r w:rsidRPr="005A615E">
              <w:rPr>
                <w:rFonts w:ascii="Times New Roman" w:hAnsi="Times New Roman"/>
                <w:b/>
              </w:rPr>
              <w:t>50 %</w:t>
            </w:r>
            <w:r w:rsidRPr="005A615E">
              <w:rPr>
                <w:rFonts w:ascii="Times New Roman" w:hAnsi="Times New Roman"/>
              </w:rPr>
              <w:t>, то А</w:t>
            </w:r>
            <w:r w:rsidRPr="005A615E">
              <w:rPr>
                <w:rFonts w:ascii="Times New Roman" w:hAnsi="Times New Roman"/>
                <w:vertAlign w:val="superscript"/>
              </w:rPr>
              <w:t>ст</w:t>
            </w:r>
            <w:r w:rsidRPr="005A615E">
              <w:rPr>
                <w:rFonts w:ascii="Times New Roman" w:hAnsi="Times New Roman"/>
              </w:rPr>
              <w:t xml:space="preserve"> щорічно збільшується на </w:t>
            </w:r>
            <w:r w:rsidRPr="005A615E">
              <w:rPr>
                <w:rFonts w:ascii="Times New Roman" w:hAnsi="Times New Roman"/>
                <w:b/>
              </w:rPr>
              <w:t>50 %</w:t>
            </w:r>
            <w:r w:rsidRPr="005A615E">
              <w:rPr>
                <w:rFonts w:ascii="Times New Roman" w:hAnsi="Times New Roman"/>
              </w:rPr>
              <w:t xml:space="preserve"> (на перший рік другого регуляторного періоду – від рівня амортизації, врахованого останньою структурою тарифів, на наступні роки – від рівня амортизації А</w:t>
            </w:r>
            <w:r w:rsidRPr="005A615E">
              <w:rPr>
                <w:rFonts w:ascii="Times New Roman" w:hAnsi="Times New Roman"/>
                <w:vertAlign w:val="superscript"/>
              </w:rPr>
              <w:t>ст</w:t>
            </w:r>
            <w:r w:rsidRPr="005A615E">
              <w:rPr>
                <w:rFonts w:ascii="Times New Roman" w:hAnsi="Times New Roman"/>
                <w:vertAlign w:val="subscript"/>
              </w:rPr>
              <w:t>t-1</w:t>
            </w:r>
            <w:r w:rsidRPr="005A615E">
              <w:rPr>
                <w:rFonts w:ascii="Times New Roman" w:hAnsi="Times New Roman"/>
              </w:rPr>
              <w:t>, врахованого в тарифах попереднього року)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 (для ліцензіатів, перелік яких наведено в додатку 30 до цього Порядку, на перший рік другого регуляторного періоду – від рівня амортизації, врахованого останньою структурою тарифів, з урахуванням коефіцієнта КФУ на наступні роки – від рівня амортизації А</w:t>
            </w:r>
            <w:r w:rsidRPr="005A615E">
              <w:rPr>
                <w:rFonts w:ascii="Times New Roman" w:hAnsi="Times New Roman"/>
                <w:vertAlign w:val="superscript"/>
              </w:rPr>
              <w:t>ст</w:t>
            </w:r>
            <w:r w:rsidRPr="005A615E">
              <w:rPr>
                <w:rFonts w:ascii="Times New Roman" w:hAnsi="Times New Roman"/>
                <w:vertAlign w:val="subscript"/>
              </w:rPr>
              <w:t>t-1</w:t>
            </w:r>
            <w:r w:rsidRPr="005A615E">
              <w:rPr>
                <w:rFonts w:ascii="Times New Roman" w:hAnsi="Times New Roman"/>
              </w:rPr>
              <w:t>, врахованого в тарифах попереднього року з урахуванням коефіцієнта КФУ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w:t>
            </w: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 xml:space="preserve">Згідно з вимогами постанови НКРЕКП №1029, 100% річної сума амортизації є джерелом фінансування відповідних інвестиційних програм. </w:t>
            </w:r>
          </w:p>
          <w:p w:rsidR="00CF2AC1" w:rsidRPr="005A615E" w:rsidRDefault="00CF2AC1" w:rsidP="00CF2AC1">
            <w:pPr>
              <w:jc w:val="both"/>
              <w:rPr>
                <w:rFonts w:ascii="Times New Roman" w:hAnsi="Times New Roman"/>
                <w:bCs/>
              </w:rPr>
            </w:pPr>
            <w:r w:rsidRPr="005A615E">
              <w:rPr>
                <w:rFonts w:ascii="Times New Roman" w:hAnsi="Times New Roman"/>
                <w:bCs/>
              </w:rPr>
              <w:t>Починаючи з 2023 року (вже чотири роки поспіль), сума амортизації на регуляторну базу активів, яка створена на дату переходу до стимулюючого регулювання, яка щорічно включається до структури тарифу на послуги з розподілу, визначається без жодного зростання, не дивлячись на первинно закладену  регуляторну умову щорічного її збільшення у структурі тарифів.</w:t>
            </w:r>
          </w:p>
          <w:p w:rsidR="00CF2AC1" w:rsidRPr="005A615E" w:rsidRDefault="00CF2AC1" w:rsidP="00CF2AC1">
            <w:pPr>
              <w:jc w:val="both"/>
              <w:rPr>
                <w:rFonts w:ascii="Times New Roman" w:hAnsi="Times New Roman"/>
                <w:bCs/>
              </w:rPr>
            </w:pPr>
            <w:r w:rsidRPr="005A615E">
              <w:rPr>
                <w:rFonts w:ascii="Times New Roman" w:hAnsi="Times New Roman"/>
                <w:bCs/>
              </w:rPr>
              <w:t>Внаслідок зазначеного регуляторного підходу, щорічна сума амортизації, яка не була включена до структури тарифів та яка, відповідно, не стала джерелом фінансування заходів інвестиційних програм, становила близько 160 млн.грн., а разом за період 2023-2026 років – 585 млн.грн., інвестування яких призвело б до якісно іншого технічного стану системи розподілу Товариства.</w:t>
            </w:r>
          </w:p>
          <w:p w:rsidR="00CF2AC1" w:rsidRPr="005A615E" w:rsidRDefault="00CF2AC1" w:rsidP="00CF2AC1">
            <w:pPr>
              <w:shd w:val="clear" w:color="auto" w:fill="FFFFFF"/>
              <w:ind w:firstLine="173"/>
              <w:jc w:val="both"/>
              <w:rPr>
                <w:rFonts w:ascii="Times New Roman" w:hAnsi="Times New Roman"/>
                <w:bCs/>
              </w:rPr>
            </w:pPr>
            <w:r w:rsidRPr="005A615E">
              <w:rPr>
                <w:rFonts w:ascii="Times New Roman" w:hAnsi="Times New Roman"/>
                <w:bCs/>
              </w:rPr>
              <w:t>Для забезпечення належного рівня інвестування в розвиток системи розподілу, а також створення передбачуваних умов планування, просимо залишити редакцію пункту 5.12 без запропонованих змін.</w:t>
            </w:r>
          </w:p>
          <w:p w:rsidR="00CF2AC1" w:rsidRPr="005A615E" w:rsidRDefault="00CF2AC1" w:rsidP="00CF2AC1">
            <w:pPr>
              <w:shd w:val="clear" w:color="auto" w:fill="FFFFFF"/>
              <w:ind w:firstLine="173"/>
              <w:jc w:val="both"/>
              <w:rPr>
                <w:rFonts w:ascii="Times New Roman" w:hAnsi="Times New Roman"/>
                <w:b/>
                <w:sz w:val="24"/>
                <w:u w:val="single"/>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«ВІННИЦЯОБЛЕНЕРГО» (лист від 27.07.2026  № 03.13-18608)</w:t>
            </w:r>
          </w:p>
          <w:p w:rsidR="00CF2AC1" w:rsidRPr="005A615E" w:rsidRDefault="00CF2AC1" w:rsidP="00CF2AC1">
            <w:pPr>
              <w:jc w:val="both"/>
              <w:rPr>
                <w:rFonts w:ascii="Times New Roman" w:hAnsi="Times New Roman"/>
                <w:szCs w:val="24"/>
              </w:rPr>
            </w:pPr>
            <w:r w:rsidRPr="005A615E">
              <w:rPr>
                <w:rFonts w:ascii="Times New Roman" w:hAnsi="Times New Roman"/>
                <w:szCs w:val="24"/>
              </w:rPr>
              <w:t>5.12. Амортизація в році t першого року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p>
          <w:p w:rsidR="00CF2AC1" w:rsidRPr="005A615E" w:rsidRDefault="00CF2AC1" w:rsidP="00CF2AC1">
            <w:pPr>
              <w:jc w:val="both"/>
              <w:rPr>
                <w:rFonts w:ascii="Times New Roman" w:hAnsi="Times New Roman"/>
                <w:szCs w:val="24"/>
              </w:rPr>
            </w:pPr>
            <w:r w:rsidRPr="005A615E">
              <w:rPr>
                <w:rFonts w:ascii="Times New Roman" w:hAnsi="Times New Roman"/>
                <w:szCs w:val="24"/>
              </w:rPr>
              <w:t>…</w:t>
            </w:r>
          </w:p>
          <w:p w:rsidR="00CF2AC1" w:rsidRPr="005A615E" w:rsidRDefault="00CF2AC1" w:rsidP="00CF2AC1">
            <w:pPr>
              <w:shd w:val="clear" w:color="auto" w:fill="FFFFFF"/>
              <w:spacing w:after="150"/>
              <w:ind w:firstLine="173"/>
              <w:jc w:val="both"/>
              <w:rPr>
                <w:rFonts w:ascii="Times New Roman" w:hAnsi="Times New Roman"/>
                <w:szCs w:val="24"/>
                <w:lang w:eastAsia="uk-UA"/>
              </w:rPr>
            </w:pPr>
            <w:r w:rsidRPr="005A615E">
              <w:rPr>
                <w:rFonts w:ascii="Times New Roman" w:hAnsi="Times New Roman"/>
                <w:szCs w:val="24"/>
                <w:lang w:eastAsia="uk-UA"/>
              </w:rPr>
              <w:t>для другого регуляторного періоду за формулою 21,</w:t>
            </w:r>
          </w:p>
          <w:p w:rsidR="00CF2AC1" w:rsidRPr="005A615E" w:rsidRDefault="00CF2AC1" w:rsidP="00CF2AC1">
            <w:pPr>
              <w:shd w:val="clear" w:color="auto" w:fill="FFFFFF"/>
              <w:spacing w:after="150"/>
              <w:ind w:firstLine="173"/>
              <w:jc w:val="both"/>
              <w:rPr>
                <w:rFonts w:ascii="Times New Roman" w:hAnsi="Times New Roman"/>
                <w:szCs w:val="24"/>
              </w:rPr>
            </w:pPr>
            <w:r w:rsidRPr="005A615E">
              <w:rPr>
                <w:rFonts w:ascii="Times New Roman" w:hAnsi="Times New Roman"/>
                <w:szCs w:val="24"/>
              </w:rPr>
              <w:t xml:space="preserve">де </w:t>
            </w:r>
            <w:r w:rsidRPr="005A615E">
              <w:rPr>
                <w:rFonts w:ascii="Times New Roman" w:hAnsi="Times New Roman"/>
                <w:noProof/>
                <w:szCs w:val="24"/>
                <w:lang w:eastAsia="uk-UA"/>
              </w:rPr>
              <w:drawing>
                <wp:inline distT="0" distB="0" distL="0" distR="0" wp14:anchorId="30EED578" wp14:editId="55801B02">
                  <wp:extent cx="255270" cy="233680"/>
                  <wp:effectExtent l="0" t="0" r="0" b="0"/>
                  <wp:docPr id="792200275" name="Рисунок 792200275" descr="https://zakon.rada.gov.ua/laws/file/imgs/129/p478167n529v7-74.gif">
                    <a:hlinkClick xmlns:a="http://schemas.openxmlformats.org/drawingml/2006/main" r:id="rId1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zakon.rada.gov.ua/laws/file/imgs/129/p478167n529v7-74.gif">
                            <a:hlinkClick r:id="rId193"/>
                          </pic:cNvPr>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A615E">
              <w:rPr>
                <w:rFonts w:ascii="Times New Roman" w:hAnsi="Times New Roman"/>
                <w:szCs w:val="24"/>
              </w:rPr>
              <w:t>– дорівнює регуляторній амортизації на активи, створені на дату переходу до стимулюючого регулювання (Ао), розрахованій згідно з Порядком визначення регуляторної бази активів. Якщо А</w:t>
            </w:r>
            <w:r w:rsidRPr="005A615E">
              <w:rPr>
                <w:rFonts w:ascii="Times New Roman" w:hAnsi="Times New Roman"/>
                <w:szCs w:val="24"/>
                <w:vertAlign w:val="subscript"/>
              </w:rPr>
              <w:t>0</w:t>
            </w:r>
            <w:r w:rsidRPr="005A615E">
              <w:rPr>
                <w:rFonts w:ascii="Times New Roman" w:hAnsi="Times New Roman"/>
                <w:szCs w:val="24"/>
              </w:rPr>
              <w:t xml:space="preserve"> перевищує рівень амортизації, врахований в діючих тарифах на дату переходу до стимулюючого регулювання, </w:t>
            </w:r>
            <w:r w:rsidRPr="005A615E">
              <w:rPr>
                <w:rFonts w:ascii="Times New Roman" w:hAnsi="Times New Roman"/>
                <w:b/>
                <w:szCs w:val="24"/>
              </w:rPr>
              <w:t>на величину понад 50%, то А</w:t>
            </w:r>
            <w:r w:rsidRPr="005A615E">
              <w:rPr>
                <w:rFonts w:ascii="Times New Roman" w:hAnsi="Times New Roman"/>
                <w:szCs w:val="24"/>
                <w:vertAlign w:val="superscript"/>
              </w:rPr>
              <w:t>ст</w:t>
            </w:r>
            <w:r w:rsidRPr="005A615E">
              <w:rPr>
                <w:rFonts w:ascii="Times New Roman" w:hAnsi="Times New Roman"/>
                <w:b/>
                <w:szCs w:val="24"/>
              </w:rPr>
              <w:t xml:space="preserve"> щорічно збільшується на 50%</w:t>
            </w:r>
            <w:r w:rsidRPr="005A615E">
              <w:rPr>
                <w:rFonts w:ascii="Times New Roman" w:hAnsi="Times New Roman"/>
                <w:szCs w:val="24"/>
              </w:rPr>
              <w:t xml:space="preserve"> </w:t>
            </w:r>
            <w:r w:rsidRPr="005A615E">
              <w:rPr>
                <w:rFonts w:ascii="Times New Roman" w:hAnsi="Times New Roman"/>
                <w:b/>
                <w:szCs w:val="24"/>
              </w:rPr>
              <w:t>(на перший рік другого регуляторного періоду - від рівня амортизації, врахованого в структурі тарифів на 2020 рік проіндексованому на коефіцієнт 11,39, тобто 1,5</w:t>
            </w:r>
            <w:r w:rsidRPr="005A615E">
              <w:rPr>
                <w:rFonts w:ascii="Times New Roman" w:hAnsi="Times New Roman"/>
                <w:b/>
                <w:szCs w:val="24"/>
                <w:vertAlign w:val="superscript"/>
              </w:rPr>
              <w:t>6</w:t>
            </w:r>
            <w:r w:rsidRPr="005A615E">
              <w:rPr>
                <w:rFonts w:ascii="Times New Roman" w:hAnsi="Times New Roman"/>
                <w:b/>
                <w:szCs w:val="24"/>
              </w:rPr>
              <w:t>, де 1,5 – це коефіцієнт обмеження зростання амортизації, який повинен був діяти протягом першого регуляторного періоду; 6 – кількість років першого регуляторного періоду)</w:t>
            </w:r>
            <w:r w:rsidRPr="005A615E">
              <w:rPr>
                <w:rFonts w:ascii="Times New Roman" w:hAnsi="Times New Roman"/>
                <w:szCs w:val="24"/>
              </w:rPr>
              <w:t xml:space="preserve"> до досягнення рівня А</w:t>
            </w:r>
            <w:r w:rsidRPr="005A615E">
              <w:rPr>
                <w:rFonts w:ascii="Times New Roman" w:hAnsi="Times New Roman"/>
                <w:szCs w:val="24"/>
                <w:vertAlign w:val="superscript"/>
              </w:rPr>
              <w:t>0</w:t>
            </w:r>
            <w:r w:rsidRPr="005A615E">
              <w:rPr>
                <w:rFonts w:ascii="Times New Roman" w:hAnsi="Times New Roman"/>
                <w:szCs w:val="24"/>
                <w:vertAlign w:val="subscript"/>
              </w:rPr>
              <w:t>t</w:t>
            </w:r>
            <w:r w:rsidRPr="005A615E">
              <w:rPr>
                <w:rFonts w:ascii="Times New Roman" w:hAnsi="Times New Roman"/>
                <w:szCs w:val="24"/>
              </w:rPr>
              <w:t>. (для ліцензіатів, перелік яких наведено в додатку 30 до цього Порядку, на перший рік другого регуляторного періоду – від рівня  амортизації, врахованого останньою структурою тарифів,  з урахуванням коефіцієнта КФУ на наступні роки – від рівня амортизації А</w:t>
            </w:r>
            <w:r w:rsidRPr="005A615E">
              <w:rPr>
                <w:rFonts w:ascii="Times New Roman" w:hAnsi="Times New Roman"/>
                <w:szCs w:val="24"/>
                <w:vertAlign w:val="superscript"/>
              </w:rPr>
              <w:t>ст</w:t>
            </w:r>
            <w:r w:rsidRPr="005A615E">
              <w:rPr>
                <w:rFonts w:ascii="Times New Roman" w:hAnsi="Times New Roman"/>
                <w:szCs w:val="24"/>
                <w:vertAlign w:val="subscript"/>
              </w:rPr>
              <w:t>t-1</w:t>
            </w:r>
            <w:r w:rsidRPr="005A615E">
              <w:rPr>
                <w:rFonts w:ascii="Times New Roman" w:hAnsi="Times New Roman"/>
                <w:szCs w:val="24"/>
              </w:rPr>
              <w:t>, врахованого в тарифах попереднього року з урахуванням коефіцієнта КФУ до досягнення рівня А</w:t>
            </w:r>
            <w:r w:rsidRPr="005A615E">
              <w:rPr>
                <w:rFonts w:ascii="Times New Roman" w:hAnsi="Times New Roman"/>
                <w:szCs w:val="24"/>
                <w:vertAlign w:val="superscript"/>
              </w:rPr>
              <w:t>0</w:t>
            </w:r>
            <w:r w:rsidRPr="005A615E">
              <w:rPr>
                <w:rFonts w:ascii="Times New Roman" w:hAnsi="Times New Roman"/>
                <w:szCs w:val="24"/>
                <w:vertAlign w:val="subscript"/>
              </w:rPr>
              <w:t>t</w:t>
            </w:r>
            <w:r w:rsidRPr="005A615E">
              <w:rPr>
                <w:rFonts w:ascii="Times New Roman" w:hAnsi="Times New Roman"/>
                <w:szCs w:val="24"/>
              </w:rPr>
              <w:t>).</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Жорстке штучне обмеження темпів зростання регуляторної амортизації в тарифах зменшує обсяг інвестиційних ресурсів ОСР та звужує майбутню базу нарахування регуляторного прибутку. Це повністю суперечить базовій економічній логіці та стимулюючій функції RAB-регулювання, за якою амортизація має бути реальним та повноцінним джерелом відновлення активів.</w:t>
            </w:r>
          </w:p>
          <w:p w:rsidR="00CF2AC1" w:rsidRPr="005A615E" w:rsidRDefault="00CF2AC1" w:rsidP="00CF2AC1">
            <w:pPr>
              <w:jc w:val="both"/>
              <w:rPr>
                <w:rFonts w:ascii="Times New Roman" w:hAnsi="Times New Roman"/>
              </w:rPr>
            </w:pP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shd w:val="clear" w:color="auto" w:fill="FFFFFF"/>
              <w:ind w:firstLine="176"/>
              <w:jc w:val="both"/>
              <w:rPr>
                <w:rFonts w:ascii="Times New Roman" w:hAnsi="Times New Roman"/>
                <w:lang w:eastAsia="uk-UA"/>
              </w:rPr>
            </w:pPr>
            <w:r w:rsidRPr="005A615E">
              <w:rPr>
                <w:rFonts w:ascii="Times New Roman" w:hAnsi="Times New Roman"/>
                <w:lang w:eastAsia="uk-UA"/>
              </w:rPr>
              <w:t>5.12. Амортизація в році t першого року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p>
          <w:p w:rsidR="00CF2AC1" w:rsidRPr="005A615E" w:rsidRDefault="00CF2AC1" w:rsidP="00CF2AC1">
            <w:pPr>
              <w:shd w:val="clear" w:color="auto" w:fill="FFFFFF"/>
              <w:ind w:firstLine="176"/>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для другого регуляторного періоду за формулою 21,</w:t>
            </w:r>
          </w:p>
          <w:p w:rsidR="00CF2AC1" w:rsidRPr="005A615E" w:rsidRDefault="00CF2AC1" w:rsidP="00CF2AC1">
            <w:pPr>
              <w:spacing w:after="75" w:line="259" w:lineRule="auto"/>
              <w:ind w:firstLine="240"/>
              <w:jc w:val="both"/>
              <w:rPr>
                <w:rFonts w:ascii="Times New Roman" w:hAnsi="Times New Roman" w:cs="Times New Roman"/>
              </w:rPr>
            </w:pPr>
            <w:r w:rsidRPr="005A615E">
              <w:rPr>
                <w:rFonts w:ascii="Times New Roman" w:hAnsi="Times New Roman" w:cs="Times New Roman"/>
              </w:rPr>
              <w:t xml:space="preserve">де </w:t>
            </w:r>
            <w:r w:rsidRPr="005A615E">
              <w:rPr>
                <w:rFonts w:ascii="Times New Roman" w:hAnsi="Times New Roman" w:cs="Times New Roman"/>
                <w:noProof/>
                <w:lang w:eastAsia="uk-UA"/>
              </w:rPr>
              <w:drawing>
                <wp:inline distT="0" distB="0" distL="0" distR="0" wp14:anchorId="2E990155" wp14:editId="3ED4D90B">
                  <wp:extent cx="255270" cy="233680"/>
                  <wp:effectExtent l="0" t="0" r="0" b="0"/>
                  <wp:docPr id="792200272" name="Рисунок 792200272" descr="https://zakon.rada.gov.ua/laws/file/imgs/129/p478167n529v7-74.gif">
                    <a:hlinkClick xmlns:a="http://schemas.openxmlformats.org/drawingml/2006/main" r:id="rId1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36" descr="https://zakon.rada.gov.ua/laws/file/imgs/129/p478167n529v7-74.gif">
                            <a:hlinkClick r:id="rId193"/>
                          </pic:cNvPr>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A615E">
              <w:rPr>
                <w:rFonts w:ascii="Times New Roman" w:hAnsi="Times New Roman" w:cs="Times New Roman"/>
              </w:rPr>
              <w:t>– дорівнює регуляторній амортизації на активи, створені на дату переходу до стимулюючого регулювання (А</w:t>
            </w:r>
            <w:r w:rsidRPr="005A615E">
              <w:rPr>
                <w:rFonts w:ascii="Times New Roman" w:hAnsi="Times New Roman" w:cs="Times New Roman"/>
                <w:vertAlign w:val="superscript"/>
              </w:rPr>
              <w:t>0</w:t>
            </w:r>
            <w:r w:rsidRPr="005A615E">
              <w:rPr>
                <w:rFonts w:ascii="Times New Roman" w:hAnsi="Times New Roman" w:cs="Times New Roman"/>
              </w:rPr>
              <w:t>), розрахованій згідно з Порядком визначення регуляторної бази активів. Якщо А</w:t>
            </w:r>
            <w:r w:rsidRPr="005A615E">
              <w:rPr>
                <w:rFonts w:ascii="Times New Roman" w:hAnsi="Times New Roman" w:cs="Times New Roman"/>
                <w:vertAlign w:val="superscript"/>
              </w:rPr>
              <w:t>0</w:t>
            </w:r>
            <w:r w:rsidRPr="005A615E">
              <w:rPr>
                <w:rFonts w:ascii="Times New Roman" w:hAnsi="Times New Roman" w:cs="Times New Roman"/>
              </w:rPr>
              <w:t xml:space="preserve"> перевищує рівень амортизації, врахований у діючих тарифах на дату переходу до стимулюючого регулювання, на величину понад 25 %, то А</w:t>
            </w:r>
            <w:r w:rsidRPr="005A615E">
              <w:rPr>
                <w:rFonts w:ascii="Times New Roman" w:hAnsi="Times New Roman" w:cs="Times New Roman"/>
                <w:vertAlign w:val="superscript"/>
              </w:rPr>
              <w:t>ст</w:t>
            </w:r>
            <w:r w:rsidRPr="005A615E">
              <w:rPr>
                <w:rFonts w:ascii="Times New Roman" w:hAnsi="Times New Roman" w:cs="Times New Roman"/>
              </w:rPr>
              <w:t xml:space="preserve"> щорічно збільшується на 25 % (на перший рік другого регуляторного періоду – від рівня амортизації, врахованого останньою структурою тарифів, на наступні роки – від рівня амортизації А</w:t>
            </w:r>
            <w:r w:rsidRPr="005A615E">
              <w:rPr>
                <w:rFonts w:ascii="Times New Roman" w:hAnsi="Times New Roman" w:cs="Times New Roman"/>
                <w:vertAlign w:val="superscript"/>
              </w:rPr>
              <w:t>ст</w:t>
            </w:r>
            <w:r w:rsidRPr="005A615E">
              <w:rPr>
                <w:rFonts w:ascii="Times New Roman" w:hAnsi="Times New Roman" w:cs="Times New Roman"/>
                <w:vertAlign w:val="subscript"/>
              </w:rPr>
              <w:t>t-1</w:t>
            </w:r>
            <w:r w:rsidRPr="005A615E">
              <w:rPr>
                <w:rFonts w:ascii="Times New Roman" w:hAnsi="Times New Roman" w:cs="Times New Roman"/>
              </w:rPr>
              <w:t>, врахованого в тарифах попереднього року) до досягнення рівня А</w:t>
            </w:r>
            <w:r w:rsidRPr="005A615E">
              <w:rPr>
                <w:rFonts w:ascii="Times New Roman" w:hAnsi="Times New Roman" w:cs="Times New Roman"/>
                <w:vertAlign w:val="superscript"/>
              </w:rPr>
              <w:t>0</w:t>
            </w:r>
            <w:r w:rsidRPr="005A615E">
              <w:rPr>
                <w:rFonts w:ascii="Times New Roman" w:hAnsi="Times New Roman" w:cs="Times New Roman"/>
                <w:vertAlign w:val="subscript"/>
              </w:rPr>
              <w:t>t</w:t>
            </w:r>
            <w:r w:rsidRPr="005A615E">
              <w:rPr>
                <w:rFonts w:ascii="Times New Roman" w:hAnsi="Times New Roman" w:cs="Times New Roman"/>
              </w:rPr>
              <w:t>. (для ліцензіатів, перелік яких наведено в додатку 30 до цього Порядку, на перший рік другого регуляторного періоду – від рівня амортизації, врахованого останньою структурою тарифів, з урахуванням коефіцієнта КФУ на наступні роки – від рівня амортизації А</w:t>
            </w:r>
            <w:r w:rsidRPr="005A615E">
              <w:rPr>
                <w:rFonts w:ascii="Times New Roman" w:hAnsi="Times New Roman" w:cs="Times New Roman"/>
                <w:vertAlign w:val="superscript"/>
              </w:rPr>
              <w:t>ст</w:t>
            </w:r>
            <w:r w:rsidRPr="005A615E">
              <w:rPr>
                <w:rFonts w:ascii="Times New Roman" w:hAnsi="Times New Roman" w:cs="Times New Roman"/>
                <w:vertAlign w:val="subscript"/>
              </w:rPr>
              <w:t>t-1</w:t>
            </w:r>
            <w:r w:rsidRPr="005A615E">
              <w:rPr>
                <w:rFonts w:ascii="Times New Roman" w:hAnsi="Times New Roman" w:cs="Times New Roman"/>
              </w:rPr>
              <w:t>, врахованого в тарифах попереднього року з урахуванням коефіцієнта КФУ до досягнення рівня А</w:t>
            </w:r>
            <w:r w:rsidRPr="005A615E">
              <w:rPr>
                <w:rFonts w:ascii="Times New Roman" w:hAnsi="Times New Roman" w:cs="Times New Roman"/>
                <w:vertAlign w:val="superscript"/>
              </w:rPr>
              <w:t>0</w:t>
            </w:r>
            <w:r w:rsidRPr="005A615E">
              <w:rPr>
                <w:rFonts w:ascii="Times New Roman" w:hAnsi="Times New Roman" w:cs="Times New Roman"/>
                <w:vertAlign w:val="subscript"/>
              </w:rPr>
              <w:t>t</w:t>
            </w:r>
            <w:r w:rsidRPr="005A615E">
              <w:rPr>
                <w:rFonts w:ascii="Times New Roman" w:hAnsi="Times New Roman" w:cs="Times New Roman"/>
              </w:rPr>
              <w:t>).</w:t>
            </w:r>
          </w:p>
          <w:p w:rsidR="00CF2AC1" w:rsidRPr="005A615E" w:rsidRDefault="00CF2AC1" w:rsidP="00CF2AC1">
            <w:pPr>
              <w:jc w:val="both"/>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spacing w:after="75" w:line="259" w:lineRule="auto"/>
              <w:ind w:firstLine="240"/>
              <w:jc w:val="both"/>
              <w:rPr>
                <w:rFonts w:ascii="Times New Roman" w:hAnsi="Times New Roman"/>
              </w:rPr>
            </w:pPr>
            <w:r w:rsidRPr="005A615E">
              <w:rPr>
                <w:rFonts w:ascii="Times New Roman" w:hAnsi="Times New Roman" w:cs="Times New Roman"/>
                <w:shd w:val="clear" w:color="auto" w:fill="FFFFFF"/>
              </w:rPr>
              <w:t>Пропонуємо передбачити механізм повернення недоотриманої амортизації за перший регуляторний період для ОСР, для яких був запроваджений механізм її стримування.</w:t>
            </w:r>
          </w:p>
        </w:tc>
        <w:tc>
          <w:tcPr>
            <w:tcW w:w="3969" w:type="dxa"/>
            <w:gridSpan w:val="2"/>
          </w:tcPr>
          <w:p w:rsidR="008D560A" w:rsidRPr="005A615E" w:rsidRDefault="008D560A" w:rsidP="008D560A">
            <w:pPr>
              <w:jc w:val="both"/>
              <w:rPr>
                <w:rFonts w:ascii="Times New Roman" w:hAnsi="Times New Roman"/>
                <w:b/>
                <w:sz w:val="24"/>
              </w:rPr>
            </w:pPr>
            <w:r w:rsidRPr="005A615E">
              <w:rPr>
                <w:rFonts w:ascii="Times New Roman" w:hAnsi="Times New Roman"/>
                <w:b/>
                <w:sz w:val="24"/>
              </w:rPr>
              <w:t xml:space="preserve">Загальна позиція </w:t>
            </w:r>
          </w:p>
          <w:p w:rsidR="008D560A" w:rsidRPr="005A615E" w:rsidRDefault="008D560A" w:rsidP="008D560A">
            <w:pPr>
              <w:jc w:val="both"/>
              <w:rPr>
                <w:rFonts w:ascii="Times New Roman" w:hAnsi="Times New Roman"/>
                <w:b/>
                <w:sz w:val="24"/>
              </w:rPr>
            </w:pPr>
            <w:r w:rsidRPr="005A615E">
              <w:rPr>
                <w:rFonts w:ascii="Times New Roman" w:hAnsi="Times New Roman"/>
                <w:b/>
                <w:sz w:val="24"/>
              </w:rPr>
              <w:t>Не враховано, недостатньо обгрунтова позиція</w:t>
            </w:r>
          </w:p>
          <w:p w:rsidR="008D560A" w:rsidRPr="005A615E" w:rsidRDefault="008D560A" w:rsidP="008D560A">
            <w:pPr>
              <w:jc w:val="both"/>
              <w:rPr>
                <w:rFonts w:ascii="Times New Roman" w:hAnsi="Times New Roman"/>
                <w:b/>
                <w:sz w:val="24"/>
              </w:rPr>
            </w:pPr>
            <w:r w:rsidRPr="005A615E">
              <w:rPr>
                <w:rFonts w:ascii="Times New Roman" w:hAnsi="Times New Roman"/>
                <w:b/>
                <w:sz w:val="24"/>
              </w:rPr>
              <w:t>Запропонована редакція</w:t>
            </w:r>
          </w:p>
          <w:p w:rsidR="008D560A" w:rsidRPr="005A615E" w:rsidRDefault="008D560A" w:rsidP="008D560A">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 xml:space="preserve">.... </w:t>
            </w:r>
          </w:p>
          <w:p w:rsidR="008D560A" w:rsidRPr="005A615E" w:rsidRDefault="008D560A" w:rsidP="008D560A">
            <w:pPr>
              <w:shd w:val="clear" w:color="auto" w:fill="FFFFFF"/>
              <w:spacing w:after="150"/>
              <w:ind w:firstLine="173"/>
              <w:jc w:val="both"/>
              <w:rPr>
                <w:rFonts w:ascii="Times New Roman" w:hAnsi="Times New Roman"/>
                <w:lang w:eastAsia="uk-UA"/>
              </w:rPr>
            </w:pPr>
            <w:r w:rsidRPr="005A615E">
              <w:rPr>
                <w:rFonts w:ascii="Times New Roman" w:hAnsi="Times New Roman"/>
                <w:lang w:eastAsia="uk-UA"/>
              </w:rPr>
              <w:t>для другого регуляторного періоду за формулою 21,</w:t>
            </w:r>
          </w:p>
          <w:p w:rsidR="008D560A" w:rsidRPr="005A615E" w:rsidRDefault="008D560A" w:rsidP="008D560A">
            <w:pPr>
              <w:jc w:val="both"/>
              <w:rPr>
                <w:rFonts w:ascii="Times New Roman" w:hAnsi="Times New Roman"/>
              </w:rPr>
            </w:pPr>
            <w:r w:rsidRPr="005A615E">
              <w:rPr>
                <w:rFonts w:ascii="Times New Roman" w:hAnsi="Times New Roman"/>
              </w:rPr>
              <w:t xml:space="preserve">де </w:t>
            </w:r>
            <w:r w:rsidRPr="005A615E">
              <w:rPr>
                <w:rFonts w:ascii="Times New Roman" w:hAnsi="Times New Roman"/>
                <w:noProof/>
                <w:lang w:eastAsia="uk-UA"/>
              </w:rPr>
              <w:drawing>
                <wp:inline distT="0" distB="0" distL="0" distR="0">
                  <wp:extent cx="257175" cy="228600"/>
                  <wp:effectExtent l="0" t="0" r="9525" b="0"/>
                  <wp:docPr id="792200292" name="Рисунок 792200292" descr="https://zakon.rada.gov.ua/laws/file/imgs/129/p478167n529v7-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293" descr="https://zakon.rada.gov.ua/laws/file/imgs/129/p478167n529v7-74.gif"/>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5A615E">
              <w:rPr>
                <w:rFonts w:ascii="Times New Roman" w:hAnsi="Times New Roman"/>
              </w:rPr>
              <w:t>– дорівнює регуляторній амортизації на активи, створені на дату переходу до стимулюючого регулювання (А</w:t>
            </w:r>
            <w:r w:rsidRPr="005A615E">
              <w:rPr>
                <w:rFonts w:ascii="Times New Roman" w:hAnsi="Times New Roman"/>
                <w:vertAlign w:val="superscript"/>
              </w:rPr>
              <w:t>0</w:t>
            </w:r>
            <w:r w:rsidRPr="005A615E">
              <w:rPr>
                <w:rFonts w:ascii="Times New Roman" w:hAnsi="Times New Roman"/>
              </w:rPr>
              <w:t>), розрахованій згідно з Порядком визначення регуляторної бази активів. Якщо А</w:t>
            </w:r>
            <w:r w:rsidRPr="005A615E">
              <w:rPr>
                <w:rFonts w:ascii="Times New Roman" w:hAnsi="Times New Roman"/>
                <w:vertAlign w:val="superscript"/>
              </w:rPr>
              <w:t>0</w:t>
            </w:r>
            <w:r w:rsidRPr="005A615E">
              <w:rPr>
                <w:rFonts w:ascii="Times New Roman" w:hAnsi="Times New Roman"/>
              </w:rPr>
              <w:t xml:space="preserve"> перевищує рівень амортизації </w:t>
            </w:r>
            <m:oMath>
              <m:sSubSup>
                <m:sSubSupPr>
                  <m:ctrlPr>
                    <w:rPr>
                      <w:rFonts w:ascii="Cambria Math" w:hAnsi="Cambria Math"/>
                      <w:i/>
                    </w:rPr>
                  </m:ctrlPr>
                </m:sSubSupPr>
                <m:e>
                  <m:r>
                    <w:rPr>
                      <w:rFonts w:ascii="Cambria Math" w:hAnsi="Cambria Math"/>
                    </w:rPr>
                    <m:t>А</m:t>
                  </m:r>
                </m:e>
                <m:sub>
                  <m:r>
                    <w:rPr>
                      <w:rFonts w:ascii="Cambria Math" w:hAnsi="Cambria Math"/>
                      <w:lang w:val="en-US"/>
                    </w:rPr>
                    <m:t>t</m:t>
                  </m:r>
                  <m:r>
                    <w:rPr>
                      <w:rFonts w:ascii="Cambria Math" w:hAnsi="Cambria Math"/>
                      <w:lang w:val="ru-RU"/>
                    </w:rPr>
                    <m:t>-1</m:t>
                  </m:r>
                </m:sub>
                <m:sup>
                  <m:r>
                    <w:rPr>
                      <w:rFonts w:ascii="Cambria Math" w:hAnsi="Cambria Math"/>
                    </w:rPr>
                    <m:t>ст</m:t>
                  </m:r>
                </m:sup>
              </m:sSubSup>
            </m:oMath>
            <w:r w:rsidRPr="005A615E">
              <w:rPr>
                <w:rFonts w:ascii="Times New Roman" w:hAnsi="Times New Roman"/>
              </w:rPr>
              <w:t xml:space="preserve"> врахований у діючих тарифах на дату переходу до стимулюючого регулювання, на величину понад 25 %, то А</w:t>
            </w:r>
            <w:r w:rsidRPr="005A615E">
              <w:rPr>
                <w:rFonts w:ascii="Times New Roman" w:hAnsi="Times New Roman"/>
                <w:vertAlign w:val="superscript"/>
              </w:rPr>
              <w:t>ст</w:t>
            </w:r>
            <w:r w:rsidRPr="005A615E">
              <w:rPr>
                <w:rFonts w:ascii="Times New Roman" w:hAnsi="Times New Roman"/>
              </w:rPr>
              <w:t xml:space="preserve"> щорічно збільшується на 25 % </w:t>
            </w:r>
            <w:r w:rsidRPr="005A615E">
              <w:rPr>
                <w:rFonts w:ascii="Times New Roman" w:hAnsi="Times New Roman"/>
                <w:b/>
                <w:strike/>
              </w:rPr>
              <w:t>(на перший рік другого регуляторного періоду – від рівня амортизації, врахованого останньою структурою тарифів, на наступні роки – від рівня амортизації А</w:t>
            </w:r>
            <w:r w:rsidRPr="005A615E">
              <w:rPr>
                <w:rFonts w:ascii="Times New Roman" w:hAnsi="Times New Roman"/>
                <w:b/>
                <w:strike/>
                <w:vertAlign w:val="superscript"/>
              </w:rPr>
              <w:t>ст</w:t>
            </w:r>
            <w:r w:rsidRPr="005A615E">
              <w:rPr>
                <w:rFonts w:ascii="Times New Roman" w:hAnsi="Times New Roman"/>
                <w:b/>
                <w:strike/>
                <w:vertAlign w:val="subscript"/>
              </w:rPr>
              <w:t>t-1</w:t>
            </w:r>
            <w:r w:rsidRPr="005A615E">
              <w:rPr>
                <w:rFonts w:ascii="Times New Roman" w:hAnsi="Times New Roman"/>
                <w:b/>
                <w:strike/>
              </w:rPr>
              <w:t>, врахованого в тарифах попереднього року)</w:t>
            </w:r>
            <w:r w:rsidRPr="005A615E">
              <w:rPr>
                <w:rFonts w:ascii="Times New Roman" w:hAnsi="Times New Roman"/>
              </w:rPr>
              <w:t xml:space="preserve">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 xml:space="preserve">. (для ліцензіатів, перелік яких наведено в додатку 30 до цього Порядку, на перший рік другого </w:t>
            </w:r>
            <w:r w:rsidRPr="005A615E">
              <w:rPr>
                <w:rFonts w:ascii="Times New Roman" w:hAnsi="Times New Roman"/>
                <w:lang w:eastAsia="uk-UA"/>
              </w:rPr>
              <w:t>регуляторного періоду</w:t>
            </w:r>
            <w:r w:rsidRPr="005A615E">
              <w:rPr>
                <w:rFonts w:ascii="Times New Roman" w:hAnsi="Times New Roman"/>
              </w:rPr>
              <w:t xml:space="preserve"> та на кожний наступний рік, у разі недосягнення у діючих тарифах рівня амортизації A</w:t>
            </w:r>
            <w:r w:rsidRPr="005A615E">
              <w:rPr>
                <w:rFonts w:ascii="Times New Roman" w:hAnsi="Times New Roman"/>
                <w:vertAlign w:val="superscript"/>
              </w:rPr>
              <w:t>o</w:t>
            </w:r>
            <w:r w:rsidRPr="005A615E">
              <w:rPr>
                <w:rFonts w:ascii="Times New Roman" w:hAnsi="Times New Roman"/>
                <w:vertAlign w:val="subscript"/>
              </w:rPr>
              <w:t>t-1</w:t>
            </w:r>
            <w:r w:rsidRPr="005A615E">
              <w:rPr>
                <w:rFonts w:ascii="Times New Roman" w:hAnsi="Times New Roman"/>
              </w:rPr>
              <w:t>, амортизація на активи, створені на дату переходу до стимулюючого регулювання (А</w:t>
            </w:r>
            <w:r w:rsidRPr="005A615E">
              <w:rPr>
                <w:rFonts w:ascii="Times New Roman" w:hAnsi="Times New Roman"/>
                <w:vertAlign w:val="superscript"/>
              </w:rPr>
              <w:t>ст</w:t>
            </w:r>
            <w:r w:rsidRPr="005A615E">
              <w:rPr>
                <w:rFonts w:ascii="Times New Roman" w:hAnsi="Times New Roman"/>
                <w:vertAlign w:val="subscript"/>
              </w:rPr>
              <w:t>t</w:t>
            </w:r>
            <w:r w:rsidRPr="005A615E">
              <w:rPr>
                <w:rFonts w:ascii="Times New Roman" w:hAnsi="Times New Roman"/>
              </w:rPr>
              <w:t>), збільшується на 25 % від рівень А</w:t>
            </w:r>
            <w:r w:rsidRPr="005A615E">
              <w:rPr>
                <w:rFonts w:ascii="Times New Roman" w:hAnsi="Times New Roman"/>
                <w:vertAlign w:val="superscript"/>
              </w:rPr>
              <w:t>ст</w:t>
            </w:r>
            <w:r w:rsidRPr="005A615E">
              <w:rPr>
                <w:rFonts w:ascii="Times New Roman" w:hAnsi="Times New Roman"/>
                <w:vertAlign w:val="subscript"/>
              </w:rPr>
              <w:t>t-1</w:t>
            </w:r>
            <w:r w:rsidRPr="005A615E">
              <w:rPr>
                <w:rFonts w:ascii="Times New Roman" w:hAnsi="Times New Roman"/>
              </w:rPr>
              <w:t>, врахований у діючих тарифах з урахуванням коефіцієнта КФУ до досягнення рівня А</w:t>
            </w:r>
            <w:r w:rsidRPr="005A615E">
              <w:rPr>
                <w:rFonts w:ascii="Times New Roman" w:hAnsi="Times New Roman"/>
                <w:vertAlign w:val="superscript"/>
              </w:rPr>
              <w:t>0</w:t>
            </w:r>
            <w:r w:rsidRPr="005A615E">
              <w:rPr>
                <w:rFonts w:ascii="Times New Roman" w:hAnsi="Times New Roman"/>
                <w:vertAlign w:val="subscript"/>
              </w:rPr>
              <w:t>t</w:t>
            </w:r>
            <w:r w:rsidRPr="005A615E">
              <w:rPr>
                <w:rFonts w:ascii="Times New Roman" w:hAnsi="Times New Roman"/>
              </w:rPr>
              <w:t>. з урахуванням коефіцієнта КФУ).</w:t>
            </w:r>
          </w:p>
          <w:p w:rsidR="00E71ABB" w:rsidRPr="005A615E" w:rsidRDefault="008D560A" w:rsidP="008D560A">
            <w:pPr>
              <w:jc w:val="both"/>
              <w:rPr>
                <w:rFonts w:ascii="Times New Roman" w:hAnsi="Times New Roman"/>
                <w:b/>
                <w:sz w:val="24"/>
              </w:rPr>
            </w:pPr>
            <w:r w:rsidRPr="005A615E">
              <w:rPr>
                <w:rFonts w:ascii="Times New Roman" w:hAnsi="Times New Roman"/>
                <w:u w:val="single"/>
              </w:rPr>
              <w:t xml:space="preserve">Крім того, протягом п’яти років після закінчення воєнного стану підлягає поверненню через тарифний дохід недоотримана частина амортизації за перший регуляторний період. </w:t>
            </w:r>
          </w:p>
          <w:p w:rsidR="00CF2AC1" w:rsidRPr="005A615E" w:rsidRDefault="00CF2AC1" w:rsidP="00CF2AC1">
            <w:pPr>
              <w:rPr>
                <w:rFonts w:ascii="Times New Roman" w:hAnsi="Times New Roman"/>
                <w:b/>
                <w:sz w:val="28"/>
              </w:rPr>
            </w:pPr>
          </w:p>
        </w:tc>
      </w:tr>
      <w:tr w:rsidR="00CF2AC1" w:rsidRPr="005A615E" w:rsidTr="00A56FEE">
        <w:tc>
          <w:tcPr>
            <w:tcW w:w="6232" w:type="dxa"/>
          </w:tcPr>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5.19. Коригування необхідного доходу відповідно до даних виконання цільових завдань щодо досягнення показників якості послуг на рік t для першого регуляторного періоду, тис. грн, визначається за формулами</w:t>
            </w:r>
          </w:p>
          <w:tbl>
            <w:tblPr>
              <w:tblW w:w="5000" w:type="pct"/>
              <w:tblLayout w:type="fixed"/>
              <w:tblLook w:val="04A0" w:firstRow="1" w:lastRow="0" w:firstColumn="1" w:lastColumn="0" w:noHBand="0" w:noVBand="1"/>
            </w:tblPr>
            <w:tblGrid>
              <w:gridCol w:w="225"/>
              <w:gridCol w:w="709"/>
              <w:gridCol w:w="50"/>
              <w:gridCol w:w="3287"/>
              <w:gridCol w:w="1739"/>
            </w:tblGrid>
            <w:tr w:rsidR="00CF2AC1" w:rsidRPr="005A615E" w:rsidTr="00CA0CDF">
              <w:tc>
                <w:tcPr>
                  <w:tcW w:w="8805" w:type="dxa"/>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0697598F" wp14:editId="77537F43">
                        <wp:extent cx="1800225" cy="190500"/>
                        <wp:effectExtent l="0" t="0" r="9525" b="0"/>
                        <wp:docPr id="27" name="Рисунок 27" descr="https://zakon.rada.gov.ua/laws/file/imgs/129/p478167n590v2-103.gif">
                          <a:hlinkClick xmlns:a="http://schemas.openxmlformats.org/drawingml/2006/main" r:id="rId2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zakon.rada.gov.ua/laws/file/imgs/129/p478167n590v2-103.gif">
                                  <a:hlinkClick r:id="rId210"/>
                                </pic:cNvPr>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tc>
              <w:tc>
                <w:tcPr>
                  <w:tcW w:w="42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(24)</w:t>
                  </w:r>
                </w:p>
              </w:tc>
            </w:tr>
            <w:tr w:rsidR="00CF2AC1" w:rsidRPr="005A615E" w:rsidTr="00CA0CDF">
              <w:tc>
                <w:tcPr>
                  <w:tcW w:w="8805" w:type="dxa"/>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59463602" wp14:editId="7592D08D">
                        <wp:extent cx="2790825" cy="161925"/>
                        <wp:effectExtent l="0" t="0" r="9525" b="9525"/>
                        <wp:docPr id="26" name="Рисунок 26" descr="https://zakon.rada.gov.ua/laws/file/imgs/129/p478167n590v2-104.gif">
                          <a:hlinkClick xmlns:a="http://schemas.openxmlformats.org/drawingml/2006/main" r:id="rId2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0" descr="https://zakon.rada.gov.ua/laws/file/imgs/129/p478167n590v2-104.gif">
                                  <a:hlinkClick r:id="rId212"/>
                                </pic:cNvPr>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2790825" cy="161925"/>
                                </a:xfrm>
                                <a:prstGeom prst="rect">
                                  <a:avLst/>
                                </a:prstGeom>
                                <a:noFill/>
                                <a:ln>
                                  <a:noFill/>
                                </a:ln>
                              </pic:spPr>
                            </pic:pic>
                          </a:graphicData>
                        </a:graphic>
                      </wp:inline>
                    </w:drawing>
                  </w:r>
                </w:p>
              </w:tc>
              <w:tc>
                <w:tcPr>
                  <w:tcW w:w="42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(25)</w:t>
                  </w:r>
                </w:p>
              </w:tc>
            </w:tr>
            <w:tr w:rsidR="00CF2AC1" w:rsidRPr="005A615E" w:rsidTr="00CA0CDF">
              <w:tc>
                <w:tcPr>
                  <w:tcW w:w="42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144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1C57ABA8" wp14:editId="6A611E60">
                        <wp:extent cx="342900" cy="190500"/>
                        <wp:effectExtent l="0" t="0" r="0" b="0"/>
                        <wp:docPr id="25" name="Рисунок 25" descr="https://zakon.rada.gov.ua/laws/file/imgs/129/p478167n591-105.gif">
                          <a:hlinkClick xmlns:a="http://schemas.openxmlformats.org/drawingml/2006/main" r:id="rId2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1" descr="https://zakon.rada.gov.ua/laws/file/imgs/129/p478167n591-105.gif">
                                  <a:hlinkClick r:id="rId214"/>
                                </pic:cNvPr>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c>
                <w:tcPr>
                  <w:tcW w:w="15"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10545" w:type="dxa"/>
                  <w:gridSpan w:val="2"/>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складові якості послуг для міської (сільської) території, що розраховуються за формулами:</w:t>
                  </w:r>
                </w:p>
              </w:tc>
            </w:tr>
          </w:tbl>
          <w:p w:rsidR="00CF2AC1" w:rsidRPr="005A615E" w:rsidRDefault="00CF2AC1" w:rsidP="00CF2AC1">
            <w:pPr>
              <w:shd w:val="clear" w:color="auto" w:fill="FFFFFF"/>
              <w:jc w:val="both"/>
              <w:rPr>
                <w:rFonts w:ascii="Times New Roman" w:eastAsia="Times New Roman" w:hAnsi="Times New Roman"/>
                <w:lang w:eastAsia="uk-UA"/>
              </w:rPr>
            </w:pPr>
          </w:p>
          <w:p w:rsidR="00CF2AC1" w:rsidRPr="005A615E" w:rsidRDefault="00CF2AC1" w:rsidP="00CF2AC1">
            <w:pPr>
              <w:shd w:val="clear" w:color="auto" w:fill="FFFFFF"/>
              <w:jc w:val="both"/>
              <w:rPr>
                <w:rFonts w:ascii="Times New Roman" w:hAnsi="Times New Roman"/>
                <w:vanish/>
                <w:lang w:eastAsia="uk-UA"/>
              </w:rPr>
            </w:pPr>
          </w:p>
          <w:tbl>
            <w:tblPr>
              <w:tblW w:w="5000" w:type="pct"/>
              <w:tblLayout w:type="fixed"/>
              <w:tblLook w:val="04A0" w:firstRow="1" w:lastRow="0" w:firstColumn="1" w:lastColumn="0" w:noHBand="0" w:noVBand="1"/>
            </w:tblPr>
            <w:tblGrid>
              <w:gridCol w:w="243"/>
              <w:gridCol w:w="632"/>
              <w:gridCol w:w="140"/>
              <w:gridCol w:w="4711"/>
              <w:gridCol w:w="284"/>
            </w:tblGrid>
            <w:tr w:rsidR="00CF2AC1" w:rsidRPr="005A615E" w:rsidTr="00CA0CDF">
              <w:tc>
                <w:tcPr>
                  <w:tcW w:w="15435" w:type="dxa"/>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sz w:val="20"/>
                      <w:lang w:eastAsia="uk-UA"/>
                    </w:rPr>
                    <w:drawing>
                      <wp:inline distT="0" distB="0" distL="0" distR="0" wp14:anchorId="2AD73A9E" wp14:editId="1DF08EE6">
                        <wp:extent cx="3667125" cy="276225"/>
                        <wp:effectExtent l="0" t="0" r="9525" b="9525"/>
                        <wp:docPr id="24" name="Рисунок 24" descr="https://zakon.rada.gov.ua/laws/file/imgs/129/p478167n592v2-106.gif">
                          <a:hlinkClick xmlns:a="http://schemas.openxmlformats.org/drawingml/2006/main" r:id="rId2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2" descr="https://zakon.rada.gov.ua/laws/file/imgs/129/p478167n592v2-106.gif">
                                  <a:hlinkClick r:id="rId216"/>
                                </pic:cNvPr>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3667125" cy="276225"/>
                                </a:xfrm>
                                <a:prstGeom prst="rect">
                                  <a:avLst/>
                                </a:prstGeom>
                                <a:noFill/>
                                <a:ln>
                                  <a:noFill/>
                                </a:ln>
                              </pic:spPr>
                            </pic:pic>
                          </a:graphicData>
                        </a:graphic>
                      </wp:inline>
                    </w:drawing>
                  </w:r>
                </w:p>
              </w:tc>
              <w:tc>
                <w:tcPr>
                  <w:tcW w:w="72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(26)</w:t>
                  </w:r>
                </w:p>
              </w:tc>
            </w:tr>
            <w:tr w:rsidR="00CF2AC1" w:rsidRPr="005A615E" w:rsidTr="00CA0CDF">
              <w:tc>
                <w:tcPr>
                  <w:tcW w:w="15435" w:type="dxa"/>
                  <w:gridSpan w:val="4"/>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30A6DCAE" wp14:editId="0C6CD1DC">
                        <wp:extent cx="3209925" cy="266700"/>
                        <wp:effectExtent l="0" t="0" r="9525" b="0"/>
                        <wp:docPr id="22" name="Рисунок 22" descr="https://zakon.rada.gov.ua/laws/file/imgs/129/p478167n592v2-107.gif">
                          <a:hlinkClick xmlns:a="http://schemas.openxmlformats.org/drawingml/2006/main" r:id="rId2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zakon.rada.gov.ua/laws/file/imgs/129/p478167n592v2-107.gif">
                                  <a:hlinkClick r:id="rId218"/>
                                </pic:cNvPr>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3209925" cy="266700"/>
                                </a:xfrm>
                                <a:prstGeom prst="rect">
                                  <a:avLst/>
                                </a:prstGeom>
                                <a:noFill/>
                                <a:ln>
                                  <a:noFill/>
                                </a:ln>
                              </pic:spPr>
                            </pic:pic>
                          </a:graphicData>
                        </a:graphic>
                      </wp:inline>
                    </w:drawing>
                  </w:r>
                </w:p>
              </w:tc>
              <w:tc>
                <w:tcPr>
                  <w:tcW w:w="720" w:type="dxa"/>
                  <w:tcBorders>
                    <w:top w:val="single" w:sz="2" w:space="0" w:color="auto"/>
                    <w:left w:val="single" w:sz="2" w:space="0" w:color="auto"/>
                    <w:bottom w:val="single" w:sz="2" w:space="0" w:color="auto"/>
                    <w:right w:val="single" w:sz="2" w:space="0" w:color="auto"/>
                  </w:tcBorders>
                  <w:tcMar>
                    <w:top w:w="15" w:type="dxa"/>
                    <w:left w:w="15" w:type="dxa"/>
                    <w:bottom w:w="15" w:type="dxa"/>
                    <w:right w:w="15" w:type="dxa"/>
                  </w:tcMar>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(27)</w:t>
                  </w:r>
                </w:p>
              </w:tc>
            </w:tr>
            <w:tr w:rsidR="00CF2AC1" w:rsidRPr="005A615E" w:rsidTr="00CA0CDF">
              <w:tc>
                <w:tcPr>
                  <w:tcW w:w="435"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1560"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45BBA5CF" wp14:editId="4AD4DB94">
                        <wp:extent cx="352425" cy="123825"/>
                        <wp:effectExtent l="0" t="0" r="9525" b="9525"/>
                        <wp:docPr id="21" name="Рисунок 21" descr="https://zakon.rada.gov.ua/laws/file/imgs/129/p478167n593-108.gif">
                          <a:hlinkClick xmlns:a="http://schemas.openxmlformats.org/drawingml/2006/main" r:id="rId2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3" descr="https://zakon.rada.gov.ua/laws/file/imgs/129/p478167n593-108.gif">
                                  <a:hlinkClick r:id="rId220"/>
                                </pic:cNvPr>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352425" cy="123825"/>
                                </a:xfrm>
                                <a:prstGeom prst="rect">
                                  <a:avLst/>
                                </a:prstGeom>
                                <a:noFill/>
                                <a:ln>
                                  <a:noFill/>
                                </a:ln>
                              </pic:spPr>
                            </pic:pic>
                          </a:graphicData>
                        </a:graphic>
                      </wp:inline>
                    </w:drawing>
                  </w:r>
                </w:p>
              </w:tc>
              <w:tc>
                <w:tcPr>
                  <w:tcW w:w="15"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10305" w:type="dxa"/>
                  <w:gridSpan w:val="2"/>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розрахункові індекси середньої тривалості довгих перерв (технологічних порушень в електричних мережах ліцензіата та запланованих без попередження споживача) в електропостачанні для міської (сільської) території на рівнях напруги 0,4- 20 кВ на рік t-2, які на 2021 рік та починаючи з 2023 року визначаються за формулами  30 та 31.</w:t>
                  </w:r>
                </w:p>
              </w:tc>
            </w:tr>
          </w:tbl>
          <w:p w:rsidR="00CF2AC1" w:rsidRPr="005A615E" w:rsidRDefault="00CF2AC1" w:rsidP="00CF2AC1">
            <w:pPr>
              <w:shd w:val="clear" w:color="auto" w:fill="FFFFFF"/>
              <w:jc w:val="both"/>
              <w:rPr>
                <w:rFonts w:ascii="Times New Roman" w:eastAsia="Times New Roman" w:hAnsi="Times New Roman"/>
                <w:vanish/>
                <w:lang w:eastAsia="uk-UA"/>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584"/>
              <w:gridCol w:w="426"/>
            </w:tblGrid>
            <w:tr w:rsidR="00CF2AC1" w:rsidRPr="005A615E" w:rsidTr="00CA0CDF">
              <w:tc>
                <w:tcPr>
                  <w:tcW w:w="8895"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62F88D63" wp14:editId="7454F9E2">
                        <wp:extent cx="3209925" cy="304800"/>
                        <wp:effectExtent l="0" t="0" r="9525" b="0"/>
                        <wp:docPr id="10" name="Рисунок 10" descr="https://zakon.rada.gov.ua/laws/file/imgs/129/p478167n594v2-109.gif">
                          <a:hlinkClick xmlns:a="http://schemas.openxmlformats.org/drawingml/2006/main" r:id="rId2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4" descr="https://zakon.rada.gov.ua/laws/file/imgs/129/p478167n594v2-109.gif">
                                  <a:hlinkClick r:id="rId222"/>
                                </pic:cNvPr>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3209925" cy="304800"/>
                                </a:xfrm>
                                <a:prstGeom prst="rect">
                                  <a:avLst/>
                                </a:prstGeom>
                                <a:noFill/>
                                <a:ln>
                                  <a:noFill/>
                                </a:ln>
                              </pic:spPr>
                            </pic:pic>
                          </a:graphicData>
                        </a:graphic>
                      </wp:inline>
                    </w:drawing>
                  </w:r>
                </w:p>
              </w:tc>
              <w:tc>
                <w:tcPr>
                  <w:tcW w:w="60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(28)</w:t>
                  </w:r>
                </w:p>
              </w:tc>
            </w:tr>
          </w:tbl>
          <w:p w:rsidR="00CF2AC1" w:rsidRPr="005A615E" w:rsidRDefault="00CF2AC1" w:rsidP="00CF2AC1">
            <w:pPr>
              <w:shd w:val="clear" w:color="auto" w:fill="FFFFFF"/>
              <w:spacing w:after="150"/>
              <w:ind w:firstLine="450"/>
              <w:jc w:val="both"/>
              <w:rPr>
                <w:rFonts w:ascii="Times New Roman" w:eastAsia="Times New Roman" w:hAnsi="Times New Roman"/>
                <w:lang w:eastAsia="uk-UA"/>
              </w:rPr>
            </w:pPr>
            <w:r w:rsidRPr="005A615E">
              <w:rPr>
                <w:rFonts w:ascii="Times New Roman" w:hAnsi="Times New Roman"/>
                <w:lang w:eastAsia="uk-UA"/>
              </w:rPr>
              <w:t>На 2022 рік для ліцензіатів, які перейшли на стимулююче регулювання з 2021 року </w:t>
            </w:r>
            <w:r w:rsidRPr="005A615E">
              <w:rPr>
                <w:rFonts w:ascii="Times New Roman" w:hAnsi="Times New Roman"/>
                <w:bCs/>
                <w:lang w:eastAsia="uk-UA"/>
              </w:rPr>
              <w:t>SAIDI</w:t>
            </w:r>
            <w:r w:rsidRPr="005A615E">
              <w:rPr>
                <w:rFonts w:ascii="Times New Roman" w:hAnsi="Times New Roman"/>
                <w:bCs/>
                <w:vertAlign w:val="subscript"/>
                <w:lang w:eastAsia="uk-UA"/>
              </w:rPr>
              <w:t>t-2</w:t>
            </w:r>
            <w:r w:rsidRPr="005A615E">
              <w:rPr>
                <w:rFonts w:ascii="Times New Roman" w:hAnsi="Times New Roman"/>
                <w:bCs/>
                <w:vertAlign w:val="superscript"/>
                <w:lang w:eastAsia="uk-UA"/>
              </w:rPr>
              <w:t>м(с)р</w:t>
            </w:r>
            <w:r w:rsidRPr="005A615E">
              <w:rPr>
                <w:rFonts w:ascii="Times New Roman" w:hAnsi="Times New Roman"/>
                <w:lang w:eastAsia="uk-UA"/>
              </w:rPr>
              <w:t> залишаються на рівні 2021 року, а для ліцензіатів, які перейшли на стимулююче регулювання з 2022 року, - на базовому рівні.</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7"/>
              <w:gridCol w:w="622"/>
              <w:gridCol w:w="140"/>
              <w:gridCol w:w="140"/>
              <w:gridCol w:w="4525"/>
              <w:gridCol w:w="336"/>
            </w:tblGrid>
            <w:tr w:rsidR="00CF2AC1" w:rsidRPr="005A615E" w:rsidTr="00CA0CDF">
              <w:tc>
                <w:tcPr>
                  <w:tcW w:w="15270" w:type="dxa"/>
                  <w:gridSpan w:val="5"/>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7B035B05" wp14:editId="4AC7BBD6">
                        <wp:extent cx="3724275" cy="200025"/>
                        <wp:effectExtent l="0" t="0" r="9525" b="9525"/>
                        <wp:docPr id="9" name="Рисунок 9" descr="https://zakon.rada.gov.ua/laws/file/imgs/129/p478167n596v2-110.gif">
                          <a:hlinkClick xmlns:a="http://schemas.openxmlformats.org/drawingml/2006/main" r:id="rId2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5" descr="https://zakon.rada.gov.ua/laws/file/imgs/129/p478167n596v2-110.gif">
                                  <a:hlinkClick r:id="rId224"/>
                                </pic:cNvPr>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3724275" cy="200025"/>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(29)</w:t>
                  </w:r>
                </w:p>
              </w:tc>
            </w:tr>
            <w:tr w:rsidR="00CF2AC1" w:rsidRPr="005A615E" w:rsidTr="00CA0CDF">
              <w:tc>
                <w:tcPr>
                  <w:tcW w:w="45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153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6B7DE5AB" wp14:editId="57E0C4A9">
                        <wp:extent cx="323850" cy="114300"/>
                        <wp:effectExtent l="0" t="0" r="0" b="0"/>
                        <wp:docPr id="8" name="Рисунок 8" descr="https://zakon.rada.gov.ua/laws/file/imgs/129/p478167n597v1-111.gif">
                          <a:hlinkClick xmlns:a="http://schemas.openxmlformats.org/drawingml/2006/main" r:id="rId2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6" descr="https://zakon.rada.gov.ua/laws/file/imgs/129/p478167n597v1-111.gif">
                                  <a:hlinkClick r:id="rId226"/>
                                </pic:cNvPr>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23850" cy="114300"/>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9840" w:type="dxa"/>
                  <w:gridSpan w:val="3"/>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sz w:val="20"/>
                      <w:szCs w:val="20"/>
                      <w:lang w:eastAsia="ru-RU"/>
                    </w:rPr>
                  </w:pPr>
                  <w:r w:rsidRPr="005A615E">
                    <w:rPr>
                      <w:rFonts w:ascii="Times New Roman" w:hAnsi="Times New Roman"/>
                      <w:szCs w:val="20"/>
                      <w:lang w:eastAsia="uk-UA"/>
                    </w:rPr>
                    <w:t>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за останні три роки до переходу до стимулюючого регулювання, хвилин;</w:t>
                  </w:r>
                  <w:r w:rsidRPr="005A615E">
                    <w:rPr>
                      <w:rFonts w:ascii="Times New Roman" w:hAnsi="Times New Roman"/>
                      <w:szCs w:val="20"/>
                    </w:rPr>
                    <w:t xml:space="preserve"> </w:t>
                  </w:r>
                </w:p>
              </w:tc>
            </w:tr>
            <w:tr w:rsidR="00CF2AC1" w:rsidRPr="005A615E" w:rsidTr="00CA0CDF">
              <w:tc>
                <w:tcPr>
                  <w:tcW w:w="45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sz w:val="20"/>
                      <w:szCs w:val="20"/>
                    </w:rPr>
                  </w:pPr>
                </w:p>
              </w:tc>
              <w:tc>
                <w:tcPr>
                  <w:tcW w:w="153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64E564D4" wp14:editId="4F5A0643">
                        <wp:extent cx="390525" cy="152400"/>
                        <wp:effectExtent l="0" t="0" r="9525" b="0"/>
                        <wp:docPr id="7" name="Рисунок 7" descr="https://zakon.rada.gov.ua/laws/file/imgs/129/p478167n597v1-112.gif">
                          <a:hlinkClick xmlns:a="http://schemas.openxmlformats.org/drawingml/2006/main" r:id="rId2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7" descr="https://zakon.rada.gov.ua/laws/file/imgs/129/p478167n597v1-112.gif">
                                  <a:hlinkClick r:id="rId228"/>
                                </pic:cNvPr>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390525" cy="152400"/>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встановлені НКРЕКП цільові показники якості послуг для міської (сільської) території, хвилин;</w:t>
                  </w:r>
                </w:p>
              </w:tc>
            </w:tr>
            <w:tr w:rsidR="00CF2AC1" w:rsidRPr="005A615E" w:rsidTr="00CA0CDF">
              <w:tc>
                <w:tcPr>
                  <w:tcW w:w="45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153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i/>
                      <w:iCs/>
                      <w:lang w:eastAsia="uk-UA"/>
                    </w:rPr>
                    <w:t>N</w:t>
                  </w:r>
                </w:p>
              </w:tc>
              <w:tc>
                <w:tcPr>
                  <w:tcW w:w="1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порядковий номер року t з початку переходу до стимулюючого регулювання (з 2023 року при визначенні порядкового номеру року t з початку переходу до стимулюючого регулювання  2022 рік не враховується);</w:t>
                  </w:r>
                </w:p>
              </w:tc>
            </w:tr>
            <w:tr w:rsidR="00CF2AC1" w:rsidRPr="005A615E" w:rsidTr="00CA0CDF">
              <w:tc>
                <w:tcPr>
                  <w:tcW w:w="45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153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i/>
                      <w:iCs/>
                      <w:lang w:eastAsia="uk-UA"/>
                    </w:rPr>
                    <w:t>NN</w:t>
                  </w:r>
                </w:p>
              </w:tc>
              <w:tc>
                <w:tcPr>
                  <w:tcW w:w="1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номер року з початку переходу до стимулюючого регулювання, у якому має бути досягнутий встановлений НКРЕКП цільовий показник якості послуг;</w:t>
                  </w:r>
                </w:p>
              </w:tc>
            </w:tr>
            <w:tr w:rsidR="00CF2AC1" w:rsidRPr="005A615E" w:rsidTr="00CA0CDF">
              <w:tc>
                <w:tcPr>
                  <w:tcW w:w="45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153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4BAF0BBC" wp14:editId="15620B82">
                        <wp:extent cx="342900" cy="114300"/>
                        <wp:effectExtent l="0" t="0" r="0" b="0"/>
                        <wp:docPr id="6" name="Рисунок 6" descr="https://zakon.rada.gov.ua/laws/file/imgs/129/p478167n597v1-113.gif">
                          <a:hlinkClick xmlns:a="http://schemas.openxmlformats.org/drawingml/2006/main" r:id="rId2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8" descr="https://zakon.rada.gov.ua/laws/file/imgs/129/p478167n597v1-113.gif">
                                  <a:hlinkClick r:id="rId230"/>
                                </pic:cNvPr>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342900" cy="114300"/>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фактичні індекси середньої тривалості довгих перерв в електропостачанні для міської (сільської) території в системі на рівнях напруги 0,4-20 кВ за рік t-2, які визначаються за даними № 11-НКРЕКП-якість-розподіл (квартальна) «Звіт щодо показників надійності (безперервності) електропостачання», затвердженої постановою НКРЕКП від 12 червня 2018 року № 374;</w:t>
                  </w:r>
                </w:p>
              </w:tc>
            </w:tr>
            <w:tr w:rsidR="00CF2AC1" w:rsidRPr="005A615E" w:rsidTr="00CA0CDF">
              <w:tc>
                <w:tcPr>
                  <w:tcW w:w="45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153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lang w:eastAsia="uk-UA"/>
                    </w:rPr>
                    <w:t>ПК</w:t>
                  </w:r>
                </w:p>
              </w:tc>
              <w:tc>
                <w:tcPr>
                  <w:tcW w:w="1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встановлений НКРЕКП параметр коригування необхідного доходу за недотримання показників якості послуг (ПК &gt; 1);</w:t>
                  </w:r>
                </w:p>
              </w:tc>
            </w:tr>
            <w:tr w:rsidR="00CF2AC1" w:rsidRPr="005A615E" w:rsidTr="00CA0CDF">
              <w:tc>
                <w:tcPr>
                  <w:tcW w:w="45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153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6D603664" wp14:editId="1F139510">
                        <wp:extent cx="314325" cy="161925"/>
                        <wp:effectExtent l="0" t="0" r="9525" b="9525"/>
                        <wp:docPr id="5" name="Рисунок 5" descr="https://zakon.rada.gov.ua/laws/file/imgs/129/p478167n597v1-114.gif">
                          <a:hlinkClick xmlns:a="http://schemas.openxmlformats.org/drawingml/2006/main" r:id="rId2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9" descr="https://zakon.rada.gov.ua/laws/file/imgs/129/p478167n597v1-114.gif">
                                  <a:hlinkClick r:id="rId232"/>
                                </pic:cNvPr>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середньозважена по Україні ціна на універсальні послуги для малих непобутових споживачів, приєднаних до системи розподілу на 2 класі напруги, у році t-2, грн/МВт·год;</w:t>
                  </w:r>
                </w:p>
              </w:tc>
            </w:tr>
            <w:tr w:rsidR="00CF2AC1" w:rsidRPr="005A615E" w:rsidTr="00CA0CDF">
              <w:tc>
                <w:tcPr>
                  <w:tcW w:w="45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153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4D4A4EAB" wp14:editId="36B8D761">
                        <wp:extent cx="352425" cy="190500"/>
                        <wp:effectExtent l="0" t="0" r="9525" b="0"/>
                        <wp:docPr id="4" name="Рисунок 4" descr="https://zakon.rada.gov.ua/laws/file/imgs/129/p478167n597v1-115.gif">
                          <a:hlinkClick xmlns:a="http://schemas.openxmlformats.org/drawingml/2006/main" r:id="rId2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descr="https://zakon.rada.gov.ua/laws/file/imgs/129/p478167n597v1-115.gif">
                                  <a:hlinkClick r:id="rId234"/>
                                </pic:cNvPr>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фактичний обсяг розподілу електричної енергії на 2 класі напруги в міській (сільській) території за рік t-2 (без урахування обсягу розподілу електричної енергії установкам зберігання енергії 2 класу напруги), МВт·год;</w:t>
                  </w:r>
                </w:p>
              </w:tc>
            </w:tr>
            <w:tr w:rsidR="00CF2AC1" w:rsidRPr="005A615E" w:rsidTr="00CA0CDF">
              <w:tc>
                <w:tcPr>
                  <w:tcW w:w="45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153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6C2B753C" wp14:editId="5A3D6632">
                        <wp:extent cx="409575" cy="85725"/>
                        <wp:effectExtent l="0" t="0" r="9525" b="9525"/>
                        <wp:docPr id="1" name="Рисунок 1" descr="https://zakon.rada.gov.ua/laws/file/imgs/129/p478167n597v1-116.gif">
                          <a:hlinkClick xmlns:a="http://schemas.openxmlformats.org/drawingml/2006/main" r:id="rId2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s://zakon.rada.gov.ua/laws/file/imgs/129/p478167n597v1-116.gif">
                                  <a:hlinkClick r:id="rId236"/>
                                </pic:cNvPr>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09575" cy="85725"/>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кількість хвилин у році.</w:t>
                  </w:r>
                </w:p>
              </w:tc>
            </w:tr>
          </w:tbl>
          <w:p w:rsidR="00CF2AC1" w:rsidRPr="005A615E" w:rsidRDefault="00CF2AC1" w:rsidP="00CF2AC1">
            <w:pPr>
              <w:shd w:val="clear" w:color="auto" w:fill="FFFFFF"/>
              <w:spacing w:after="150"/>
              <w:ind w:firstLine="450"/>
              <w:jc w:val="both"/>
              <w:rPr>
                <w:rFonts w:ascii="Times New Roman" w:eastAsia="Times New Roman" w:hAnsi="Times New Roman"/>
                <w:lang w:eastAsia="uk-UA"/>
              </w:rPr>
            </w:pPr>
            <w:r w:rsidRPr="005A615E">
              <w:rPr>
                <w:rFonts w:ascii="Times New Roman" w:hAnsi="Times New Roman"/>
                <w:lang w:eastAsia="uk-UA"/>
              </w:rPr>
              <w:t>Розподіл населених пунктів за ознакою територіального поділу (міська/сільська території) фіксується станом на дату переходу до стимулюючого регулювання.</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За результатами здійснення заходів контролю за дотриманням </w:t>
            </w:r>
            <w:hyperlink r:id="rId238" w:anchor="n9" w:tgtFrame="_blank" w:history="1">
              <w:r w:rsidRPr="005A615E">
                <w:rPr>
                  <w:rStyle w:val="a9"/>
                  <w:rFonts w:ascii="Times New Roman" w:hAnsi="Times New Roman"/>
                  <w:color w:val="auto"/>
                  <w:lang w:eastAsia="uk-UA"/>
                </w:rPr>
                <w:t>Ліцензійних умов</w:t>
              </w:r>
            </w:hyperlink>
            <w:r w:rsidRPr="005A615E">
              <w:rPr>
                <w:rFonts w:ascii="Times New Roman" w:hAnsi="Times New Roman"/>
                <w:lang w:eastAsia="uk-UA"/>
              </w:rPr>
              <w:t> показник КЯ може бути уточнено.</w:t>
            </w:r>
          </w:p>
          <w:p w:rsidR="00CF2AC1" w:rsidRPr="005A615E" w:rsidRDefault="000D13C5" w:rsidP="00CF2AC1">
            <w:pPr>
              <w:jc w:val="both"/>
              <w:rPr>
                <w:rFonts w:ascii="Times New Roman" w:hAnsi="Times New Roman"/>
                <w:lang w:eastAsia="ru-RU"/>
              </w:rPr>
            </w:pPr>
            <w:hyperlink r:id="rId239" w:tgtFrame="_blank" w:history="1">
              <w:r w:rsidR="00CF2AC1" w:rsidRPr="005A615E">
                <w:rPr>
                  <w:rStyle w:val="a9"/>
                  <w:rFonts w:ascii="Times New Roman" w:hAnsi="Times New Roman"/>
                  <w:color w:val="auto"/>
                  <w:lang w:eastAsia="uk-UA"/>
                </w:rPr>
                <w:t>Коригування необхідного доходу відповідно до даних виконання цільового завдання щодо досягнення показників якості послуг за 2022</w:t>
              </w:r>
            </w:hyperlink>
            <w:r w:rsidR="00CF2AC1" w:rsidRPr="005A615E">
              <w:rPr>
                <w:rFonts w:ascii="Times New Roman" w:hAnsi="Times New Roman"/>
                <w:lang w:eastAsia="uk-UA"/>
              </w:rPr>
              <w:t> </w:t>
            </w:r>
            <w:hyperlink r:id="rId240" w:tgtFrame="_blank" w:history="1">
              <w:r w:rsidR="00CF2AC1" w:rsidRPr="005A615E">
                <w:rPr>
                  <w:rStyle w:val="a9"/>
                  <w:rFonts w:ascii="Times New Roman" w:hAnsi="Times New Roman"/>
                  <w:color w:val="auto"/>
                  <w:lang w:eastAsia="uk-UA"/>
                </w:rPr>
                <w:t>та 2023 роки</w:t>
              </w:r>
            </w:hyperlink>
            <w:r w:rsidR="00CF2AC1" w:rsidRPr="005A615E">
              <w:rPr>
                <w:rFonts w:ascii="Times New Roman" w:hAnsi="Times New Roman"/>
                <w:lang w:eastAsia="uk-UA"/>
              </w:rPr>
              <w:t> </w:t>
            </w:r>
            <w:hyperlink r:id="rId241" w:tgtFrame="_blank" w:history="1">
              <w:r w:rsidR="00CF2AC1" w:rsidRPr="005A615E">
                <w:rPr>
                  <w:rStyle w:val="a9"/>
                  <w:rFonts w:ascii="Times New Roman" w:hAnsi="Times New Roman"/>
                  <w:color w:val="auto"/>
                  <w:lang w:eastAsia="uk-UA"/>
                </w:rPr>
                <w:t>не застосовується</w:t>
              </w:r>
            </w:hyperlink>
            <w:hyperlink r:id="rId242" w:tgtFrame="_blank" w:history="1">
              <w:r w:rsidR="00CF2AC1" w:rsidRPr="005A615E">
                <w:rPr>
                  <w:rStyle w:val="a9"/>
                  <w:rFonts w:ascii="Times New Roman" w:hAnsi="Times New Roman"/>
                  <w:color w:val="auto"/>
                  <w:lang w:eastAsia="uk-UA"/>
                </w:rPr>
                <w:t>, за 2024</w:t>
              </w:r>
            </w:hyperlink>
            <w:hyperlink r:id="rId243" w:tgtFrame="_blank" w:history="1">
              <w:r w:rsidR="00CF2AC1" w:rsidRPr="005A615E">
                <w:rPr>
                  <w:rStyle w:val="a9"/>
                  <w:rFonts w:ascii="Times New Roman" w:hAnsi="Times New Roman"/>
                  <w:color w:val="auto"/>
                </w:rPr>
                <w:t> – 2026 роки</w:t>
              </w:r>
            </w:hyperlink>
            <w:r w:rsidR="00CF2AC1" w:rsidRPr="005A615E">
              <w:rPr>
                <w:rFonts w:ascii="Times New Roman" w:hAnsi="Times New Roman"/>
              </w:rPr>
              <w:t> </w:t>
            </w:r>
            <w:hyperlink r:id="rId244" w:tgtFrame="_blank" w:history="1">
              <w:r w:rsidR="00CF2AC1" w:rsidRPr="005A615E">
                <w:rPr>
                  <w:rStyle w:val="a9"/>
                  <w:rFonts w:ascii="Times New Roman" w:hAnsi="Times New Roman"/>
                  <w:color w:val="auto"/>
                </w:rPr>
                <w:t>- не застосовується до ліцензіатів, наведених у додатку 32 до цього Порядку</w:t>
              </w:r>
            </w:hyperlink>
            <w:hyperlink r:id="rId245" w:tgtFrame="_blank" w:history="1">
              <w:r w:rsidR="00CF2AC1" w:rsidRPr="005A615E">
                <w:rPr>
                  <w:rStyle w:val="a9"/>
                  <w:rFonts w:ascii="Times New Roman" w:hAnsi="Times New Roman"/>
                  <w:color w:val="auto"/>
                </w:rPr>
                <w:t>.</w:t>
              </w:r>
            </w:hyperlink>
          </w:p>
          <w:p w:rsidR="00CF2AC1" w:rsidRPr="005A615E" w:rsidRDefault="00CF2AC1" w:rsidP="00CF2AC1">
            <w:pPr>
              <w:pStyle w:val="rvps2"/>
              <w:shd w:val="clear" w:color="auto" w:fill="FFFFFF"/>
              <w:spacing w:beforeAutospacing="0" w:after="150" w:afterAutospacing="0"/>
              <w:ind w:firstLine="164"/>
              <w:jc w:val="both"/>
              <w:rPr>
                <w:lang w:val="uk-UA"/>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ГО «Перша енергетична рада» (лист </w:t>
            </w:r>
            <w:r w:rsidRPr="005A615E">
              <w:rPr>
                <w:rFonts w:ascii="Times New Roman" w:hAnsi="Times New Roman"/>
                <w:b/>
                <w:sz w:val="24"/>
                <w:u w:val="single"/>
              </w:rPr>
              <w:br/>
              <w:t>від 20.07.2026 № 28/01)</w:t>
            </w:r>
          </w:p>
          <w:p w:rsidR="00CF2AC1" w:rsidRPr="005A615E" w:rsidRDefault="00CF2AC1" w:rsidP="00CF2AC1">
            <w:pPr>
              <w:shd w:val="clear" w:color="auto" w:fill="FFFFFF"/>
              <w:spacing w:after="150"/>
              <w:ind w:firstLine="450"/>
              <w:jc w:val="both"/>
              <w:rPr>
                <w:rFonts w:ascii="Times New Roman" w:hAnsi="Times New Roman"/>
                <w:b/>
                <w:bCs/>
                <w:lang w:eastAsia="uk-UA"/>
              </w:rPr>
            </w:pPr>
            <w:r w:rsidRPr="005A615E">
              <w:rPr>
                <w:rFonts w:ascii="Times New Roman" w:hAnsi="Times New Roman"/>
                <w:b/>
                <w:bCs/>
                <w:lang w:eastAsia="uk-UA"/>
              </w:rPr>
              <w:t>5.19. Коригування необхідного доходу відповідно до даних виконання цільового завдання щодо досягнення показників якості послуг на рік t, тис. грн, визначається за формулами:</w:t>
            </w:r>
          </w:p>
          <w:p w:rsidR="00CF2AC1" w:rsidRPr="005A615E" w:rsidRDefault="00CF2AC1" w:rsidP="00CF2AC1">
            <w:pPr>
              <w:shd w:val="clear" w:color="auto" w:fill="FFFFFF"/>
              <w:spacing w:after="150"/>
              <w:ind w:firstLine="450"/>
              <w:jc w:val="both"/>
              <w:rPr>
                <w:rFonts w:ascii="Times New Roman" w:hAnsi="Times New Roman"/>
                <w:b/>
                <w:bCs/>
                <w:lang w:eastAsia="uk-UA"/>
              </w:rPr>
            </w:pPr>
            <w:r w:rsidRPr="005A615E">
              <w:rPr>
                <w:rFonts w:ascii="Times New Roman" w:hAnsi="Times New Roman"/>
                <w:b/>
                <w:bCs/>
                <w:lang w:eastAsia="uk-UA"/>
              </w:rPr>
              <w:t>…</w:t>
            </w:r>
          </w:p>
          <w:tbl>
            <w:tblPr>
              <w:tblW w:w="5000" w:type="pct"/>
              <w:tblLayout w:type="fixed"/>
              <w:tblLook w:val="04A0" w:firstRow="1" w:lastRow="0" w:firstColumn="1" w:lastColumn="0" w:noHBand="0" w:noVBand="1"/>
            </w:tblPr>
            <w:tblGrid>
              <w:gridCol w:w="255"/>
              <w:gridCol w:w="690"/>
              <w:gridCol w:w="140"/>
              <w:gridCol w:w="4080"/>
            </w:tblGrid>
            <w:tr w:rsidR="00CF2AC1" w:rsidRPr="005A615E" w:rsidTr="00CA0CDF">
              <w:tc>
                <w:tcPr>
                  <w:tcW w:w="435"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де</w:t>
                  </w:r>
                </w:p>
              </w:tc>
              <w:tc>
                <w:tcPr>
                  <w:tcW w:w="1560"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00867F7C" wp14:editId="42D55A11">
                        <wp:extent cx="352425" cy="123825"/>
                        <wp:effectExtent l="0" t="0" r="9525" b="9525"/>
                        <wp:docPr id="28" name="Рисунок 28" descr="https://zakon.rada.gov.ua/laws/file/imgs/129/p478167n593-108.gif">
                          <a:hlinkClick xmlns:a="http://schemas.openxmlformats.org/drawingml/2006/main" r:id="rId2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53" descr="https://zakon.rada.gov.ua/laws/file/imgs/129/p478167n593-108.gif">
                                  <a:hlinkClick r:id="rId220"/>
                                </pic:cNvPr>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352425" cy="123825"/>
                                </a:xfrm>
                                <a:prstGeom prst="rect">
                                  <a:avLst/>
                                </a:prstGeom>
                                <a:noFill/>
                                <a:ln>
                                  <a:noFill/>
                                </a:ln>
                              </pic:spPr>
                            </pic:pic>
                          </a:graphicData>
                        </a:graphic>
                      </wp:inline>
                    </w:drawing>
                  </w:r>
                </w:p>
              </w:tc>
              <w:tc>
                <w:tcPr>
                  <w:tcW w:w="15"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10305"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 xml:space="preserve">розрахункові індекси середньої тривалості довгих перерв (технологічних порушень в електричних мережах ліцензіата та запланованих без попередження споживача) в електропостачанні для міської (сільської) території на рівнях напруги 0,4- 20 кВ на рік t-2, які на 2021 рік та починаючи з 2023 року визначаються за формулами  </w:t>
                  </w:r>
                  <w:r w:rsidRPr="005A615E">
                    <w:rPr>
                      <w:rFonts w:ascii="Times New Roman" w:hAnsi="Times New Roman"/>
                      <w:b/>
                      <w:bCs/>
                      <w:lang w:eastAsia="uk-UA"/>
                    </w:rPr>
                    <w:t>28 та 29</w:t>
                  </w:r>
                  <w:r w:rsidRPr="005A615E">
                    <w:rPr>
                      <w:rFonts w:ascii="Times New Roman" w:hAnsi="Times New Roman"/>
                      <w:lang w:eastAsia="uk-UA"/>
                    </w:rPr>
                    <w:t>.</w:t>
                  </w:r>
                </w:p>
              </w:tc>
            </w:tr>
          </w:tbl>
          <w:p w:rsidR="00CF2AC1" w:rsidRPr="005A615E" w:rsidRDefault="00CF2AC1" w:rsidP="00CF2AC1">
            <w:pPr>
              <w:shd w:val="clear" w:color="auto" w:fill="FFFFFF"/>
              <w:spacing w:after="150"/>
              <w:ind w:firstLine="450"/>
              <w:jc w:val="both"/>
              <w:rPr>
                <w:rFonts w:ascii="Times New Roman" w:hAnsi="Times New Roman"/>
                <w:b/>
                <w:bCs/>
                <w:lang w:eastAsia="uk-UA"/>
              </w:rPr>
            </w:pPr>
            <w:r w:rsidRPr="005A615E">
              <w:rPr>
                <w:rFonts w:ascii="Times New Roman" w:hAnsi="Times New Roman"/>
                <w:b/>
                <w:bCs/>
                <w:lang w:eastAsia="uk-UA"/>
              </w:rPr>
              <w:t>…</w:t>
            </w: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rPr>
                <w:rFonts w:ascii="Times New Roman" w:hAnsi="Times New Roman"/>
              </w:rPr>
            </w:pPr>
            <w:r w:rsidRPr="005A615E">
              <w:rPr>
                <w:rFonts w:ascii="Times New Roman" w:hAnsi="Times New Roman"/>
              </w:rPr>
              <w:t>Пропонується залишити чинну редакцію п.5.19, оскільки її заміна на другий регуляторний період на п.5.20 у зв’язку із запровадженням нових показників комерційної якості послуг є недоречною та виправлено помилкове посилання</w:t>
            </w:r>
          </w:p>
          <w:p w:rsidR="00CF2AC1" w:rsidRPr="005A615E" w:rsidRDefault="00CF2AC1" w:rsidP="00CF2AC1">
            <w:pPr>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Громадська спілка «Розумні електромережі України» (лист від 24.07.2026  № 24-07/1)</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5.19. Коригування необхідного доходу відповідно до даних виконання цільових завдань щодо досягнення показників якості послуг на рік t для першого регуляторного періоду, тис. грн, визначається за формулами</w:t>
            </w:r>
          </w:p>
          <w:p w:rsidR="00CF2AC1" w:rsidRPr="005A615E" w:rsidRDefault="00CF2AC1" w:rsidP="00CF2AC1">
            <w:pPr>
              <w:jc w:val="both"/>
              <w:rPr>
                <w:rFonts w:ascii="Times New Roman" w:hAnsi="Times New Roman"/>
                <w:b/>
                <w:sz w:val="24"/>
              </w:rPr>
            </w:pPr>
            <w:r w:rsidRPr="005A615E">
              <w:rPr>
                <w:rFonts w:ascii="Times New Roman" w:hAnsi="Times New Roman"/>
                <w:b/>
                <w:sz w:val="24"/>
              </w:rPr>
              <w:t>…</w:t>
            </w:r>
          </w:p>
          <w:p w:rsidR="00CF2AC1" w:rsidRPr="005A615E" w:rsidRDefault="00CF2AC1" w:rsidP="00CF2AC1">
            <w:pPr>
              <w:jc w:val="both"/>
              <w:rPr>
                <w:rFonts w:ascii="Times New Roman" w:hAnsi="Times New Roman"/>
                <w:b/>
                <w:sz w:val="24"/>
              </w:rPr>
            </w:pPr>
            <w:r w:rsidRPr="005A615E">
              <w:rPr>
                <w:rFonts w:ascii="Times New Roman" w:hAnsi="Times New Roman"/>
                <w:noProof/>
                <w:lang w:eastAsia="uk-UA"/>
              </w:rPr>
              <w:drawing>
                <wp:inline distT="0" distB="0" distL="0" distR="0" wp14:anchorId="0DED037D" wp14:editId="58AB9206">
                  <wp:extent cx="304800" cy="161925"/>
                  <wp:effectExtent l="0" t="0" r="0" b="9525"/>
                  <wp:docPr id="792200259" name="Рисунок 792200259" descr="https://zakon.rada.gov.ua/laws/file/imgs/129/p478167n597v1-114.gif">
                    <a:hlinkClick xmlns:a="http://schemas.openxmlformats.org/drawingml/2006/main" r:id="rId2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zakon.rada.gov.ua/laws/file/imgs/129/p478167n597v1-114.gif">
                            <a:hlinkClick r:id="rId232"/>
                          </pic:cNvPr>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5A615E">
              <w:rPr>
                <w:rFonts w:ascii="Times New Roman" w:hAnsi="Times New Roman"/>
                <w:lang w:eastAsia="uk-UA"/>
              </w:rPr>
              <w:t xml:space="preserve">- середньозважена по Україні ціна на універсальні послуги для малих непобутових споживачів, приєднаних до системи розподілу на 2 класі напруги, у році t-2, грн/МВт·год; </w:t>
            </w:r>
            <w:r w:rsidRPr="005A615E">
              <w:rPr>
                <w:rFonts w:ascii="Times New Roman" w:hAnsi="Times New Roman"/>
                <w:b/>
                <w:bCs/>
                <w:lang w:eastAsia="uk-UA"/>
              </w:rPr>
              <w:t>(що публікується НКРЕКП)</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«Прикарпаттяобленерго» (лист </w:t>
            </w:r>
            <w:r w:rsidRPr="005A615E">
              <w:rPr>
                <w:rFonts w:ascii="Times New Roman" w:hAnsi="Times New Roman"/>
                <w:b/>
                <w:sz w:val="24"/>
                <w:u w:val="single"/>
              </w:rPr>
              <w:br/>
              <w:t>від 27.07.2026 № 50012257/12)</w:t>
            </w:r>
          </w:p>
          <w:p w:rsidR="00CF2AC1" w:rsidRPr="005A615E" w:rsidRDefault="00CF2AC1" w:rsidP="00CF2AC1">
            <w:pPr>
              <w:shd w:val="clear" w:color="auto" w:fill="FFFFFF"/>
              <w:spacing w:after="150"/>
              <w:jc w:val="both"/>
              <w:rPr>
                <w:rFonts w:ascii="Times New Roman" w:hAnsi="Times New Roman"/>
                <w:lang w:eastAsia="uk-UA"/>
              </w:rPr>
            </w:pPr>
            <w:r w:rsidRPr="005A615E">
              <w:rPr>
                <w:rFonts w:ascii="Times New Roman" w:hAnsi="Times New Roman"/>
                <w:lang w:eastAsia="uk-UA"/>
              </w:rPr>
              <w:t xml:space="preserve">5.19. Коригування необхідного доходу відповідно до даних виконання цільових завдань щодо досягнення показників якості послуг на рік t </w:t>
            </w:r>
            <w:r w:rsidRPr="005A615E">
              <w:rPr>
                <w:rFonts w:ascii="Times New Roman" w:hAnsi="Times New Roman"/>
                <w:b/>
                <w:strike/>
                <w:lang w:eastAsia="uk-UA"/>
              </w:rPr>
              <w:t>для першого регуляторного періоду</w:t>
            </w:r>
            <w:r w:rsidRPr="005A615E">
              <w:rPr>
                <w:rFonts w:ascii="Times New Roman" w:hAnsi="Times New Roman"/>
                <w:strike/>
                <w:lang w:eastAsia="uk-UA"/>
              </w:rPr>
              <w:t>,</w:t>
            </w:r>
            <w:r w:rsidRPr="005A615E">
              <w:rPr>
                <w:rFonts w:ascii="Times New Roman" w:hAnsi="Times New Roman"/>
                <w:lang w:eastAsia="uk-UA"/>
              </w:rPr>
              <w:t xml:space="preserve"> тис. грн, визначається за формулами</w:t>
            </w:r>
          </w:p>
          <w:p w:rsidR="00CF2AC1" w:rsidRPr="005A615E" w:rsidRDefault="00CF2AC1" w:rsidP="00CF2AC1">
            <w:pPr>
              <w:autoSpaceDE w:val="0"/>
              <w:autoSpaceDN w:val="0"/>
              <w:jc w:val="both"/>
              <w:rPr>
                <w:rFonts w:ascii="Times New Roman" w:hAnsi="Times New Roman"/>
                <w:sz w:val="28"/>
                <w:szCs w:val="28"/>
                <w:lang w:eastAsia="ru-RU"/>
              </w:rPr>
            </w:pPr>
            <w:r w:rsidRPr="005A615E">
              <w:rPr>
                <w:rFonts w:ascii="Times New Roman" w:hAnsi="Times New Roman"/>
                <w:sz w:val="28"/>
                <w:szCs w:val="28"/>
              </w:rPr>
              <w:t>…</w:t>
            </w: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b/>
                <w:sz w:val="24"/>
                <w:u w:val="single"/>
              </w:rPr>
            </w:pPr>
            <w:r w:rsidRPr="005A615E">
              <w:rPr>
                <w:rFonts w:ascii="Times New Roman" w:hAnsi="Times New Roman"/>
                <w:lang w:eastAsia="uk-UA"/>
              </w:rPr>
              <w:t>Пропонуємо не змінювати даний пункт, в зв’язку з пропозицією вилучити пункт 5.20 даної Постанови.</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shd w:val="clear" w:color="auto" w:fill="FFFFFF"/>
              <w:ind w:firstLine="450"/>
              <w:jc w:val="both"/>
              <w:rPr>
                <w:rFonts w:ascii="Times New Roman" w:hAnsi="Times New Roman"/>
                <w:lang w:eastAsia="uk-UA"/>
              </w:rPr>
            </w:pPr>
            <w:r w:rsidRPr="005A615E">
              <w:rPr>
                <w:rFonts w:ascii="Times New Roman" w:hAnsi="Times New Roman"/>
                <w:lang w:eastAsia="uk-UA"/>
              </w:rPr>
              <w:t xml:space="preserve">Пропонуємо щорічно доводити до ОСР чи опубліковувати на сайті НКРЕКП (за результатами року) інформацію про </w:t>
            </w:r>
            <w:r w:rsidRPr="005A615E">
              <w:rPr>
                <w:noProof/>
                <w:lang w:eastAsia="uk-UA"/>
              </w:rPr>
              <w:drawing>
                <wp:inline distT="0" distB="0" distL="0" distR="0" wp14:anchorId="490DD230" wp14:editId="32454565">
                  <wp:extent cx="314325" cy="160506"/>
                  <wp:effectExtent l="0" t="0" r="0" b="0"/>
                  <wp:docPr id="792200266" name="Рисунок 792200266" descr="https://zakon.rada.gov.ua/laws/file/imgs/129/p478167n597v1-114.gif">
                    <a:hlinkClick xmlns:a="http://schemas.openxmlformats.org/drawingml/2006/main" r:id="rId2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rada.gov.ua/laws/file/imgs/129/p478167n597v1-114.gif">
                            <a:hlinkClick r:id="rId232"/>
                          </pic:cNvPr>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318827" cy="162805"/>
                          </a:xfrm>
                          <a:prstGeom prst="rect">
                            <a:avLst/>
                          </a:prstGeom>
                          <a:noFill/>
                          <a:ln>
                            <a:noFill/>
                          </a:ln>
                        </pic:spPr>
                      </pic:pic>
                    </a:graphicData>
                  </a:graphic>
                </wp:inline>
              </w:drawing>
            </w:r>
            <w:r w:rsidRPr="005A615E">
              <w:rPr>
                <w:rFonts w:ascii="Times New Roman" w:hAnsi="Times New Roman"/>
                <w:lang w:eastAsia="uk-UA"/>
              </w:rPr>
              <w:t xml:space="preserve"> - середньозважену по Україні ціну на універсальні послуги для малих непобутових споживачів, приєднаних до системи розподілу на 2 класі напруги, у році t-2, грн/МВт·год, яка буде використовуватися при розрахунку виконання цільових завдань, щодо досягнення показників якості послуг на рік t;</w:t>
            </w:r>
          </w:p>
          <w:p w:rsidR="00CF2AC1" w:rsidRPr="005A615E" w:rsidRDefault="00CF2AC1" w:rsidP="00CF2AC1">
            <w:pPr>
              <w:shd w:val="clear" w:color="auto" w:fill="FFFFFF"/>
              <w:ind w:firstLine="450"/>
              <w:jc w:val="both"/>
              <w:rPr>
                <w:rFonts w:ascii="Times New Roman" w:hAnsi="Times New Roman"/>
                <w:lang w:eastAsia="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«ЖИТОМИРОБЛЕНЕРГО» (лист від 27.07.2026  № 05/24560)</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5.19. Коригування необхідного доходу відповідно до даних виконання цільових завдань щодо досягнення показників якості послуг на рік t для першого регуляторного періоду, тис. грн, визначається за формулами</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Додати абзац</w:t>
            </w:r>
          </w:p>
          <w:p w:rsidR="00CF2AC1" w:rsidRPr="005A615E" w:rsidRDefault="00CF2AC1" w:rsidP="00CF2AC1">
            <w:pPr>
              <w:shd w:val="clear" w:color="auto" w:fill="FFFFFF"/>
              <w:jc w:val="both"/>
              <w:rPr>
                <w:rFonts w:ascii="Times New Roman" w:hAnsi="Times New Roman"/>
                <w:b/>
              </w:rPr>
            </w:pPr>
            <w:r w:rsidRPr="005A615E">
              <w:rPr>
                <w:rFonts w:ascii="Times New Roman" w:hAnsi="Times New Roman"/>
                <w:b/>
              </w:rPr>
              <w:t>Для ліцензіатів, перелік яких наведено у додатку 35 до Порядку встановлення (формування) тарифів, коригування необхідного доходу відповідно до даних виконання цільового завдання щодо досягнення показників якості послуг тривалості довгих перерв за 2027-2029 роки не застосовується.</w:t>
            </w:r>
          </w:p>
          <w:p w:rsidR="00CF2AC1" w:rsidRPr="005A615E" w:rsidRDefault="00CF2AC1" w:rsidP="00CF2AC1">
            <w:pPr>
              <w:shd w:val="clear" w:color="auto" w:fill="FFFFFF"/>
              <w:jc w:val="both"/>
              <w:rPr>
                <w:rFonts w:ascii="Times New Roman" w:hAnsi="Times New Roman"/>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bCs/>
              </w:rPr>
              <w:t xml:space="preserve">У зв’язку із вищевказаним  обґрунтованим дефіцитом коштів, ОСР, зазначені у додатку 35 не мали ресурсів для забезпечення досягнення цільових показників якості послуг. Для таких ОСР Необхідно застосовувати </w:t>
            </w:r>
            <w:r w:rsidRPr="005A615E">
              <w:rPr>
                <w:rFonts w:ascii="Times New Roman" w:hAnsi="Times New Roman"/>
                <w:b/>
                <w:u w:val="single"/>
                <w:shd w:val="clear" w:color="auto" w:fill="FFFFFF"/>
              </w:rPr>
              <w:t>особливі умови</w:t>
            </w:r>
            <w:r w:rsidRPr="005A615E">
              <w:rPr>
                <w:rFonts w:ascii="Times New Roman" w:hAnsi="Times New Roman"/>
              </w:rPr>
              <w:t xml:space="preserve"> для другого регуляторного періоду. </w:t>
            </w:r>
            <w:r w:rsidRPr="005A615E">
              <w:rPr>
                <w:rFonts w:ascii="Times New Roman" w:hAnsi="Times New Roman"/>
                <w:shd w:val="clear" w:color="auto" w:fill="FFFFFF"/>
              </w:rPr>
              <w:t>З огляду на трирічний період визначення прибутку для таких ОСР на нульовому рівні (2024-2026 роки), просимо зазначене корегування необхідного доходу для ОСР додатку 35 не застосовувати протягом 2027-2029 років.</w:t>
            </w:r>
          </w:p>
          <w:p w:rsidR="00CF2AC1" w:rsidRPr="005A615E" w:rsidRDefault="00CF2AC1" w:rsidP="00CF2AC1">
            <w:pPr>
              <w:shd w:val="clear" w:color="auto" w:fill="FFFFFF"/>
              <w:spacing w:after="150"/>
              <w:ind w:firstLine="450"/>
              <w:jc w:val="both"/>
              <w:rPr>
                <w:rFonts w:ascii="Times New Roman" w:hAnsi="Times New Roman"/>
                <w:lang w:eastAsia="uk-UA"/>
              </w:rPr>
            </w:pPr>
          </w:p>
          <w:p w:rsidR="00CF2AC1" w:rsidRPr="005A615E" w:rsidRDefault="00CF2AC1" w:rsidP="00CF2AC1">
            <w:pPr>
              <w:shd w:val="clear" w:color="auto" w:fill="FFFFFF"/>
              <w:ind w:firstLine="450"/>
              <w:jc w:val="both"/>
              <w:rPr>
                <w:rFonts w:ascii="Times New Roman" w:hAnsi="Times New Roman"/>
                <w:lang w:eastAsia="uk-UA"/>
              </w:rPr>
            </w:pPr>
          </w:p>
          <w:p w:rsidR="00CF2AC1" w:rsidRPr="005A615E" w:rsidRDefault="00CF2AC1" w:rsidP="00CF2AC1">
            <w:pPr>
              <w:rPr>
                <w:rFonts w:ascii="Times New Roman" w:hAnsi="Times New Roman"/>
              </w:rPr>
            </w:pPr>
          </w:p>
          <w:p w:rsidR="00CF2AC1" w:rsidRPr="005A615E" w:rsidRDefault="00CF2AC1" w:rsidP="00CF2AC1">
            <w:pPr>
              <w:rPr>
                <w:rFonts w:ascii="Times New Roman" w:hAnsi="Times New Roman"/>
                <w:b/>
                <w:i/>
                <w:u w:val="single"/>
              </w:rPr>
            </w:pPr>
          </w:p>
          <w:p w:rsidR="00CF2AC1" w:rsidRPr="005A615E" w:rsidRDefault="00CF2AC1" w:rsidP="00CF2AC1">
            <w:pPr>
              <w:jc w:val="both"/>
              <w:rPr>
                <w:rFonts w:ascii="Times New Roman" w:hAnsi="Times New Roman"/>
                <w:b/>
                <w:sz w:val="24"/>
                <w:u w:val="single"/>
              </w:rPr>
            </w:pPr>
          </w:p>
        </w:tc>
        <w:tc>
          <w:tcPr>
            <w:tcW w:w="3969" w:type="dxa"/>
            <w:gridSpan w:val="2"/>
          </w:tcPr>
          <w:p w:rsidR="00F27F7A" w:rsidRPr="005A615E" w:rsidRDefault="00F27F7A" w:rsidP="00F27F7A">
            <w:pPr>
              <w:rPr>
                <w:rFonts w:ascii="Times New Roman" w:hAnsi="Times New Roman"/>
                <w:b/>
                <w:sz w:val="24"/>
              </w:rPr>
            </w:pPr>
            <w:r w:rsidRPr="005A615E">
              <w:rPr>
                <w:rFonts w:ascii="Times New Roman" w:hAnsi="Times New Roman"/>
                <w:b/>
                <w:sz w:val="24"/>
              </w:rPr>
              <w:t>Враховано частково</w:t>
            </w:r>
          </w:p>
          <w:p w:rsidR="00F27F7A" w:rsidRPr="005A615E" w:rsidRDefault="00F27F7A" w:rsidP="00F27F7A">
            <w:pPr>
              <w:rPr>
                <w:rFonts w:ascii="Times New Roman" w:hAnsi="Times New Roman"/>
                <w:b/>
                <w:sz w:val="24"/>
              </w:rPr>
            </w:pPr>
            <w:r w:rsidRPr="005A615E">
              <w:rPr>
                <w:rFonts w:ascii="Times New Roman" w:hAnsi="Times New Roman"/>
                <w:b/>
                <w:sz w:val="24"/>
              </w:rPr>
              <w:t>Запропонована редакція</w:t>
            </w:r>
          </w:p>
          <w:p w:rsidR="00F27F7A" w:rsidRPr="005A615E" w:rsidRDefault="00F27F7A" w:rsidP="00F27F7A">
            <w:pPr>
              <w:rPr>
                <w:rFonts w:ascii="Times New Roman" w:hAnsi="Times New Roman"/>
              </w:rPr>
            </w:pPr>
          </w:p>
          <w:p w:rsidR="00F27F7A" w:rsidRPr="005A615E" w:rsidRDefault="00F27F7A" w:rsidP="00F27F7A">
            <w:pPr>
              <w:rPr>
                <w:rFonts w:ascii="Times New Roman" w:hAnsi="Times New Roman"/>
                <w:lang w:eastAsia="uk-UA"/>
              </w:rPr>
            </w:pPr>
            <w:r w:rsidRPr="005A615E">
              <w:rPr>
                <w:rFonts w:ascii="Times New Roman" w:hAnsi="Times New Roman"/>
              </w:rPr>
              <w:t>«5.19. Коригування</w:t>
            </w:r>
            <w:r w:rsidRPr="005A615E">
              <w:rPr>
                <w:rFonts w:ascii="Times New Roman" w:hAnsi="Times New Roman"/>
                <w:lang w:eastAsia="uk-UA"/>
              </w:rPr>
              <w:t xml:space="preserve"> необхідного доходу відповідно до даних виконання цільових завдань щодо досягнення показників якості послуг на рік t для першого регуляторного періоду, тис. грн, визначається за формулами</w:t>
            </w:r>
          </w:p>
          <w:p w:rsidR="00F27F7A" w:rsidRPr="005A615E" w:rsidRDefault="00F27F7A" w:rsidP="00F27F7A">
            <w:pPr>
              <w:rPr>
                <w:rFonts w:ascii="Times New Roman" w:hAnsi="Times New Roman"/>
                <w:lang w:eastAsia="uk-UA"/>
              </w:rPr>
            </w:pPr>
          </w:p>
          <w:p w:rsidR="00F27F7A" w:rsidRPr="005A615E" w:rsidRDefault="00F27F7A" w:rsidP="00F27F7A">
            <w:pPr>
              <w:rPr>
                <w:rFonts w:ascii="Times New Roman" w:hAnsi="Times New Roman"/>
                <w:lang w:eastAsia="uk-UA"/>
              </w:rPr>
            </w:pPr>
            <w:r w:rsidRPr="005A615E">
              <w:rPr>
                <w:rFonts w:ascii="Times New Roman" w:hAnsi="Times New Roman"/>
                <w:lang w:eastAsia="uk-UA"/>
              </w:rPr>
              <w:t xml:space="preserve">.... </w:t>
            </w:r>
          </w:p>
          <w:tbl>
            <w:tblPr>
              <w:tblW w:w="5000" w:type="pct"/>
              <w:tblLayout w:type="fixed"/>
              <w:tblLook w:val="04A0" w:firstRow="1" w:lastRow="0" w:firstColumn="1" w:lastColumn="0" w:noHBand="0" w:noVBand="1"/>
            </w:tblPr>
            <w:tblGrid>
              <w:gridCol w:w="219"/>
              <w:gridCol w:w="521"/>
              <w:gridCol w:w="140"/>
              <w:gridCol w:w="2867"/>
            </w:tblGrid>
            <w:tr w:rsidR="00F27F7A" w:rsidRPr="005A615E" w:rsidTr="00F27F7A">
              <w:tc>
                <w:tcPr>
                  <w:tcW w:w="435"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F27F7A" w:rsidRPr="005A615E" w:rsidRDefault="00F27F7A" w:rsidP="00F27F7A">
                  <w:pPr>
                    <w:spacing w:before="150" w:after="150"/>
                    <w:rPr>
                      <w:rFonts w:ascii="Times New Roman" w:hAnsi="Times New Roman"/>
                      <w:lang w:eastAsia="uk-UA"/>
                    </w:rPr>
                  </w:pPr>
                  <w:r w:rsidRPr="005A615E">
                    <w:rPr>
                      <w:rFonts w:ascii="Times New Roman" w:hAnsi="Times New Roman"/>
                      <w:lang w:eastAsia="uk-UA"/>
                    </w:rPr>
                    <w:t>де</w:t>
                  </w:r>
                </w:p>
              </w:tc>
              <w:tc>
                <w:tcPr>
                  <w:tcW w:w="1560"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F27F7A" w:rsidRPr="005A615E" w:rsidRDefault="00F27F7A" w:rsidP="00F27F7A">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extent cx="352425" cy="123825"/>
                        <wp:effectExtent l="0" t="0" r="9525" b="9525"/>
                        <wp:docPr id="792200291" name="Рисунок 792200291" descr="https://zakon.rada.gov.ua/laws/file/imgs/129/p478167n593-108.gif">
                          <a:hlinkClick xmlns:a="http://schemas.openxmlformats.org/drawingml/2006/main" r:id="rId2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279" descr="https://zakon.rada.gov.ua/laws/file/imgs/129/p478167n593-108.gif">
                                  <a:hlinkClick r:id="rId220"/>
                                </pic:cNvPr>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352425" cy="123825"/>
                                </a:xfrm>
                                <a:prstGeom prst="rect">
                                  <a:avLst/>
                                </a:prstGeom>
                                <a:noFill/>
                                <a:ln>
                                  <a:noFill/>
                                </a:ln>
                              </pic:spPr>
                            </pic:pic>
                          </a:graphicData>
                        </a:graphic>
                      </wp:inline>
                    </w:drawing>
                  </w:r>
                </w:p>
              </w:tc>
              <w:tc>
                <w:tcPr>
                  <w:tcW w:w="15"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F27F7A" w:rsidRPr="005A615E" w:rsidRDefault="00F27F7A" w:rsidP="00F27F7A">
                  <w:pPr>
                    <w:spacing w:before="150" w:after="150"/>
                    <w:rPr>
                      <w:rFonts w:ascii="Times New Roman" w:hAnsi="Times New Roman"/>
                      <w:lang w:eastAsia="uk-UA"/>
                    </w:rPr>
                  </w:pPr>
                  <w:r w:rsidRPr="005A615E">
                    <w:rPr>
                      <w:rFonts w:ascii="Times New Roman" w:hAnsi="Times New Roman"/>
                      <w:lang w:eastAsia="uk-UA"/>
                    </w:rPr>
                    <w:t>-</w:t>
                  </w:r>
                </w:p>
              </w:tc>
              <w:tc>
                <w:tcPr>
                  <w:tcW w:w="10305" w:type="dxa"/>
                  <w:tcBorders>
                    <w:top w:val="single" w:sz="2" w:space="0" w:color="auto"/>
                    <w:left w:val="single" w:sz="2" w:space="0" w:color="auto"/>
                    <w:bottom w:val="single" w:sz="2" w:space="0" w:color="auto"/>
                    <w:right w:val="single" w:sz="2" w:space="0" w:color="auto"/>
                  </w:tcBorders>
                  <w:tcMar>
                    <w:top w:w="60" w:type="dxa"/>
                    <w:left w:w="60" w:type="dxa"/>
                    <w:bottom w:w="60" w:type="dxa"/>
                    <w:right w:w="60" w:type="dxa"/>
                  </w:tcMar>
                  <w:hideMark/>
                </w:tcPr>
                <w:p w:rsidR="00F27F7A" w:rsidRPr="005A615E" w:rsidRDefault="00F27F7A" w:rsidP="00F27F7A">
                  <w:pPr>
                    <w:spacing w:before="150" w:after="150"/>
                    <w:rPr>
                      <w:rFonts w:ascii="Times New Roman" w:hAnsi="Times New Roman"/>
                      <w:lang w:eastAsia="uk-UA"/>
                    </w:rPr>
                  </w:pPr>
                  <w:r w:rsidRPr="005A615E">
                    <w:rPr>
                      <w:rFonts w:ascii="Times New Roman" w:hAnsi="Times New Roman"/>
                      <w:lang w:eastAsia="uk-UA"/>
                    </w:rPr>
                    <w:t xml:space="preserve">розрахункові індекси середньої тривалості довгих перерв (технологічних порушень в електричних мережах ліцензіата та запланованих без попередження споживача) в електропостачанні для міської (сільської) території на рівнях напруги 0,4- 20 кВ на рік t-2, які на 2021 рік та починаючи з 2023 року визначаються за формулами  </w:t>
                  </w:r>
                  <w:r w:rsidRPr="005A615E">
                    <w:rPr>
                      <w:rFonts w:ascii="Times New Roman" w:hAnsi="Times New Roman"/>
                      <w:b/>
                      <w:bCs/>
                      <w:lang w:eastAsia="uk-UA"/>
                    </w:rPr>
                    <w:t>28 та 29</w:t>
                  </w:r>
                  <w:r w:rsidRPr="005A615E">
                    <w:rPr>
                      <w:rFonts w:ascii="Times New Roman" w:hAnsi="Times New Roman"/>
                      <w:lang w:eastAsia="uk-UA"/>
                    </w:rPr>
                    <w:t>.</w:t>
                  </w:r>
                </w:p>
              </w:tc>
            </w:tr>
          </w:tbl>
          <w:p w:rsidR="00F27F7A" w:rsidRPr="005A615E" w:rsidRDefault="00F27F7A" w:rsidP="00F27F7A">
            <w:pPr>
              <w:rPr>
                <w:rFonts w:ascii="Times New Roman" w:hAnsi="Times New Roman"/>
                <w:lang w:eastAsia="uk-UA"/>
              </w:rPr>
            </w:pPr>
          </w:p>
          <w:p w:rsidR="00F27F7A" w:rsidRPr="005A615E" w:rsidRDefault="00F27F7A" w:rsidP="00F27F7A">
            <w:pPr>
              <w:shd w:val="clear" w:color="auto" w:fill="FFFFFF"/>
              <w:spacing w:after="150"/>
              <w:ind w:firstLine="450"/>
              <w:jc w:val="both"/>
              <w:rPr>
                <w:rFonts w:ascii="Times New Roman" w:hAnsi="Times New Roman"/>
                <w:b/>
                <w:sz w:val="28"/>
              </w:rPr>
            </w:pPr>
          </w:p>
          <w:p w:rsidR="00F27F7A" w:rsidRPr="005A615E" w:rsidRDefault="00F27F7A" w:rsidP="00F27F7A">
            <w:pPr>
              <w:jc w:val="both"/>
              <w:rPr>
                <w:rFonts w:ascii="Times New Roman" w:hAnsi="Times New Roman"/>
                <w:b/>
                <w:sz w:val="24"/>
              </w:rPr>
            </w:pPr>
            <w:r w:rsidRPr="005A615E">
              <w:rPr>
                <w:rFonts w:ascii="Times New Roman" w:hAnsi="Times New Roman"/>
                <w:b/>
                <w:sz w:val="24"/>
              </w:rPr>
              <w:t>…</w:t>
            </w:r>
          </w:p>
          <w:p w:rsidR="00F27F7A" w:rsidRPr="005A615E" w:rsidRDefault="00F27F7A" w:rsidP="00F27F7A">
            <w:pPr>
              <w:jc w:val="both"/>
              <w:rPr>
                <w:rFonts w:ascii="Times New Roman" w:hAnsi="Times New Roman"/>
                <w:b/>
                <w:sz w:val="24"/>
              </w:rPr>
            </w:pPr>
            <w:r w:rsidRPr="005A615E">
              <w:rPr>
                <w:rFonts w:ascii="Times New Roman" w:hAnsi="Times New Roman"/>
                <w:noProof/>
                <w:lang w:eastAsia="uk-UA"/>
              </w:rPr>
              <w:drawing>
                <wp:inline distT="0" distB="0" distL="0" distR="0">
                  <wp:extent cx="304800" cy="161925"/>
                  <wp:effectExtent l="0" t="0" r="0" b="9525"/>
                  <wp:docPr id="792200279" name="Рисунок 792200279" descr="https://zakon.rada.gov.ua/laws/file/imgs/129/p478167n597v1-114.gif">
                    <a:hlinkClick xmlns:a="http://schemas.openxmlformats.org/drawingml/2006/main" r:id="rId2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2200291" descr="https://zakon.rada.gov.ua/laws/file/imgs/129/p478167n597v1-114.gif">
                            <a:hlinkClick r:id="rId232"/>
                          </pic:cNvPr>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5A615E">
              <w:rPr>
                <w:rFonts w:ascii="Times New Roman" w:hAnsi="Times New Roman"/>
                <w:lang w:eastAsia="uk-UA"/>
              </w:rPr>
              <w:t xml:space="preserve">- середньозважена по Україні ціна на універсальні послуги для малих непобутових споживачів, приєднаних до системи розподілу на 2 класі напруги, у році t-2 </w:t>
            </w:r>
            <w:r w:rsidRPr="005A615E">
              <w:rPr>
                <w:rFonts w:ascii="Times New Roman" w:hAnsi="Times New Roman"/>
                <w:b/>
                <w:bCs/>
                <w:lang w:eastAsia="uk-UA"/>
              </w:rPr>
              <w:t>(публікується НКРЕКП на його офіційному вебсайті в мережі Інтернет)</w:t>
            </w:r>
            <w:r w:rsidRPr="005A615E">
              <w:rPr>
                <w:rFonts w:ascii="Times New Roman" w:hAnsi="Times New Roman"/>
                <w:lang w:eastAsia="uk-UA"/>
              </w:rPr>
              <w:t>, грн/МВт·год;</w:t>
            </w:r>
          </w:p>
          <w:p w:rsidR="00CF2AC1" w:rsidRPr="005A615E" w:rsidRDefault="00CF2AC1" w:rsidP="00CF2AC1">
            <w:pPr>
              <w:shd w:val="clear" w:color="auto" w:fill="FFFFFF"/>
              <w:spacing w:after="150"/>
              <w:ind w:firstLine="450"/>
              <w:jc w:val="both"/>
              <w:rPr>
                <w:rFonts w:ascii="Times New Roman" w:hAnsi="Times New Roman"/>
                <w:b/>
                <w:sz w:val="28"/>
              </w:rPr>
            </w:pPr>
          </w:p>
        </w:tc>
      </w:tr>
      <w:tr w:rsidR="00CF2AC1" w:rsidRPr="005A615E" w:rsidTr="00A56FEE">
        <w:tc>
          <w:tcPr>
            <w:tcW w:w="6232" w:type="dxa"/>
          </w:tcPr>
          <w:p w:rsidR="00CF2AC1" w:rsidRPr="005A615E" w:rsidRDefault="00CF2AC1" w:rsidP="00CF2AC1">
            <w:pPr>
              <w:autoSpaceDE w:val="0"/>
              <w:autoSpaceDN w:val="0"/>
              <w:ind w:firstLine="709"/>
              <w:jc w:val="both"/>
              <w:rPr>
                <w:rFonts w:ascii="Times New Roman" w:hAnsi="Times New Roman"/>
                <w:szCs w:val="28"/>
              </w:rPr>
            </w:pPr>
            <w:r w:rsidRPr="005A615E">
              <w:rPr>
                <w:rFonts w:ascii="Times New Roman" w:hAnsi="Times New Roman"/>
                <w:szCs w:val="28"/>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CF2AC1" w:rsidRPr="005A615E" w:rsidRDefault="00CF2AC1" w:rsidP="00CF2AC1">
            <w:pPr>
              <w:autoSpaceDE w:val="0"/>
              <w:autoSpaceDN w:val="0"/>
              <w:ind w:firstLine="709"/>
              <w:jc w:val="both"/>
              <w:rPr>
                <w:rFonts w:ascii="Times New Roman" w:hAnsi="Times New Roman"/>
                <w:szCs w:val="28"/>
              </w:rPr>
            </w:pPr>
          </w:p>
          <w:p w:rsidR="00CF2AC1" w:rsidRPr="005A615E" w:rsidRDefault="000D13C5" w:rsidP="00CF2AC1">
            <w:pPr>
              <w:rPr>
                <w:rFonts w:ascii="Times New Roman" w:eastAsiaTheme="minorEastAsia" w:hAnsi="Times New Roman"/>
                <w:szCs w:val="28"/>
              </w:rPr>
            </w:pPr>
            <m:oMath>
              <m:sSub>
                <m:sSubPr>
                  <m:ctrlPr>
                    <w:rPr>
                      <w:rFonts w:ascii="Cambria Math" w:eastAsiaTheme="minorEastAsia" w:hAnsi="Cambria Math"/>
                      <w:sz w:val="24"/>
                      <w:szCs w:val="28"/>
                      <w:lang w:eastAsia="ru-RU"/>
                    </w:rPr>
                  </m:ctrlPr>
                </m:sSubPr>
                <m:e>
                  <m:r>
                    <w:rPr>
                      <w:rFonts w:ascii="Cambria Math" w:eastAsiaTheme="minorEastAsia" w:hAnsi="Cambria Math"/>
                      <w:szCs w:val="28"/>
                    </w:rPr>
                    <m:t>КЯ</m:t>
                  </m:r>
                </m:e>
                <m:sub>
                  <m:r>
                    <w:rPr>
                      <w:rFonts w:ascii="Cambria Math" w:hAnsi="Cambria Math"/>
                      <w:szCs w:val="28"/>
                    </w:rPr>
                    <m:t xml:space="preserve">t </m:t>
                  </m:r>
                </m:sub>
              </m:sSub>
              <m:r>
                <w:rPr>
                  <w:rFonts w:ascii="Cambria Math" w:hAnsi="Cambria Math"/>
                  <w:szCs w:val="28"/>
                </w:rPr>
                <m:t>=</m:t>
              </m:r>
              <m:sSub>
                <m:sSubPr>
                  <m:ctrlPr>
                    <w:rPr>
                      <w:rFonts w:ascii="Cambria Math" w:eastAsiaTheme="minorEastAsia" w:hAnsi="Cambria Math"/>
                      <w:sz w:val="24"/>
                      <w:szCs w:val="28"/>
                      <w:lang w:eastAsia="ru-RU"/>
                    </w:rPr>
                  </m:ctrlPr>
                </m:sSubPr>
                <m:e>
                  <m:r>
                    <w:rPr>
                      <w:rFonts w:ascii="Cambria Math" w:eastAsiaTheme="minorEastAsia" w:hAnsi="Cambria Math"/>
                      <w:szCs w:val="28"/>
                    </w:rPr>
                    <m:t>КЯ</m:t>
                  </m:r>
                </m:e>
                <m:sub>
                  <m:r>
                    <w:rPr>
                      <w:rFonts w:ascii="Cambria Math" w:hAnsi="Cambria Math"/>
                      <w:szCs w:val="28"/>
                    </w:rPr>
                    <m:t xml:space="preserve">яt </m:t>
                  </m:r>
                </m:sub>
              </m:sSub>
              <m:r>
                <m:rPr>
                  <m:sty m:val="p"/>
                </m:rPr>
                <w:rPr>
                  <w:rFonts w:ascii="Cambria Math" w:eastAsiaTheme="minorEastAsia" w:hAnsi="Cambria Math"/>
                  <w:szCs w:val="28"/>
                </w:rPr>
                <m:t xml:space="preserve">+ </m:t>
              </m:r>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нпt</m:t>
                  </m:r>
                </m:sub>
              </m:sSub>
              <m:r>
                <m:rPr>
                  <m:sty m:val="p"/>
                </m:rPr>
                <w:rPr>
                  <w:rFonts w:ascii="Cambria Math" w:eastAsiaTheme="minorEastAsia" w:hAnsi="Cambria Math"/>
                  <w:szCs w:val="28"/>
                </w:rPr>
                <m:t>+</m:t>
              </m:r>
              <m:r>
                <w:rPr>
                  <w:rFonts w:ascii="Cambria Math" w:eastAsiaTheme="minorEastAsia" w:hAnsi="Cambria Math"/>
                  <w:szCs w:val="28"/>
                </w:rPr>
                <m:t xml:space="preserve"> </m:t>
              </m:r>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прt</m:t>
                  </m:r>
                </m:sub>
              </m:sSub>
              <m:r>
                <m:rPr>
                  <m:sty m:val="p"/>
                </m:rPr>
                <w:rPr>
                  <w:rFonts w:ascii="Cambria Math" w:eastAsiaTheme="minorEastAsia" w:hAnsi="Cambria Math"/>
                  <w:szCs w:val="28"/>
                </w:rPr>
                <m:t>+</m:t>
              </m:r>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дt</m:t>
                  </m:r>
                </m:sub>
              </m:sSub>
              <m:r>
                <w:rPr>
                  <w:rFonts w:ascii="Cambria Math" w:hAnsi="Cambria Math"/>
                  <w:szCs w:val="28"/>
                </w:rPr>
                <m:t>+</m:t>
              </m:r>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коt</m:t>
                  </m:r>
                </m:sub>
              </m:sSub>
            </m:oMath>
            <w:r w:rsidR="00CF2AC1" w:rsidRPr="005A615E">
              <w:rPr>
                <w:rFonts w:ascii="Times New Roman" w:eastAsiaTheme="minorEastAsia" w:hAnsi="Times New Roman"/>
                <w:szCs w:val="28"/>
              </w:rPr>
              <w:t xml:space="preserve"> + </w:t>
            </w:r>
            <m:oMath>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рсt</m:t>
                  </m:r>
                </m:sub>
              </m:sSub>
            </m:oMath>
            <w:r w:rsidR="00CF2AC1" w:rsidRPr="005A615E">
              <w:rPr>
                <w:rFonts w:ascii="Times New Roman" w:hAnsi="Times New Roman"/>
                <w:szCs w:val="28"/>
              </w:rPr>
              <w:t xml:space="preserve"> +</w:t>
            </w:r>
            <m:oMath>
              <m:r>
                <w:rPr>
                  <w:rFonts w:ascii="Cambria Math" w:hAnsi="Cambria Math"/>
                  <w:szCs w:val="28"/>
                </w:rPr>
                <m:t xml:space="preserve"> </m:t>
              </m:r>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вдзt</m:t>
                  </m:r>
                </m:sub>
              </m:sSub>
            </m:oMath>
            <w:r w:rsidR="00CF2AC1" w:rsidRPr="005A615E">
              <w:rPr>
                <w:rFonts w:ascii="Times New Roman" w:hAnsi="Times New Roman"/>
                <w:szCs w:val="28"/>
              </w:rPr>
              <w:t xml:space="preserve">, </w:t>
            </w:r>
            <w:r w:rsidR="00CF2AC1" w:rsidRPr="005A615E">
              <w:rPr>
                <w:rFonts w:ascii="Times New Roman" w:eastAsiaTheme="minorEastAsia" w:hAnsi="Times New Roman"/>
                <w:szCs w:val="28"/>
              </w:rPr>
              <w:t xml:space="preserve">тис. грн,    </w:t>
            </w:r>
            <w:hyperlink r:id="rId246" w:tgtFrame="_blank" w:history="1">
              <w:r w:rsidR="00CF2AC1" w:rsidRPr="005A615E">
                <w:rPr>
                  <w:rStyle w:val="a9"/>
                  <w:rFonts w:ascii="Times New Roman" w:eastAsiaTheme="minorEastAsia" w:hAnsi="Times New Roman"/>
                  <w:color w:val="auto"/>
                  <w:szCs w:val="28"/>
                </w:rPr>
                <w:t>(</w:t>
              </w:r>
            </w:hyperlink>
            <w:hyperlink r:id="rId247" w:tgtFrame="_blank" w:history="1">
              <w:r w:rsidR="00CF2AC1" w:rsidRPr="005A615E">
                <w:rPr>
                  <w:rStyle w:val="a9"/>
                  <w:rFonts w:ascii="Times New Roman" w:eastAsiaTheme="minorEastAsia" w:hAnsi="Times New Roman"/>
                  <w:color w:val="auto"/>
                  <w:szCs w:val="28"/>
                </w:rPr>
                <w:t>32</w:t>
              </w:r>
            </w:hyperlink>
            <w:hyperlink r:id="rId248" w:tgtFrame="_blank" w:history="1">
              <w:r w:rsidR="00CF2AC1" w:rsidRPr="005A615E">
                <w:rPr>
                  <w:rStyle w:val="a9"/>
                  <w:rFonts w:ascii="Times New Roman" w:eastAsiaTheme="minorEastAsia" w:hAnsi="Times New Roman"/>
                  <w:color w:val="auto"/>
                  <w:szCs w:val="28"/>
                </w:rPr>
                <w:t>)</w:t>
              </w:r>
            </w:hyperlink>
          </w:p>
          <w:p w:rsidR="00CF2AC1" w:rsidRPr="005A615E" w:rsidRDefault="000D13C5" w:rsidP="00CF2AC1">
            <w:pPr>
              <w:ind w:firstLine="709"/>
              <w:rPr>
                <w:rFonts w:ascii="Times New Roman" w:eastAsia="Times New Roman" w:hAnsi="Times New Roman"/>
                <w:szCs w:val="28"/>
              </w:rPr>
            </w:pPr>
            <m:oMath>
              <m:sSub>
                <m:sSubPr>
                  <m:ctrlPr>
                    <w:rPr>
                      <w:rFonts w:ascii="Cambria Math" w:eastAsia="Times New Roman" w:hAnsi="Cambria Math"/>
                      <w:sz w:val="24"/>
                      <w:szCs w:val="28"/>
                      <w:lang w:eastAsia="ru-RU"/>
                    </w:rPr>
                  </m:ctrlPr>
                </m:sSubPr>
                <m:e>
                  <m:r>
                    <m:rPr>
                      <m:sty m:val="p"/>
                    </m:rPr>
                    <w:rPr>
                      <w:rFonts w:ascii="Cambria Math" w:hAnsi="Cambria Math"/>
                      <w:szCs w:val="28"/>
                    </w:rPr>
                    <m:t>КЯ</m:t>
                  </m:r>
                </m:e>
                <m:sub>
                  <m:r>
                    <m:rPr>
                      <m:sty m:val="p"/>
                    </m:rPr>
                    <w:rPr>
                      <w:rFonts w:ascii="Cambria Math" w:hAnsi="Cambria Math"/>
                      <w:szCs w:val="28"/>
                    </w:rPr>
                    <m:t>я</m:t>
                  </m:r>
                  <m:r>
                    <w:rPr>
                      <w:rFonts w:ascii="Cambria Math" w:hAnsi="Cambria Math"/>
                      <w:szCs w:val="28"/>
                    </w:rPr>
                    <m:t>t</m:t>
                  </m:r>
                  <m:r>
                    <m:rPr>
                      <m:sty m:val="p"/>
                    </m:rPr>
                    <w:rPr>
                      <w:rFonts w:ascii="Cambria Math" w:hAnsi="Cambria Math"/>
                      <w:szCs w:val="28"/>
                    </w:rPr>
                    <m:t xml:space="preserve"> </m:t>
                  </m:r>
                </m:sub>
              </m:sSub>
            </m:oMath>
            <w:r w:rsidR="00CF2AC1" w:rsidRPr="005A615E">
              <w:rPr>
                <w:rFonts w:ascii="Times New Roman" w:hAnsi="Times New Roman"/>
                <w:szCs w:val="28"/>
              </w:rPr>
              <w:t xml:space="preserve"> </w:t>
            </w:r>
            <m:oMath>
              <m:r>
                <m:rPr>
                  <m:sty m:val="p"/>
                </m:rPr>
                <w:rPr>
                  <w:rFonts w:ascii="Cambria Math" w:hAnsi="Cambria Math"/>
                  <w:szCs w:val="28"/>
                </w:rPr>
                <m:t>≤</m:t>
              </m:r>
            </m:oMath>
            <w:r w:rsidR="00CF2AC1" w:rsidRPr="005A615E">
              <w:rPr>
                <w:rFonts w:ascii="Times New Roman" w:hAnsi="Times New Roman"/>
                <w:szCs w:val="28"/>
              </w:rPr>
              <w:t>0,02</w:t>
            </w:r>
          </w:p>
          <w:p w:rsidR="00CF2AC1" w:rsidRPr="005A615E" w:rsidRDefault="000D13C5" w:rsidP="00CF2AC1">
            <w:pPr>
              <w:ind w:firstLine="709"/>
              <w:rPr>
                <w:rFonts w:ascii="Times New Roman" w:hAnsi="Times New Roman"/>
                <w:szCs w:val="28"/>
              </w:rPr>
            </w:pPr>
            <m:oMath>
              <m:sSub>
                <m:sSubPr>
                  <m:ctrlPr>
                    <w:rPr>
                      <w:rFonts w:ascii="Cambria Math" w:eastAsia="Times New Roman" w:hAnsi="Cambria Math"/>
                      <w:sz w:val="24"/>
                      <w:szCs w:val="28"/>
                      <w:lang w:eastAsia="ru-RU"/>
                    </w:rPr>
                  </m:ctrlPr>
                </m:sSubPr>
                <m:e>
                  <m:sSub>
                    <m:sSubPr>
                      <m:ctrlPr>
                        <w:rPr>
                          <w:rFonts w:ascii="Cambria Math" w:eastAsia="Times New Roman" w:hAnsi="Cambria Math"/>
                          <w:sz w:val="24"/>
                          <w:szCs w:val="28"/>
                          <w:lang w:eastAsia="ru-RU"/>
                        </w:rPr>
                      </m:ctrlPr>
                    </m:sSubPr>
                    <m:e>
                      <m:r>
                        <m:rPr>
                          <m:sty m:val="p"/>
                        </m:rPr>
                        <w:rPr>
                          <w:rFonts w:ascii="Cambria Math" w:hAnsi="Cambria Math"/>
                          <w:szCs w:val="28"/>
                        </w:rPr>
                        <m:t>КЯ</m:t>
                      </m:r>
                    </m:e>
                    <m:sub>
                      <m:r>
                        <m:rPr>
                          <m:sty m:val="p"/>
                        </m:rPr>
                        <w:rPr>
                          <w:rFonts w:ascii="Cambria Math" w:hAnsi="Cambria Math"/>
                          <w:szCs w:val="28"/>
                        </w:rPr>
                        <m:t>нп</m:t>
                      </m:r>
                      <m:r>
                        <w:rPr>
                          <w:rFonts w:ascii="Cambria Math" w:hAnsi="Cambria Math"/>
                          <w:szCs w:val="28"/>
                        </w:rPr>
                        <m:t>t</m:t>
                      </m:r>
                    </m:sub>
                  </m:sSub>
                  <m:r>
                    <m:rPr>
                      <m:sty m:val="p"/>
                    </m:rPr>
                    <w:rPr>
                      <w:rFonts w:ascii="Cambria Math" w:hAnsi="Cambria Math"/>
                      <w:szCs w:val="28"/>
                    </w:rPr>
                    <m:t>; КЯ</m:t>
                  </m:r>
                </m:e>
                <m:sub>
                  <m:r>
                    <m:rPr>
                      <m:sty m:val="p"/>
                    </m:rPr>
                    <w:rPr>
                      <w:rFonts w:ascii="Cambria Math" w:hAnsi="Cambria Math"/>
                      <w:szCs w:val="28"/>
                    </w:rPr>
                    <m:t>пр</m:t>
                  </m:r>
                  <m:r>
                    <w:rPr>
                      <w:rFonts w:ascii="Cambria Math" w:hAnsi="Cambria Math"/>
                      <w:szCs w:val="28"/>
                    </w:rPr>
                    <m:t>t</m:t>
                  </m:r>
                </m:sub>
              </m:sSub>
              <m:r>
                <m:rPr>
                  <m:sty m:val="p"/>
                </m:rPr>
                <w:rPr>
                  <w:rFonts w:ascii="Cambria Math" w:hAnsi="Cambria Math"/>
                  <w:szCs w:val="28"/>
                </w:rPr>
                <m:t xml:space="preserve">; </m:t>
              </m:r>
              <m:sSub>
                <m:sSubPr>
                  <m:ctrlPr>
                    <w:rPr>
                      <w:rFonts w:ascii="Cambria Math" w:eastAsia="Times New Roman" w:hAnsi="Cambria Math"/>
                      <w:sz w:val="24"/>
                      <w:szCs w:val="28"/>
                      <w:lang w:eastAsia="ru-RU"/>
                    </w:rPr>
                  </m:ctrlPr>
                </m:sSubPr>
                <m:e>
                  <m:r>
                    <m:rPr>
                      <m:sty m:val="p"/>
                    </m:rPr>
                    <w:rPr>
                      <w:rFonts w:ascii="Cambria Math" w:hAnsi="Cambria Math"/>
                      <w:szCs w:val="28"/>
                    </w:rPr>
                    <m:t>КЯ</m:t>
                  </m:r>
                </m:e>
                <m:sub>
                  <m:r>
                    <m:rPr>
                      <m:sty m:val="p"/>
                    </m:rPr>
                    <w:rPr>
                      <w:rFonts w:ascii="Cambria Math" w:hAnsi="Cambria Math"/>
                      <w:szCs w:val="28"/>
                    </w:rPr>
                    <m:t>д</m:t>
                  </m:r>
                  <m:r>
                    <w:rPr>
                      <w:rFonts w:ascii="Cambria Math" w:hAnsi="Cambria Math"/>
                      <w:szCs w:val="28"/>
                    </w:rPr>
                    <m:t>t</m:t>
                  </m:r>
                </m:sub>
              </m:sSub>
              <m:r>
                <m:rPr>
                  <m:sty m:val="p"/>
                </m:rPr>
                <w:rPr>
                  <w:rFonts w:ascii="Cambria Math" w:hAnsi="Cambria Math"/>
                  <w:szCs w:val="28"/>
                </w:rPr>
                <m:t>;</m:t>
              </m:r>
            </m:oMath>
            <w:r w:rsidR="00CF2AC1" w:rsidRPr="005A615E">
              <w:rPr>
                <w:rFonts w:ascii="Times New Roman" w:hAnsi="Times New Roman"/>
                <w:szCs w:val="28"/>
              </w:rPr>
              <w:t xml:space="preserve"> </w:t>
            </w:r>
            <m:oMath>
              <m:sSub>
                <m:sSubPr>
                  <m:ctrlPr>
                    <w:rPr>
                      <w:rFonts w:ascii="Cambria Math" w:eastAsia="Times New Roman" w:hAnsi="Cambria Math"/>
                      <w:sz w:val="24"/>
                      <w:szCs w:val="28"/>
                      <w:lang w:eastAsia="ru-RU"/>
                    </w:rPr>
                  </m:ctrlPr>
                </m:sSubPr>
                <m:e>
                  <m:sSub>
                    <m:sSubPr>
                      <m:ctrlPr>
                        <w:rPr>
                          <w:rFonts w:ascii="Cambria Math" w:eastAsia="Times New Roman" w:hAnsi="Cambria Math"/>
                          <w:sz w:val="24"/>
                          <w:szCs w:val="28"/>
                          <w:lang w:eastAsia="ru-RU"/>
                        </w:rPr>
                      </m:ctrlPr>
                    </m:sSubPr>
                    <m:e>
                      <m:r>
                        <m:rPr>
                          <m:sty m:val="p"/>
                        </m:rPr>
                        <w:rPr>
                          <w:rFonts w:ascii="Cambria Math" w:hAnsi="Cambria Math"/>
                          <w:szCs w:val="28"/>
                        </w:rPr>
                        <m:t>КЯ</m:t>
                      </m:r>
                    </m:e>
                    <m:sub>
                      <m:r>
                        <m:rPr>
                          <m:sty m:val="p"/>
                        </m:rPr>
                        <w:rPr>
                          <w:rFonts w:ascii="Cambria Math" w:hAnsi="Cambria Math"/>
                          <w:szCs w:val="28"/>
                        </w:rPr>
                        <m:t>ко</m:t>
                      </m:r>
                      <m:r>
                        <w:rPr>
                          <w:rFonts w:ascii="Cambria Math" w:hAnsi="Cambria Math"/>
                          <w:szCs w:val="28"/>
                        </w:rPr>
                        <m:t>t</m:t>
                      </m:r>
                    </m:sub>
                  </m:sSub>
                  <m:r>
                    <m:rPr>
                      <m:sty m:val="p"/>
                    </m:rPr>
                    <w:rPr>
                      <w:rFonts w:ascii="Cambria Math" w:hAnsi="Cambria Math"/>
                      <w:szCs w:val="28"/>
                    </w:rPr>
                    <m:t xml:space="preserve">; </m:t>
                  </m:r>
                  <m:sSub>
                    <m:sSubPr>
                      <m:ctrlPr>
                        <w:rPr>
                          <w:rFonts w:ascii="Cambria Math" w:eastAsia="Times New Roman" w:hAnsi="Cambria Math"/>
                          <w:sz w:val="24"/>
                          <w:szCs w:val="28"/>
                          <w:lang w:eastAsia="ru-RU"/>
                        </w:rPr>
                      </m:ctrlPr>
                    </m:sSubPr>
                    <m:e>
                      <m:r>
                        <m:rPr>
                          <m:sty m:val="p"/>
                        </m:rPr>
                        <w:rPr>
                          <w:rFonts w:ascii="Cambria Math" w:hAnsi="Cambria Math"/>
                          <w:szCs w:val="28"/>
                        </w:rPr>
                        <m:t>КЯ</m:t>
                      </m:r>
                    </m:e>
                    <m:sub>
                      <m:r>
                        <m:rPr>
                          <m:sty m:val="p"/>
                        </m:rPr>
                        <w:rPr>
                          <w:rFonts w:ascii="Cambria Math" w:hAnsi="Cambria Math"/>
                          <w:szCs w:val="28"/>
                        </w:rPr>
                        <m:t>рс</m:t>
                      </m:r>
                      <m:r>
                        <w:rPr>
                          <w:rFonts w:ascii="Cambria Math" w:hAnsi="Cambria Math"/>
                          <w:szCs w:val="28"/>
                        </w:rPr>
                        <m:t>t</m:t>
                      </m:r>
                    </m:sub>
                  </m:sSub>
                  <m:r>
                    <m:rPr>
                      <m:sty m:val="p"/>
                    </m:rPr>
                    <w:rPr>
                      <w:rFonts w:ascii="Cambria Math" w:hAnsi="Cambria Math"/>
                      <w:szCs w:val="28"/>
                    </w:rPr>
                    <m:t xml:space="preserve"> ;КЯ</m:t>
                  </m:r>
                </m:e>
                <m:sub>
                  <m:r>
                    <m:rPr>
                      <m:sty m:val="p"/>
                    </m:rPr>
                    <w:rPr>
                      <w:rFonts w:ascii="Cambria Math" w:hAnsi="Cambria Math"/>
                      <w:szCs w:val="28"/>
                    </w:rPr>
                    <m:t>вдз</m:t>
                  </m:r>
                  <m:r>
                    <w:rPr>
                      <w:rFonts w:ascii="Cambria Math" w:hAnsi="Cambria Math"/>
                      <w:szCs w:val="28"/>
                    </w:rPr>
                    <m:t>t</m:t>
                  </m:r>
                </m:sub>
              </m:sSub>
              <m:r>
                <m:rPr>
                  <m:sty m:val="p"/>
                </m:rPr>
                <w:rPr>
                  <w:rFonts w:ascii="Cambria Math" w:hAnsi="Cambria Math"/>
                  <w:szCs w:val="28"/>
                </w:rPr>
                <m:t>≤</m:t>
              </m:r>
            </m:oMath>
            <w:r w:rsidR="00CF2AC1" w:rsidRPr="005A615E">
              <w:rPr>
                <w:rFonts w:ascii="Times New Roman" w:hAnsi="Times New Roman"/>
                <w:szCs w:val="28"/>
              </w:rPr>
              <w:t>0,005</w:t>
            </w:r>
          </w:p>
          <w:tbl>
            <w:tblPr>
              <w:tblW w:w="6259" w:type="dxa"/>
              <w:tblCellSpacing w:w="22" w:type="dxa"/>
              <w:tblLayout w:type="fixed"/>
              <w:tblLook w:val="04A0" w:firstRow="1" w:lastRow="0" w:firstColumn="1" w:lastColumn="0" w:noHBand="0" w:noVBand="1"/>
            </w:tblPr>
            <w:tblGrid>
              <w:gridCol w:w="2589"/>
              <w:gridCol w:w="568"/>
              <w:gridCol w:w="2392"/>
              <w:gridCol w:w="710"/>
            </w:tblGrid>
            <w:tr w:rsidR="00CF2AC1" w:rsidRPr="005A615E" w:rsidTr="00CA0CDF">
              <w:trPr>
                <w:trHeight w:val="313"/>
                <w:tblCellSpacing w:w="22" w:type="dxa"/>
              </w:trPr>
              <w:tc>
                <w:tcPr>
                  <w:tcW w:w="2016" w:type="pct"/>
                  <w:tcMar>
                    <w:top w:w="15" w:type="dxa"/>
                    <w:left w:w="15" w:type="dxa"/>
                    <w:bottom w:w="15" w:type="dxa"/>
                    <w:right w:w="15" w:type="dxa"/>
                  </w:tcMar>
                  <w:vAlign w:val="center"/>
                  <w:hideMark/>
                </w:tcPr>
                <w:p w:rsidR="00CF2AC1" w:rsidRPr="005A615E" w:rsidRDefault="000D13C5" w:rsidP="00CF2AC1">
                  <w:pPr>
                    <w:rPr>
                      <w:rFonts w:ascii="Times New Roman" w:hAnsi="Times New Roman"/>
                      <w:szCs w:val="24"/>
                    </w:rPr>
                  </w:pPr>
                  <m:oMathPara>
                    <m:oMath>
                      <m:sSub>
                        <m:sSubPr>
                          <m:ctrlPr>
                            <w:rPr>
                              <w:rFonts w:ascii="Cambria Math" w:eastAsiaTheme="minorEastAsia" w:hAnsi="Cambria Math"/>
                              <w:lang w:eastAsia="ru-RU"/>
                            </w:rPr>
                          </m:ctrlPr>
                        </m:sSubPr>
                        <m:e>
                          <m:r>
                            <w:rPr>
                              <w:rFonts w:ascii="Cambria Math" w:eastAsiaTheme="minorEastAsia" w:hAnsi="Cambria Math"/>
                            </w:rPr>
                            <m:t>КЯ</m:t>
                          </m:r>
                        </m:e>
                        <m:sub>
                          <m:r>
                            <w:rPr>
                              <w:rFonts w:ascii="Cambria Math" w:hAnsi="Cambria Math"/>
                            </w:rPr>
                            <m:t xml:space="preserve">t </m:t>
                          </m:r>
                        </m:sub>
                      </m:sSub>
                      <m:r>
                        <w:rPr>
                          <w:rFonts w:ascii="Cambria Math" w:hAnsi="Cambria Math"/>
                        </w:rPr>
                        <m:t xml:space="preserve">˂-0,05 × </m:t>
                      </m:r>
                      <m:sSubSup>
                        <m:sSubSupPr>
                          <m:ctrlPr>
                            <w:rPr>
                              <w:rFonts w:ascii="Cambria Math" w:eastAsia="Times New Roman" w:hAnsi="Cambria Math"/>
                              <w:i/>
                              <w:lang w:eastAsia="ru-RU"/>
                            </w:rPr>
                          </m:ctrlPr>
                        </m:sSubSupPr>
                        <m:e>
                          <m:r>
                            <w:rPr>
                              <w:rFonts w:ascii="Cambria Math" w:hAnsi="Cambria Math"/>
                            </w:rPr>
                            <m:t>НД</m:t>
                          </m:r>
                        </m:e>
                        <m:sub>
                          <m:r>
                            <w:rPr>
                              <w:rFonts w:ascii="Cambria Math" w:hAnsi="Cambria Math"/>
                            </w:rPr>
                            <m:t>t-2</m:t>
                          </m:r>
                        </m:sub>
                        <m:sup>
                          <m:r>
                            <w:rPr>
                              <w:rFonts w:ascii="Cambria Math" w:hAnsi="Cambria Math"/>
                            </w:rPr>
                            <m:t>n</m:t>
                          </m:r>
                        </m:sup>
                      </m:sSubSup>
                    </m:oMath>
                  </m:oMathPara>
                </w:p>
              </w:tc>
              <w:tc>
                <w:tcPr>
                  <w:tcW w:w="419" w:type="pct"/>
                  <w:tcMar>
                    <w:top w:w="15" w:type="dxa"/>
                    <w:left w:w="15" w:type="dxa"/>
                    <w:bottom w:w="15" w:type="dxa"/>
                    <w:right w:w="15" w:type="dxa"/>
                  </w:tcMar>
                  <w:vAlign w:val="center"/>
                  <w:hideMark/>
                </w:tcPr>
                <w:p w:rsidR="00CF2AC1" w:rsidRPr="005A615E" w:rsidRDefault="000D13C5" w:rsidP="00CF2AC1">
                  <w:pPr>
                    <w:rPr>
                      <w:rFonts w:ascii="Times New Roman" w:hAnsi="Times New Roman"/>
                      <w:sz w:val="24"/>
                    </w:rPr>
                  </w:pPr>
                  <w:hyperlink r:id="rId249" w:tgtFrame="_blank" w:history="1">
                    <w:r w:rsidR="00CF2AC1" w:rsidRPr="005A615E">
                      <w:rPr>
                        <w:rStyle w:val="a9"/>
                        <w:rFonts w:ascii="Times New Roman" w:hAnsi="Times New Roman"/>
                        <w:color w:val="auto"/>
                      </w:rPr>
                      <w:t>, то</w:t>
                    </w:r>
                  </w:hyperlink>
                </w:p>
              </w:tc>
              <w:tc>
                <w:tcPr>
                  <w:tcW w:w="1876" w:type="pct"/>
                  <w:tcMar>
                    <w:top w:w="15" w:type="dxa"/>
                    <w:left w:w="15" w:type="dxa"/>
                    <w:bottom w:w="15" w:type="dxa"/>
                    <w:right w:w="15" w:type="dxa"/>
                  </w:tcMar>
                  <w:vAlign w:val="center"/>
                  <w:hideMark/>
                </w:tcPr>
                <w:p w:rsidR="00CF2AC1" w:rsidRPr="005A615E" w:rsidRDefault="000D13C5" w:rsidP="00CF2AC1">
                  <w:pPr>
                    <w:rPr>
                      <w:rFonts w:ascii="Times New Roman" w:hAnsi="Times New Roman"/>
                    </w:rPr>
                  </w:pPr>
                  <m:oMath>
                    <m:sSub>
                      <m:sSubPr>
                        <m:ctrlPr>
                          <w:rPr>
                            <w:rFonts w:ascii="Cambria Math" w:eastAsiaTheme="minorEastAsia" w:hAnsi="Cambria Math"/>
                            <w:lang w:eastAsia="ru-RU"/>
                          </w:rPr>
                        </m:ctrlPr>
                      </m:sSubPr>
                      <m:e>
                        <m:r>
                          <w:rPr>
                            <w:rFonts w:ascii="Cambria Math" w:eastAsiaTheme="minorEastAsia" w:hAnsi="Cambria Math"/>
                          </w:rPr>
                          <m:t>КЯ</m:t>
                        </m:r>
                      </m:e>
                      <m:sub>
                        <m:r>
                          <w:rPr>
                            <w:rFonts w:ascii="Cambria Math" w:hAnsi="Cambria Math"/>
                          </w:rPr>
                          <m:t xml:space="preserve">t </m:t>
                        </m:r>
                      </m:sub>
                    </m:sSub>
                    <m:r>
                      <w:rPr>
                        <w:rFonts w:ascii="Cambria Math" w:hAnsi="Cambria Math"/>
                      </w:rPr>
                      <m:t xml:space="preserve">=-0,05 × </m:t>
                    </m:r>
                    <m:sSubSup>
                      <m:sSubSupPr>
                        <m:ctrlPr>
                          <w:rPr>
                            <w:rFonts w:ascii="Cambria Math" w:eastAsia="Times New Roman" w:hAnsi="Cambria Math"/>
                            <w:i/>
                            <w:lang w:eastAsia="ru-RU"/>
                          </w:rPr>
                        </m:ctrlPr>
                      </m:sSubSupPr>
                      <m:e>
                        <m:r>
                          <w:rPr>
                            <w:rFonts w:ascii="Cambria Math" w:hAnsi="Cambria Math"/>
                          </w:rPr>
                          <m:t>НД</m:t>
                        </m:r>
                      </m:e>
                      <m:sub>
                        <m:r>
                          <w:rPr>
                            <w:rFonts w:ascii="Cambria Math" w:hAnsi="Cambria Math"/>
                          </w:rPr>
                          <m:t>t-2</m:t>
                        </m:r>
                      </m:sub>
                      <m:sup>
                        <m:r>
                          <w:rPr>
                            <w:rFonts w:ascii="Cambria Math" w:hAnsi="Cambria Math"/>
                          </w:rPr>
                          <m:t>n</m:t>
                        </m:r>
                      </m:sup>
                    </m:sSubSup>
                  </m:oMath>
                  <w:r w:rsidR="00CF2AC1" w:rsidRPr="005A615E">
                    <w:rPr>
                      <w:rFonts w:ascii="Times New Roman" w:eastAsiaTheme="minorEastAsia" w:hAnsi="Times New Roman"/>
                    </w:rPr>
                    <w:t>,</w:t>
                  </w:r>
                </w:p>
              </w:tc>
              <w:tc>
                <w:tcPr>
                  <w:tcW w:w="514" w:type="pct"/>
                  <w:tcMar>
                    <w:top w:w="15" w:type="dxa"/>
                    <w:left w:w="15" w:type="dxa"/>
                    <w:bottom w:w="15" w:type="dxa"/>
                    <w:right w:w="15" w:type="dxa"/>
                  </w:tcMar>
                  <w:vAlign w:val="center"/>
                  <w:hideMark/>
                </w:tcPr>
                <w:p w:rsidR="00CF2AC1" w:rsidRPr="005A615E" w:rsidRDefault="000D13C5" w:rsidP="00CF2AC1">
                  <w:pPr>
                    <w:rPr>
                      <w:rFonts w:ascii="Times New Roman" w:hAnsi="Times New Roman"/>
                      <w:sz w:val="24"/>
                    </w:rPr>
                  </w:pPr>
                  <w:hyperlink r:id="rId250" w:tgtFrame="_blank" w:history="1">
                    <w:r w:rsidR="00CF2AC1" w:rsidRPr="005A615E">
                      <w:rPr>
                        <w:rStyle w:val="a9"/>
                        <w:rFonts w:ascii="Times New Roman" w:hAnsi="Times New Roman"/>
                        <w:color w:val="auto"/>
                      </w:rPr>
                      <w:t xml:space="preserve"> тис. грн;</w:t>
                    </w:r>
                  </w:hyperlink>
                  <w:r w:rsidR="00CF2AC1" w:rsidRPr="005A615E">
                    <w:rPr>
                      <w:rFonts w:ascii="Times New Roman" w:hAnsi="Times New Roman"/>
                    </w:rPr>
                    <w:t xml:space="preserve">   (33)</w:t>
                  </w:r>
                </w:p>
              </w:tc>
            </w:tr>
          </w:tbl>
          <w:p w:rsidR="00CF2AC1" w:rsidRPr="005A615E" w:rsidRDefault="00CF2AC1" w:rsidP="00CF2AC1">
            <w:pPr>
              <w:ind w:firstLine="709"/>
              <w:jc w:val="both"/>
              <w:rPr>
                <w:rFonts w:ascii="Times New Roman" w:eastAsia="Times New Roman" w:hAnsi="Times New Roman"/>
                <w:szCs w:val="28"/>
                <w:lang w:eastAsia="ru-RU"/>
              </w:rPr>
            </w:pPr>
          </w:p>
          <w:p w:rsidR="00CF2AC1" w:rsidRPr="005A615E" w:rsidRDefault="00CF2AC1" w:rsidP="00CF2AC1">
            <w:pPr>
              <w:ind w:firstLine="709"/>
              <w:jc w:val="both"/>
              <w:rPr>
                <w:rFonts w:ascii="Times New Roman" w:hAnsi="Times New Roman"/>
                <w:szCs w:val="28"/>
              </w:rPr>
            </w:pPr>
            <w:r w:rsidRPr="005A615E">
              <w:rPr>
                <w:rFonts w:ascii="Times New Roman" w:hAnsi="Times New Roman"/>
                <w:szCs w:val="28"/>
              </w:rPr>
              <w:t>1) тривалість довгих перерв в електропостачанні, на рік t визначається за формулами</w:t>
            </w:r>
          </w:p>
          <w:p w:rsidR="00CF2AC1" w:rsidRPr="005A615E" w:rsidRDefault="00CF2AC1" w:rsidP="00CF2AC1">
            <w:pPr>
              <w:ind w:firstLine="709"/>
              <w:jc w:val="both"/>
              <w:rPr>
                <w:rFonts w:ascii="Times New Roman" w:hAnsi="Times New Roman"/>
                <w:szCs w:val="28"/>
              </w:rPr>
            </w:pPr>
          </w:p>
          <w:p w:rsidR="00CF2AC1" w:rsidRPr="005A615E" w:rsidRDefault="000D13C5" w:rsidP="00CF2AC1">
            <w:pPr>
              <w:rPr>
                <w:rFonts w:ascii="Times New Roman" w:hAnsi="Times New Roman"/>
                <w:szCs w:val="28"/>
              </w:rPr>
            </w:pPr>
            <m:oMath>
              <m:sSub>
                <m:sSubPr>
                  <m:ctrlPr>
                    <w:rPr>
                      <w:rFonts w:ascii="Cambria Math" w:eastAsiaTheme="minorEastAsia" w:hAnsi="Cambria Math"/>
                      <w:sz w:val="24"/>
                      <w:szCs w:val="28"/>
                      <w:lang w:eastAsia="ru-RU"/>
                    </w:rPr>
                  </m:ctrlPr>
                </m:sSubPr>
                <m:e>
                  <m:r>
                    <w:rPr>
                      <w:rFonts w:ascii="Cambria Math" w:eastAsiaTheme="minorEastAsia" w:hAnsi="Cambria Math"/>
                      <w:szCs w:val="28"/>
                    </w:rPr>
                    <m:t>КЯ</m:t>
                  </m:r>
                </m:e>
                <m:sub>
                  <m:r>
                    <w:rPr>
                      <w:rFonts w:ascii="Cambria Math" w:hAnsi="Cambria Math"/>
                      <w:szCs w:val="28"/>
                    </w:rPr>
                    <m:t xml:space="preserve">яt </m:t>
                  </m:r>
                </m:sub>
              </m:sSub>
              <m:r>
                <w:rPr>
                  <w:rFonts w:ascii="Cambria Math" w:hAnsi="Cambria Math"/>
                  <w:szCs w:val="28"/>
                </w:rPr>
                <m:t>=</m:t>
              </m:r>
              <m:sSubSup>
                <m:sSubSupPr>
                  <m:ctrlPr>
                    <w:rPr>
                      <w:rFonts w:ascii="Cambria Math" w:eastAsia="Times New Roman" w:hAnsi="Cambria Math"/>
                      <w:i/>
                      <w:sz w:val="24"/>
                      <w:szCs w:val="28"/>
                      <w:lang w:eastAsia="ru-RU"/>
                    </w:rPr>
                  </m:ctrlPr>
                </m:sSubSupPr>
                <m:e>
                  <m:r>
                    <w:rPr>
                      <w:rFonts w:ascii="Cambria Math" w:hAnsi="Cambria Math"/>
                      <w:szCs w:val="28"/>
                    </w:rPr>
                    <m:t>КЯ</m:t>
                  </m:r>
                </m:e>
                <m:sub>
                  <m:r>
                    <w:rPr>
                      <w:rFonts w:ascii="Cambria Math" w:hAnsi="Cambria Math"/>
                      <w:szCs w:val="28"/>
                    </w:rPr>
                    <m:t>яt</m:t>
                  </m:r>
                </m:sub>
                <m:sup>
                  <m:r>
                    <w:rPr>
                      <w:rFonts w:ascii="Cambria Math" w:hAnsi="Cambria Math"/>
                      <w:szCs w:val="28"/>
                    </w:rPr>
                    <m:t>м</m:t>
                  </m:r>
                </m:sup>
              </m:sSubSup>
              <m:r>
                <m:rPr>
                  <m:sty m:val="p"/>
                </m:rPr>
                <w:rPr>
                  <w:rFonts w:ascii="Cambria Math" w:eastAsiaTheme="minorEastAsia" w:hAnsi="Cambria Math"/>
                  <w:szCs w:val="28"/>
                </w:rPr>
                <m:t>+</m:t>
              </m:r>
              <m:sSubSup>
                <m:sSubSupPr>
                  <m:ctrlPr>
                    <w:rPr>
                      <w:rFonts w:ascii="Cambria Math" w:eastAsia="Times New Roman" w:hAnsi="Cambria Math"/>
                      <w:i/>
                      <w:sz w:val="24"/>
                      <w:szCs w:val="28"/>
                      <w:lang w:eastAsia="ru-RU"/>
                    </w:rPr>
                  </m:ctrlPr>
                </m:sSubSupPr>
                <m:e>
                  <m:r>
                    <w:rPr>
                      <w:rFonts w:ascii="Cambria Math" w:hAnsi="Cambria Math"/>
                      <w:szCs w:val="28"/>
                    </w:rPr>
                    <m:t>КЯ</m:t>
                  </m:r>
                </m:e>
                <m:sub>
                  <m:r>
                    <w:rPr>
                      <w:rFonts w:ascii="Cambria Math" w:hAnsi="Cambria Math"/>
                      <w:szCs w:val="28"/>
                    </w:rPr>
                    <m:t>яt</m:t>
                  </m:r>
                </m:sub>
                <m:sup>
                  <m:r>
                    <w:rPr>
                      <w:rFonts w:ascii="Cambria Math" w:hAnsi="Cambria Math"/>
                      <w:szCs w:val="28"/>
                    </w:rPr>
                    <m:t>с</m:t>
                  </m:r>
                </m:sup>
              </m:sSubSup>
            </m:oMath>
            <w:r w:rsidR="00CF2AC1" w:rsidRPr="005A615E">
              <w:rPr>
                <w:rFonts w:ascii="Times New Roman" w:hAnsi="Times New Roman"/>
                <w:szCs w:val="28"/>
              </w:rPr>
              <w:t xml:space="preserve"> ,    </w:t>
            </w:r>
            <w:r w:rsidR="00CF2AC1" w:rsidRPr="005A615E">
              <w:rPr>
                <w:rFonts w:ascii="Times New Roman" w:eastAsiaTheme="minorEastAsia" w:hAnsi="Times New Roman"/>
                <w:szCs w:val="28"/>
              </w:rPr>
              <w:t>тис. грн,    (34)</w:t>
            </w:r>
          </w:p>
          <w:p w:rsidR="00CF2AC1" w:rsidRPr="005A615E" w:rsidRDefault="000D13C5" w:rsidP="00CF2AC1">
            <w:pPr>
              <w:ind w:firstLine="709"/>
              <w:jc w:val="both"/>
              <w:rPr>
                <w:rFonts w:ascii="Times New Roman" w:hAnsi="Times New Roman"/>
                <w:szCs w:val="28"/>
              </w:rPr>
            </w:pPr>
            <w:hyperlink r:id="rId251" w:tgtFrame="_blank" w:history="1">
              <w:r w:rsidR="00CF2AC1" w:rsidRPr="005A615E">
                <w:rPr>
                  <w:rStyle w:val="a9"/>
                  <w:rFonts w:ascii="Times New Roman" w:hAnsi="Times New Roman"/>
                  <w:color w:val="auto"/>
                  <w:szCs w:val="28"/>
                </w:rPr>
                <w:t>де  </w:t>
              </w:r>
            </w:hyperlink>
            <m:oMath>
              <m:sSubSup>
                <m:sSubSupPr>
                  <m:ctrlPr>
                    <w:rPr>
                      <w:rFonts w:ascii="Cambria Math" w:eastAsia="Times New Roman" w:hAnsi="Cambria Math"/>
                      <w:i/>
                      <w:sz w:val="24"/>
                      <w:szCs w:val="28"/>
                      <w:lang w:eastAsia="ru-RU"/>
                    </w:rPr>
                  </m:ctrlPr>
                </m:sSubSupPr>
                <m:e>
                  <m:r>
                    <m:rPr>
                      <m:sty m:val="p"/>
                    </m:rPr>
                    <w:rPr>
                      <w:rFonts w:ascii="Cambria Math" w:hAnsi="Cambria Math"/>
                      <w:szCs w:val="28"/>
                    </w:rPr>
                    <m:t>КЯ</m:t>
                  </m:r>
                </m:e>
                <m:sub>
                  <m:r>
                    <m:rPr>
                      <m:sty m:val="p"/>
                    </m:rPr>
                    <w:rPr>
                      <w:rFonts w:ascii="Cambria Math" w:hAnsi="Cambria Math"/>
                      <w:szCs w:val="28"/>
                    </w:rPr>
                    <m:t>яt</m:t>
                  </m:r>
                </m:sub>
                <m:sup>
                  <m:r>
                    <m:rPr>
                      <m:sty m:val="p"/>
                    </m:rPr>
                    <w:rPr>
                      <w:rFonts w:ascii="Cambria Math" w:hAnsi="Cambria Math"/>
                      <w:szCs w:val="28"/>
                    </w:rPr>
                    <m:t>м(с)</m:t>
                  </m:r>
                </m:sup>
              </m:sSubSup>
            </m:oMath>
            <w:r w:rsidR="00CF2AC1" w:rsidRPr="005A615E">
              <w:rPr>
                <w:rFonts w:ascii="Times New Roman" w:hAnsi="Times New Roman"/>
                <w:szCs w:val="28"/>
              </w:rPr>
              <w:t>– складові якості послуг для міської (сільської) території, що розраховуються за формулами</w:t>
            </w:r>
          </w:p>
          <w:p w:rsidR="00CF2AC1" w:rsidRPr="005A615E" w:rsidRDefault="00CF2AC1" w:rsidP="00CF2AC1">
            <w:pPr>
              <w:ind w:firstLine="709"/>
              <w:jc w:val="both"/>
              <w:rPr>
                <w:rFonts w:ascii="Times New Roman" w:hAnsi="Times New Roman"/>
                <w:szCs w:val="28"/>
              </w:rPr>
            </w:pPr>
          </w:p>
          <w:p w:rsidR="00CF2AC1" w:rsidRPr="005A615E" w:rsidRDefault="000D13C5" w:rsidP="00CF2AC1">
            <w:pPr>
              <w:ind w:left="507" w:hanging="567"/>
              <w:rPr>
                <w:rFonts w:ascii="Times New Roman" w:eastAsiaTheme="minorEastAsia" w:hAnsi="Times New Roman"/>
                <w:szCs w:val="28"/>
              </w:rPr>
            </w:pPr>
            <m:oMath>
              <m:sSubSup>
                <m:sSubSupPr>
                  <m:ctrlPr>
                    <w:rPr>
                      <w:rFonts w:ascii="Cambria Math" w:eastAsia="Times New Roman" w:hAnsi="Cambria Math"/>
                      <w:i/>
                      <w:lang w:eastAsia="ru-RU"/>
                    </w:rPr>
                  </m:ctrlPr>
                </m:sSubSupPr>
                <m:e>
                  <m:r>
                    <w:rPr>
                      <w:rFonts w:ascii="Cambria Math" w:hAnsi="Cambria Math"/>
                      <w:sz w:val="20"/>
                    </w:rPr>
                    <m:t>КЯ</m:t>
                  </m:r>
                </m:e>
                <m:sub>
                  <m:r>
                    <w:rPr>
                      <w:rFonts w:ascii="Cambria Math" w:hAnsi="Cambria Math"/>
                      <w:sz w:val="20"/>
                    </w:rPr>
                    <m:t>яt</m:t>
                  </m:r>
                </m:sub>
                <m:sup>
                  <m:r>
                    <w:rPr>
                      <w:rFonts w:ascii="Cambria Math" w:hAnsi="Cambria Math"/>
                      <w:sz w:val="20"/>
                    </w:rPr>
                    <m:t>м(с)</m:t>
                  </m:r>
                </m:sup>
              </m:sSubSup>
              <m:r>
                <w:rPr>
                  <w:rFonts w:ascii="Cambria Math" w:hAnsi="Cambria Math"/>
                  <w:sz w:val="20"/>
                </w:rPr>
                <m:t>=</m:t>
              </m:r>
              <m:d>
                <m:dPr>
                  <m:ctrlPr>
                    <w:rPr>
                      <w:rFonts w:ascii="Cambria Math" w:eastAsia="Times New Roman" w:hAnsi="Cambria Math"/>
                      <w:i/>
                      <w:lang w:eastAsia="ru-RU"/>
                    </w:rPr>
                  </m:ctrlPr>
                </m:dPr>
                <m:e>
                  <m:sSubSup>
                    <m:sSubSupPr>
                      <m:ctrlPr>
                        <w:rPr>
                          <w:rFonts w:ascii="Cambria Math" w:eastAsia="Times New Roman" w:hAnsi="Cambria Math"/>
                          <w:i/>
                          <w:lang w:eastAsia="ru-RU"/>
                        </w:rPr>
                      </m:ctrlPr>
                    </m:sSubSupPr>
                    <m:e>
                      <m:r>
                        <w:rPr>
                          <w:rFonts w:ascii="Cambria Math" w:hAnsi="Cambria Math"/>
                          <w:sz w:val="20"/>
                        </w:rPr>
                        <m:t>SAIDI</m:t>
                      </m:r>
                    </m:e>
                    <m:sub>
                      <m:r>
                        <w:rPr>
                          <w:rFonts w:ascii="Cambria Math" w:hAnsi="Cambria Math"/>
                          <w:sz w:val="20"/>
                        </w:rPr>
                        <m:t>t-2</m:t>
                      </m:r>
                    </m:sub>
                    <m:sup>
                      <m:r>
                        <w:rPr>
                          <w:rFonts w:ascii="Cambria Math" w:hAnsi="Cambria Math"/>
                          <w:sz w:val="20"/>
                        </w:rPr>
                        <m:t>м</m:t>
                      </m:r>
                      <m:d>
                        <m:dPr>
                          <m:ctrlPr>
                            <w:rPr>
                              <w:rFonts w:ascii="Cambria Math" w:eastAsia="Times New Roman" w:hAnsi="Cambria Math"/>
                              <w:i/>
                              <w:lang w:eastAsia="ru-RU"/>
                            </w:rPr>
                          </m:ctrlPr>
                        </m:dPr>
                        <m:e>
                          <m:r>
                            <w:rPr>
                              <w:rFonts w:ascii="Cambria Math" w:hAnsi="Cambria Math"/>
                              <w:sz w:val="20"/>
                            </w:rPr>
                            <m:t>с</m:t>
                          </m:r>
                        </m:e>
                      </m:d>
                      <m:r>
                        <w:rPr>
                          <w:rFonts w:ascii="Cambria Math" w:hAnsi="Cambria Math"/>
                          <w:sz w:val="20"/>
                        </w:rPr>
                        <m:t>р</m:t>
                      </m:r>
                    </m:sup>
                  </m:sSubSup>
                  <m:r>
                    <w:rPr>
                      <w:rFonts w:ascii="Cambria Math" w:hAnsi="Cambria Math"/>
                      <w:sz w:val="20"/>
                    </w:rPr>
                    <m:t>-</m:t>
                  </m:r>
                  <m:sSubSup>
                    <m:sSubSupPr>
                      <m:ctrlPr>
                        <w:rPr>
                          <w:rFonts w:ascii="Cambria Math" w:eastAsia="Times New Roman" w:hAnsi="Cambria Math"/>
                          <w:i/>
                          <w:lang w:eastAsia="ru-RU"/>
                        </w:rPr>
                      </m:ctrlPr>
                    </m:sSubSupPr>
                    <m:e>
                      <m:r>
                        <w:rPr>
                          <w:rFonts w:ascii="Cambria Math" w:hAnsi="Cambria Math"/>
                          <w:sz w:val="20"/>
                        </w:rPr>
                        <m:t>SAIDI</m:t>
                      </m:r>
                    </m:e>
                    <m:sub>
                      <m:r>
                        <w:rPr>
                          <w:rFonts w:ascii="Cambria Math" w:hAnsi="Cambria Math"/>
                          <w:sz w:val="20"/>
                        </w:rPr>
                        <m:t>t-2</m:t>
                      </m:r>
                    </m:sub>
                    <m:sup>
                      <m:r>
                        <w:rPr>
                          <w:rFonts w:ascii="Cambria Math" w:hAnsi="Cambria Math"/>
                          <w:sz w:val="20"/>
                        </w:rPr>
                        <m:t>м</m:t>
                      </m:r>
                      <m:d>
                        <m:dPr>
                          <m:ctrlPr>
                            <w:rPr>
                              <w:rFonts w:ascii="Cambria Math" w:eastAsia="Times New Roman" w:hAnsi="Cambria Math"/>
                              <w:i/>
                              <w:lang w:eastAsia="ru-RU"/>
                            </w:rPr>
                          </m:ctrlPr>
                        </m:dPr>
                        <m:e>
                          <m:r>
                            <w:rPr>
                              <w:rFonts w:ascii="Cambria Math" w:hAnsi="Cambria Math"/>
                              <w:sz w:val="20"/>
                            </w:rPr>
                            <m:t>с</m:t>
                          </m:r>
                        </m:e>
                      </m:d>
                      <m:r>
                        <w:rPr>
                          <w:rFonts w:ascii="Cambria Math" w:hAnsi="Cambria Math"/>
                          <w:sz w:val="20"/>
                        </w:rPr>
                        <m:t>ф</m:t>
                      </m:r>
                    </m:sup>
                  </m:sSubSup>
                </m:e>
              </m:d>
              <m:r>
                <w:rPr>
                  <w:rFonts w:ascii="Cambria Math" w:hAnsi="Cambria Math"/>
                  <w:sz w:val="20"/>
                </w:rPr>
                <m:t>×</m:t>
              </m:r>
              <m:f>
                <m:fPr>
                  <m:ctrlPr>
                    <w:rPr>
                      <w:rFonts w:ascii="Cambria Math" w:eastAsiaTheme="minorEastAsia" w:hAnsi="Cambria Math"/>
                      <w:i/>
                      <w:lang w:eastAsia="ru-RU"/>
                    </w:rPr>
                  </m:ctrlPr>
                </m:fPr>
                <m:num>
                  <m:r>
                    <w:rPr>
                      <w:rFonts w:ascii="Cambria Math" w:eastAsiaTheme="minorEastAsia" w:hAnsi="Cambria Math"/>
                      <w:sz w:val="20"/>
                    </w:rPr>
                    <m:t xml:space="preserve">ПКя </m:t>
                  </m:r>
                  <m:r>
                    <w:rPr>
                      <w:rFonts w:ascii="Cambria Math" w:hAnsi="Cambria Math"/>
                      <w:sz w:val="20"/>
                    </w:rPr>
                    <m:t xml:space="preserve">× </m:t>
                  </m:r>
                  <m:sSub>
                    <m:sSubPr>
                      <m:ctrlPr>
                        <w:rPr>
                          <w:rFonts w:ascii="Cambria Math" w:eastAsiaTheme="minorEastAsia" w:hAnsi="Cambria Math"/>
                          <w:i/>
                          <w:lang w:eastAsia="ru-RU"/>
                        </w:rPr>
                      </m:ctrlPr>
                    </m:sSubPr>
                    <m:e>
                      <m:r>
                        <w:rPr>
                          <w:rFonts w:ascii="Cambria Math" w:eastAsiaTheme="minorEastAsia" w:hAnsi="Cambria Math"/>
                          <w:sz w:val="20"/>
                        </w:rPr>
                        <m:t>Ц</m:t>
                      </m:r>
                    </m:e>
                    <m:sub>
                      <m:sSub>
                        <m:sSubPr>
                          <m:ctrlPr>
                            <w:rPr>
                              <w:rFonts w:ascii="Cambria Math" w:eastAsiaTheme="minorEastAsia" w:hAnsi="Cambria Math"/>
                              <w:i/>
                              <w:lang w:eastAsia="ru-RU"/>
                            </w:rPr>
                          </m:ctrlPr>
                        </m:sSubPr>
                        <m:e>
                          <m:r>
                            <w:rPr>
                              <w:rFonts w:ascii="Cambria Math" w:eastAsiaTheme="minorEastAsia" w:hAnsi="Cambria Math"/>
                              <w:sz w:val="20"/>
                            </w:rPr>
                            <m:t>2_</m:t>
                          </m:r>
                        </m:e>
                        <m:sub>
                          <m:r>
                            <w:rPr>
                              <w:rFonts w:ascii="Cambria Math" w:eastAsiaTheme="minorEastAsia" w:hAnsi="Cambria Math"/>
                              <w:sz w:val="20"/>
                            </w:rPr>
                            <m:t>t</m:t>
                          </m:r>
                        </m:sub>
                      </m:sSub>
                      <m:r>
                        <w:rPr>
                          <w:rFonts w:ascii="Cambria Math" w:eastAsiaTheme="minorEastAsia" w:hAnsi="Cambria Math"/>
                          <w:sz w:val="20"/>
                        </w:rPr>
                        <m:t>-2</m:t>
                      </m:r>
                    </m:sub>
                  </m:sSub>
                  <m:r>
                    <w:rPr>
                      <w:rFonts w:ascii="Cambria Math" w:hAnsi="Cambria Math"/>
                      <w:sz w:val="20"/>
                    </w:rPr>
                    <m:t xml:space="preserve"> ×</m:t>
                  </m:r>
                  <m:sSubSup>
                    <m:sSubSupPr>
                      <m:ctrlPr>
                        <w:rPr>
                          <w:rFonts w:ascii="Cambria Math" w:eastAsia="Times New Roman" w:hAnsi="Cambria Math"/>
                          <w:i/>
                          <w:lang w:eastAsia="ru-RU"/>
                        </w:rPr>
                      </m:ctrlPr>
                    </m:sSubSupPr>
                    <m:e>
                      <m:r>
                        <w:rPr>
                          <w:rFonts w:ascii="Cambria Math" w:hAnsi="Cambria Math"/>
                          <w:sz w:val="20"/>
                        </w:rPr>
                        <m:t>W</m:t>
                      </m:r>
                    </m:e>
                    <m:sub>
                      <m:sSub>
                        <m:sSubPr>
                          <m:ctrlPr>
                            <w:rPr>
                              <w:rFonts w:ascii="Cambria Math" w:eastAsiaTheme="minorEastAsia" w:hAnsi="Cambria Math"/>
                              <w:i/>
                              <w:lang w:eastAsia="ru-RU"/>
                            </w:rPr>
                          </m:ctrlPr>
                        </m:sSubPr>
                        <m:e>
                          <m:r>
                            <w:rPr>
                              <w:rFonts w:ascii="Cambria Math" w:eastAsiaTheme="minorEastAsia" w:hAnsi="Cambria Math"/>
                              <w:sz w:val="20"/>
                            </w:rPr>
                            <m:t>2_</m:t>
                          </m:r>
                        </m:e>
                        <m:sub>
                          <m:r>
                            <w:rPr>
                              <w:rFonts w:ascii="Cambria Math" w:eastAsiaTheme="minorEastAsia" w:hAnsi="Cambria Math"/>
                              <w:sz w:val="20"/>
                            </w:rPr>
                            <m:t>t</m:t>
                          </m:r>
                        </m:sub>
                      </m:sSub>
                      <m:r>
                        <w:rPr>
                          <w:rFonts w:ascii="Cambria Math" w:eastAsiaTheme="minorEastAsia" w:hAnsi="Cambria Math"/>
                          <w:sz w:val="20"/>
                        </w:rPr>
                        <m:t>-2</m:t>
                      </m:r>
                    </m:sub>
                    <m:sup>
                      <m:r>
                        <w:rPr>
                          <w:rFonts w:ascii="Cambria Math" w:hAnsi="Cambria Math"/>
                          <w:sz w:val="20"/>
                        </w:rPr>
                        <m:t>м</m:t>
                      </m:r>
                      <m:d>
                        <m:dPr>
                          <m:ctrlPr>
                            <w:rPr>
                              <w:rFonts w:ascii="Cambria Math" w:eastAsia="Times New Roman" w:hAnsi="Cambria Math"/>
                              <w:i/>
                              <w:lang w:eastAsia="ru-RU"/>
                            </w:rPr>
                          </m:ctrlPr>
                        </m:dPr>
                        <m:e>
                          <m:r>
                            <w:rPr>
                              <w:rFonts w:ascii="Cambria Math" w:hAnsi="Cambria Math"/>
                              <w:sz w:val="20"/>
                            </w:rPr>
                            <m:t>с</m:t>
                          </m:r>
                        </m:e>
                      </m:d>
                      <m:r>
                        <w:rPr>
                          <w:rFonts w:ascii="Cambria Math" w:hAnsi="Cambria Math"/>
                          <w:sz w:val="20"/>
                        </w:rPr>
                        <m:t>ф</m:t>
                      </m:r>
                    </m:sup>
                  </m:sSubSup>
                  <m:r>
                    <w:rPr>
                      <w:rFonts w:ascii="Cambria Math" w:eastAsiaTheme="minorEastAsia" w:hAnsi="Cambria Math"/>
                      <w:sz w:val="20"/>
                    </w:rPr>
                    <m:t xml:space="preserve"> </m:t>
                  </m:r>
                </m:num>
                <m:den>
                  <m:r>
                    <w:rPr>
                      <w:rFonts w:ascii="Cambria Math" w:eastAsiaTheme="minorEastAsia" w:hAnsi="Cambria Math"/>
                      <w:sz w:val="20"/>
                    </w:rPr>
                    <m:t xml:space="preserve">(365 </m:t>
                  </m:r>
                  <m:r>
                    <w:rPr>
                      <w:rFonts w:ascii="Cambria Math" w:hAnsi="Cambria Math"/>
                      <w:sz w:val="20"/>
                    </w:rPr>
                    <m:t>×</m:t>
                  </m:r>
                  <m:r>
                    <w:rPr>
                      <w:rFonts w:ascii="Cambria Math" w:eastAsiaTheme="minorEastAsia" w:hAnsi="Cambria Math"/>
                      <w:sz w:val="20"/>
                    </w:rPr>
                    <m:t xml:space="preserve"> 24 </m:t>
                  </m:r>
                  <m:r>
                    <w:rPr>
                      <w:rFonts w:ascii="Cambria Math" w:hAnsi="Cambria Math"/>
                      <w:sz w:val="20"/>
                    </w:rPr>
                    <m:t>×</m:t>
                  </m:r>
                  <m:r>
                    <w:rPr>
                      <w:rFonts w:ascii="Cambria Math" w:eastAsiaTheme="minorEastAsia" w:hAnsi="Cambria Math"/>
                      <w:sz w:val="20"/>
                    </w:rPr>
                    <m:t xml:space="preserve"> 60)</m:t>
                  </m:r>
                </m:den>
              </m:f>
              <m:r>
                <w:rPr>
                  <w:rFonts w:ascii="Cambria Math" w:hAnsi="Cambria Math"/>
                  <w:sz w:val="20"/>
                </w:rPr>
                <m:t xml:space="preserve"> ÷1000</m:t>
              </m:r>
            </m:oMath>
            <w:r w:rsidR="00CF2AC1" w:rsidRPr="005A615E">
              <w:rPr>
                <w:rFonts w:ascii="Times New Roman" w:eastAsiaTheme="minorEastAsia" w:hAnsi="Times New Roman"/>
                <w:szCs w:val="28"/>
              </w:rPr>
              <w:t>, тис. грн   (35),</w:t>
            </w:r>
          </w:p>
          <w:p w:rsidR="00CF2AC1" w:rsidRPr="005A615E" w:rsidRDefault="00CF2AC1" w:rsidP="00CF2AC1">
            <w:pPr>
              <w:ind w:left="507" w:hanging="567"/>
              <w:rPr>
                <w:rFonts w:ascii="Times New Roman" w:eastAsiaTheme="minorEastAsia" w:hAnsi="Times New Roman"/>
                <w:sz w:val="24"/>
                <w:szCs w:val="28"/>
              </w:rPr>
            </w:pPr>
          </w:p>
          <w:tbl>
            <w:tblPr>
              <w:tblW w:w="5834" w:type="dxa"/>
              <w:tblCellSpacing w:w="22" w:type="dxa"/>
              <w:tblLayout w:type="fixed"/>
              <w:tblLook w:val="04A0" w:firstRow="1" w:lastRow="0" w:firstColumn="1" w:lastColumn="0" w:noHBand="0" w:noVBand="1"/>
            </w:tblPr>
            <w:tblGrid>
              <w:gridCol w:w="1029"/>
              <w:gridCol w:w="2537"/>
              <w:gridCol w:w="567"/>
              <w:gridCol w:w="1701"/>
            </w:tblGrid>
            <w:tr w:rsidR="00CF2AC1" w:rsidRPr="005A615E" w:rsidTr="00CA0CDF">
              <w:trPr>
                <w:trHeight w:val="412"/>
                <w:tblCellSpacing w:w="22" w:type="dxa"/>
              </w:trPr>
              <w:tc>
                <w:tcPr>
                  <w:tcW w:w="826" w:type="pct"/>
                  <w:tcMar>
                    <w:top w:w="15" w:type="dxa"/>
                    <w:left w:w="15" w:type="dxa"/>
                    <w:bottom w:w="15" w:type="dxa"/>
                    <w:right w:w="15" w:type="dxa"/>
                  </w:tcMar>
                  <w:vAlign w:val="center"/>
                  <w:hideMark/>
                </w:tcPr>
                <w:p w:rsidR="00CF2AC1" w:rsidRPr="005A615E" w:rsidRDefault="00CF2AC1" w:rsidP="00CF2AC1">
                  <w:pPr>
                    <w:rPr>
                      <w:rFonts w:ascii="Times New Roman" w:eastAsia="Times New Roman" w:hAnsi="Times New Roman"/>
                      <w:szCs w:val="28"/>
                    </w:rPr>
                  </w:pPr>
                  <w:r w:rsidRPr="005A615E">
                    <w:rPr>
                      <w:rFonts w:ascii="Times New Roman" w:hAnsi="Times New Roman"/>
                      <w:szCs w:val="28"/>
                    </w:rPr>
                    <w:t xml:space="preserve"> </w:t>
                  </w:r>
                  <w:hyperlink r:id="rId252" w:tgtFrame="_blank" w:history="1">
                    <w:r w:rsidRPr="005A615E">
                      <w:rPr>
                        <w:rStyle w:val="a9"/>
                        <w:rFonts w:ascii="Times New Roman" w:hAnsi="Times New Roman"/>
                        <w:color w:val="auto"/>
                        <w:szCs w:val="28"/>
                      </w:rPr>
                      <w:t>якщо</w:t>
                    </w:r>
                  </w:hyperlink>
                </w:p>
              </w:tc>
              <w:tc>
                <w:tcPr>
                  <w:tcW w:w="2136" w:type="pct"/>
                  <w:tcMar>
                    <w:top w:w="15" w:type="dxa"/>
                    <w:left w:w="15" w:type="dxa"/>
                    <w:bottom w:w="15" w:type="dxa"/>
                    <w:right w:w="15" w:type="dxa"/>
                  </w:tcMar>
                  <w:vAlign w:val="center"/>
                  <w:hideMark/>
                </w:tcPr>
                <w:p w:rsidR="00CF2AC1" w:rsidRPr="005A615E" w:rsidRDefault="00CF2AC1" w:rsidP="00CF2AC1">
                  <w:pPr>
                    <w:rPr>
                      <w:rFonts w:ascii="Times New Roman" w:hAnsi="Times New Roman"/>
                      <w:szCs w:val="28"/>
                    </w:rPr>
                  </w:pPr>
                  <w:r w:rsidRPr="005A615E">
                    <w:rPr>
                      <w:rFonts w:ascii="Times New Roman" w:hAnsi="Times New Roman"/>
                      <w:noProof/>
                      <w:szCs w:val="28"/>
                    </w:rPr>
                    <w:drawing>
                      <wp:inline distT="0" distB="0" distL="0" distR="0" wp14:anchorId="2683F1E2" wp14:editId="2EE33BCD">
                        <wp:extent cx="1514475" cy="190500"/>
                        <wp:effectExtent l="0" t="0" r="9525" b="0"/>
                        <wp:docPr id="29" name="Рисунок 29" descr="https://zakon-pro.ligazakon.net/l_flib1.nsf/LookupFiles/GK40721_IMG_299.GIF/$file/GK40721_IMG_2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27" descr="https://zakon-pro.ligazakon.net/l_flib1.nsf/LookupFiles/GK40721_IMG_299.GIF/$file/GK40721_IMG_299.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1514475" cy="190500"/>
                                </a:xfrm>
                                <a:prstGeom prst="rect">
                                  <a:avLst/>
                                </a:prstGeom>
                                <a:noFill/>
                                <a:ln>
                                  <a:noFill/>
                                </a:ln>
                              </pic:spPr>
                            </pic:pic>
                          </a:graphicData>
                        </a:graphic>
                      </wp:inline>
                    </w:drawing>
                  </w:r>
                </w:p>
              </w:tc>
              <w:tc>
                <w:tcPr>
                  <w:tcW w:w="448" w:type="pct"/>
                  <w:tcMar>
                    <w:top w:w="15" w:type="dxa"/>
                    <w:left w:w="15" w:type="dxa"/>
                    <w:bottom w:w="15" w:type="dxa"/>
                    <w:right w:w="15" w:type="dxa"/>
                  </w:tcMar>
                  <w:vAlign w:val="center"/>
                  <w:hideMark/>
                </w:tcPr>
                <w:p w:rsidR="00CF2AC1" w:rsidRPr="005A615E" w:rsidRDefault="000D13C5" w:rsidP="00CF2AC1">
                  <w:pPr>
                    <w:rPr>
                      <w:rFonts w:ascii="Times New Roman" w:hAnsi="Times New Roman"/>
                      <w:szCs w:val="28"/>
                    </w:rPr>
                  </w:pPr>
                  <w:hyperlink r:id="rId254" w:tgtFrame="_blank" w:history="1">
                    <w:r w:rsidR="00CF2AC1" w:rsidRPr="005A615E">
                      <w:rPr>
                        <w:rStyle w:val="a9"/>
                        <w:rFonts w:ascii="Times New Roman" w:hAnsi="Times New Roman"/>
                        <w:color w:val="auto"/>
                        <w:szCs w:val="28"/>
                      </w:rPr>
                      <w:t>, то</w:t>
                    </w:r>
                  </w:hyperlink>
                </w:p>
              </w:tc>
              <w:tc>
                <w:tcPr>
                  <w:tcW w:w="1401" w:type="pct"/>
                  <w:tcMar>
                    <w:top w:w="15" w:type="dxa"/>
                    <w:left w:w="15" w:type="dxa"/>
                    <w:bottom w:w="15" w:type="dxa"/>
                    <w:right w:w="15" w:type="dxa"/>
                  </w:tcMar>
                  <w:vAlign w:val="center"/>
                  <w:hideMark/>
                </w:tcPr>
                <w:p w:rsidR="00CF2AC1" w:rsidRPr="005A615E" w:rsidRDefault="000D13C5" w:rsidP="00CF2AC1">
                  <w:pPr>
                    <w:rPr>
                      <w:rFonts w:ascii="Times New Roman" w:hAnsi="Times New Roman"/>
                      <w:szCs w:val="28"/>
                    </w:rPr>
                  </w:pPr>
                  <m:oMath>
                    <m:sSubSup>
                      <m:sSubSupPr>
                        <m:ctrlPr>
                          <w:rPr>
                            <w:rFonts w:ascii="Cambria Math" w:eastAsia="Times New Roman" w:hAnsi="Cambria Math"/>
                            <w:i/>
                            <w:sz w:val="24"/>
                            <w:szCs w:val="28"/>
                            <w:lang w:eastAsia="ru-RU"/>
                          </w:rPr>
                        </m:ctrlPr>
                      </m:sSubSupPr>
                      <m:e>
                        <m:r>
                          <w:rPr>
                            <w:rFonts w:ascii="Cambria Math" w:hAnsi="Cambria Math"/>
                            <w:szCs w:val="28"/>
                          </w:rPr>
                          <m:t>КЯ</m:t>
                        </m:r>
                      </m:e>
                      <m:sub>
                        <m:r>
                          <w:rPr>
                            <w:rFonts w:ascii="Cambria Math" w:hAnsi="Cambria Math"/>
                            <w:szCs w:val="28"/>
                          </w:rPr>
                          <m:t>яt</m:t>
                        </m:r>
                      </m:sub>
                      <m:sup>
                        <m:r>
                          <w:rPr>
                            <w:rFonts w:ascii="Cambria Math" w:hAnsi="Cambria Math"/>
                            <w:szCs w:val="28"/>
                          </w:rPr>
                          <m:t>м(с)</m:t>
                        </m:r>
                      </m:sup>
                    </m:sSubSup>
                  </m:oMath>
                  <w:r w:rsidR="00CF2AC1" w:rsidRPr="005A615E">
                    <w:rPr>
                      <w:rFonts w:ascii="Times New Roman" w:hAnsi="Times New Roman"/>
                      <w:szCs w:val="28"/>
                    </w:rPr>
                    <w:t>= 0   (36)</w:t>
                  </w:r>
                </w:p>
              </w:tc>
            </w:tr>
          </w:tbl>
          <w:p w:rsidR="00CF2AC1" w:rsidRPr="005A615E" w:rsidRDefault="00CF2AC1" w:rsidP="00CF2AC1">
            <w:pPr>
              <w:ind w:firstLine="315"/>
              <w:jc w:val="both"/>
              <w:rPr>
                <w:rFonts w:ascii="Times New Roman" w:eastAsia="Times New Roman" w:hAnsi="Times New Roman"/>
                <w:szCs w:val="24"/>
                <w:lang w:eastAsia="ru-RU"/>
              </w:rPr>
            </w:pPr>
            <w:r w:rsidRPr="005A615E">
              <w:rPr>
                <w:rFonts w:ascii="Times New Roman" w:eastAsiaTheme="minorEastAsia" w:hAnsi="Times New Roman"/>
              </w:rPr>
              <w:t xml:space="preserve">де </w:t>
            </w:r>
            <m:oMath>
              <m:sSubSup>
                <m:sSubSupPr>
                  <m:ctrlPr>
                    <w:rPr>
                      <w:rFonts w:ascii="Cambria Math" w:eastAsia="Times New Roman" w:hAnsi="Cambria Math"/>
                      <w:i/>
                      <w:sz w:val="24"/>
                      <w:szCs w:val="24"/>
                      <w:lang w:eastAsia="ru-RU"/>
                    </w:rPr>
                  </m:ctrlPr>
                </m:sSubSupPr>
                <m:e>
                  <m:r>
                    <m:rPr>
                      <m:sty m:val="p"/>
                    </m:rPr>
                    <w:rPr>
                      <w:rFonts w:ascii="Cambria Math" w:hAnsi="Cambria Math"/>
                    </w:rPr>
                    <m:t>SAIDI</m:t>
                  </m:r>
                </m:e>
                <m:sub>
                  <m:r>
                    <m:rPr>
                      <m:sty m:val="p"/>
                    </m:rPr>
                    <w:rPr>
                      <w:rFonts w:ascii="Cambria Math" w:hAnsi="Cambria Math"/>
                    </w:rPr>
                    <m:t>t-2</m:t>
                  </m:r>
                </m:sub>
                <m:sup>
                  <m:r>
                    <m:rPr>
                      <m:sty m:val="p"/>
                    </m:rPr>
                    <w:rPr>
                      <w:rFonts w:ascii="Cambria Math" w:hAnsi="Cambria Math"/>
                    </w:rPr>
                    <m:t>м</m:t>
                  </m:r>
                  <m:d>
                    <m:dPr>
                      <m:ctrlPr>
                        <w:rPr>
                          <w:rFonts w:ascii="Cambria Math" w:eastAsia="Times New Roman" w:hAnsi="Cambria Math"/>
                          <w:i/>
                          <w:sz w:val="24"/>
                          <w:szCs w:val="24"/>
                          <w:lang w:eastAsia="ru-RU"/>
                        </w:rPr>
                      </m:ctrlPr>
                    </m:dPr>
                    <m:e>
                      <m:r>
                        <m:rPr>
                          <m:sty m:val="p"/>
                        </m:rPr>
                        <w:rPr>
                          <w:rFonts w:ascii="Cambria Math" w:hAnsi="Cambria Math"/>
                        </w:rPr>
                        <m:t>с</m:t>
                      </m:r>
                    </m:e>
                  </m:d>
                  <m:r>
                    <m:rPr>
                      <m:sty m:val="p"/>
                    </m:rPr>
                    <w:rPr>
                      <w:rFonts w:ascii="Cambria Math" w:hAnsi="Cambria Math"/>
                    </w:rPr>
                    <m:t>р</m:t>
                  </m:r>
                </m:sup>
              </m:sSubSup>
            </m:oMath>
            <w:r w:rsidRPr="005A615E">
              <w:rPr>
                <w:rFonts w:ascii="Times New Roman" w:hAnsi="Times New Roman"/>
              </w:rPr>
              <w:t xml:space="preserve">  з першого року другого </w:t>
            </w:r>
            <w:r w:rsidRPr="005A615E">
              <w:rPr>
                <w:rFonts w:ascii="Times New Roman" w:hAnsi="Times New Roman"/>
                <w:lang w:eastAsia="uk-UA"/>
              </w:rPr>
              <w:t xml:space="preserve">регуляторного періоду </w:t>
            </w:r>
            <w:r w:rsidRPr="005A615E">
              <w:rPr>
                <w:rFonts w:ascii="Times New Roman" w:hAnsi="Times New Roman"/>
              </w:rPr>
              <w:t>продовжує визначатися за формулами 30 та 31 пункту 5.19 цього Порядку (може бути змінено з другого року другого регуляторного періоду за результатами бенчмаркінгу);</w:t>
            </w:r>
          </w:p>
          <w:p w:rsidR="00CF2AC1" w:rsidRPr="005A615E" w:rsidRDefault="000D13C5" w:rsidP="00CF2AC1">
            <w:pPr>
              <w:ind w:firstLine="315"/>
              <w:jc w:val="both"/>
              <w:rPr>
                <w:rFonts w:ascii="Times New Roman" w:hAnsi="Times New Roman"/>
              </w:rPr>
            </w:pPr>
            <w:hyperlink r:id="rId255" w:tgtFrame="_blank" w:history="1">
              <w:r w:rsidR="00CF2AC1" w:rsidRPr="005A615E">
                <w:rPr>
                  <w:rStyle w:val="a9"/>
                  <w:rFonts w:ascii="Times New Roman" w:hAnsi="Times New Roman"/>
                  <w:color w:val="auto"/>
                </w:rPr>
                <w:t>ПКя – встановлений НКРЕКП параметр коригування необхідного доходу за недотримання показників якості послуг для відповідних територій (ПК &gt; 1).</w:t>
              </w:r>
            </w:hyperlink>
          </w:p>
          <w:p w:rsidR="00CF2AC1" w:rsidRPr="005A615E" w:rsidRDefault="000D13C5" w:rsidP="00CF2AC1">
            <w:pPr>
              <w:ind w:firstLine="315"/>
              <w:jc w:val="both"/>
              <w:rPr>
                <w:rFonts w:ascii="Times New Roman" w:hAnsi="Times New Roman"/>
              </w:rPr>
            </w:pPr>
            <w:hyperlink r:id="rId256" w:tgtFrame="_blank" w:history="1">
              <w:r w:rsidR="00CF2AC1" w:rsidRPr="005A615E">
                <w:rPr>
                  <w:rStyle w:val="a9"/>
                  <w:rFonts w:ascii="Times New Roman" w:hAnsi="Times New Roman"/>
                  <w:color w:val="auto"/>
                </w:rPr>
                <w:t>За результатами здійснення заходів контролю за дотриманням Ліцензійних умов показник КЯя може бути уточнено.</w:t>
              </w:r>
            </w:hyperlink>
          </w:p>
          <w:p w:rsidR="00CF2AC1" w:rsidRPr="005A615E" w:rsidRDefault="000D13C5" w:rsidP="00CF2AC1">
            <w:pPr>
              <w:widowControl w:val="0"/>
              <w:ind w:firstLine="315"/>
              <w:jc w:val="both"/>
              <w:rPr>
                <w:rFonts w:ascii="Times New Roman" w:hAnsi="Times New Roman"/>
              </w:rPr>
            </w:pPr>
            <w:hyperlink r:id="rId257" w:tgtFrame="_blank" w:history="1">
              <w:r w:rsidR="00CF2AC1" w:rsidRPr="005A615E">
                <w:rPr>
                  <w:rStyle w:val="a9"/>
                  <w:rFonts w:ascii="Times New Roman" w:hAnsi="Times New Roman"/>
                  <w:color w:val="auto"/>
                </w:rPr>
                <w:t>Коригування необхідного доходу відповідно до даних виконання цільового завдання щодо досягнення показників якості послуг тривалості довгих перерв за 2027</w:t>
              </w:r>
            </w:hyperlink>
            <w:r w:rsidR="00CF2AC1" w:rsidRPr="005A615E">
              <w:rPr>
                <w:rFonts w:ascii="Times New Roman" w:hAnsi="Times New Roman"/>
              </w:rPr>
              <w:t> рік</w:t>
            </w:r>
            <w:hyperlink r:id="rId258" w:tgtFrame="_blank" w:history="1">
              <w:r w:rsidR="00CF2AC1" w:rsidRPr="005A615E">
                <w:rPr>
                  <w:rStyle w:val="a9"/>
                  <w:rFonts w:ascii="Times New Roman" w:hAnsi="Times New Roman"/>
                  <w:color w:val="auto"/>
                </w:rPr>
                <w:t xml:space="preserve"> не застосовується до ліцензіатів, наведених у додатку 34 до цього Порядку</w:t>
              </w:r>
            </w:hyperlink>
            <w:hyperlink r:id="rId259" w:tgtFrame="_blank" w:history="1">
              <w:r w:rsidR="00CF2AC1" w:rsidRPr="005A615E">
                <w:rPr>
                  <w:rStyle w:val="a9"/>
                  <w:rFonts w:ascii="Times New Roman" w:hAnsi="Times New Roman"/>
                  <w:color w:val="auto"/>
                </w:rPr>
                <w:t>;</w:t>
              </w:r>
            </w:hyperlink>
            <w:r w:rsidR="00CF2AC1" w:rsidRPr="005A615E">
              <w:rPr>
                <w:rFonts w:ascii="Times New Roman" w:hAnsi="Times New Roman"/>
              </w:rPr>
              <w:t xml:space="preserve"> </w:t>
            </w:r>
          </w:p>
          <w:p w:rsidR="00CF2AC1" w:rsidRPr="005A615E" w:rsidRDefault="00CF2AC1" w:rsidP="00CF2AC1">
            <w:pPr>
              <w:widowControl w:val="0"/>
              <w:ind w:firstLine="315"/>
              <w:jc w:val="both"/>
              <w:rPr>
                <w:rFonts w:ascii="Times New Roman" w:hAnsi="Times New Roman"/>
              </w:rPr>
            </w:pPr>
          </w:p>
          <w:p w:rsidR="00CF2AC1" w:rsidRPr="005A615E" w:rsidRDefault="00CF2AC1" w:rsidP="00CF2AC1">
            <w:pPr>
              <w:widowControl w:val="0"/>
              <w:ind w:firstLine="315"/>
              <w:jc w:val="both"/>
              <w:rPr>
                <w:rFonts w:ascii="Times New Roman" w:hAnsi="Times New Roman"/>
              </w:rPr>
            </w:pPr>
            <w:r w:rsidRPr="005A615E">
              <w:rPr>
                <w:rFonts w:ascii="Times New Roman" w:hAnsi="Times New Roman"/>
              </w:rPr>
              <w:t>2) індекс усунення причин недотримання показників якості електричної енергії у встановлений строк, на рік t визначається за формулою</w:t>
            </w:r>
          </w:p>
          <w:p w:rsidR="00CF2AC1" w:rsidRPr="005A615E" w:rsidRDefault="00CF2AC1" w:rsidP="00CF2AC1">
            <w:pPr>
              <w:widowControl w:val="0"/>
              <w:ind w:firstLine="709"/>
              <w:jc w:val="both"/>
              <w:rPr>
                <w:rFonts w:ascii="Times New Roman" w:hAnsi="Times New Roman"/>
                <w:szCs w:val="28"/>
              </w:rPr>
            </w:pPr>
          </w:p>
          <w:p w:rsidR="00CF2AC1" w:rsidRPr="005A615E" w:rsidRDefault="000D13C5" w:rsidP="00CF2AC1">
            <w:pPr>
              <w:rPr>
                <w:rFonts w:ascii="Times New Roman" w:hAnsi="Times New Roman"/>
                <w:i/>
                <w:szCs w:val="28"/>
              </w:rPr>
            </w:pPr>
            <m:oMath>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нпt</m:t>
                  </m:r>
                </m:sub>
              </m:sSub>
              <m:r>
                <w:rPr>
                  <w:rFonts w:ascii="Cambria Math" w:hAnsi="Cambria Math"/>
                  <w:szCs w:val="28"/>
                </w:rPr>
                <m:t>=</m:t>
              </m:r>
              <m:f>
                <m:fPr>
                  <m:ctrlPr>
                    <w:rPr>
                      <w:rFonts w:ascii="Cambria Math" w:eastAsia="Times New Roman" w:hAnsi="Cambria Math"/>
                      <w:i/>
                      <w:sz w:val="24"/>
                      <w:szCs w:val="28"/>
                      <w:lang w:eastAsia="ru-RU"/>
                    </w:rPr>
                  </m:ctrlPr>
                </m:fPr>
                <m:num>
                  <m:d>
                    <m:dPr>
                      <m:ctrlPr>
                        <w:rPr>
                          <w:rFonts w:ascii="Cambria Math" w:eastAsia="Times New Roman" w:hAnsi="Cambria Math"/>
                          <w:i/>
                          <w:sz w:val="24"/>
                          <w:szCs w:val="28"/>
                          <w:lang w:eastAsia="ru-RU"/>
                        </w:rPr>
                      </m:ctrlPr>
                    </m:dPr>
                    <m:e>
                      <m:sSubSup>
                        <m:sSubSupPr>
                          <m:ctrlPr>
                            <w:rPr>
                              <w:rFonts w:ascii="Cambria Math" w:eastAsia="Times New Roman" w:hAnsi="Cambria Math"/>
                              <w:i/>
                              <w:sz w:val="24"/>
                              <w:szCs w:val="28"/>
                              <w:lang w:eastAsia="ru-RU"/>
                            </w:rPr>
                          </m:ctrlPr>
                        </m:sSubSupPr>
                        <m:e>
                          <m:r>
                            <w:rPr>
                              <w:rFonts w:ascii="Cambria Math" w:hAnsi="Cambria Math"/>
                              <w:szCs w:val="28"/>
                            </w:rPr>
                            <m:t>I</m:t>
                          </m:r>
                        </m:e>
                        <m:sub>
                          <m:r>
                            <w:rPr>
                              <w:rFonts w:ascii="Cambria Math" w:hAnsi="Cambria Math"/>
                              <w:szCs w:val="28"/>
                            </w:rPr>
                            <m:t>нпt-2</m:t>
                          </m:r>
                        </m:sub>
                        <m:sup>
                          <m:r>
                            <w:rPr>
                              <w:rFonts w:ascii="Cambria Math" w:hAnsi="Cambria Math"/>
                              <w:szCs w:val="28"/>
                            </w:rPr>
                            <m:t>р</m:t>
                          </m:r>
                        </m:sup>
                      </m:sSubSup>
                      <m:r>
                        <w:rPr>
                          <w:rFonts w:ascii="Cambria Math" w:hAnsi="Cambria Math"/>
                          <w:szCs w:val="28"/>
                        </w:rPr>
                        <m:t>-</m:t>
                      </m:r>
                      <m:sSubSup>
                        <m:sSubSupPr>
                          <m:ctrlPr>
                            <w:rPr>
                              <w:rFonts w:ascii="Cambria Math" w:eastAsia="Times New Roman" w:hAnsi="Cambria Math"/>
                              <w:i/>
                              <w:sz w:val="24"/>
                              <w:szCs w:val="28"/>
                              <w:lang w:eastAsia="ru-RU"/>
                            </w:rPr>
                          </m:ctrlPr>
                        </m:sSubSupPr>
                        <m:e>
                          <m:r>
                            <w:rPr>
                              <w:rFonts w:ascii="Cambria Math" w:hAnsi="Cambria Math"/>
                              <w:szCs w:val="28"/>
                            </w:rPr>
                            <m:t>I</m:t>
                          </m:r>
                        </m:e>
                        <m:sub>
                          <m:r>
                            <w:rPr>
                              <w:rFonts w:ascii="Cambria Math" w:hAnsi="Cambria Math"/>
                              <w:szCs w:val="28"/>
                            </w:rPr>
                            <m:t>нпt-2</m:t>
                          </m:r>
                        </m:sub>
                        <m:sup>
                          <m:r>
                            <w:rPr>
                              <w:rFonts w:ascii="Cambria Math" w:hAnsi="Cambria Math"/>
                              <w:szCs w:val="28"/>
                            </w:rPr>
                            <m:t>ф</m:t>
                          </m:r>
                        </m:sup>
                      </m:sSubSup>
                    </m:e>
                  </m:d>
                  <m:r>
                    <w:rPr>
                      <w:rFonts w:ascii="Cambria Math" w:hAnsi="Cambria Math"/>
                      <w:szCs w:val="28"/>
                    </w:rPr>
                    <m:t>∙</m:t>
                  </m:r>
                  <m:sSubSup>
                    <m:sSubSupPr>
                      <m:ctrlPr>
                        <w:rPr>
                          <w:rFonts w:ascii="Cambria Math" w:eastAsia="Times New Roman" w:hAnsi="Cambria Math"/>
                          <w:i/>
                          <w:sz w:val="24"/>
                          <w:szCs w:val="28"/>
                          <w:lang w:eastAsia="ru-RU"/>
                        </w:rPr>
                      </m:ctrlPr>
                    </m:sSubSupPr>
                    <m:e>
                      <m:r>
                        <w:rPr>
                          <w:rFonts w:ascii="Cambria Math" w:hAnsi="Cambria Math"/>
                          <w:szCs w:val="28"/>
                        </w:rPr>
                        <m:t>W</m:t>
                      </m:r>
                    </m:e>
                    <m:sub>
                      <m:sSub>
                        <m:sSubPr>
                          <m:ctrlPr>
                            <w:rPr>
                              <w:rFonts w:ascii="Cambria Math" w:eastAsia="Times New Roman" w:hAnsi="Cambria Math"/>
                              <w:i/>
                              <w:sz w:val="24"/>
                              <w:szCs w:val="28"/>
                              <w:lang w:eastAsia="ru-RU"/>
                            </w:rPr>
                          </m:ctrlPr>
                        </m:sSubPr>
                        <m:e>
                          <m:r>
                            <w:rPr>
                              <w:rFonts w:ascii="Cambria Math" w:hAnsi="Cambria Math"/>
                              <w:szCs w:val="28"/>
                            </w:rPr>
                            <m:t>2</m:t>
                          </m:r>
                        </m:e>
                        <m:sub>
                          <m:r>
                            <w:rPr>
                              <w:rFonts w:ascii="Cambria Math" w:hAnsi="Cambria Math"/>
                              <w:szCs w:val="28"/>
                            </w:rPr>
                            <m:t>t</m:t>
                          </m:r>
                        </m:sub>
                      </m:sSub>
                      <m:r>
                        <w:rPr>
                          <w:rFonts w:ascii="Cambria Math" w:hAnsi="Cambria Math"/>
                          <w:szCs w:val="28"/>
                        </w:rPr>
                        <m:t>-2</m:t>
                      </m:r>
                    </m:sub>
                    <m:sup>
                      <m:r>
                        <w:rPr>
                          <w:rFonts w:ascii="Cambria Math" w:hAnsi="Cambria Math"/>
                          <w:szCs w:val="28"/>
                        </w:rPr>
                        <m:t>м</m:t>
                      </m:r>
                      <m:d>
                        <m:dPr>
                          <m:ctrlPr>
                            <w:rPr>
                              <w:rFonts w:ascii="Cambria Math" w:eastAsia="Times New Roman" w:hAnsi="Cambria Math"/>
                              <w:i/>
                              <w:sz w:val="24"/>
                              <w:szCs w:val="28"/>
                              <w:lang w:eastAsia="ru-RU"/>
                            </w:rPr>
                          </m:ctrlPr>
                        </m:dPr>
                        <m:e>
                          <m:r>
                            <w:rPr>
                              <w:rFonts w:ascii="Cambria Math" w:hAnsi="Cambria Math"/>
                              <w:szCs w:val="28"/>
                            </w:rPr>
                            <m:t>с</m:t>
                          </m:r>
                        </m:e>
                      </m:d>
                      <m:r>
                        <w:rPr>
                          <w:rFonts w:ascii="Cambria Math" w:hAnsi="Cambria Math"/>
                          <w:szCs w:val="28"/>
                        </w:rPr>
                        <m:t>ф</m:t>
                      </m:r>
                    </m:sup>
                  </m:sSubSup>
                  <m:r>
                    <w:rPr>
                      <w:rFonts w:ascii="Cambria Math" w:hAnsi="Cambria Math"/>
                      <w:szCs w:val="28"/>
                    </w:rPr>
                    <m:t>∙</m:t>
                  </m:r>
                  <m:sSub>
                    <m:sSubPr>
                      <m:ctrlPr>
                        <w:rPr>
                          <w:rFonts w:ascii="Cambria Math" w:eastAsia="Times New Roman" w:hAnsi="Cambria Math"/>
                          <w:i/>
                          <w:sz w:val="24"/>
                          <w:szCs w:val="28"/>
                          <w:lang w:eastAsia="ru-RU"/>
                        </w:rPr>
                      </m:ctrlPr>
                    </m:sSubPr>
                    <m:e>
                      <m:r>
                        <w:rPr>
                          <w:rFonts w:ascii="Cambria Math" w:hAnsi="Cambria Math"/>
                          <w:szCs w:val="28"/>
                        </w:rPr>
                        <m:t>Ц</m:t>
                      </m:r>
                    </m:e>
                    <m:sub>
                      <m:sSub>
                        <m:sSubPr>
                          <m:ctrlPr>
                            <w:rPr>
                              <w:rFonts w:ascii="Cambria Math" w:eastAsia="Times New Roman" w:hAnsi="Cambria Math"/>
                              <w:i/>
                              <w:sz w:val="24"/>
                              <w:szCs w:val="28"/>
                              <w:lang w:eastAsia="ru-RU"/>
                            </w:rPr>
                          </m:ctrlPr>
                        </m:sSubPr>
                        <m:e>
                          <m:r>
                            <w:rPr>
                              <w:rFonts w:ascii="Cambria Math" w:hAnsi="Cambria Math"/>
                              <w:szCs w:val="28"/>
                            </w:rPr>
                            <m:t>2</m:t>
                          </m:r>
                        </m:e>
                        <m:sub>
                          <m:r>
                            <w:rPr>
                              <w:rFonts w:ascii="Cambria Math" w:hAnsi="Cambria Math"/>
                              <w:szCs w:val="28"/>
                            </w:rPr>
                            <m:t>t</m:t>
                          </m:r>
                        </m:sub>
                      </m:sSub>
                      <m:r>
                        <w:rPr>
                          <w:rFonts w:ascii="Cambria Math" w:hAnsi="Cambria Math"/>
                          <w:szCs w:val="28"/>
                        </w:rPr>
                        <m:t>-2</m:t>
                      </m:r>
                    </m:sub>
                  </m:sSub>
                  <m:r>
                    <w:rPr>
                      <w:rFonts w:ascii="Cambria Math" w:hAnsi="Cambria Math"/>
                      <w:szCs w:val="28"/>
                    </w:rPr>
                    <m:t>*ПКнп</m:t>
                  </m:r>
                </m:num>
                <m:den>
                  <m:r>
                    <w:rPr>
                      <w:rFonts w:ascii="Cambria Math" w:hAnsi="Cambria Math"/>
                      <w:szCs w:val="28"/>
                    </w:rPr>
                    <m:t>1000</m:t>
                  </m:r>
                </m:den>
              </m:f>
              <m:r>
                <w:rPr>
                  <w:rFonts w:ascii="Cambria Math" w:hAnsi="Cambria Math"/>
                  <w:szCs w:val="28"/>
                </w:rPr>
                <m:t xml:space="preserve">  , тис. </m:t>
              </m:r>
              <m:r>
                <m:rPr>
                  <m:sty m:val="p"/>
                </m:rPr>
                <w:rPr>
                  <w:rFonts w:ascii="Cambria Math" w:hAnsi="Cambria Math"/>
                  <w:szCs w:val="28"/>
                </w:rPr>
                <m:t>грн</m:t>
              </m:r>
            </m:oMath>
            <w:r w:rsidR="00CF2AC1" w:rsidRPr="005A615E">
              <w:rPr>
                <w:rFonts w:ascii="Times New Roman" w:hAnsi="Times New Roman"/>
                <w:szCs w:val="28"/>
              </w:rPr>
              <w:t xml:space="preserve">  </w:t>
            </w:r>
            <w:r w:rsidR="00CF2AC1" w:rsidRPr="005A615E">
              <w:rPr>
                <w:rFonts w:ascii="Times New Roman" w:eastAsiaTheme="minorEastAsia" w:hAnsi="Times New Roman"/>
                <w:szCs w:val="28"/>
                <w:lang w:eastAsia="uk-UA"/>
              </w:rPr>
              <w:t xml:space="preserve">  (37</w:t>
            </w:r>
            <w:r w:rsidR="00CF2AC1" w:rsidRPr="005A615E">
              <w:rPr>
                <w:rFonts w:ascii="Times New Roman" w:eastAsiaTheme="minorEastAsia" w:hAnsi="Times New Roman"/>
                <w:szCs w:val="28"/>
              </w:rPr>
              <w:t>)</w:t>
            </w:r>
          </w:p>
          <w:p w:rsidR="00CF2AC1" w:rsidRPr="005A615E" w:rsidRDefault="00CF2AC1" w:rsidP="00CF2AC1">
            <w:pPr>
              <w:ind w:firstLine="709"/>
              <w:jc w:val="both"/>
              <w:rPr>
                <w:rFonts w:ascii="Times New Roman" w:hAnsi="Times New Roman"/>
                <w:szCs w:val="28"/>
              </w:rPr>
            </w:pPr>
          </w:p>
          <w:p w:rsidR="00CF2AC1" w:rsidRPr="005A615E" w:rsidRDefault="00CF2AC1" w:rsidP="00CF2AC1">
            <w:pPr>
              <w:ind w:firstLine="315"/>
              <w:jc w:val="both"/>
              <w:rPr>
                <w:rFonts w:ascii="Times New Roman" w:hAnsi="Times New Roman"/>
                <w:szCs w:val="24"/>
                <w:u w:val="single"/>
              </w:rPr>
            </w:pPr>
            <w:r w:rsidRPr="005A615E">
              <w:rPr>
                <w:rFonts w:ascii="Times New Roman" w:hAnsi="Times New Roman"/>
              </w:rPr>
              <w:t xml:space="preserve">де </w:t>
            </w: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нп_ц</m:t>
                  </m:r>
                </m:sub>
                <m:sup>
                  <m:r>
                    <w:rPr>
                      <w:rFonts w:ascii="Cambria Math" w:hAnsi="Cambria Math"/>
                    </w:rPr>
                    <m:t>р</m:t>
                  </m:r>
                </m:sup>
              </m:sSubSup>
            </m:oMath>
            <w:r w:rsidRPr="005A615E">
              <w:rPr>
                <w:rFonts w:ascii="Times New Roman" w:eastAsiaTheme="minorEastAsia" w:hAnsi="Times New Roman"/>
              </w:rPr>
              <w:t xml:space="preserve"> </w:t>
            </w:r>
            <w:r w:rsidRPr="005A615E">
              <w:rPr>
                <w:rFonts w:ascii="Times New Roman" w:hAnsi="Times New Roman"/>
              </w:rPr>
              <w:t>–</w:t>
            </w:r>
            <w:r w:rsidRPr="005A615E">
              <w:rPr>
                <w:rFonts w:ascii="Times New Roman" w:eastAsiaTheme="minorEastAsia" w:hAnsi="Times New Roman"/>
              </w:rPr>
              <w:t xml:space="preserve"> </w:t>
            </w:r>
            <w:r w:rsidRPr="005A615E">
              <w:rPr>
                <w:rFonts w:ascii="Times New Roman" w:hAnsi="Times New Roman"/>
              </w:rPr>
              <w:t>встановлений НКРЕКП цільовий індекс усунення причин недотримання показників якості електричної енергії у встановлений строк, на рівні 98 %, який враховується у розрахунку починаючи з третього року другого регуляторного періоду (</w:t>
            </w:r>
            <m:oMath>
              <m:sSubSup>
                <m:sSubSupPr>
                  <m:ctrlPr>
                    <w:rPr>
                      <w:rFonts w:ascii="Cambria Math" w:eastAsia="Times New Roman" w:hAnsi="Cambria Math"/>
                      <w:sz w:val="24"/>
                      <w:szCs w:val="24"/>
                      <w:lang w:eastAsia="ru-RU"/>
                    </w:rPr>
                  </m:ctrlPr>
                </m:sSubSupPr>
                <m:e>
                  <m:r>
                    <w:rPr>
                      <w:rFonts w:ascii="Cambria Math" w:hAnsi="Cambria Math"/>
                    </w:rPr>
                    <m:t>I</m:t>
                  </m:r>
                </m:e>
                <m:sub>
                  <m:r>
                    <m:rPr>
                      <m:sty m:val="p"/>
                    </m:rPr>
                    <w:rPr>
                      <w:rFonts w:ascii="Cambria Math" w:hAnsi="Cambria Math"/>
                    </w:rPr>
                    <m:t>нп</m:t>
                  </m:r>
                  <m:r>
                    <w:rPr>
                      <w:rFonts w:ascii="Cambria Math" w:hAnsi="Cambria Math"/>
                    </w:rPr>
                    <m:t>t</m:t>
                  </m:r>
                  <m:r>
                    <m:rPr>
                      <m:sty m:val="p"/>
                    </m:rPr>
                    <w:rPr>
                      <w:rFonts w:ascii="Cambria Math" w:hAnsi="Cambria Math"/>
                    </w:rPr>
                    <m:t>-2</m:t>
                  </m:r>
                </m:sub>
                <m:sup>
                  <m:r>
                    <m:rPr>
                      <m:sty m:val="p"/>
                    </m:rPr>
                    <w:rPr>
                      <w:rFonts w:ascii="Cambria Math" w:hAnsi="Cambria Math"/>
                    </w:rPr>
                    <m:t>р</m:t>
                  </m:r>
                </m:sup>
              </m:sSubSup>
            </m:oMath>
            <w:r w:rsidRPr="005A615E">
              <w:rPr>
                <w:rFonts w:ascii="Times New Roman" w:hAnsi="Times New Roman"/>
              </w:rPr>
              <w:t>);</w:t>
            </w:r>
          </w:p>
          <w:p w:rsidR="00CF2AC1" w:rsidRPr="005A615E" w:rsidRDefault="000D13C5" w:rsidP="00CF2AC1">
            <w:pPr>
              <w:ind w:firstLine="315"/>
              <w:jc w:val="both"/>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нпt-2</m:t>
                  </m:r>
                </m:sub>
                <m:sup>
                  <m:r>
                    <w:rPr>
                      <w:rFonts w:ascii="Cambria Math" w:hAnsi="Cambria Math"/>
                    </w:rPr>
                    <m:t>ф</m:t>
                  </m:r>
                </m:sup>
              </m:sSubSup>
            </m:oMath>
            <w:r w:rsidR="00CF2AC1" w:rsidRPr="005A615E">
              <w:rPr>
                <w:rFonts w:ascii="Times New Roman" w:eastAsiaTheme="minorEastAsia" w:hAnsi="Times New Roman"/>
              </w:rPr>
              <w:t xml:space="preserve"> – </w:t>
            </w:r>
            <w:r w:rsidR="00CF2AC1" w:rsidRPr="005A615E">
              <w:rPr>
                <w:rFonts w:ascii="Times New Roman" w:hAnsi="Times New Roman"/>
              </w:rPr>
              <w:t xml:space="preserve">фактичний індекс усунення причин недотримання показників якості електричної енергії у встановлений строк, де оператор системи розподілу є стороною відповідальною за усунення причин недотримання показників якості електричної енергії на рівні ≥ 98 %, на рік t-2 визначається за формулою </w:t>
            </w:r>
          </w:p>
          <w:p w:rsidR="00CF2AC1" w:rsidRPr="005A615E" w:rsidRDefault="00CF2AC1" w:rsidP="00CF2AC1">
            <w:pPr>
              <w:ind w:firstLine="709"/>
              <w:jc w:val="both"/>
              <w:rPr>
                <w:rFonts w:ascii="Times New Roman" w:hAnsi="Times New Roman"/>
                <w:szCs w:val="28"/>
              </w:rPr>
            </w:pPr>
          </w:p>
          <w:p w:rsidR="00CF2AC1" w:rsidRPr="005A615E" w:rsidRDefault="000D13C5" w:rsidP="00CF2AC1">
            <w:pPr>
              <w:ind w:left="567"/>
              <w:rPr>
                <w:rFonts w:ascii="Times New Roman" w:hAnsi="Times New Roman"/>
                <w:szCs w:val="24"/>
                <w:lang w:eastAsia="uk-UA"/>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нпt-2</m:t>
                  </m:r>
                </m:sub>
                <m:sup>
                  <m:r>
                    <w:rPr>
                      <w:rFonts w:ascii="Cambria Math" w:hAnsi="Cambria Math"/>
                    </w:rPr>
                    <m:t>ф</m:t>
                  </m:r>
                </m:sup>
              </m:sSubSup>
              <m:r>
                <w:rPr>
                  <w:rFonts w:ascii="Cambria Math" w:hAnsi="Cambria Math"/>
                  <w:lang w:eastAsia="uk-UA"/>
                </w:rPr>
                <m:t>=1-</m:t>
              </m:r>
              <m:f>
                <m:fPr>
                  <m:ctrlPr>
                    <w:rPr>
                      <w:rFonts w:ascii="Cambria Math" w:eastAsia="Times New Roman" w:hAnsi="Cambria Math"/>
                      <w:sz w:val="24"/>
                      <w:szCs w:val="24"/>
                    </w:rPr>
                  </m:ctrlPr>
                </m:fPr>
                <m:num>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нпt-2</m:t>
                      </m:r>
                    </m:sub>
                    <m:sup>
                      <m:r>
                        <w:rPr>
                          <w:rFonts w:ascii="Cambria Math" w:hAnsi="Cambria Math"/>
                        </w:rPr>
                        <m:t>ф_ВЧ</m:t>
                      </m:r>
                    </m:sup>
                  </m:sSubSup>
                  <m:ctrlPr>
                    <w:rPr>
                      <w:rFonts w:ascii="Cambria Math" w:eastAsia="Times New Roman" w:hAnsi="Cambria Math"/>
                      <w:i/>
                      <w:sz w:val="24"/>
                      <w:szCs w:val="24"/>
                    </w:rPr>
                  </m:ctrlPr>
                </m:num>
                <m:den>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нпt-2</m:t>
                      </m:r>
                    </m:sub>
                    <m:sup>
                      <m:r>
                        <w:rPr>
                          <w:rFonts w:ascii="Cambria Math" w:hAnsi="Cambria Math"/>
                        </w:rPr>
                        <m:t>ф_заг</m:t>
                      </m:r>
                    </m:sup>
                  </m:sSubSup>
                  <m:ctrlPr>
                    <w:rPr>
                      <w:rFonts w:ascii="Cambria Math" w:eastAsia="Times New Roman" w:hAnsi="Cambria Math"/>
                      <w:i/>
                      <w:sz w:val="24"/>
                      <w:szCs w:val="24"/>
                    </w:rPr>
                  </m:ctrlPr>
                </m:den>
              </m:f>
              <m:r>
                <w:rPr>
                  <w:rFonts w:ascii="Cambria Math" w:hAnsi="Cambria Math"/>
                  <w:lang w:eastAsia="uk-UA"/>
                </w:rPr>
                <m:t xml:space="preserve">        </m:t>
              </m:r>
            </m:oMath>
            <w:r w:rsidR="00CF2AC1" w:rsidRPr="005A615E">
              <w:rPr>
                <w:rFonts w:ascii="Times New Roman" w:eastAsiaTheme="minorEastAsia" w:hAnsi="Times New Roman"/>
                <w:lang w:eastAsia="uk-UA"/>
              </w:rPr>
              <w:t xml:space="preserve">, %    (38)     </w:t>
            </w:r>
          </w:p>
          <w:p w:rsidR="00CF2AC1" w:rsidRPr="005A615E" w:rsidRDefault="00CF2AC1" w:rsidP="00CF2AC1">
            <w:pPr>
              <w:ind w:firstLine="315"/>
              <w:jc w:val="both"/>
              <w:rPr>
                <w:rFonts w:ascii="Times New Roman" w:hAnsi="Times New Roman"/>
                <w:lang w:eastAsia="ru-RU"/>
              </w:rPr>
            </w:pPr>
            <w:r w:rsidRPr="005A615E">
              <w:rPr>
                <w:rFonts w:ascii="Times New Roman" w:hAnsi="Times New Roman"/>
                <w:lang w:eastAsia="uk-UA"/>
              </w:rPr>
              <w:t xml:space="preserve">де </w:t>
            </w:r>
            <m:oMath>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нпt-2</m:t>
                  </m:r>
                </m:sub>
                <m:sup>
                  <m:r>
                    <w:rPr>
                      <w:rFonts w:ascii="Cambria Math" w:hAnsi="Cambria Math"/>
                    </w:rPr>
                    <m:t>ф_ВЧ</m:t>
                  </m:r>
                </m:sup>
              </m:sSubSup>
            </m:oMath>
            <w:r w:rsidRPr="005A615E">
              <w:rPr>
                <w:rFonts w:ascii="Times New Roman" w:hAnsi="Times New Roman"/>
              </w:rPr>
              <w:t xml:space="preserve"> – кількість скарг/звернень/претензій споживачів, які визнані обґрунтованими, та щодо яких порушено строк усунення причин неналежної якості електричної енергії на рік t-2,</w:t>
            </w:r>
            <w:r w:rsidRPr="005A615E">
              <w:rPr>
                <w:rFonts w:ascii="Times New Roman" w:hAnsi="Times New Roman"/>
                <w:lang w:eastAsia="uk-UA"/>
              </w:rPr>
              <w:t xml:space="preserve"> які визначаються за даними форми звітності № 10-НКРЕКП-якість-розподіл (річна) «</w:t>
            </w:r>
            <w:r w:rsidRPr="005A615E">
              <w:rPr>
                <w:rFonts w:ascii="Times New Roman" w:hAnsi="Times New Roman"/>
                <w:shd w:val="clear" w:color="auto" w:fill="FFFFFF"/>
              </w:rPr>
              <w:t>Звіт щодо усунення причин незадовільної якості електричної енергії за скаргами споживачів</w:t>
            </w:r>
            <w:r w:rsidRPr="005A615E">
              <w:rPr>
                <w:rFonts w:ascii="Times New Roman" w:hAnsi="Times New Roman"/>
                <w:lang w:eastAsia="uk-UA"/>
              </w:rPr>
              <w:t>», затвердженої постановою НКРЕКП від 12 червня 2018 року № 374;</w:t>
            </w:r>
            <w:r w:rsidRPr="005A615E">
              <w:rPr>
                <w:rFonts w:ascii="Times New Roman" w:hAnsi="Times New Roman"/>
              </w:rPr>
              <w:t xml:space="preserve"> </w:t>
            </w:r>
          </w:p>
          <w:p w:rsidR="00CF2AC1" w:rsidRPr="005A615E" w:rsidRDefault="000D13C5" w:rsidP="00CF2AC1">
            <w:pPr>
              <w:ind w:firstLine="315"/>
              <w:jc w:val="both"/>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нпt-2</m:t>
                  </m:r>
                </m:sub>
                <m:sup>
                  <m:r>
                    <w:rPr>
                      <w:rFonts w:ascii="Cambria Math" w:hAnsi="Cambria Math"/>
                    </w:rPr>
                    <m:t>ф_заг</m:t>
                  </m:r>
                </m:sup>
              </m:sSubSup>
            </m:oMath>
            <w:r w:rsidR="00CF2AC1" w:rsidRPr="005A615E">
              <w:rPr>
                <w:rFonts w:ascii="Times New Roman" w:hAnsi="Times New Roman"/>
              </w:rPr>
              <w:t xml:space="preserve"> – загальна кількість скарг/звернень/претензій споживачів щодо неналежної якості електричної енергії, визнаних обґрунтованими на рік t-2, </w:t>
            </w:r>
            <w:r w:rsidR="00CF2AC1" w:rsidRPr="005A615E">
              <w:rPr>
                <w:rFonts w:ascii="Times New Roman" w:hAnsi="Times New Roman"/>
                <w:lang w:eastAsia="uk-UA"/>
              </w:rPr>
              <w:t>які визначаються за даними форми звітності № 10-НКРЕКП-якість-розподіл (річна) «</w:t>
            </w:r>
            <w:r w:rsidR="00CF2AC1" w:rsidRPr="005A615E">
              <w:rPr>
                <w:rFonts w:ascii="Times New Roman" w:hAnsi="Times New Roman"/>
                <w:shd w:val="clear" w:color="auto" w:fill="FFFFFF"/>
              </w:rPr>
              <w:t>Звіт щодо усунення причин незадовільної якості електричної енергії за скаргами споживачів</w:t>
            </w:r>
            <w:r w:rsidR="00CF2AC1" w:rsidRPr="005A615E">
              <w:rPr>
                <w:rFonts w:ascii="Times New Roman" w:hAnsi="Times New Roman"/>
                <w:lang w:eastAsia="uk-UA"/>
              </w:rPr>
              <w:t>», затвердженої постановою НКРЕКП від 12 червня 2018 року № 374</w:t>
            </w:r>
            <w:r w:rsidR="00CF2AC1" w:rsidRPr="005A615E">
              <w:rPr>
                <w:rFonts w:ascii="Times New Roman" w:hAnsi="Times New Roman"/>
              </w:rPr>
              <w:t xml:space="preserve">; </w:t>
            </w:r>
          </w:p>
          <w:p w:rsidR="00CF2AC1" w:rsidRPr="005A615E" w:rsidRDefault="00CF2AC1" w:rsidP="00CF2AC1">
            <w:pPr>
              <w:ind w:firstLine="315"/>
              <w:jc w:val="both"/>
              <w:rPr>
                <w:rFonts w:ascii="Times New Roman" w:hAnsi="Times New Roman"/>
              </w:rPr>
            </w:pPr>
            <w:r w:rsidRPr="005A615E">
              <w:rPr>
                <w:rFonts w:ascii="Times New Roman" w:hAnsi="Times New Roman"/>
              </w:rPr>
              <w:t>ПК</w:t>
            </w:r>
            <w:r w:rsidRPr="005A615E">
              <w:rPr>
                <w:rFonts w:ascii="Times New Roman" w:hAnsi="Times New Roman"/>
                <w:vertAlign w:val="subscript"/>
              </w:rPr>
              <w:t>нп</w:t>
            </w:r>
            <w:r w:rsidRPr="005A615E">
              <w:rPr>
                <w:rFonts w:ascii="Times New Roman" w:hAnsi="Times New Roman"/>
              </w:rPr>
              <w:t xml:space="preserve"> – встановлений НКРЕКП параметр коригування необхідного доходу за недотримання відповідного показника комерційної якості надання послуг </w:t>
            </w:r>
            <w:r w:rsidRPr="005A615E">
              <w:rPr>
                <w:rFonts w:ascii="Times New Roman" w:hAnsi="Times New Roman"/>
              </w:rPr>
              <w:br/>
              <w:t>(ПК &gt; 1).</w:t>
            </w:r>
          </w:p>
          <w:p w:rsidR="00CF2AC1" w:rsidRPr="005A615E" w:rsidRDefault="00CF2AC1" w:rsidP="00CF2AC1">
            <w:pPr>
              <w:ind w:firstLine="315"/>
              <w:jc w:val="both"/>
              <w:rPr>
                <w:rFonts w:ascii="Times New Roman" w:hAnsi="Times New Roman"/>
              </w:rPr>
            </w:pPr>
            <w:r w:rsidRPr="005A615E">
              <w:rPr>
                <w:rFonts w:ascii="Times New Roman" w:hAnsi="Times New Roman"/>
              </w:rPr>
              <w:t xml:space="preserve">За результатами здійснення заходів контролю за дотриманням Ліцензійних умов показник </w:t>
            </w:r>
            <m:oMath>
              <m:sSub>
                <m:sSubPr>
                  <m:ctrlPr>
                    <w:rPr>
                      <w:rFonts w:ascii="Cambria Math" w:eastAsia="Times New Roman" w:hAnsi="Cambria Math"/>
                      <w:i/>
                      <w:sz w:val="24"/>
                      <w:szCs w:val="24"/>
                      <w:lang w:eastAsia="ru-RU"/>
                    </w:rPr>
                  </m:ctrlPr>
                </m:sSubPr>
                <m:e>
                  <m:r>
                    <m:rPr>
                      <m:sty m:val="p"/>
                    </m:rPr>
                    <w:rPr>
                      <w:rFonts w:ascii="Cambria Math" w:hAnsi="Cambria Math"/>
                    </w:rPr>
                    <m:t>КЯ</m:t>
                  </m:r>
                </m:e>
                <m:sub>
                  <m:r>
                    <m:rPr>
                      <m:sty m:val="p"/>
                    </m:rPr>
                    <w:rPr>
                      <w:rFonts w:ascii="Cambria Math" w:hAnsi="Cambria Math"/>
                    </w:rPr>
                    <m:t>нп_t</m:t>
                  </m:r>
                </m:sub>
              </m:sSub>
            </m:oMath>
            <w:r w:rsidRPr="005A615E">
              <w:rPr>
                <w:rFonts w:ascii="Times New Roman" w:hAnsi="Times New Roman"/>
              </w:rPr>
              <w:t xml:space="preserve"> може бути уточнено;</w:t>
            </w:r>
          </w:p>
          <w:p w:rsidR="00CF2AC1" w:rsidRPr="005A615E" w:rsidRDefault="00CF2AC1" w:rsidP="00CF2AC1">
            <w:pPr>
              <w:ind w:firstLine="315"/>
              <w:jc w:val="both"/>
              <w:rPr>
                <w:rFonts w:ascii="Times New Roman" w:hAnsi="Times New Roman"/>
              </w:rPr>
            </w:pPr>
          </w:p>
          <w:p w:rsidR="00CF2AC1" w:rsidRPr="005A615E" w:rsidRDefault="00CF2AC1" w:rsidP="00CF2AC1">
            <w:pPr>
              <w:ind w:firstLine="315"/>
              <w:jc w:val="both"/>
              <w:rPr>
                <w:rFonts w:ascii="Times New Roman" w:hAnsi="Times New Roman"/>
              </w:rPr>
            </w:pPr>
            <w:r w:rsidRPr="005A615E">
              <w:rPr>
                <w:rFonts w:ascii="Times New Roman" w:hAnsi="Times New Roman"/>
              </w:rPr>
              <w:t>3) індекс надання послуги зі стандартного приєднання у встановлений строк, на рік t визначається за формулою</w:t>
            </w:r>
          </w:p>
          <w:p w:rsidR="00CF2AC1" w:rsidRPr="005A615E" w:rsidRDefault="00CF2AC1" w:rsidP="00CF2AC1">
            <w:pPr>
              <w:ind w:firstLine="709"/>
              <w:jc w:val="both"/>
              <w:rPr>
                <w:rFonts w:ascii="Times New Roman" w:hAnsi="Times New Roman"/>
                <w:lang w:eastAsia="uk-UA"/>
              </w:rPr>
            </w:pPr>
          </w:p>
          <w:p w:rsidR="00CF2AC1" w:rsidRPr="005A615E" w:rsidRDefault="00CF2AC1" w:rsidP="00CF2AC1">
            <w:pPr>
              <w:ind w:firstLine="720"/>
              <w:jc w:val="both"/>
              <w:rPr>
                <w:rFonts w:ascii="Times New Roman" w:hAnsi="Times New Roman"/>
                <w:lang w:eastAsia="ru-RU"/>
              </w:rPr>
            </w:pPr>
          </w:p>
          <w:p w:rsidR="00CF2AC1" w:rsidRPr="005A615E" w:rsidRDefault="000D13C5" w:rsidP="00CF2AC1">
            <w:pPr>
              <w:rPr>
                <w:rFonts w:ascii="Times New Roman" w:eastAsiaTheme="minorEastAsia" w:hAnsi="Times New Roman"/>
              </w:rPr>
            </w:pPr>
            <m:oMath>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прt</m:t>
                  </m:r>
                </m:sub>
              </m:sSub>
              <m:r>
                <w:rPr>
                  <w:rFonts w:ascii="Cambria Math" w:hAnsi="Cambria Math"/>
                </w:rPr>
                <m:t>=</m:t>
              </m:r>
              <m:f>
                <m:fPr>
                  <m:ctrlPr>
                    <w:rPr>
                      <w:rFonts w:ascii="Cambria Math" w:eastAsia="Times New Roman" w:hAnsi="Cambria Math"/>
                      <w:i/>
                      <w:sz w:val="24"/>
                      <w:szCs w:val="24"/>
                      <w:lang w:eastAsia="ru-RU"/>
                    </w:rPr>
                  </m:ctrlPr>
                </m:fPr>
                <m:num>
                  <m:d>
                    <m:dPr>
                      <m:ctrlPr>
                        <w:rPr>
                          <w:rFonts w:ascii="Cambria Math" w:eastAsia="Times New Roman" w:hAnsi="Cambria Math"/>
                          <w:i/>
                          <w:sz w:val="24"/>
                          <w:szCs w:val="24"/>
                          <w:lang w:eastAsia="ru-RU"/>
                        </w:rPr>
                      </m:ctrlPr>
                    </m:dPr>
                    <m:e>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прt-2</m:t>
                          </m:r>
                        </m:sub>
                        <m:sup>
                          <m:r>
                            <w:rPr>
                              <w:rFonts w:ascii="Cambria Math" w:hAnsi="Cambria Math"/>
                            </w:rPr>
                            <m:t>р</m:t>
                          </m:r>
                        </m:sup>
                      </m:sSubSup>
                      <m:r>
                        <w:rPr>
                          <w:rFonts w:ascii="Cambria Math" w:hAnsi="Cambria Math"/>
                        </w:rPr>
                        <m:t>-</m:t>
                      </m:r>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прt-2</m:t>
                          </m:r>
                        </m:sub>
                        <m:sup>
                          <m:r>
                            <w:rPr>
                              <w:rFonts w:ascii="Cambria Math" w:hAnsi="Cambria Math"/>
                            </w:rPr>
                            <m:t>ф</m:t>
                          </m:r>
                        </m:sup>
                      </m:sSubSup>
                    </m:e>
                  </m:d>
                  <m:r>
                    <w:rPr>
                      <w:rFonts w:ascii="Cambria Math" w:hAnsi="Cambria Math"/>
                    </w:rPr>
                    <m:t>∙</m:t>
                  </m:r>
                  <m:sSubSup>
                    <m:sSubSupPr>
                      <m:ctrlPr>
                        <w:rPr>
                          <w:rFonts w:ascii="Cambria Math" w:eastAsia="Times New Roman" w:hAnsi="Cambria Math"/>
                          <w:i/>
                          <w:sz w:val="24"/>
                          <w:szCs w:val="24"/>
                          <w:lang w:eastAsia="ru-RU"/>
                        </w:rPr>
                      </m:ctrlPr>
                    </m:sSubSupPr>
                    <m:e>
                      <m:r>
                        <w:rPr>
                          <w:rFonts w:ascii="Cambria Math" w:hAnsi="Cambria Math"/>
                        </w:rPr>
                        <m:t>W</m:t>
                      </m:r>
                    </m:e>
                    <m:sub>
                      <m:sSub>
                        <m:sSubPr>
                          <m:ctrlPr>
                            <w:rPr>
                              <w:rFonts w:ascii="Cambria Math" w:eastAsia="Times New Roman" w:hAnsi="Cambria Math"/>
                              <w:i/>
                              <w:sz w:val="24"/>
                              <w:szCs w:val="24"/>
                              <w:lang w:eastAsia="ru-RU"/>
                            </w:rPr>
                          </m:ctrlPr>
                        </m:sSubPr>
                        <m:e>
                          <m:r>
                            <w:rPr>
                              <w:rFonts w:ascii="Cambria Math" w:hAnsi="Cambria Math"/>
                            </w:rPr>
                            <m:t>2</m:t>
                          </m:r>
                        </m:e>
                        <m:sub>
                          <m:r>
                            <w:rPr>
                              <w:rFonts w:ascii="Cambria Math" w:hAnsi="Cambria Math"/>
                            </w:rPr>
                            <m:t>t</m:t>
                          </m:r>
                        </m:sub>
                      </m:sSub>
                      <m:r>
                        <w:rPr>
                          <w:rFonts w:ascii="Cambria Math" w:hAnsi="Cambria Math"/>
                        </w:rPr>
                        <m:t>-2</m:t>
                      </m:r>
                    </m:sub>
                    <m:sup>
                      <m:r>
                        <w:rPr>
                          <w:rFonts w:ascii="Cambria Math" w:hAnsi="Cambria Math"/>
                        </w:rPr>
                        <m:t>м</m:t>
                      </m:r>
                      <m:d>
                        <m:dPr>
                          <m:ctrlPr>
                            <w:rPr>
                              <w:rFonts w:ascii="Cambria Math" w:eastAsia="Times New Roman" w:hAnsi="Cambria Math"/>
                              <w:i/>
                              <w:sz w:val="24"/>
                              <w:szCs w:val="24"/>
                              <w:lang w:eastAsia="ru-RU"/>
                            </w:rPr>
                          </m:ctrlPr>
                        </m:dPr>
                        <m:e>
                          <m:r>
                            <w:rPr>
                              <w:rFonts w:ascii="Cambria Math" w:hAnsi="Cambria Math"/>
                            </w:rPr>
                            <m:t>с</m:t>
                          </m:r>
                        </m:e>
                      </m:d>
                      <m:r>
                        <w:rPr>
                          <w:rFonts w:ascii="Cambria Math" w:hAnsi="Cambria Math"/>
                        </w:rPr>
                        <m:t>ф</m:t>
                      </m:r>
                    </m:sup>
                  </m:sSubSup>
                  <m:r>
                    <w:rPr>
                      <w:rFonts w:ascii="Cambria Math" w:hAnsi="Cambria Math"/>
                    </w:rPr>
                    <m:t>∙</m:t>
                  </m:r>
                  <m:sSub>
                    <m:sSubPr>
                      <m:ctrlPr>
                        <w:rPr>
                          <w:rFonts w:ascii="Cambria Math" w:eastAsia="Times New Roman" w:hAnsi="Cambria Math"/>
                          <w:i/>
                          <w:sz w:val="24"/>
                          <w:szCs w:val="24"/>
                          <w:lang w:eastAsia="ru-RU"/>
                        </w:rPr>
                      </m:ctrlPr>
                    </m:sSubPr>
                    <m:e>
                      <m:r>
                        <w:rPr>
                          <w:rFonts w:ascii="Cambria Math" w:hAnsi="Cambria Math"/>
                        </w:rPr>
                        <m:t>Ц</m:t>
                      </m:r>
                    </m:e>
                    <m:sub>
                      <m:sSub>
                        <m:sSubPr>
                          <m:ctrlPr>
                            <w:rPr>
                              <w:rFonts w:ascii="Cambria Math" w:eastAsia="Times New Roman" w:hAnsi="Cambria Math"/>
                              <w:i/>
                              <w:sz w:val="24"/>
                              <w:szCs w:val="24"/>
                              <w:lang w:eastAsia="ru-RU"/>
                            </w:rPr>
                          </m:ctrlPr>
                        </m:sSubPr>
                        <m:e>
                          <m:r>
                            <w:rPr>
                              <w:rFonts w:ascii="Cambria Math" w:hAnsi="Cambria Math"/>
                            </w:rPr>
                            <m:t>2</m:t>
                          </m:r>
                        </m:e>
                        <m:sub>
                          <m:r>
                            <w:rPr>
                              <w:rFonts w:ascii="Cambria Math" w:hAnsi="Cambria Math"/>
                            </w:rPr>
                            <m:t>t</m:t>
                          </m:r>
                        </m:sub>
                      </m:sSub>
                      <m:r>
                        <w:rPr>
                          <w:rFonts w:ascii="Cambria Math" w:hAnsi="Cambria Math"/>
                        </w:rPr>
                        <m:t>-2</m:t>
                      </m:r>
                    </m:sub>
                  </m:sSub>
                  <m:r>
                    <w:rPr>
                      <w:rFonts w:ascii="Cambria Math" w:hAnsi="Cambria Math"/>
                    </w:rPr>
                    <m:t>*ПКпр</m:t>
                  </m:r>
                </m:num>
                <m:den>
                  <m:r>
                    <w:rPr>
                      <w:rFonts w:ascii="Cambria Math" w:hAnsi="Cambria Math"/>
                    </w:rPr>
                    <m:t>1000</m:t>
                  </m:r>
                </m:den>
              </m:f>
              <m:r>
                <w:rPr>
                  <w:rFonts w:ascii="Cambria Math" w:hAnsi="Cambria Math"/>
                </w:rPr>
                <m:t>, тис. грн</m:t>
              </m:r>
            </m:oMath>
            <w:r w:rsidR="00CF2AC1" w:rsidRPr="005A615E">
              <w:rPr>
                <w:rFonts w:ascii="Times New Roman" w:eastAsiaTheme="minorEastAsia" w:hAnsi="Times New Roman"/>
                <w:i/>
              </w:rPr>
              <w:t xml:space="preserve">  </w:t>
            </w:r>
            <w:r w:rsidR="00CF2AC1" w:rsidRPr="005A615E">
              <w:rPr>
                <w:rFonts w:ascii="Times New Roman" w:eastAsiaTheme="minorEastAsia" w:hAnsi="Times New Roman"/>
              </w:rPr>
              <w:t>(39)</w:t>
            </w:r>
          </w:p>
          <w:p w:rsidR="00CF2AC1" w:rsidRPr="005A615E" w:rsidRDefault="00CF2AC1" w:rsidP="00CF2AC1">
            <w:pPr>
              <w:rPr>
                <w:rFonts w:ascii="Times New Roman" w:eastAsia="Times New Roman" w:hAnsi="Times New Roman"/>
              </w:rPr>
            </w:pPr>
          </w:p>
          <w:p w:rsidR="00CF2AC1" w:rsidRPr="005A615E" w:rsidRDefault="00CF2AC1" w:rsidP="00CF2AC1">
            <w:pPr>
              <w:ind w:firstLine="315"/>
              <w:jc w:val="both"/>
              <w:rPr>
                <w:rFonts w:ascii="Times New Roman" w:hAnsi="Times New Roman"/>
              </w:rPr>
            </w:pPr>
            <w:r w:rsidRPr="005A615E">
              <w:rPr>
                <w:rFonts w:ascii="Times New Roman" w:hAnsi="Times New Roman"/>
              </w:rPr>
              <w:t xml:space="preserve">де </w:t>
            </w: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пр_ц</m:t>
                  </m:r>
                </m:sub>
                <m:sup>
                  <m:r>
                    <w:rPr>
                      <w:rFonts w:ascii="Cambria Math" w:hAnsi="Cambria Math"/>
                    </w:rPr>
                    <m:t>р</m:t>
                  </m:r>
                </m:sup>
              </m:sSubSup>
            </m:oMath>
            <w:r w:rsidRPr="005A615E">
              <w:rPr>
                <w:rFonts w:ascii="Times New Roman" w:hAnsi="Times New Roman"/>
              </w:rPr>
              <w:t xml:space="preserve"> – встановлений НКРЕКП для міської (сільської) території, цільовий індекс надання послуги зі стандартного приєднання у встановлений строк, на рівні 98 %, який враховується у розрахунку, починаючи з третього року другого регуляторного періоду (Iпрt-2р);</w:t>
            </w:r>
          </w:p>
          <w:p w:rsidR="00CF2AC1" w:rsidRPr="005A615E" w:rsidRDefault="000D13C5" w:rsidP="00CF2AC1">
            <w:pPr>
              <w:ind w:firstLine="315"/>
              <w:jc w:val="both"/>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прt-2</m:t>
                  </m:r>
                </m:sub>
                <m:sup>
                  <m:r>
                    <w:rPr>
                      <w:rFonts w:ascii="Cambria Math" w:hAnsi="Cambria Math"/>
                    </w:rPr>
                    <m:t>ф</m:t>
                  </m:r>
                </m:sup>
              </m:sSubSup>
            </m:oMath>
            <w:r w:rsidR="00CF2AC1" w:rsidRPr="005A615E">
              <w:rPr>
                <w:rFonts w:ascii="Times New Roman" w:hAnsi="Times New Roman"/>
              </w:rPr>
              <w:t>– фактичний індекс надання послуги зі стандартного приєднання у встановлений строк, де ОСР є стороною відповідальною за надання послуг зі стандартного приєднання у встановлений строк на рівні ≥ 98 %, на рік t-2 визначається за формулою</w:t>
            </w:r>
          </w:p>
          <w:p w:rsidR="00CF2AC1" w:rsidRPr="005A615E" w:rsidRDefault="000D13C5" w:rsidP="00CF2AC1">
            <w:pPr>
              <w:rPr>
                <w:rFonts w:ascii="Times New Roman" w:eastAsiaTheme="minorEastAsia" w:hAnsi="Times New Roman"/>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пр</m:t>
                  </m:r>
                  <m:r>
                    <m:rPr>
                      <m:sty m:val="p"/>
                    </m:rPr>
                    <w:rPr>
                      <w:rFonts w:ascii="Cambria Math" w:hAnsi="Cambria Math"/>
                    </w:rPr>
                    <w:softHyphen/>
                  </m:r>
                  <m:r>
                    <w:rPr>
                      <w:rFonts w:ascii="Cambria Math" w:hAnsi="Cambria Math"/>
                    </w:rPr>
                    <m:t>t-2</m:t>
                  </m:r>
                </m:sub>
                <m:sup>
                  <m:r>
                    <w:rPr>
                      <w:rFonts w:ascii="Cambria Math" w:hAnsi="Cambria Math"/>
                    </w:rPr>
                    <m:t>ф</m:t>
                  </m:r>
                </m:sup>
              </m:sSubSup>
              <m:r>
                <w:rPr>
                  <w:rFonts w:ascii="Cambria Math" w:hAnsi="Cambria Math"/>
                  <w:lang w:eastAsia="uk-UA"/>
                </w:rPr>
                <m:t>=1-</m:t>
              </m:r>
              <m:f>
                <m:fPr>
                  <m:ctrlPr>
                    <w:rPr>
                      <w:rFonts w:ascii="Cambria Math" w:eastAsia="Times New Roman" w:hAnsi="Cambria Math"/>
                      <w:sz w:val="24"/>
                      <w:szCs w:val="24"/>
                    </w:rPr>
                  </m:ctrlPr>
                </m:fPr>
                <m:num>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прt-2</m:t>
                      </m:r>
                    </m:sub>
                    <m:sup>
                      <m:r>
                        <w:rPr>
                          <w:rFonts w:ascii="Cambria Math" w:hAnsi="Cambria Math"/>
                        </w:rPr>
                        <m:t>ф_ВЧ</m:t>
                      </m:r>
                    </m:sup>
                  </m:sSubSup>
                  <m:ctrlPr>
                    <w:rPr>
                      <w:rFonts w:ascii="Cambria Math" w:eastAsia="Times New Roman" w:hAnsi="Cambria Math"/>
                      <w:i/>
                      <w:sz w:val="24"/>
                      <w:szCs w:val="24"/>
                    </w:rPr>
                  </m:ctrlPr>
                </m:num>
                <m:den>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прt-2</m:t>
                      </m:r>
                    </m:sub>
                    <m:sup>
                      <m:r>
                        <w:rPr>
                          <w:rFonts w:ascii="Cambria Math" w:hAnsi="Cambria Math"/>
                        </w:rPr>
                        <m:t>ф_заг</m:t>
                      </m:r>
                    </m:sup>
                  </m:sSubSup>
                  <m:ctrlPr>
                    <w:rPr>
                      <w:rFonts w:ascii="Cambria Math" w:eastAsia="Times New Roman" w:hAnsi="Cambria Math"/>
                      <w:i/>
                      <w:sz w:val="24"/>
                      <w:szCs w:val="24"/>
                    </w:rPr>
                  </m:ctrlPr>
                </m:den>
              </m:f>
              <m:r>
                <w:rPr>
                  <w:rFonts w:ascii="Cambria Math" w:hAnsi="Cambria Math"/>
                  <w:lang w:eastAsia="uk-UA"/>
                </w:rPr>
                <m:t xml:space="preserve">        </m:t>
              </m:r>
            </m:oMath>
            <w:r w:rsidR="00CF2AC1" w:rsidRPr="005A615E">
              <w:rPr>
                <w:rFonts w:ascii="Times New Roman" w:eastAsiaTheme="minorEastAsia" w:hAnsi="Times New Roman"/>
                <w:lang w:eastAsia="uk-UA"/>
              </w:rPr>
              <w:t xml:space="preserve">, %          </w:t>
            </w:r>
            <w:r w:rsidR="00CF2AC1" w:rsidRPr="005A615E">
              <w:rPr>
                <w:rFonts w:ascii="Times New Roman" w:eastAsiaTheme="minorEastAsia" w:hAnsi="Times New Roman"/>
              </w:rPr>
              <w:t>(40)</w:t>
            </w:r>
          </w:p>
          <w:p w:rsidR="00CF2AC1" w:rsidRPr="005A615E" w:rsidRDefault="00CF2AC1" w:rsidP="00CF2AC1">
            <w:pPr>
              <w:rPr>
                <w:rFonts w:ascii="Times New Roman" w:eastAsia="Times New Roman" w:hAnsi="Times New Roman"/>
                <w:lang w:eastAsia="uk-UA"/>
              </w:rPr>
            </w:pPr>
          </w:p>
          <w:p w:rsidR="00CF2AC1" w:rsidRPr="005A615E" w:rsidRDefault="00CF2AC1" w:rsidP="00CF2AC1">
            <w:pPr>
              <w:ind w:firstLine="173"/>
              <w:jc w:val="both"/>
              <w:rPr>
                <w:rFonts w:ascii="Times New Roman" w:hAnsi="Times New Roman"/>
                <w:lang w:eastAsia="ru-RU"/>
              </w:rPr>
            </w:pPr>
            <w:r w:rsidRPr="005A615E">
              <w:rPr>
                <w:rFonts w:ascii="Times New Roman" w:hAnsi="Times New Roman"/>
              </w:rPr>
              <w:t xml:space="preserve">де </w:t>
            </w:r>
            <m:oMath>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прt-2</m:t>
                  </m:r>
                </m:sub>
                <m:sup>
                  <m:r>
                    <w:rPr>
                      <w:rFonts w:ascii="Cambria Math" w:hAnsi="Cambria Math"/>
                    </w:rPr>
                    <m:t>ф_ВЧ</m:t>
                  </m:r>
                </m:sup>
              </m:sSubSup>
            </m:oMath>
            <w:r w:rsidRPr="005A615E">
              <w:rPr>
                <w:rFonts w:ascii="Times New Roman" w:hAnsi="Times New Roman"/>
              </w:rPr>
              <w:t xml:space="preserve"> – кількість послуг зі стандартного приєднання, наданих з порушенням встановленого строку на рік t-2;</w:t>
            </w:r>
          </w:p>
          <w:p w:rsidR="00CF2AC1" w:rsidRPr="005A615E" w:rsidRDefault="000D13C5" w:rsidP="00CF2AC1">
            <w:pPr>
              <w:ind w:firstLine="173"/>
              <w:jc w:val="both"/>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прt-2</m:t>
                  </m:r>
                </m:sub>
                <m:sup>
                  <m:r>
                    <w:rPr>
                      <w:rFonts w:ascii="Cambria Math" w:hAnsi="Cambria Math"/>
                    </w:rPr>
                    <m:t>ф_заг</m:t>
                  </m:r>
                </m:sup>
              </m:sSubSup>
              <m:r>
                <w:rPr>
                  <w:rFonts w:ascii="Cambria Math" w:hAnsi="Cambria Math"/>
                </w:rPr>
                <m:t xml:space="preserve">   </m:t>
              </m:r>
            </m:oMath>
            <w:r w:rsidR="00CF2AC1" w:rsidRPr="005A615E">
              <w:rPr>
                <w:rFonts w:ascii="Times New Roman" w:hAnsi="Times New Roman"/>
              </w:rPr>
              <w:t xml:space="preserve"> – загальна кількість наданих послуг зі стандартного приєднання на рік t-2;</w:t>
            </w:r>
          </w:p>
          <w:p w:rsidR="00CF2AC1" w:rsidRPr="005A615E" w:rsidRDefault="00CF2AC1" w:rsidP="00CF2AC1">
            <w:pPr>
              <w:ind w:firstLine="173"/>
              <w:jc w:val="both"/>
              <w:rPr>
                <w:rFonts w:ascii="Times New Roman" w:hAnsi="Times New Roman"/>
              </w:rPr>
            </w:pPr>
            <w:r w:rsidRPr="005A615E">
              <w:rPr>
                <w:rFonts w:ascii="Times New Roman" w:hAnsi="Times New Roman"/>
              </w:rPr>
              <w:t>ПК</w:t>
            </w:r>
            <w:r w:rsidRPr="005A615E">
              <w:rPr>
                <w:rFonts w:ascii="Times New Roman" w:hAnsi="Times New Roman"/>
                <w:vertAlign w:val="subscript"/>
              </w:rPr>
              <w:t>пр</w:t>
            </w:r>
            <w:r w:rsidRPr="005A615E">
              <w:rPr>
                <w:rFonts w:ascii="Times New Roman" w:hAnsi="Times New Roman"/>
              </w:rPr>
              <w:t xml:space="preserve"> – встановлений НКРЕКП параметр коригування необхідного доходу за недотримання відповідного показника комерційної якості надання послуг (ПК &gt; 1). </w:t>
            </w:r>
          </w:p>
          <w:p w:rsidR="00CF2AC1" w:rsidRPr="005A615E" w:rsidRDefault="00CF2AC1" w:rsidP="00CF2AC1">
            <w:pPr>
              <w:ind w:firstLine="173"/>
              <w:jc w:val="both"/>
              <w:rPr>
                <w:rFonts w:ascii="Times New Roman" w:hAnsi="Times New Roman"/>
              </w:rPr>
            </w:pPr>
            <w:r w:rsidRPr="005A615E">
              <w:rPr>
                <w:rFonts w:ascii="Times New Roman" w:hAnsi="Times New Roman"/>
              </w:rPr>
              <w:t xml:space="preserve">За результатами здійснення заходів контролю за дотриманням Ліцензійних умов показник </w:t>
            </w:r>
            <m:oMath>
              <m:sSub>
                <m:sSubPr>
                  <m:ctrlPr>
                    <w:rPr>
                      <w:rFonts w:ascii="Cambria Math" w:eastAsia="Times New Roman" w:hAnsi="Cambria Math"/>
                      <w:i/>
                      <w:sz w:val="24"/>
                      <w:szCs w:val="24"/>
                      <w:lang w:eastAsia="ru-RU"/>
                    </w:rPr>
                  </m:ctrlPr>
                </m:sSubPr>
                <m:e>
                  <m:r>
                    <m:rPr>
                      <m:sty m:val="p"/>
                    </m:rPr>
                    <w:rPr>
                      <w:rFonts w:ascii="Cambria Math" w:hAnsi="Cambria Math"/>
                    </w:rPr>
                    <m:t>КЯ</m:t>
                  </m:r>
                </m:e>
                <m:sub>
                  <m:r>
                    <m:rPr>
                      <m:sty m:val="p"/>
                    </m:rPr>
                    <w:rPr>
                      <w:rFonts w:ascii="Cambria Math" w:hAnsi="Cambria Math"/>
                    </w:rPr>
                    <m:t>прt</m:t>
                  </m:r>
                </m:sub>
              </m:sSub>
            </m:oMath>
            <w:r w:rsidRPr="005A615E">
              <w:rPr>
                <w:rFonts w:ascii="Times New Roman" w:hAnsi="Times New Roman"/>
              </w:rPr>
              <w:t xml:space="preserve"> може бути уточнено;</w:t>
            </w:r>
          </w:p>
          <w:p w:rsidR="00CF2AC1" w:rsidRPr="005A615E" w:rsidRDefault="00CF2AC1" w:rsidP="00CF2AC1">
            <w:pPr>
              <w:ind w:firstLine="173"/>
              <w:jc w:val="both"/>
              <w:rPr>
                <w:rFonts w:ascii="Times New Roman" w:hAnsi="Times New Roman"/>
              </w:rPr>
            </w:pPr>
            <w:r w:rsidRPr="005A615E">
              <w:rPr>
                <w:rFonts w:ascii="Times New Roman" w:hAnsi="Times New Roman"/>
              </w:rPr>
              <w:t xml:space="preserve"> </w:t>
            </w:r>
          </w:p>
          <w:p w:rsidR="00CF2AC1" w:rsidRPr="005A615E" w:rsidRDefault="00CF2AC1" w:rsidP="00CF2AC1">
            <w:pPr>
              <w:ind w:firstLine="173"/>
              <w:jc w:val="both"/>
              <w:rPr>
                <w:rFonts w:ascii="Times New Roman" w:hAnsi="Times New Roman"/>
              </w:rPr>
            </w:pPr>
            <w:r w:rsidRPr="005A615E">
              <w:rPr>
                <w:rFonts w:ascii="Times New Roman" w:hAnsi="Times New Roman"/>
              </w:rPr>
              <w:t>4) індекс якості даних комерційного обліку, на рік t визначається за формулою</w:t>
            </w:r>
          </w:p>
          <w:p w:rsidR="00CF2AC1" w:rsidRPr="005A615E" w:rsidRDefault="00CF2AC1" w:rsidP="00CF2AC1">
            <w:pPr>
              <w:ind w:firstLine="709"/>
              <w:jc w:val="both"/>
              <w:rPr>
                <w:rFonts w:ascii="Times New Roman" w:hAnsi="Times New Roman"/>
              </w:rPr>
            </w:pPr>
          </w:p>
          <w:p w:rsidR="00CF2AC1" w:rsidRPr="005A615E" w:rsidRDefault="000D13C5" w:rsidP="00CF2AC1">
            <w:pPr>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дt-2</m:t>
                  </m:r>
                </m:sub>
                <m:sup>
                  <m:r>
                    <w:rPr>
                      <w:rFonts w:ascii="Cambria Math" w:hAnsi="Cambria Math"/>
                    </w:rPr>
                    <m:t>ф</m:t>
                  </m:r>
                </m:sup>
              </m:sSubSup>
              <m:r>
                <m:rPr>
                  <m:sty m:val="p"/>
                </m:rPr>
                <w:rPr>
                  <w:rFonts w:ascii="Cambria Math" w:hAnsi="Cambria Math"/>
                </w:rPr>
                <m:t xml:space="preserve"> ≥98, то </m:t>
              </m:r>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дt</m:t>
                  </m:r>
                </m:sub>
              </m:sSub>
              <m:r>
                <m:rPr>
                  <m:sty m:val="p"/>
                </m:rPr>
                <w:rPr>
                  <w:rFonts w:ascii="Cambria Math" w:hAnsi="Cambria Math"/>
                </w:rPr>
                <m:t>=0</m:t>
              </m:r>
            </m:oMath>
            <w:r w:rsidR="00CF2AC1" w:rsidRPr="005A615E">
              <w:rPr>
                <w:rFonts w:ascii="Times New Roman" w:hAnsi="Times New Roman"/>
              </w:rPr>
              <w:t>;              (41)</w:t>
            </w:r>
          </w:p>
          <w:p w:rsidR="00CF2AC1" w:rsidRPr="005A615E" w:rsidRDefault="00CF2AC1" w:rsidP="00CF2AC1">
            <w:pPr>
              <w:rPr>
                <w:rFonts w:ascii="Times New Roman" w:hAnsi="Times New Roman"/>
              </w:rPr>
            </w:pPr>
          </w:p>
          <w:p w:rsidR="00CF2AC1" w:rsidRPr="005A615E" w:rsidRDefault="000D13C5" w:rsidP="00CF2AC1">
            <w:pPr>
              <w:rPr>
                <w:rFonts w:ascii="Times New Roman" w:eastAsiaTheme="minorEastAsia" w:hAnsi="Times New Roman"/>
              </w:rPr>
            </w:pPr>
            <m:oMath>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д</m:t>
                  </m:r>
                  <m:r>
                    <m:rPr>
                      <m:sty m:val="bi"/>
                    </m:rPr>
                    <w:rPr>
                      <w:rFonts w:ascii="Cambria Math" w:hAnsi="Cambria Math"/>
                    </w:rPr>
                    <m:t>t</m:t>
                  </m:r>
                </m:sub>
              </m:sSub>
              <m:r>
                <w:rPr>
                  <w:rFonts w:ascii="Cambria Math" w:hAnsi="Cambria Math"/>
                </w:rPr>
                <m:t>=</m:t>
              </m:r>
              <m:f>
                <m:fPr>
                  <m:ctrlPr>
                    <w:rPr>
                      <w:rFonts w:ascii="Cambria Math" w:eastAsia="Times New Roman" w:hAnsi="Cambria Math"/>
                      <w:i/>
                      <w:sz w:val="24"/>
                      <w:szCs w:val="24"/>
                      <w:lang w:eastAsia="ru-RU"/>
                    </w:rPr>
                  </m:ctrlPr>
                </m:fPr>
                <m:num>
                  <m:d>
                    <m:dPr>
                      <m:ctrlPr>
                        <w:rPr>
                          <w:rFonts w:ascii="Cambria Math" w:eastAsia="Times New Roman" w:hAnsi="Cambria Math"/>
                          <w:i/>
                          <w:sz w:val="24"/>
                          <w:szCs w:val="24"/>
                          <w:lang w:eastAsia="ru-RU"/>
                        </w:rPr>
                      </m:ctrlPr>
                    </m:dPr>
                    <m:e>
                      <m:sSubSup>
                        <m:sSubSupPr>
                          <m:ctrlPr>
                            <w:rPr>
                              <w:rFonts w:ascii="Cambria Math" w:eastAsia="Times New Roman" w:hAnsi="Cambria Math"/>
                              <w:i/>
                              <w:sz w:val="24"/>
                              <w:szCs w:val="24"/>
                              <w:lang w:eastAsia="ru-RU"/>
                            </w:rPr>
                          </m:ctrlPr>
                        </m:sSubSupPr>
                        <m:e>
                          <m:r>
                            <m:rPr>
                              <m:sty m:val="bi"/>
                            </m:rPr>
                            <w:rPr>
                              <w:rFonts w:ascii="Cambria Math" w:hAnsi="Cambria Math"/>
                            </w:rPr>
                            <m:t>I</m:t>
                          </m:r>
                        </m:e>
                        <m:sub>
                          <m:r>
                            <w:rPr>
                              <w:rFonts w:ascii="Cambria Math" w:hAnsi="Cambria Math"/>
                            </w:rPr>
                            <m:t>д</m:t>
                          </m:r>
                          <m:r>
                            <m:rPr>
                              <m:sty m:val="bi"/>
                            </m:rPr>
                            <w:rPr>
                              <w:rFonts w:ascii="Cambria Math" w:hAnsi="Cambria Math"/>
                            </w:rPr>
                            <m:t>t</m:t>
                          </m:r>
                          <m:r>
                            <w:rPr>
                              <w:rFonts w:ascii="Cambria Math" w:hAnsi="Cambria Math"/>
                            </w:rPr>
                            <m:t>-</m:t>
                          </m:r>
                          <m:r>
                            <m:rPr>
                              <m:sty m:val="bi"/>
                            </m:rPr>
                            <w:rPr>
                              <w:rFonts w:ascii="Cambria Math" w:hAnsi="Cambria Math"/>
                            </w:rPr>
                            <m:t>2</m:t>
                          </m:r>
                        </m:sub>
                        <m:sup>
                          <m:r>
                            <w:rPr>
                              <w:rFonts w:ascii="Cambria Math" w:hAnsi="Cambria Math"/>
                            </w:rPr>
                            <m:t>р</m:t>
                          </m:r>
                        </m:sup>
                      </m:sSubSup>
                      <m:r>
                        <w:rPr>
                          <w:rFonts w:ascii="Cambria Math" w:hAnsi="Cambria Math"/>
                        </w:rPr>
                        <m:t>-</m:t>
                      </m:r>
                      <m:sSubSup>
                        <m:sSubSupPr>
                          <m:ctrlPr>
                            <w:rPr>
                              <w:rFonts w:ascii="Cambria Math" w:eastAsia="Times New Roman" w:hAnsi="Cambria Math"/>
                              <w:i/>
                              <w:sz w:val="24"/>
                              <w:szCs w:val="24"/>
                              <w:lang w:eastAsia="ru-RU"/>
                            </w:rPr>
                          </m:ctrlPr>
                        </m:sSubSupPr>
                        <m:e>
                          <m:r>
                            <m:rPr>
                              <m:sty m:val="bi"/>
                            </m:rPr>
                            <w:rPr>
                              <w:rFonts w:ascii="Cambria Math" w:hAnsi="Cambria Math"/>
                            </w:rPr>
                            <m:t>I</m:t>
                          </m:r>
                        </m:e>
                        <m:sub>
                          <m:r>
                            <w:rPr>
                              <w:rFonts w:ascii="Cambria Math" w:hAnsi="Cambria Math"/>
                            </w:rPr>
                            <m:t>д</m:t>
                          </m:r>
                          <m:r>
                            <m:rPr>
                              <m:sty m:val="bi"/>
                            </m:rPr>
                            <w:rPr>
                              <w:rFonts w:ascii="Cambria Math" w:hAnsi="Cambria Math"/>
                            </w:rPr>
                            <m:t>t</m:t>
                          </m:r>
                          <m:r>
                            <w:rPr>
                              <w:rFonts w:ascii="Cambria Math" w:hAnsi="Cambria Math"/>
                            </w:rPr>
                            <m:t>-</m:t>
                          </m:r>
                          <m:r>
                            <m:rPr>
                              <m:sty m:val="bi"/>
                            </m:rPr>
                            <w:rPr>
                              <w:rFonts w:ascii="Cambria Math" w:hAnsi="Cambria Math"/>
                            </w:rPr>
                            <m:t>2</m:t>
                          </m:r>
                        </m:sub>
                        <m:sup>
                          <m:r>
                            <w:rPr>
                              <w:rFonts w:ascii="Cambria Math" w:hAnsi="Cambria Math"/>
                            </w:rPr>
                            <m:t>ф</m:t>
                          </m:r>
                        </m:sup>
                      </m:sSubSup>
                    </m:e>
                  </m:d>
                  <m:r>
                    <w:rPr>
                      <w:rFonts w:ascii="Cambria Math" w:hAnsi="Cambria Math"/>
                    </w:rPr>
                    <m:t>∙</m:t>
                  </m:r>
                  <m:sSubSup>
                    <m:sSubSupPr>
                      <m:ctrlPr>
                        <w:rPr>
                          <w:rFonts w:ascii="Cambria Math" w:eastAsia="Times New Roman" w:hAnsi="Cambria Math"/>
                          <w:i/>
                          <w:sz w:val="24"/>
                          <w:szCs w:val="24"/>
                          <w:lang w:eastAsia="ru-RU"/>
                        </w:rPr>
                      </m:ctrlPr>
                    </m:sSubSupPr>
                    <m:e>
                      <m:r>
                        <m:rPr>
                          <m:sty m:val="bi"/>
                        </m:rPr>
                        <w:rPr>
                          <w:rFonts w:ascii="Cambria Math" w:hAnsi="Cambria Math"/>
                        </w:rPr>
                        <m:t>W</m:t>
                      </m:r>
                    </m:e>
                    <m:sub>
                      <m:sSub>
                        <m:sSubPr>
                          <m:ctrlPr>
                            <w:rPr>
                              <w:rFonts w:ascii="Cambria Math" w:eastAsia="Times New Roman" w:hAnsi="Cambria Math"/>
                              <w:i/>
                              <w:sz w:val="24"/>
                              <w:szCs w:val="24"/>
                              <w:lang w:eastAsia="ru-RU"/>
                            </w:rPr>
                          </m:ctrlPr>
                        </m:sSubPr>
                        <m:e>
                          <m:r>
                            <m:rPr>
                              <m:sty m:val="bi"/>
                            </m:rPr>
                            <w:rPr>
                              <w:rFonts w:ascii="Cambria Math" w:hAnsi="Cambria Math"/>
                            </w:rPr>
                            <m:t>2</m:t>
                          </m:r>
                        </m:e>
                        <m:sub>
                          <m:r>
                            <m:rPr>
                              <m:sty m:val="bi"/>
                            </m:rPr>
                            <w:rPr>
                              <w:rFonts w:ascii="Cambria Math" w:hAnsi="Cambria Math"/>
                            </w:rPr>
                            <m:t>t</m:t>
                          </m:r>
                        </m:sub>
                      </m:sSub>
                      <m:r>
                        <w:rPr>
                          <w:rFonts w:ascii="Cambria Math" w:hAnsi="Cambria Math"/>
                        </w:rPr>
                        <m:t>-</m:t>
                      </m:r>
                      <m:r>
                        <m:rPr>
                          <m:sty m:val="bi"/>
                        </m:rPr>
                        <w:rPr>
                          <w:rFonts w:ascii="Cambria Math" w:hAnsi="Cambria Math"/>
                        </w:rPr>
                        <m:t>2</m:t>
                      </m:r>
                    </m:sub>
                    <m:sup>
                      <m:r>
                        <w:rPr>
                          <w:rFonts w:ascii="Cambria Math" w:hAnsi="Cambria Math"/>
                        </w:rPr>
                        <m:t>м</m:t>
                      </m:r>
                      <m:d>
                        <m:dPr>
                          <m:ctrlPr>
                            <w:rPr>
                              <w:rFonts w:ascii="Cambria Math" w:eastAsia="Times New Roman" w:hAnsi="Cambria Math"/>
                              <w:i/>
                              <w:sz w:val="24"/>
                              <w:szCs w:val="24"/>
                              <w:lang w:eastAsia="ru-RU"/>
                            </w:rPr>
                          </m:ctrlPr>
                        </m:dPr>
                        <m:e>
                          <m:r>
                            <w:rPr>
                              <w:rFonts w:ascii="Cambria Math" w:hAnsi="Cambria Math"/>
                            </w:rPr>
                            <m:t>с</m:t>
                          </m:r>
                        </m:e>
                      </m:d>
                      <m:r>
                        <w:rPr>
                          <w:rFonts w:ascii="Cambria Math" w:hAnsi="Cambria Math"/>
                        </w:rPr>
                        <m:t>ф</m:t>
                      </m:r>
                    </m:sup>
                  </m:sSubSup>
                  <m:r>
                    <w:rPr>
                      <w:rFonts w:ascii="Cambria Math" w:hAnsi="Cambria Math"/>
                    </w:rPr>
                    <m:t>∙</m:t>
                  </m:r>
                  <m:sSub>
                    <m:sSubPr>
                      <m:ctrlPr>
                        <w:rPr>
                          <w:rFonts w:ascii="Cambria Math" w:eastAsia="Times New Roman" w:hAnsi="Cambria Math"/>
                          <w:i/>
                          <w:sz w:val="24"/>
                          <w:szCs w:val="24"/>
                          <w:lang w:eastAsia="ru-RU"/>
                        </w:rPr>
                      </m:ctrlPr>
                    </m:sSubPr>
                    <m:e>
                      <m:r>
                        <w:rPr>
                          <w:rFonts w:ascii="Cambria Math" w:hAnsi="Cambria Math"/>
                        </w:rPr>
                        <m:t>Ц</m:t>
                      </m:r>
                    </m:e>
                    <m:sub>
                      <m:sSub>
                        <m:sSubPr>
                          <m:ctrlPr>
                            <w:rPr>
                              <w:rFonts w:ascii="Cambria Math" w:eastAsia="Times New Roman" w:hAnsi="Cambria Math"/>
                              <w:i/>
                              <w:sz w:val="24"/>
                              <w:szCs w:val="24"/>
                              <w:lang w:eastAsia="ru-RU"/>
                            </w:rPr>
                          </m:ctrlPr>
                        </m:sSubPr>
                        <m:e>
                          <m:sSub>
                            <m:sSubPr>
                              <m:ctrlPr>
                                <w:rPr>
                                  <w:rFonts w:ascii="Cambria Math" w:eastAsia="Times New Roman" w:hAnsi="Cambria Math"/>
                                  <w:i/>
                                  <w:sz w:val="24"/>
                                  <w:szCs w:val="24"/>
                                  <w:lang w:eastAsia="ru-RU"/>
                                </w:rPr>
                              </m:ctrlPr>
                            </m:sSubPr>
                            <m:e>
                              <m:r>
                                <m:rPr>
                                  <m:sty m:val="bi"/>
                                </m:rPr>
                                <w:rPr>
                                  <w:rFonts w:ascii="Cambria Math" w:hAnsi="Cambria Math"/>
                                </w:rPr>
                                <m:t>2</m:t>
                              </m:r>
                            </m:e>
                            <m:sub/>
                          </m:sSub>
                        </m:e>
                        <m:sub>
                          <m:r>
                            <m:rPr>
                              <m:sty m:val="bi"/>
                            </m:rPr>
                            <w:rPr>
                              <w:rFonts w:ascii="Cambria Math" w:hAnsi="Cambria Math"/>
                            </w:rPr>
                            <m:t>t</m:t>
                          </m:r>
                        </m:sub>
                      </m:sSub>
                      <m:r>
                        <w:rPr>
                          <w:rFonts w:ascii="Cambria Math" w:hAnsi="Cambria Math"/>
                        </w:rPr>
                        <m:t>-</m:t>
                      </m:r>
                      <m:r>
                        <m:rPr>
                          <m:sty m:val="bi"/>
                        </m:rPr>
                        <w:rPr>
                          <w:rFonts w:ascii="Cambria Math" w:hAnsi="Cambria Math"/>
                        </w:rPr>
                        <m:t>2</m:t>
                      </m:r>
                    </m:sub>
                  </m:sSub>
                  <m:r>
                    <w:rPr>
                      <w:rFonts w:ascii="Cambria Math" w:hAnsi="Cambria Math"/>
                    </w:rPr>
                    <m:t>*ПКд</m:t>
                  </m:r>
                </m:num>
                <m:den>
                  <m:sSubSup>
                    <m:sSubSupPr>
                      <m:ctrlPr>
                        <w:rPr>
                          <w:rFonts w:ascii="Cambria Math" w:eastAsia="Times New Roman" w:hAnsi="Cambria Math"/>
                          <w:sz w:val="24"/>
                          <w:szCs w:val="24"/>
                          <w:lang w:eastAsia="ru-RU"/>
                        </w:rPr>
                      </m:ctrlPr>
                    </m:sSubSupPr>
                    <m:e>
                      <m:r>
                        <m:rPr>
                          <m:sty m:val="bi"/>
                        </m:rPr>
                        <w:rPr>
                          <w:rFonts w:ascii="Cambria Math" w:hAnsi="Cambria Math"/>
                        </w:rPr>
                        <m:t>N</m:t>
                      </m:r>
                    </m:e>
                    <m:sub>
                      <m:r>
                        <m:rPr>
                          <m:sty m:val="p"/>
                        </m:rPr>
                        <w:rPr>
                          <w:rFonts w:ascii="Cambria Math" w:hAnsi="Cambria Math"/>
                        </w:rPr>
                        <m:t>д</m:t>
                      </m:r>
                      <m:r>
                        <m:rPr>
                          <m:sty m:val="bi"/>
                        </m:rPr>
                        <w:rPr>
                          <w:rFonts w:ascii="Cambria Math" w:hAnsi="Cambria Math"/>
                        </w:rPr>
                        <m:t>t</m:t>
                      </m:r>
                      <m:r>
                        <m:rPr>
                          <m:sty m:val="p"/>
                        </m:rPr>
                        <w:rPr>
                          <w:rFonts w:ascii="Cambria Math" w:hAnsi="Cambria Math"/>
                        </w:rPr>
                        <m:t>-</m:t>
                      </m:r>
                      <m:r>
                        <m:rPr>
                          <m:sty m:val="b"/>
                        </m:rPr>
                        <w:rPr>
                          <w:rFonts w:ascii="Cambria Math" w:hAnsi="Cambria Math"/>
                        </w:rPr>
                        <m:t>2</m:t>
                      </m:r>
                    </m:sub>
                    <m:sup>
                      <m:r>
                        <m:rPr>
                          <m:sty m:val="p"/>
                        </m:rPr>
                        <w:rPr>
                          <w:rFonts w:ascii="Cambria Math" w:hAnsi="Cambria Math"/>
                        </w:rPr>
                        <m:t>заг</m:t>
                      </m:r>
                    </m:sup>
                  </m:sSubSup>
                  <m:r>
                    <w:rPr>
                      <w:rFonts w:ascii="Cambria Math" w:hAnsi="Cambria Math"/>
                    </w:rPr>
                    <m:t xml:space="preserve">* </m:t>
                  </m:r>
                  <m:r>
                    <m:rPr>
                      <m:sty m:val="bi"/>
                    </m:rPr>
                    <w:rPr>
                      <w:rFonts w:ascii="Cambria Math" w:hAnsi="Cambria Math"/>
                    </w:rPr>
                    <m:t>1000</m:t>
                  </m:r>
                </m:den>
              </m:f>
              <m:r>
                <w:rPr>
                  <w:rFonts w:ascii="Cambria Math" w:hAnsi="Cambria Math"/>
                </w:rPr>
                <m:t>, тис. грн</m:t>
              </m:r>
            </m:oMath>
            <w:r w:rsidR="00CF2AC1" w:rsidRPr="005A615E">
              <w:rPr>
                <w:rFonts w:ascii="Times New Roman" w:eastAsiaTheme="minorEastAsia" w:hAnsi="Times New Roman"/>
                <w:i/>
              </w:rPr>
              <w:t xml:space="preserve">       </w:t>
            </w:r>
            <w:r w:rsidR="00CF2AC1" w:rsidRPr="005A615E">
              <w:rPr>
                <w:rFonts w:ascii="Times New Roman" w:eastAsiaTheme="minorEastAsia" w:hAnsi="Times New Roman"/>
              </w:rPr>
              <w:t>(42)</w:t>
            </w:r>
          </w:p>
          <w:p w:rsidR="00CF2AC1" w:rsidRPr="005A615E" w:rsidRDefault="00CF2AC1" w:rsidP="00CF2AC1">
            <w:pPr>
              <w:rPr>
                <w:rFonts w:ascii="Times New Roman" w:eastAsiaTheme="minorEastAsia" w:hAnsi="Times New Roman"/>
              </w:rPr>
            </w:pPr>
          </w:p>
          <w:p w:rsidR="00CF2AC1" w:rsidRPr="005A615E" w:rsidRDefault="00CF2AC1" w:rsidP="00CF2AC1">
            <w:pPr>
              <w:ind w:firstLine="173"/>
              <w:jc w:val="both"/>
              <w:rPr>
                <w:rFonts w:ascii="Times New Roman" w:eastAsia="Times New Roman" w:hAnsi="Times New Roman"/>
              </w:rPr>
            </w:pPr>
            <w:r w:rsidRPr="005A615E">
              <w:rPr>
                <w:rFonts w:ascii="Times New Roman" w:hAnsi="Times New Roman"/>
              </w:rPr>
              <w:t xml:space="preserve">де </w:t>
            </w:r>
            <m:oMath>
              <m:sSubSup>
                <m:sSubSupPr>
                  <m:ctrlPr>
                    <w:rPr>
                      <w:rFonts w:ascii="Cambria Math" w:eastAsia="Times New Roman" w:hAnsi="Cambria Math"/>
                      <w:i/>
                      <w:sz w:val="24"/>
                      <w:szCs w:val="24"/>
                      <w:lang w:eastAsia="ru-RU"/>
                    </w:rPr>
                  </m:ctrlPr>
                </m:sSubSupPr>
                <m:e>
                  <m:r>
                    <m:rPr>
                      <m:sty m:val="bi"/>
                    </m:rPr>
                    <w:rPr>
                      <w:rFonts w:ascii="Cambria Math" w:hAnsi="Cambria Math"/>
                    </w:rPr>
                    <m:t>I</m:t>
                  </m:r>
                </m:e>
                <m:sub>
                  <m:r>
                    <w:rPr>
                      <w:rFonts w:ascii="Cambria Math" w:hAnsi="Cambria Math"/>
                    </w:rPr>
                    <m:t>д_ц</m:t>
                  </m:r>
                </m:sub>
                <m:sup>
                  <m:r>
                    <w:rPr>
                      <w:rFonts w:ascii="Cambria Math" w:hAnsi="Cambria Math"/>
                    </w:rPr>
                    <m:t>м</m:t>
                  </m:r>
                  <m:d>
                    <m:dPr>
                      <m:ctrlPr>
                        <w:rPr>
                          <w:rFonts w:ascii="Cambria Math" w:eastAsia="Times New Roman" w:hAnsi="Cambria Math"/>
                          <w:i/>
                          <w:sz w:val="24"/>
                          <w:szCs w:val="24"/>
                          <w:lang w:eastAsia="ru-RU"/>
                        </w:rPr>
                      </m:ctrlPr>
                    </m:dPr>
                    <m:e>
                      <m:r>
                        <w:rPr>
                          <w:rFonts w:ascii="Cambria Math" w:hAnsi="Cambria Math"/>
                        </w:rPr>
                        <m:t>с</m:t>
                      </m:r>
                    </m:e>
                  </m:d>
                </m:sup>
              </m:sSubSup>
            </m:oMath>
            <w:r w:rsidRPr="005A615E">
              <w:rPr>
                <w:rFonts w:ascii="Times New Roman" w:hAnsi="Times New Roman"/>
              </w:rPr>
              <w:t xml:space="preserve"> – встановлений НКРЕКП для міської (сільської) території цільовий індекс якості даних комерційного обліку, на рівні 98 %, який враховується у розрахунку починаючи з третього року другого регуляторного періоду (</w:t>
            </w:r>
            <m:oMath>
              <m:sSubSup>
                <m:sSubSupPr>
                  <m:ctrlPr>
                    <w:rPr>
                      <w:rFonts w:ascii="Cambria Math" w:eastAsia="Times New Roman" w:hAnsi="Cambria Math"/>
                      <w:sz w:val="24"/>
                      <w:szCs w:val="24"/>
                      <w:lang w:eastAsia="ru-RU"/>
                    </w:rPr>
                  </m:ctrlPr>
                </m:sSubSupPr>
                <m:e>
                  <m:r>
                    <m:rPr>
                      <m:sty m:val="bi"/>
                    </m:rPr>
                    <w:rPr>
                      <w:rFonts w:ascii="Cambria Math" w:hAnsi="Cambria Math"/>
                    </w:rPr>
                    <m:t>I</m:t>
                  </m:r>
                </m:e>
                <m:sub>
                  <m:r>
                    <m:rPr>
                      <m:sty m:val="p"/>
                    </m:rPr>
                    <w:rPr>
                      <w:rFonts w:ascii="Cambria Math" w:hAnsi="Cambria Math"/>
                    </w:rPr>
                    <m:t>д</m:t>
                  </m:r>
                  <m:r>
                    <m:rPr>
                      <m:sty m:val="bi"/>
                    </m:rPr>
                    <w:rPr>
                      <w:rFonts w:ascii="Cambria Math" w:hAnsi="Cambria Math"/>
                    </w:rPr>
                    <m:t>t</m:t>
                  </m:r>
                  <m:r>
                    <m:rPr>
                      <m:sty m:val="p"/>
                    </m:rPr>
                    <w:rPr>
                      <w:rFonts w:ascii="Cambria Math" w:hAnsi="Cambria Math"/>
                    </w:rPr>
                    <m:t>-</m:t>
                  </m:r>
                  <m:r>
                    <m:rPr>
                      <m:sty m:val="b"/>
                    </m:rPr>
                    <w:rPr>
                      <w:rFonts w:ascii="Cambria Math" w:hAnsi="Cambria Math"/>
                    </w:rPr>
                    <m:t>2</m:t>
                  </m:r>
                </m:sub>
                <m:sup>
                  <m:r>
                    <m:rPr>
                      <m:sty m:val="p"/>
                    </m:rPr>
                    <w:rPr>
                      <w:rFonts w:ascii="Cambria Math" w:hAnsi="Cambria Math"/>
                    </w:rPr>
                    <m:t>р</m:t>
                  </m:r>
                </m:sup>
              </m:sSubSup>
            </m:oMath>
            <w:r w:rsidRPr="005A615E">
              <w:rPr>
                <w:rFonts w:ascii="Times New Roman" w:hAnsi="Times New Roman"/>
              </w:rPr>
              <w:t xml:space="preserve"> );</w:t>
            </w:r>
          </w:p>
          <w:p w:rsidR="00CF2AC1" w:rsidRPr="005A615E" w:rsidRDefault="000D13C5" w:rsidP="00CF2AC1">
            <w:pPr>
              <w:ind w:firstLine="173"/>
              <w:jc w:val="both"/>
              <w:rPr>
                <w:rFonts w:ascii="Times New Roman" w:hAnsi="Times New Roman"/>
              </w:rPr>
            </w:pPr>
            <m:oMath>
              <m:sSubSup>
                <m:sSubSupPr>
                  <m:ctrlPr>
                    <w:rPr>
                      <w:rFonts w:ascii="Cambria Math" w:eastAsia="Times New Roman" w:hAnsi="Cambria Math"/>
                      <w:i/>
                      <w:sz w:val="24"/>
                      <w:szCs w:val="24"/>
                      <w:lang w:eastAsia="ru-RU"/>
                    </w:rPr>
                  </m:ctrlPr>
                </m:sSubSupPr>
                <m:e>
                  <m:r>
                    <m:rPr>
                      <m:sty m:val="bi"/>
                    </m:rPr>
                    <w:rPr>
                      <w:rFonts w:ascii="Cambria Math" w:hAnsi="Cambria Math"/>
                    </w:rPr>
                    <m:t>I</m:t>
                  </m:r>
                </m:e>
                <m:sub>
                  <m:r>
                    <w:rPr>
                      <w:rFonts w:ascii="Cambria Math" w:hAnsi="Cambria Math"/>
                    </w:rPr>
                    <m:t>д</m:t>
                  </m:r>
                  <m:r>
                    <m:rPr>
                      <m:sty m:val="bi"/>
                    </m:rPr>
                    <w:rPr>
                      <w:rFonts w:ascii="Cambria Math" w:hAnsi="Cambria Math"/>
                    </w:rPr>
                    <m:t>t</m:t>
                  </m:r>
                  <m:r>
                    <w:rPr>
                      <w:rFonts w:ascii="Cambria Math" w:hAnsi="Cambria Math"/>
                    </w:rPr>
                    <m:t>-</m:t>
                  </m:r>
                  <m:r>
                    <m:rPr>
                      <m:sty m:val="bi"/>
                    </m:rPr>
                    <w:rPr>
                      <w:rFonts w:ascii="Cambria Math" w:hAnsi="Cambria Math"/>
                    </w:rPr>
                    <m:t>2</m:t>
                  </m:r>
                </m:sub>
                <m:sup>
                  <m:r>
                    <w:rPr>
                      <w:rFonts w:ascii="Cambria Math" w:hAnsi="Cambria Math"/>
                    </w:rPr>
                    <m:t>ф</m:t>
                  </m:r>
                </m:sup>
              </m:sSubSup>
            </m:oMath>
            <w:r w:rsidR="00CF2AC1" w:rsidRPr="005A615E">
              <w:rPr>
                <w:rFonts w:ascii="Times New Roman" w:hAnsi="Times New Roman"/>
              </w:rPr>
              <w:t xml:space="preserve"> – фактичний індекс якості даних комерційного обліку для всіх точок комерційного обліку з можливістю погодинного обліку та дистанційного зчитування даних, де ОСР є стороною відповідальною за точку комерційного обліку, на рік t-2 визначається за формулою</w:t>
            </w:r>
          </w:p>
          <w:p w:rsidR="00CF2AC1" w:rsidRPr="005A615E" w:rsidRDefault="00CF2AC1" w:rsidP="00CF2AC1">
            <w:pPr>
              <w:ind w:firstLine="709"/>
              <w:jc w:val="both"/>
              <w:rPr>
                <w:rFonts w:ascii="Times New Roman" w:hAnsi="Times New Roman"/>
              </w:rPr>
            </w:pPr>
          </w:p>
          <w:p w:rsidR="00CF2AC1" w:rsidRPr="005A615E" w:rsidRDefault="000D13C5" w:rsidP="00CF2AC1">
            <w:pPr>
              <w:rPr>
                <w:rFonts w:ascii="Times New Roman" w:eastAsiaTheme="minorEastAsia" w:hAnsi="Times New Roman"/>
              </w:rPr>
            </w:pPr>
            <m:oMath>
              <m:sSubSup>
                <m:sSubSupPr>
                  <m:ctrlPr>
                    <w:rPr>
                      <w:rFonts w:ascii="Cambria Math" w:eastAsia="Times New Roman" w:hAnsi="Cambria Math"/>
                      <w:i/>
                      <w:sz w:val="24"/>
                      <w:szCs w:val="24"/>
                      <w:lang w:eastAsia="ru-RU"/>
                    </w:rPr>
                  </m:ctrlPr>
                </m:sSubSupPr>
                <m:e>
                  <m:r>
                    <m:rPr>
                      <m:sty m:val="bi"/>
                    </m:rPr>
                    <w:rPr>
                      <w:rFonts w:ascii="Cambria Math" w:hAnsi="Cambria Math"/>
                    </w:rPr>
                    <m:t>I</m:t>
                  </m:r>
                </m:e>
                <m:sub>
                  <m:r>
                    <w:rPr>
                      <w:rFonts w:ascii="Cambria Math" w:hAnsi="Cambria Math"/>
                    </w:rPr>
                    <m:t>д</m:t>
                  </m:r>
                  <m:r>
                    <m:rPr>
                      <m:sty m:val="bi"/>
                    </m:rPr>
                    <w:rPr>
                      <w:rFonts w:ascii="Cambria Math" w:hAnsi="Cambria Math"/>
                    </w:rPr>
                    <m:t>t</m:t>
                  </m:r>
                  <m:r>
                    <w:rPr>
                      <w:rFonts w:ascii="Cambria Math" w:hAnsi="Cambria Math"/>
                    </w:rPr>
                    <m:t>-</m:t>
                  </m:r>
                  <m:r>
                    <m:rPr>
                      <m:sty m:val="bi"/>
                    </m:rPr>
                    <w:rPr>
                      <w:rFonts w:ascii="Cambria Math" w:hAnsi="Cambria Math"/>
                    </w:rPr>
                    <m:t>2</m:t>
                  </m:r>
                </m:sub>
                <m:sup>
                  <m:r>
                    <w:rPr>
                      <w:rFonts w:ascii="Cambria Math" w:hAnsi="Cambria Math"/>
                    </w:rPr>
                    <m:t>р</m:t>
                  </m:r>
                </m:sup>
              </m:sSubSup>
              <m:r>
                <w:rPr>
                  <w:rFonts w:ascii="Cambria Math" w:hAnsi="Cambria Math"/>
                  <w:lang w:eastAsia="uk-UA"/>
                </w:rPr>
                <m:t>=</m:t>
              </m:r>
              <m:r>
                <m:rPr>
                  <m:sty m:val="bi"/>
                </m:rPr>
                <w:rPr>
                  <w:rFonts w:ascii="Cambria Math" w:hAnsi="Cambria Math"/>
                  <w:lang w:eastAsia="uk-UA"/>
                </w:rPr>
                <m:t>1</m:t>
              </m:r>
              <m:r>
                <w:rPr>
                  <w:rFonts w:ascii="Cambria Math" w:hAnsi="Cambria Math"/>
                  <w:lang w:eastAsia="uk-UA"/>
                </w:rPr>
                <m:t>-</m:t>
              </m:r>
              <m:f>
                <m:fPr>
                  <m:ctrlPr>
                    <w:rPr>
                      <w:rFonts w:ascii="Cambria Math" w:eastAsia="Times New Roman" w:hAnsi="Cambria Math"/>
                      <w:sz w:val="24"/>
                      <w:szCs w:val="24"/>
                    </w:rPr>
                  </m:ctrlPr>
                </m:fPr>
                <m:num>
                  <m:nary>
                    <m:naryPr>
                      <m:chr m:val="∑"/>
                      <m:ctrlPr>
                        <w:rPr>
                          <w:rFonts w:ascii="Cambria Math" w:eastAsia="Times New Roman" w:hAnsi="Cambria Math"/>
                          <w:sz w:val="24"/>
                          <w:szCs w:val="24"/>
                        </w:rPr>
                      </m:ctrlPr>
                    </m:naryPr>
                    <m:sub>
                      <m:r>
                        <m:rPr>
                          <m:sty m:val="bi"/>
                        </m:rPr>
                        <w:rPr>
                          <w:rFonts w:ascii="Cambria Math" w:hAnsi="Cambria Math"/>
                          <w:lang w:eastAsia="uk-UA"/>
                        </w:rPr>
                        <m:t>m</m:t>
                      </m:r>
                      <m:r>
                        <w:rPr>
                          <w:rFonts w:ascii="Cambria Math" w:hAnsi="Cambria Math"/>
                          <w:lang w:eastAsia="uk-UA"/>
                        </w:rPr>
                        <m:t>=</m:t>
                      </m:r>
                      <m:r>
                        <m:rPr>
                          <m:sty m:val="bi"/>
                        </m:rPr>
                        <w:rPr>
                          <w:rFonts w:ascii="Cambria Math" w:hAnsi="Cambria Math"/>
                          <w:lang w:eastAsia="uk-UA"/>
                        </w:rPr>
                        <m:t>1</m:t>
                      </m:r>
                      <m:ctrlPr>
                        <w:rPr>
                          <w:rFonts w:ascii="Cambria Math" w:eastAsia="Times New Roman" w:hAnsi="Cambria Math"/>
                          <w:i/>
                          <w:sz w:val="24"/>
                          <w:szCs w:val="24"/>
                        </w:rPr>
                      </m:ctrlPr>
                    </m:sub>
                    <m:sup>
                      <m:r>
                        <m:rPr>
                          <m:sty m:val="bi"/>
                        </m:rPr>
                        <w:rPr>
                          <w:rFonts w:ascii="Cambria Math" w:hAnsi="Cambria Math"/>
                          <w:lang w:eastAsia="uk-UA"/>
                        </w:rPr>
                        <m:t>12</m:t>
                      </m:r>
                      <m:ctrlPr>
                        <w:rPr>
                          <w:rFonts w:ascii="Cambria Math" w:eastAsia="Times New Roman" w:hAnsi="Cambria Math"/>
                          <w:i/>
                          <w:sz w:val="24"/>
                          <w:szCs w:val="24"/>
                        </w:rPr>
                      </m:ctrlPr>
                    </m:sup>
                    <m:e>
                      <m:d>
                        <m:dPr>
                          <m:begChr m:val="|"/>
                          <m:endChr m:val="|"/>
                          <m:ctrlPr>
                            <w:rPr>
                              <w:rFonts w:ascii="Cambria Math" w:eastAsia="Times New Roman" w:hAnsi="Cambria Math"/>
                              <w:i/>
                              <w:sz w:val="24"/>
                              <w:szCs w:val="24"/>
                            </w:rPr>
                          </m:ctrlPr>
                        </m:dPr>
                        <m:e>
                          <m:sSubSup>
                            <m:sSubSupPr>
                              <m:ctrlPr>
                                <w:rPr>
                                  <w:rFonts w:ascii="Cambria Math" w:eastAsia="Times New Roman" w:hAnsi="Cambria Math"/>
                                  <w:i/>
                                  <w:sz w:val="24"/>
                                  <w:szCs w:val="24"/>
                                </w:rPr>
                              </m:ctrlPr>
                            </m:sSubSupPr>
                            <m:e>
                              <m:r>
                                <m:rPr>
                                  <m:sty m:val="bi"/>
                                </m:rPr>
                                <w:rPr>
                                  <w:rFonts w:ascii="Cambria Math" w:hAnsi="Cambria Math"/>
                                  <w:lang w:eastAsia="uk-UA"/>
                                </w:rPr>
                                <m:t>V</m:t>
                              </m:r>
                            </m:e>
                            <m:sub>
                              <m:r>
                                <m:rPr>
                                  <m:sty m:val="bi"/>
                                </m:rPr>
                                <w:rPr>
                                  <w:rFonts w:ascii="Cambria Math" w:hAnsi="Cambria Math"/>
                                  <w:lang w:eastAsia="uk-UA"/>
                                </w:rPr>
                                <m:t>m</m:t>
                              </m:r>
                            </m:sub>
                            <m:sup>
                              <m:r>
                                <w:rPr>
                                  <w:rFonts w:ascii="Cambria Math" w:hAnsi="Cambria Math"/>
                                  <w:lang w:eastAsia="uk-UA"/>
                                </w:rPr>
                                <m:t>р</m:t>
                              </m:r>
                            </m:sup>
                          </m:sSubSup>
                          <m:r>
                            <w:rPr>
                              <w:rFonts w:ascii="Cambria Math" w:hAnsi="Cambria Math"/>
                              <w:lang w:eastAsia="uk-UA"/>
                            </w:rPr>
                            <m:t>-</m:t>
                          </m:r>
                          <m:sSubSup>
                            <m:sSubSupPr>
                              <m:ctrlPr>
                                <w:rPr>
                                  <w:rFonts w:ascii="Cambria Math" w:eastAsia="Times New Roman" w:hAnsi="Cambria Math"/>
                                  <w:i/>
                                  <w:sz w:val="24"/>
                                  <w:szCs w:val="24"/>
                                </w:rPr>
                              </m:ctrlPr>
                            </m:sSubSupPr>
                            <m:e>
                              <m:r>
                                <m:rPr>
                                  <m:sty m:val="bi"/>
                                </m:rPr>
                                <w:rPr>
                                  <w:rFonts w:ascii="Cambria Math" w:hAnsi="Cambria Math"/>
                                  <w:lang w:eastAsia="uk-UA"/>
                                </w:rPr>
                                <m:t>V</m:t>
                              </m:r>
                            </m:e>
                            <m:sub>
                              <m:r>
                                <w:rPr>
                                  <w:rFonts w:ascii="Cambria Math" w:hAnsi="Cambria Math"/>
                                  <w:lang w:eastAsia="uk-UA"/>
                                </w:rPr>
                                <m:t>m</m:t>
                              </m:r>
                            </m:sub>
                            <m:sup>
                              <m:r>
                                <w:rPr>
                                  <w:rFonts w:ascii="Cambria Math" w:hAnsi="Cambria Math"/>
                                  <w:lang w:eastAsia="uk-UA"/>
                                </w:rPr>
                                <m:t>пр</m:t>
                              </m:r>
                            </m:sup>
                          </m:sSubSup>
                        </m:e>
                      </m:d>
                    </m:e>
                  </m:nary>
                  <m:ctrlPr>
                    <w:rPr>
                      <w:rFonts w:ascii="Cambria Math" w:eastAsia="Times New Roman" w:hAnsi="Cambria Math"/>
                      <w:i/>
                      <w:sz w:val="24"/>
                      <w:szCs w:val="24"/>
                    </w:rPr>
                  </m:ctrlPr>
                </m:num>
                <m:den>
                  <m:nary>
                    <m:naryPr>
                      <m:chr m:val="∑"/>
                      <m:ctrlPr>
                        <w:rPr>
                          <w:rFonts w:ascii="Cambria Math" w:eastAsia="Times New Roman" w:hAnsi="Cambria Math"/>
                          <w:sz w:val="24"/>
                          <w:szCs w:val="24"/>
                        </w:rPr>
                      </m:ctrlPr>
                    </m:naryPr>
                    <m:sub>
                      <m:r>
                        <w:rPr>
                          <w:rFonts w:ascii="Cambria Math" w:hAnsi="Cambria Math"/>
                          <w:lang w:eastAsia="uk-UA"/>
                        </w:rPr>
                        <m:t>m=1</m:t>
                      </m:r>
                      <m:ctrlPr>
                        <w:rPr>
                          <w:rFonts w:ascii="Cambria Math" w:eastAsia="Times New Roman" w:hAnsi="Cambria Math"/>
                          <w:i/>
                          <w:sz w:val="24"/>
                          <w:szCs w:val="24"/>
                        </w:rPr>
                      </m:ctrlPr>
                    </m:sub>
                    <m:sup>
                      <m:r>
                        <w:rPr>
                          <w:rFonts w:ascii="Cambria Math" w:hAnsi="Cambria Math"/>
                          <w:lang w:eastAsia="uk-UA"/>
                        </w:rPr>
                        <m:t>12</m:t>
                      </m:r>
                      <m:ctrlPr>
                        <w:rPr>
                          <w:rFonts w:ascii="Cambria Math" w:eastAsia="Times New Roman" w:hAnsi="Cambria Math"/>
                          <w:i/>
                          <w:sz w:val="24"/>
                          <w:szCs w:val="24"/>
                        </w:rPr>
                      </m:ctrlPr>
                    </m:sup>
                    <m:e>
                      <m:sSubSup>
                        <m:sSubSupPr>
                          <m:ctrlPr>
                            <w:rPr>
                              <w:rFonts w:ascii="Cambria Math" w:eastAsia="Times New Roman" w:hAnsi="Cambria Math"/>
                              <w:i/>
                              <w:sz w:val="24"/>
                              <w:szCs w:val="24"/>
                            </w:rPr>
                          </m:ctrlPr>
                        </m:sSubSupPr>
                        <m:e>
                          <m:r>
                            <w:rPr>
                              <w:rFonts w:ascii="Cambria Math" w:hAnsi="Cambria Math"/>
                              <w:lang w:eastAsia="uk-UA"/>
                            </w:rPr>
                            <m:t>V</m:t>
                          </m:r>
                        </m:e>
                        <m:sub>
                          <m:r>
                            <w:rPr>
                              <w:rFonts w:ascii="Cambria Math" w:hAnsi="Cambria Math"/>
                              <w:lang w:eastAsia="uk-UA"/>
                            </w:rPr>
                            <m:t>m</m:t>
                          </m:r>
                        </m:sub>
                        <m:sup>
                          <m:r>
                            <w:rPr>
                              <w:rFonts w:ascii="Cambria Math" w:hAnsi="Cambria Math"/>
                              <w:lang w:eastAsia="uk-UA"/>
                            </w:rPr>
                            <m:t>р</m:t>
                          </m:r>
                        </m:sup>
                      </m:sSubSup>
                      <m:ctrlPr>
                        <w:rPr>
                          <w:rFonts w:ascii="Cambria Math" w:eastAsia="Times New Roman" w:hAnsi="Cambria Math"/>
                          <w:i/>
                          <w:sz w:val="24"/>
                          <w:szCs w:val="24"/>
                        </w:rPr>
                      </m:ctrlPr>
                    </m:e>
                  </m:nary>
                  <m:ctrlPr>
                    <w:rPr>
                      <w:rFonts w:ascii="Cambria Math" w:eastAsia="Times New Roman" w:hAnsi="Cambria Math"/>
                      <w:i/>
                      <w:sz w:val="24"/>
                      <w:szCs w:val="24"/>
                    </w:rPr>
                  </m:ctrlPr>
                </m:den>
              </m:f>
            </m:oMath>
            <w:r w:rsidR="00CF2AC1" w:rsidRPr="005A615E">
              <w:rPr>
                <w:rFonts w:ascii="Times New Roman" w:eastAsiaTheme="minorEastAsia" w:hAnsi="Times New Roman"/>
                <w:lang w:eastAsia="uk-UA"/>
              </w:rPr>
              <w:t xml:space="preserve">        </w:t>
            </w:r>
            <w:r w:rsidR="00CF2AC1" w:rsidRPr="005A615E">
              <w:rPr>
                <w:rFonts w:ascii="Times New Roman" w:eastAsiaTheme="minorEastAsia" w:hAnsi="Times New Roman"/>
              </w:rPr>
              <w:t>(43)</w:t>
            </w:r>
          </w:p>
          <w:p w:rsidR="00CF2AC1" w:rsidRPr="005A615E" w:rsidRDefault="00CF2AC1" w:rsidP="00CF2AC1">
            <w:pPr>
              <w:ind w:firstLine="709"/>
              <w:jc w:val="both"/>
              <w:rPr>
                <w:rFonts w:ascii="Times New Roman" w:eastAsia="Times New Roman" w:hAnsi="Times New Roman"/>
                <w:lang w:eastAsia="uk-UA"/>
              </w:rPr>
            </w:pPr>
          </w:p>
          <w:p w:rsidR="00CF2AC1" w:rsidRPr="005A615E" w:rsidRDefault="00CF2AC1" w:rsidP="00CF2AC1">
            <w:pPr>
              <w:ind w:firstLine="173"/>
              <w:jc w:val="both"/>
              <w:rPr>
                <w:rFonts w:ascii="Times New Roman" w:hAnsi="Times New Roman"/>
                <w:lang w:eastAsia="ru-RU"/>
              </w:rPr>
            </w:pPr>
            <w:r w:rsidRPr="005A615E">
              <w:rPr>
                <w:rFonts w:ascii="Times New Roman" w:hAnsi="Times New Roman"/>
                <w:lang w:eastAsia="uk-UA"/>
              </w:rPr>
              <w:t xml:space="preserve">де </w:t>
            </w:r>
            <m:oMath>
              <m:sSubSup>
                <m:sSubSupPr>
                  <m:ctrlPr>
                    <w:rPr>
                      <w:rFonts w:ascii="Cambria Math" w:eastAsia="Times New Roman" w:hAnsi="Cambria Math"/>
                      <w:sz w:val="24"/>
                      <w:szCs w:val="24"/>
                      <w:lang w:eastAsia="ru-RU"/>
                    </w:rPr>
                  </m:ctrlPr>
                </m:sSubSupPr>
                <m:e>
                  <m:r>
                    <w:rPr>
                      <w:rFonts w:ascii="Cambria Math" w:hAnsi="Cambria Math"/>
                    </w:rPr>
                    <m:t>V</m:t>
                  </m:r>
                </m:e>
                <m:sub>
                  <m:r>
                    <w:rPr>
                      <w:rFonts w:ascii="Cambria Math" w:hAnsi="Cambria Math"/>
                    </w:rPr>
                    <m:t>m</m:t>
                  </m:r>
                </m:sub>
                <m:sup>
                  <m:r>
                    <m:rPr>
                      <m:sty m:val="p"/>
                    </m:rPr>
                    <w:rPr>
                      <w:rFonts w:ascii="Cambria Math" w:hAnsi="Cambria Math"/>
                    </w:rPr>
                    <m:t>пр</m:t>
                  </m:r>
                </m:sup>
              </m:sSubSup>
            </m:oMath>
            <w:r w:rsidRPr="005A615E">
              <w:rPr>
                <w:rFonts w:ascii="Times New Roman" w:hAnsi="Times New Roman"/>
              </w:rPr>
              <w:t xml:space="preserve"> –</w:t>
            </w:r>
            <w:r w:rsidRPr="005A615E">
              <w:rPr>
                <w:rFonts w:ascii="Times New Roman" w:hAnsi="Times New Roman"/>
                <w:lang w:eastAsia="uk-UA"/>
              </w:rPr>
              <w:t xml:space="preserve"> </w:t>
            </w:r>
            <w:r w:rsidRPr="005A615E">
              <w:rPr>
                <w:rFonts w:ascii="Times New Roman" w:hAnsi="Times New Roman"/>
              </w:rPr>
              <w:t>обсяг відбору/відпуску електричної енергії, сформований за даними комерційного обліку останнього релізу версії 2 за розрахунковий місяць m календарного року t-2 ;</w:t>
            </w:r>
          </w:p>
          <w:p w:rsidR="00CF2AC1" w:rsidRPr="005A615E" w:rsidRDefault="000D13C5" w:rsidP="00CF2AC1">
            <w:pPr>
              <w:ind w:firstLine="173"/>
              <w:jc w:val="both"/>
              <w:rPr>
                <w:rFonts w:ascii="Times New Roman" w:hAnsi="Times New Roman"/>
              </w:rPr>
            </w:pPr>
            <m:oMath>
              <m:sSubSup>
                <m:sSubSupPr>
                  <m:ctrlPr>
                    <w:rPr>
                      <w:rFonts w:ascii="Cambria Math" w:eastAsia="Times New Roman" w:hAnsi="Cambria Math"/>
                      <w:sz w:val="24"/>
                      <w:szCs w:val="24"/>
                      <w:lang w:eastAsia="ru-RU"/>
                    </w:rPr>
                  </m:ctrlPr>
                </m:sSubSupPr>
                <m:e>
                  <m:r>
                    <w:rPr>
                      <w:rFonts w:ascii="Cambria Math" w:hAnsi="Cambria Math"/>
                    </w:rPr>
                    <m:t>V</m:t>
                  </m:r>
                </m:e>
                <m:sub>
                  <m:r>
                    <w:rPr>
                      <w:rFonts w:ascii="Cambria Math" w:hAnsi="Cambria Math"/>
                    </w:rPr>
                    <m:t>m</m:t>
                  </m:r>
                </m:sub>
                <m:sup>
                  <m:r>
                    <m:rPr>
                      <m:sty m:val="p"/>
                    </m:rPr>
                    <w:rPr>
                      <w:rFonts w:ascii="Cambria Math" w:hAnsi="Cambria Math"/>
                    </w:rPr>
                    <m:t>р</m:t>
                  </m:r>
                </m:sup>
              </m:sSubSup>
            </m:oMath>
            <w:r w:rsidR="00CF2AC1" w:rsidRPr="005A615E">
              <w:rPr>
                <w:rFonts w:ascii="Times New Roman" w:hAnsi="Times New Roman"/>
              </w:rPr>
              <w:t xml:space="preserve"> –</w:t>
            </w:r>
            <w:r w:rsidR="00CF2AC1" w:rsidRPr="005A615E">
              <w:rPr>
                <w:rFonts w:ascii="Times New Roman" w:hAnsi="Times New Roman"/>
                <w:lang w:eastAsia="uk-UA"/>
              </w:rPr>
              <w:t xml:space="preserve"> </w:t>
            </w:r>
            <w:r w:rsidR="00CF2AC1" w:rsidRPr="005A615E">
              <w:rPr>
                <w:rFonts w:ascii="Times New Roman" w:hAnsi="Times New Roman"/>
              </w:rPr>
              <w:t xml:space="preserve">обсяг відбору/відпуску електричної енергії, сформований за даними комерційного обліку останнього релізу останньої версії за розрахунковий місяць m календарного року t-2; </w:t>
            </w:r>
          </w:p>
          <w:p w:rsidR="00CF2AC1" w:rsidRPr="005A615E" w:rsidRDefault="000D13C5" w:rsidP="00CF2AC1">
            <w:pPr>
              <w:ind w:firstLine="173"/>
              <w:jc w:val="both"/>
              <w:rPr>
                <w:rFonts w:ascii="Times New Roman" w:hAnsi="Times New Roman"/>
              </w:rPr>
            </w:pPr>
            <m:oMath>
              <m:nary>
                <m:naryPr>
                  <m:chr m:val="∑"/>
                  <m:ctrlPr>
                    <w:rPr>
                      <w:rFonts w:ascii="Cambria Math" w:eastAsia="Times New Roman" w:hAnsi="Cambria Math"/>
                      <w:sz w:val="24"/>
                      <w:szCs w:val="24"/>
                      <w:lang w:eastAsia="ru-RU"/>
                    </w:rPr>
                  </m:ctrlPr>
                </m:naryPr>
                <m:sub>
                  <m:r>
                    <w:rPr>
                      <w:rFonts w:ascii="Cambria Math" w:hAnsi="Cambria Math"/>
                    </w:rPr>
                    <m:t>m</m:t>
                  </m:r>
                  <m:r>
                    <m:rPr>
                      <m:sty m:val="p"/>
                    </m:rPr>
                    <w:rPr>
                      <w:rFonts w:ascii="Cambria Math" w:hAnsi="Cambria Math"/>
                    </w:rPr>
                    <m:t>=1</m:t>
                  </m:r>
                </m:sub>
                <m:sup>
                  <m:r>
                    <m:rPr>
                      <m:sty m:val="p"/>
                    </m:rPr>
                    <w:rPr>
                      <w:rFonts w:ascii="Cambria Math" w:hAnsi="Cambria Math"/>
                    </w:rPr>
                    <m:t>12</m:t>
                  </m:r>
                </m:sup>
                <m:e>
                  <m:d>
                    <m:dPr>
                      <m:begChr m:val="|"/>
                      <m:endChr m:val="|"/>
                      <m:ctrlPr>
                        <w:rPr>
                          <w:rFonts w:ascii="Cambria Math" w:eastAsia="Times New Roman" w:hAnsi="Cambria Math"/>
                          <w:sz w:val="24"/>
                          <w:szCs w:val="24"/>
                          <w:lang w:eastAsia="ru-RU"/>
                        </w:rPr>
                      </m:ctrlPr>
                    </m:dPr>
                    <m:e>
                      <m:sSubSup>
                        <m:sSubSupPr>
                          <m:ctrlPr>
                            <w:rPr>
                              <w:rFonts w:ascii="Cambria Math" w:eastAsia="Times New Roman" w:hAnsi="Cambria Math"/>
                              <w:sz w:val="24"/>
                              <w:szCs w:val="24"/>
                              <w:lang w:eastAsia="ru-RU"/>
                            </w:rPr>
                          </m:ctrlPr>
                        </m:sSubSupPr>
                        <m:e>
                          <m:r>
                            <w:rPr>
                              <w:rFonts w:ascii="Cambria Math" w:hAnsi="Cambria Math"/>
                            </w:rPr>
                            <m:t>V</m:t>
                          </m:r>
                        </m:e>
                        <m:sub>
                          <m:r>
                            <w:rPr>
                              <w:rFonts w:ascii="Cambria Math" w:hAnsi="Cambria Math"/>
                            </w:rPr>
                            <m:t>m</m:t>
                          </m:r>
                        </m:sub>
                        <m:sup>
                          <m:r>
                            <m:rPr>
                              <m:sty m:val="p"/>
                            </m:rPr>
                            <w:rPr>
                              <w:rFonts w:ascii="Cambria Math" w:hAnsi="Cambria Math"/>
                            </w:rPr>
                            <m:t>р</m:t>
                          </m:r>
                        </m:sup>
                      </m:sSubSup>
                      <m:r>
                        <m:rPr>
                          <m:sty m:val="p"/>
                        </m:rPr>
                        <w:rPr>
                          <w:rFonts w:ascii="Cambria Math" w:hAnsi="Cambria Math"/>
                        </w:rPr>
                        <m:t>-</m:t>
                      </m:r>
                      <m:sSubSup>
                        <m:sSubSupPr>
                          <m:ctrlPr>
                            <w:rPr>
                              <w:rFonts w:ascii="Cambria Math" w:eastAsia="Times New Roman" w:hAnsi="Cambria Math"/>
                              <w:sz w:val="24"/>
                              <w:szCs w:val="24"/>
                              <w:lang w:eastAsia="ru-RU"/>
                            </w:rPr>
                          </m:ctrlPr>
                        </m:sSubSupPr>
                        <m:e>
                          <m:r>
                            <w:rPr>
                              <w:rFonts w:ascii="Cambria Math" w:hAnsi="Cambria Math"/>
                            </w:rPr>
                            <m:t>V</m:t>
                          </m:r>
                        </m:e>
                        <m:sub>
                          <m:r>
                            <w:rPr>
                              <w:rFonts w:ascii="Cambria Math" w:hAnsi="Cambria Math"/>
                            </w:rPr>
                            <m:t>m</m:t>
                          </m:r>
                        </m:sub>
                        <m:sup>
                          <m:r>
                            <w:rPr>
                              <w:rFonts w:ascii="Cambria Math" w:hAnsi="Cambria Math"/>
                            </w:rPr>
                            <m:t>пр</m:t>
                          </m:r>
                        </m:sup>
                      </m:sSubSup>
                    </m:e>
                  </m:d>
                </m:e>
              </m:nary>
            </m:oMath>
            <w:r w:rsidR="00CF2AC1" w:rsidRPr="005A615E">
              <w:rPr>
                <w:rFonts w:ascii="Times New Roman" w:hAnsi="Times New Roman"/>
              </w:rPr>
              <w:t xml:space="preserve"> — сумарне абсолютне значення обсягу коригувань за рік t-2;</w:t>
            </w:r>
          </w:p>
          <w:p w:rsidR="00CF2AC1" w:rsidRPr="005A615E" w:rsidRDefault="000D13C5" w:rsidP="00CF2AC1">
            <w:pPr>
              <w:ind w:firstLine="173"/>
              <w:jc w:val="both"/>
              <w:rPr>
                <w:rFonts w:ascii="Times New Roman" w:hAnsi="Times New Roman"/>
              </w:rPr>
            </w:pPr>
            <m:oMath>
              <m:sSubSup>
                <m:sSubSupPr>
                  <m:ctrlPr>
                    <w:rPr>
                      <w:rFonts w:ascii="Cambria Math" w:eastAsia="Times New Roman" w:hAnsi="Cambria Math"/>
                      <w:sz w:val="24"/>
                      <w:szCs w:val="24"/>
                      <w:lang w:eastAsia="ru-RU"/>
                    </w:rPr>
                  </m:ctrlPr>
                </m:sSubSupPr>
                <m:e>
                  <m:r>
                    <w:rPr>
                      <w:rFonts w:ascii="Cambria Math" w:hAnsi="Cambria Math"/>
                    </w:rPr>
                    <m:t>N</m:t>
                  </m:r>
                </m:e>
                <m:sub>
                  <m:r>
                    <m:rPr>
                      <m:sty m:val="p"/>
                    </m:rPr>
                    <w:rPr>
                      <w:rFonts w:ascii="Cambria Math" w:hAnsi="Cambria Math"/>
                    </w:rPr>
                    <m:t>д</m:t>
                  </m:r>
                  <m:r>
                    <w:rPr>
                      <w:rFonts w:ascii="Cambria Math" w:hAnsi="Cambria Math"/>
                    </w:rPr>
                    <m:t>t</m:t>
                  </m:r>
                  <m:r>
                    <m:rPr>
                      <m:sty m:val="p"/>
                    </m:rPr>
                    <w:rPr>
                      <w:rFonts w:ascii="Cambria Math" w:hAnsi="Cambria Math"/>
                    </w:rPr>
                    <m:t>-2</m:t>
                  </m:r>
                </m:sub>
                <m:sup>
                  <m:r>
                    <m:rPr>
                      <m:sty m:val="p"/>
                    </m:rPr>
                    <w:rPr>
                      <w:rFonts w:ascii="Cambria Math" w:hAnsi="Cambria Math"/>
                    </w:rPr>
                    <m:t>заг</m:t>
                  </m:r>
                </m:sup>
              </m:sSubSup>
            </m:oMath>
            <w:r w:rsidR="00CF2AC1" w:rsidRPr="005A615E">
              <w:rPr>
                <w:rFonts w:ascii="Times New Roman" w:hAnsi="Times New Roman"/>
              </w:rPr>
              <w:t xml:space="preserve"> – загальна кількість усіх точок комерційного обліку з можливістю погодинного обліку та дистанційного зчитування даних, де ОСР є стороною відповідальною за точку комерційного обліку;</w:t>
            </w:r>
          </w:p>
          <w:p w:rsidR="00CF2AC1" w:rsidRPr="005A615E" w:rsidRDefault="000D13C5" w:rsidP="00CF2AC1">
            <w:pPr>
              <w:ind w:firstLine="173"/>
              <w:jc w:val="both"/>
              <w:rPr>
                <w:rFonts w:ascii="Times New Roman" w:hAnsi="Times New Roman"/>
              </w:rPr>
            </w:pPr>
            <w:hyperlink r:id="rId260" w:tgtFrame="_blank" w:history="1">
              <w:r w:rsidR="00CF2AC1" w:rsidRPr="005A615E">
                <w:rPr>
                  <w:rStyle w:val="a9"/>
                  <w:rFonts w:ascii="Times New Roman" w:hAnsi="Times New Roman"/>
                  <w:color w:val="auto"/>
                </w:rPr>
                <w:t>ПК</w:t>
              </w:r>
              <w:r w:rsidR="00CF2AC1" w:rsidRPr="005A615E">
                <w:rPr>
                  <w:rStyle w:val="a9"/>
                  <w:rFonts w:ascii="Times New Roman" w:hAnsi="Times New Roman"/>
                  <w:color w:val="auto"/>
                  <w:vertAlign w:val="subscript"/>
                </w:rPr>
                <w:t>д</w:t>
              </w:r>
              <w:r w:rsidR="00CF2AC1" w:rsidRPr="005A615E">
                <w:rPr>
                  <w:rStyle w:val="a9"/>
                  <w:rFonts w:ascii="Times New Roman" w:hAnsi="Times New Roman"/>
                  <w:color w:val="auto"/>
                </w:rPr>
                <w:t xml:space="preserve"> – встановлений НКРЕКП параметр коригування необхідного доходу за недотримання відповідного показника комерційної якості надання послуг, який дорівнює 400.</w:t>
              </w:r>
            </w:hyperlink>
          </w:p>
          <w:p w:rsidR="00CF2AC1" w:rsidRPr="005A615E" w:rsidRDefault="000D13C5" w:rsidP="00CF2AC1">
            <w:pPr>
              <w:ind w:firstLine="173"/>
              <w:jc w:val="both"/>
              <w:rPr>
                <w:rFonts w:ascii="Times New Roman" w:hAnsi="Times New Roman"/>
              </w:rPr>
            </w:pPr>
            <w:hyperlink r:id="rId261" w:tgtFrame="_blank" w:history="1">
              <w:r w:rsidR="00CF2AC1" w:rsidRPr="005A615E">
                <w:rPr>
                  <w:rStyle w:val="a9"/>
                  <w:rFonts w:ascii="Times New Roman" w:hAnsi="Times New Roman"/>
                  <w:color w:val="auto"/>
                </w:rPr>
                <w:t xml:space="preserve">За результатами здійснення заходів контролю за дотриманням Ліцензійних умов показник </w:t>
              </w:r>
            </w:hyperlink>
            <m:oMath>
              <m:sSub>
                <m:sSubPr>
                  <m:ctrlPr>
                    <w:rPr>
                      <w:rFonts w:ascii="Cambria Math" w:eastAsia="Times New Roman" w:hAnsi="Cambria Math"/>
                      <w:i/>
                      <w:sz w:val="24"/>
                      <w:szCs w:val="24"/>
                      <w:lang w:eastAsia="ru-RU"/>
                    </w:rPr>
                  </m:ctrlPr>
                </m:sSubPr>
                <m:e>
                  <m:r>
                    <m:rPr>
                      <m:sty m:val="p"/>
                    </m:rPr>
                    <w:rPr>
                      <w:rFonts w:ascii="Cambria Math" w:hAnsi="Cambria Math"/>
                    </w:rPr>
                    <m:t>КЯ</m:t>
                  </m:r>
                </m:e>
                <m:sub>
                  <m:r>
                    <m:rPr>
                      <m:sty m:val="p"/>
                    </m:rPr>
                    <w:rPr>
                      <w:rFonts w:ascii="Cambria Math" w:hAnsi="Cambria Math"/>
                    </w:rPr>
                    <m:t>дt</m:t>
                  </m:r>
                </m:sub>
              </m:sSub>
            </m:oMath>
            <w:r w:rsidR="00CF2AC1" w:rsidRPr="005A615E">
              <w:rPr>
                <w:rFonts w:ascii="Times New Roman" w:hAnsi="Times New Roman"/>
              </w:rPr>
              <w:t xml:space="preserve"> може бути уточнено;</w:t>
            </w:r>
          </w:p>
          <w:p w:rsidR="00CF2AC1" w:rsidRPr="005A615E" w:rsidRDefault="00CF2AC1" w:rsidP="00CF2AC1">
            <w:pPr>
              <w:ind w:firstLine="173"/>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rFonts w:ascii="Times New Roman" w:hAnsi="Times New Roman"/>
              </w:rPr>
              <w:t>5) 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на рік t визначається за формулою</w:t>
            </w:r>
          </w:p>
          <w:p w:rsidR="00CF2AC1" w:rsidRPr="005A615E" w:rsidRDefault="00CF2AC1" w:rsidP="00CF2AC1">
            <w:pPr>
              <w:ind w:firstLine="709"/>
              <w:jc w:val="both"/>
              <w:rPr>
                <w:rFonts w:ascii="Times New Roman" w:hAnsi="Times New Roman"/>
              </w:rPr>
            </w:pPr>
          </w:p>
          <w:p w:rsidR="00CF2AC1" w:rsidRPr="005A615E" w:rsidRDefault="000D13C5" w:rsidP="00CF2AC1">
            <w:pPr>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коt-2</m:t>
                  </m:r>
                </m:sub>
                <m:sup>
                  <m:r>
                    <w:rPr>
                      <w:rFonts w:ascii="Cambria Math" w:hAnsi="Cambria Math"/>
                    </w:rPr>
                    <m:t>ф</m:t>
                  </m:r>
                </m:sup>
              </m:sSubSup>
              <m:r>
                <m:rPr>
                  <m:sty m:val="p"/>
                </m:rPr>
                <w:rPr>
                  <w:rFonts w:ascii="Cambria Math" w:hAnsi="Cambria Math"/>
                </w:rPr>
                <m:t xml:space="preserve">≥90, то </m:t>
              </m:r>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коt</m:t>
                  </m:r>
                </m:sub>
              </m:sSub>
              <m:r>
                <m:rPr>
                  <m:sty m:val="p"/>
                </m:rPr>
                <w:rPr>
                  <w:rFonts w:ascii="Cambria Math" w:hAnsi="Cambria Math"/>
                </w:rPr>
                <m:t>=0</m:t>
              </m:r>
            </m:oMath>
            <w:r w:rsidR="00CF2AC1" w:rsidRPr="005A615E">
              <w:rPr>
                <w:rFonts w:ascii="Times New Roman" w:eastAsiaTheme="minorEastAsia" w:hAnsi="Times New Roman"/>
              </w:rPr>
              <w:t xml:space="preserve">          </w:t>
            </w:r>
            <w:r w:rsidR="00CF2AC1" w:rsidRPr="005A615E">
              <w:rPr>
                <w:rFonts w:ascii="Times New Roman" w:hAnsi="Times New Roman"/>
              </w:rPr>
              <w:t>(44)</w:t>
            </w:r>
          </w:p>
          <w:p w:rsidR="00CF2AC1" w:rsidRPr="005A615E" w:rsidRDefault="00CF2AC1" w:rsidP="00CF2AC1">
            <w:pPr>
              <w:rPr>
                <w:rFonts w:ascii="Times New Roman" w:hAnsi="Times New Roman"/>
              </w:rPr>
            </w:pPr>
          </w:p>
          <w:p w:rsidR="00CF2AC1" w:rsidRPr="005A615E" w:rsidRDefault="000D13C5" w:rsidP="00CF2AC1">
            <w:pPr>
              <w:ind w:firstLine="709"/>
              <w:rPr>
                <w:rFonts w:ascii="Times New Roman" w:eastAsiaTheme="minorEastAsia" w:hAnsi="Times New Roman"/>
              </w:rPr>
            </w:pPr>
            <m:oMath>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коt</m:t>
                  </m:r>
                </m:sub>
              </m:sSub>
              <m:r>
                <w:rPr>
                  <w:rFonts w:ascii="Cambria Math" w:hAnsi="Cambria Math"/>
                </w:rPr>
                <m:t>=</m:t>
              </m:r>
              <m:f>
                <m:fPr>
                  <m:ctrlPr>
                    <w:rPr>
                      <w:rFonts w:ascii="Cambria Math" w:eastAsia="Times New Roman" w:hAnsi="Cambria Math"/>
                      <w:i/>
                      <w:sz w:val="24"/>
                      <w:szCs w:val="24"/>
                      <w:lang w:eastAsia="ru-RU"/>
                    </w:rPr>
                  </m:ctrlPr>
                </m:fPr>
                <m:num>
                  <m:d>
                    <m:dPr>
                      <m:ctrlPr>
                        <w:rPr>
                          <w:rFonts w:ascii="Cambria Math" w:eastAsia="Times New Roman" w:hAnsi="Cambria Math"/>
                          <w:i/>
                          <w:sz w:val="24"/>
                          <w:szCs w:val="24"/>
                          <w:lang w:eastAsia="ru-RU"/>
                        </w:rPr>
                      </m:ctrlPr>
                    </m:dPr>
                    <m:e>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коt-2</m:t>
                          </m:r>
                        </m:sub>
                        <m:sup>
                          <m:r>
                            <w:rPr>
                              <w:rFonts w:ascii="Cambria Math" w:hAnsi="Cambria Math"/>
                            </w:rPr>
                            <m:t>р</m:t>
                          </m:r>
                        </m:sup>
                      </m:sSubSup>
                      <m:r>
                        <w:rPr>
                          <w:rFonts w:ascii="Cambria Math" w:hAnsi="Cambria Math"/>
                        </w:rPr>
                        <m:t>-</m:t>
                      </m:r>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коt-2</m:t>
                          </m:r>
                        </m:sub>
                        <m:sup>
                          <m:r>
                            <w:rPr>
                              <w:rFonts w:ascii="Cambria Math" w:hAnsi="Cambria Math"/>
                            </w:rPr>
                            <m:t>ф</m:t>
                          </m:r>
                        </m:sup>
                      </m:sSubSup>
                    </m:e>
                  </m:d>
                  <m:r>
                    <w:rPr>
                      <w:rFonts w:ascii="Cambria Math" w:hAnsi="Cambria Math"/>
                    </w:rPr>
                    <m:t>∙</m:t>
                  </m:r>
                  <m:sSubSup>
                    <m:sSubSupPr>
                      <m:ctrlPr>
                        <w:rPr>
                          <w:rFonts w:ascii="Cambria Math" w:eastAsia="Times New Roman" w:hAnsi="Cambria Math"/>
                          <w:i/>
                          <w:sz w:val="24"/>
                          <w:szCs w:val="24"/>
                          <w:lang w:eastAsia="ru-RU"/>
                        </w:rPr>
                      </m:ctrlPr>
                    </m:sSubSupPr>
                    <m:e>
                      <m:r>
                        <w:rPr>
                          <w:rFonts w:ascii="Cambria Math" w:hAnsi="Cambria Math"/>
                        </w:rPr>
                        <m:t>W</m:t>
                      </m:r>
                    </m:e>
                    <m:sub>
                      <m:sSub>
                        <m:sSubPr>
                          <m:ctrlPr>
                            <w:rPr>
                              <w:rFonts w:ascii="Cambria Math" w:eastAsia="Times New Roman" w:hAnsi="Cambria Math"/>
                              <w:i/>
                              <w:sz w:val="24"/>
                              <w:szCs w:val="24"/>
                              <w:lang w:eastAsia="ru-RU"/>
                            </w:rPr>
                          </m:ctrlPr>
                        </m:sSubPr>
                        <m:e>
                          <m:r>
                            <w:rPr>
                              <w:rFonts w:ascii="Cambria Math" w:hAnsi="Cambria Math"/>
                            </w:rPr>
                            <m:t>2</m:t>
                          </m:r>
                        </m:e>
                        <m:sub>
                          <m:r>
                            <w:rPr>
                              <w:rFonts w:ascii="Cambria Math" w:hAnsi="Cambria Math"/>
                            </w:rPr>
                            <m:t>t</m:t>
                          </m:r>
                        </m:sub>
                      </m:sSub>
                      <m:r>
                        <w:rPr>
                          <w:rFonts w:ascii="Cambria Math" w:hAnsi="Cambria Math"/>
                        </w:rPr>
                        <m:t>-2</m:t>
                      </m:r>
                    </m:sub>
                    <m:sup>
                      <m:r>
                        <w:rPr>
                          <w:rFonts w:ascii="Cambria Math" w:hAnsi="Cambria Math"/>
                        </w:rPr>
                        <m:t>м</m:t>
                      </m:r>
                      <m:d>
                        <m:dPr>
                          <m:ctrlPr>
                            <w:rPr>
                              <w:rFonts w:ascii="Cambria Math" w:eastAsia="Times New Roman" w:hAnsi="Cambria Math"/>
                              <w:i/>
                              <w:sz w:val="24"/>
                              <w:szCs w:val="24"/>
                              <w:lang w:eastAsia="ru-RU"/>
                            </w:rPr>
                          </m:ctrlPr>
                        </m:dPr>
                        <m:e>
                          <m:r>
                            <w:rPr>
                              <w:rFonts w:ascii="Cambria Math" w:hAnsi="Cambria Math"/>
                            </w:rPr>
                            <m:t>с</m:t>
                          </m:r>
                        </m:e>
                      </m:d>
                      <m:r>
                        <w:rPr>
                          <w:rFonts w:ascii="Cambria Math" w:hAnsi="Cambria Math"/>
                        </w:rPr>
                        <m:t>ф</m:t>
                      </m:r>
                    </m:sup>
                  </m:sSubSup>
                  <m:r>
                    <w:rPr>
                      <w:rFonts w:ascii="Cambria Math" w:hAnsi="Cambria Math"/>
                    </w:rPr>
                    <m:t>∙</m:t>
                  </m:r>
                  <m:sSub>
                    <m:sSubPr>
                      <m:ctrlPr>
                        <w:rPr>
                          <w:rFonts w:ascii="Cambria Math" w:eastAsia="Times New Roman" w:hAnsi="Cambria Math"/>
                          <w:i/>
                          <w:sz w:val="24"/>
                          <w:szCs w:val="24"/>
                          <w:lang w:eastAsia="ru-RU"/>
                        </w:rPr>
                      </m:ctrlPr>
                    </m:sSubPr>
                    <m:e>
                      <m:r>
                        <w:rPr>
                          <w:rFonts w:ascii="Cambria Math" w:hAnsi="Cambria Math"/>
                        </w:rPr>
                        <m:t>Ц</m:t>
                      </m:r>
                    </m:e>
                    <m:sub>
                      <m:sSub>
                        <m:sSubPr>
                          <m:ctrlPr>
                            <w:rPr>
                              <w:rFonts w:ascii="Cambria Math" w:eastAsia="Times New Roman" w:hAnsi="Cambria Math"/>
                              <w:i/>
                              <w:sz w:val="24"/>
                              <w:szCs w:val="24"/>
                              <w:lang w:eastAsia="ru-RU"/>
                            </w:rPr>
                          </m:ctrlPr>
                        </m:sSubPr>
                        <m:e>
                          <m:r>
                            <w:rPr>
                              <w:rFonts w:ascii="Cambria Math" w:hAnsi="Cambria Math"/>
                            </w:rPr>
                            <m:t>2</m:t>
                          </m:r>
                        </m:e>
                        <m:sub>
                          <m:r>
                            <w:rPr>
                              <w:rFonts w:ascii="Cambria Math" w:hAnsi="Cambria Math"/>
                            </w:rPr>
                            <m:t>t</m:t>
                          </m:r>
                        </m:sub>
                      </m:sSub>
                      <m:r>
                        <w:rPr>
                          <w:rFonts w:ascii="Cambria Math" w:hAnsi="Cambria Math"/>
                        </w:rPr>
                        <m:t>-2</m:t>
                      </m:r>
                    </m:sub>
                  </m:sSub>
                  <m:r>
                    <w:rPr>
                      <w:rFonts w:ascii="Cambria Math" w:hAnsi="Cambria Math"/>
                    </w:rPr>
                    <m:t>*ПКко</m:t>
                  </m:r>
                </m:num>
                <m:den>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коt-2</m:t>
                      </m:r>
                    </m:sub>
                    <m:sup>
                      <m:r>
                        <w:rPr>
                          <w:rFonts w:ascii="Cambria Math" w:hAnsi="Cambria Math"/>
                        </w:rPr>
                        <m:t>заг</m:t>
                      </m:r>
                    </m:sup>
                  </m:sSubSup>
                  <m:r>
                    <w:rPr>
                      <w:rFonts w:ascii="Cambria Math" w:hAnsi="Cambria Math"/>
                    </w:rPr>
                    <m:t>*1000</m:t>
                  </m:r>
                </m:den>
              </m:f>
              <m:r>
                <w:rPr>
                  <w:rFonts w:ascii="Cambria Math" w:hAnsi="Cambria Math"/>
                </w:rPr>
                <m:t>, тис. грн</m:t>
              </m:r>
            </m:oMath>
            <w:r w:rsidR="00CF2AC1" w:rsidRPr="005A615E">
              <w:rPr>
                <w:rFonts w:ascii="Times New Roman" w:eastAsiaTheme="minorEastAsia" w:hAnsi="Times New Roman"/>
                <w:i/>
              </w:rPr>
              <w:t xml:space="preserve">      </w:t>
            </w:r>
            <w:r w:rsidR="00CF2AC1" w:rsidRPr="005A615E">
              <w:rPr>
                <w:rFonts w:ascii="Times New Roman" w:eastAsiaTheme="minorEastAsia" w:hAnsi="Times New Roman"/>
              </w:rPr>
              <w:t>(45)</w:t>
            </w:r>
          </w:p>
          <w:p w:rsidR="00CF2AC1" w:rsidRPr="005A615E" w:rsidRDefault="00CF2AC1" w:rsidP="00CF2AC1">
            <w:pPr>
              <w:ind w:firstLine="709"/>
              <w:rPr>
                <w:rFonts w:ascii="Times New Roman" w:eastAsia="Times New Roman" w:hAnsi="Times New Roman"/>
                <w:sz w:val="32"/>
              </w:rPr>
            </w:pPr>
          </w:p>
          <w:p w:rsidR="00CF2AC1" w:rsidRPr="005A615E" w:rsidRDefault="00CF2AC1" w:rsidP="00CF2AC1">
            <w:pPr>
              <w:ind w:firstLine="315"/>
              <w:jc w:val="both"/>
              <w:rPr>
                <w:rFonts w:ascii="Times New Roman" w:hAnsi="Times New Roman"/>
                <w:sz w:val="24"/>
              </w:rPr>
            </w:pPr>
            <w:r w:rsidRPr="005A615E">
              <w:rPr>
                <w:rFonts w:ascii="Times New Roman" w:hAnsi="Times New Roman"/>
              </w:rPr>
              <w:t xml:space="preserve">де </w:t>
            </w: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ко_ц</m:t>
                  </m:r>
                </m:sub>
                <m:sup>
                  <m:r>
                    <w:rPr>
                      <w:rFonts w:ascii="Cambria Math" w:hAnsi="Cambria Math"/>
                    </w:rPr>
                    <m:t>м</m:t>
                  </m:r>
                  <m:d>
                    <m:dPr>
                      <m:ctrlPr>
                        <w:rPr>
                          <w:rFonts w:ascii="Cambria Math" w:eastAsia="Times New Roman" w:hAnsi="Cambria Math"/>
                          <w:i/>
                          <w:sz w:val="24"/>
                          <w:szCs w:val="24"/>
                          <w:lang w:eastAsia="ru-RU"/>
                        </w:rPr>
                      </m:ctrlPr>
                    </m:dPr>
                    <m:e>
                      <m:r>
                        <w:rPr>
                          <w:rFonts w:ascii="Cambria Math" w:hAnsi="Cambria Math"/>
                        </w:rPr>
                        <m:t>с</m:t>
                      </m:r>
                    </m:e>
                  </m:d>
                </m:sup>
              </m:sSubSup>
            </m:oMath>
            <w:r w:rsidRPr="005A615E">
              <w:rPr>
                <w:rFonts w:ascii="Times New Roman" w:hAnsi="Times New Roman"/>
              </w:rPr>
              <w:t xml:space="preserve"> – встановлений НКРЕКП для міської (сільської) </w:t>
            </w:r>
            <w:r w:rsidRPr="005A615E">
              <w:rPr>
                <w:rFonts w:ascii="Times New Roman" w:hAnsi="Times New Roman"/>
              </w:rPr>
              <w:br/>
              <w:t>території цільовий 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який враховується у розрахунку, починаючи з третього року другого регуляторного періоду на рівні 90 %, (</w:t>
            </w:r>
            <m:oMath>
              <m:sSubSup>
                <m:sSubSupPr>
                  <m:ctrlPr>
                    <w:rPr>
                      <w:rFonts w:ascii="Cambria Math" w:eastAsia="Times New Roman" w:hAnsi="Cambria Math"/>
                      <w:sz w:val="24"/>
                      <w:szCs w:val="24"/>
                      <w:lang w:eastAsia="ru-RU"/>
                    </w:rPr>
                  </m:ctrlPr>
                </m:sSubSupPr>
                <m:e>
                  <m:r>
                    <w:rPr>
                      <w:rFonts w:ascii="Cambria Math" w:hAnsi="Cambria Math"/>
                    </w:rPr>
                    <m:t>I</m:t>
                  </m:r>
                </m:e>
                <m:sub>
                  <m:r>
                    <m:rPr>
                      <m:sty m:val="p"/>
                    </m:rPr>
                    <w:rPr>
                      <w:rFonts w:ascii="Cambria Math" w:hAnsi="Cambria Math"/>
                    </w:rPr>
                    <m:t>ко</m:t>
                  </m:r>
                  <m:r>
                    <w:rPr>
                      <w:rFonts w:ascii="Cambria Math" w:hAnsi="Cambria Math"/>
                    </w:rPr>
                    <m:t>t</m:t>
                  </m:r>
                  <m:r>
                    <m:rPr>
                      <m:sty m:val="p"/>
                    </m:rPr>
                    <w:rPr>
                      <w:rFonts w:ascii="Cambria Math" w:hAnsi="Cambria Math"/>
                    </w:rPr>
                    <m:t>-2</m:t>
                  </m:r>
                </m:sub>
                <m:sup>
                  <m:r>
                    <m:rPr>
                      <m:sty m:val="p"/>
                    </m:rPr>
                    <w:rPr>
                      <w:rFonts w:ascii="Cambria Math" w:hAnsi="Cambria Math"/>
                    </w:rPr>
                    <m:t>р</m:t>
                  </m:r>
                </m:sup>
              </m:sSubSup>
            </m:oMath>
            <w:r w:rsidRPr="005A615E">
              <w:rPr>
                <w:rFonts w:ascii="Times New Roman" w:hAnsi="Times New Roman"/>
              </w:rPr>
              <w:t xml:space="preserve"> );</w:t>
            </w:r>
          </w:p>
          <w:p w:rsidR="00CF2AC1" w:rsidRPr="005A615E" w:rsidRDefault="000D13C5" w:rsidP="00CF2AC1">
            <w:pPr>
              <w:ind w:firstLine="315"/>
              <w:jc w:val="both"/>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коt-2</m:t>
                  </m:r>
                </m:sub>
                <m:sup>
                  <m:r>
                    <w:rPr>
                      <w:rFonts w:ascii="Cambria Math" w:hAnsi="Cambria Math"/>
                    </w:rPr>
                    <m:t>ф</m:t>
                  </m:r>
                </m:sup>
              </m:sSubSup>
            </m:oMath>
            <w:r w:rsidR="00CF2AC1" w:rsidRPr="005A615E">
              <w:rPr>
                <w:rFonts w:ascii="Times New Roman" w:hAnsi="Times New Roman"/>
              </w:rPr>
              <w:t xml:space="preserve"> – фактичний індекс якості проведення контрольних оглядів вузлів обліку електричної енергії, який визначається за формулою</w:t>
            </w:r>
          </w:p>
          <w:p w:rsidR="00CF2AC1" w:rsidRPr="005A615E" w:rsidRDefault="00CF2AC1" w:rsidP="00CF2AC1">
            <w:pPr>
              <w:ind w:firstLine="315"/>
              <w:jc w:val="both"/>
              <w:rPr>
                <w:rFonts w:ascii="Times New Roman" w:hAnsi="Times New Roman"/>
              </w:rPr>
            </w:pPr>
          </w:p>
          <w:p w:rsidR="00CF2AC1" w:rsidRPr="005A615E" w:rsidRDefault="000D13C5" w:rsidP="00CF2AC1">
            <w:pPr>
              <w:ind w:firstLine="709"/>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коt-2</m:t>
                  </m:r>
                </m:sub>
                <m:sup>
                  <m:r>
                    <w:rPr>
                      <w:rFonts w:ascii="Cambria Math" w:hAnsi="Cambria Math"/>
                    </w:rPr>
                    <m:t>ф</m:t>
                  </m:r>
                </m:sup>
              </m:sSubSup>
              <m:r>
                <w:rPr>
                  <w:rFonts w:ascii="Cambria Math" w:hAnsi="Cambria Math"/>
                </w:rPr>
                <m:t xml:space="preserve">= </m:t>
              </m:r>
              <m:f>
                <m:fPr>
                  <m:ctrlPr>
                    <w:rPr>
                      <w:rFonts w:ascii="Cambria Math" w:eastAsia="Times New Roman" w:hAnsi="Cambria Math"/>
                      <w:i/>
                      <w:sz w:val="24"/>
                      <w:szCs w:val="24"/>
                      <w:lang w:eastAsia="ru-RU"/>
                    </w:rPr>
                  </m:ctrlPr>
                </m:fPr>
                <m:num>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нпt-2</m:t>
                      </m:r>
                    </m:sub>
                    <m:sup>
                      <m:r>
                        <w:rPr>
                          <w:rFonts w:ascii="Cambria Math" w:hAnsi="Cambria Math"/>
                        </w:rPr>
                        <m:t>ф</m:t>
                      </m:r>
                    </m:sup>
                  </m:sSubSup>
                </m:num>
                <m:den>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нпt-2</m:t>
                      </m:r>
                    </m:sub>
                    <m:sup>
                      <m:r>
                        <w:rPr>
                          <w:rFonts w:ascii="Cambria Math" w:hAnsi="Cambria Math"/>
                        </w:rPr>
                        <m:t>заг</m:t>
                      </m:r>
                    </m:sup>
                  </m:sSubSup>
                </m:den>
              </m:f>
            </m:oMath>
            <w:r w:rsidR="00CF2AC1" w:rsidRPr="005A615E">
              <w:rPr>
                <w:rFonts w:ascii="Times New Roman" w:hAnsi="Times New Roman"/>
              </w:rPr>
              <w:t xml:space="preserve">    (46)</w:t>
            </w:r>
          </w:p>
          <w:p w:rsidR="00CF2AC1" w:rsidRPr="005A615E" w:rsidRDefault="00CF2AC1" w:rsidP="00CF2AC1">
            <w:pPr>
              <w:ind w:firstLine="709"/>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rFonts w:ascii="Times New Roman" w:hAnsi="Times New Roman"/>
              </w:rPr>
              <w:t xml:space="preserve">де </w:t>
            </w:r>
            <m:oMath>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коt-2</m:t>
                  </m:r>
                </m:sub>
                <m:sup>
                  <m:r>
                    <w:rPr>
                      <w:rFonts w:ascii="Cambria Math" w:hAnsi="Cambria Math"/>
                    </w:rPr>
                    <m:t>ф</m:t>
                  </m:r>
                </m:sup>
              </m:sSubSup>
            </m:oMath>
            <w:r w:rsidRPr="005A615E">
              <w:rPr>
                <w:rFonts w:ascii="Times New Roman" w:hAnsi="Times New Roman"/>
              </w:rPr>
              <w:t xml:space="preserve"> – фактична кількість точок комерційного обліку, де проведено контрольні огляди з дотриманням вимог ККОЕЕ, за рік t-2;</w:t>
            </w:r>
          </w:p>
          <w:p w:rsidR="00CF2AC1" w:rsidRPr="005A615E" w:rsidRDefault="000D13C5" w:rsidP="00CF2AC1">
            <w:pPr>
              <w:ind w:firstLine="173"/>
              <w:jc w:val="both"/>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N</m:t>
                  </m:r>
                </m:e>
                <m:sub>
                  <m:r>
                    <w:rPr>
                      <w:rFonts w:ascii="Cambria Math" w:hAnsi="Cambria Math"/>
                    </w:rPr>
                    <m:t>коt-2</m:t>
                  </m:r>
                </m:sub>
                <m:sup>
                  <m:r>
                    <w:rPr>
                      <w:rFonts w:ascii="Cambria Math" w:hAnsi="Cambria Math"/>
                    </w:rPr>
                    <m:t>заг</m:t>
                  </m:r>
                </m:sup>
              </m:sSubSup>
            </m:oMath>
            <w:r w:rsidR="00CF2AC1" w:rsidRPr="005A615E">
              <w:rPr>
                <w:rFonts w:ascii="Times New Roman" w:hAnsi="Times New Roman"/>
              </w:rPr>
              <w:t xml:space="preserve"> – загальна кількість точок комерційного обліку на початок року t-2;</w:t>
            </w:r>
          </w:p>
          <w:p w:rsidR="00CF2AC1" w:rsidRPr="005A615E" w:rsidRDefault="000D13C5" w:rsidP="00CF2AC1">
            <w:pPr>
              <w:ind w:firstLine="173"/>
              <w:jc w:val="both"/>
              <w:rPr>
                <w:rFonts w:ascii="Times New Roman" w:hAnsi="Times New Roman"/>
              </w:rPr>
            </w:pPr>
            <w:hyperlink r:id="rId262" w:tgtFrame="_blank" w:history="1">
              <w:r w:rsidR="00CF2AC1" w:rsidRPr="005A615E">
                <w:rPr>
                  <w:rStyle w:val="a9"/>
                  <w:rFonts w:ascii="Times New Roman" w:hAnsi="Times New Roman"/>
                  <w:color w:val="auto"/>
                </w:rPr>
                <w:t>ПК</w:t>
              </w:r>
              <w:r w:rsidR="00CF2AC1" w:rsidRPr="005A615E">
                <w:rPr>
                  <w:rStyle w:val="a9"/>
                  <w:rFonts w:ascii="Times New Roman" w:hAnsi="Times New Roman"/>
                  <w:color w:val="auto"/>
                  <w:vertAlign w:val="subscript"/>
                </w:rPr>
                <w:t>ко</w:t>
              </w:r>
              <w:r w:rsidR="00CF2AC1" w:rsidRPr="005A615E">
                <w:rPr>
                  <w:rStyle w:val="a9"/>
                  <w:rFonts w:ascii="Times New Roman" w:hAnsi="Times New Roman"/>
                  <w:color w:val="auto"/>
                </w:rPr>
                <w:t xml:space="preserve"> – встановлений НКРЕКП параметр коригування необхідного доходу за недотримання показника комерційної якості надання послуг з проведення контрольних оглядів вузлів обліку електричної енергії</w:t>
              </w:r>
            </w:hyperlink>
            <w:r w:rsidR="00CF2AC1" w:rsidRPr="005A615E">
              <w:rPr>
                <w:rFonts w:ascii="Times New Roman" w:hAnsi="Times New Roman"/>
              </w:rPr>
              <w:t xml:space="preserve">, який дорівнює 400; </w:t>
            </w:r>
          </w:p>
          <w:p w:rsidR="00CF2AC1" w:rsidRPr="005A615E" w:rsidRDefault="00CF2AC1" w:rsidP="00CF2AC1">
            <w:pPr>
              <w:ind w:firstLine="173"/>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rFonts w:ascii="Times New Roman" w:hAnsi="Times New Roman"/>
              </w:rPr>
              <w:t>6) індекс рівня сервісу кол-центру протягом 30 секунд</w:t>
            </w:r>
            <m:oMath>
              <m:r>
                <w:rPr>
                  <w:rFonts w:ascii="Cambria Math" w:hAnsi="Cambria Math"/>
                </w:rPr>
                <m:t xml:space="preserve"> </m:t>
              </m:r>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рсt</m:t>
                  </m:r>
                </m:sub>
              </m:sSub>
            </m:oMath>
            <w:r w:rsidRPr="005A615E">
              <w:rPr>
                <w:rFonts w:ascii="Times New Roman" w:hAnsi="Times New Roman"/>
              </w:rPr>
              <w:t>), на рік t-2 визначається за формулою</w:t>
            </w:r>
          </w:p>
          <w:p w:rsidR="00CF2AC1" w:rsidRPr="005A615E" w:rsidRDefault="00CF2AC1" w:rsidP="00CF2AC1">
            <w:pPr>
              <w:ind w:firstLine="709"/>
              <w:jc w:val="both"/>
              <w:rPr>
                <w:rFonts w:ascii="Times New Roman" w:hAnsi="Times New Roman"/>
              </w:rPr>
            </w:pPr>
          </w:p>
          <w:p w:rsidR="00CF2AC1" w:rsidRPr="005A615E" w:rsidRDefault="000D13C5" w:rsidP="00CF2AC1">
            <w:pPr>
              <w:rPr>
                <w:rFonts w:ascii="Times New Roman" w:hAnsi="Times New Roman"/>
                <w:szCs w:val="28"/>
              </w:rPr>
            </w:pPr>
            <m:oMath>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рсt</m:t>
                  </m:r>
                </m:sub>
              </m:sSub>
              <m:r>
                <w:rPr>
                  <w:rFonts w:ascii="Cambria Math" w:hAnsi="Cambria Math"/>
                  <w:szCs w:val="28"/>
                </w:rPr>
                <m:t>=0,0005*</m:t>
              </m:r>
              <m:d>
                <m:dPr>
                  <m:ctrlPr>
                    <w:rPr>
                      <w:rFonts w:ascii="Cambria Math" w:eastAsia="Times New Roman" w:hAnsi="Cambria Math"/>
                      <w:i/>
                      <w:sz w:val="24"/>
                      <w:szCs w:val="28"/>
                      <w:lang w:eastAsia="ru-RU"/>
                    </w:rPr>
                  </m:ctrlPr>
                </m:dPr>
                <m:e>
                  <m:sSubSup>
                    <m:sSubSupPr>
                      <m:ctrlPr>
                        <w:rPr>
                          <w:rFonts w:ascii="Cambria Math" w:eastAsia="Times New Roman" w:hAnsi="Cambria Math"/>
                          <w:i/>
                          <w:sz w:val="24"/>
                          <w:szCs w:val="28"/>
                          <w:lang w:eastAsia="ru-RU"/>
                        </w:rPr>
                      </m:ctrlPr>
                    </m:sSubSupPr>
                    <m:e>
                      <m:r>
                        <w:rPr>
                          <w:rFonts w:ascii="Cambria Math" w:hAnsi="Cambria Math"/>
                          <w:szCs w:val="28"/>
                        </w:rPr>
                        <m:t>I</m:t>
                      </m:r>
                    </m:e>
                    <m:sub>
                      <m:r>
                        <w:rPr>
                          <w:rFonts w:ascii="Cambria Math" w:hAnsi="Cambria Math"/>
                          <w:szCs w:val="28"/>
                        </w:rPr>
                        <m:t>рсt-2</m:t>
                      </m:r>
                    </m:sub>
                    <m:sup>
                      <m:r>
                        <w:rPr>
                          <w:rFonts w:ascii="Cambria Math" w:hAnsi="Cambria Math"/>
                          <w:szCs w:val="28"/>
                        </w:rPr>
                        <m:t>ф</m:t>
                      </m:r>
                    </m:sup>
                  </m:sSubSup>
                  <m:r>
                    <w:rPr>
                      <w:rFonts w:ascii="Cambria Math" w:hAnsi="Cambria Math"/>
                      <w:szCs w:val="28"/>
                    </w:rPr>
                    <m:t>-</m:t>
                  </m:r>
                  <m:sSubSup>
                    <m:sSubSupPr>
                      <m:ctrlPr>
                        <w:rPr>
                          <w:rFonts w:ascii="Cambria Math" w:eastAsia="Times New Roman" w:hAnsi="Cambria Math"/>
                          <w:i/>
                          <w:sz w:val="24"/>
                          <w:szCs w:val="28"/>
                          <w:lang w:eastAsia="ru-RU"/>
                        </w:rPr>
                      </m:ctrlPr>
                    </m:sSubSupPr>
                    <m:e>
                      <m:r>
                        <w:rPr>
                          <w:rFonts w:ascii="Cambria Math" w:hAnsi="Cambria Math"/>
                          <w:szCs w:val="28"/>
                        </w:rPr>
                        <m:t>I</m:t>
                      </m:r>
                    </m:e>
                    <m:sub>
                      <m:r>
                        <w:rPr>
                          <w:rFonts w:ascii="Cambria Math" w:hAnsi="Cambria Math"/>
                          <w:szCs w:val="28"/>
                        </w:rPr>
                        <m:t>рсt-2</m:t>
                      </m:r>
                    </m:sub>
                    <m:sup>
                      <m:r>
                        <w:rPr>
                          <w:rFonts w:ascii="Cambria Math" w:hAnsi="Cambria Math"/>
                          <w:szCs w:val="28"/>
                        </w:rPr>
                        <m:t>ц</m:t>
                      </m:r>
                    </m:sup>
                  </m:sSubSup>
                </m:e>
              </m:d>
              <m:r>
                <w:rPr>
                  <w:rFonts w:ascii="Cambria Math" w:hAnsi="Cambria Math"/>
                  <w:szCs w:val="28"/>
                </w:rPr>
                <m:t>*</m:t>
              </m:r>
              <m:sSubSup>
                <m:sSubSupPr>
                  <m:ctrlPr>
                    <w:rPr>
                      <w:rFonts w:ascii="Cambria Math" w:eastAsia="Times New Roman" w:hAnsi="Cambria Math"/>
                      <w:i/>
                      <w:sz w:val="24"/>
                      <w:szCs w:val="28"/>
                      <w:lang w:eastAsia="ru-RU"/>
                    </w:rPr>
                  </m:ctrlPr>
                </m:sSubSupPr>
                <m:e>
                  <m:r>
                    <w:rPr>
                      <w:rFonts w:ascii="Cambria Math" w:hAnsi="Cambria Math"/>
                      <w:szCs w:val="28"/>
                    </w:rPr>
                    <m:t>НД</m:t>
                  </m:r>
                </m:e>
                <m:sub>
                  <m:r>
                    <w:rPr>
                      <w:rFonts w:ascii="Cambria Math" w:hAnsi="Cambria Math"/>
                      <w:szCs w:val="28"/>
                    </w:rPr>
                    <m:t xml:space="preserve">t-2     </m:t>
                  </m:r>
                </m:sub>
                <m:sup>
                  <m:r>
                    <w:rPr>
                      <w:rFonts w:ascii="Cambria Math" w:hAnsi="Cambria Math"/>
                      <w:szCs w:val="28"/>
                    </w:rPr>
                    <m:t>n</m:t>
                  </m:r>
                </m:sup>
              </m:sSubSup>
              <m:r>
                <w:rPr>
                  <w:rFonts w:ascii="Cambria Math" w:hAnsi="Cambria Math"/>
                  <w:szCs w:val="28"/>
                </w:rPr>
                <m:t xml:space="preserve">, тис. грн     </m:t>
              </m:r>
            </m:oMath>
            <w:r w:rsidR="00CF2AC1" w:rsidRPr="005A615E">
              <w:rPr>
                <w:rFonts w:ascii="Times New Roman" w:hAnsi="Times New Roman"/>
                <w:szCs w:val="28"/>
              </w:rPr>
              <w:t>(47)</w:t>
            </w:r>
          </w:p>
          <w:p w:rsidR="00CF2AC1" w:rsidRPr="005A615E" w:rsidRDefault="00CF2AC1" w:rsidP="00CF2AC1">
            <w:pPr>
              <w:rPr>
                <w:rFonts w:ascii="Times New Roman" w:hAnsi="Times New Roman"/>
                <w:szCs w:val="28"/>
              </w:rPr>
            </w:pPr>
          </w:p>
          <w:p w:rsidR="00CF2AC1" w:rsidRPr="005A615E" w:rsidRDefault="00CF2AC1" w:rsidP="00CF2AC1">
            <w:pPr>
              <w:ind w:firstLine="315"/>
              <w:jc w:val="both"/>
              <w:rPr>
                <w:rFonts w:ascii="Times New Roman" w:hAnsi="Times New Roman"/>
                <w:szCs w:val="24"/>
              </w:rPr>
            </w:pPr>
            <w:r w:rsidRPr="005A615E">
              <w:rPr>
                <w:rFonts w:ascii="Times New Roman" w:eastAsiaTheme="minorEastAsia" w:hAnsi="Times New Roman"/>
              </w:rPr>
              <w:t xml:space="preserve">де </w:t>
            </w: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рсt-2</m:t>
                  </m:r>
                </m:sub>
                <m:sup>
                  <m:r>
                    <w:rPr>
                      <w:rFonts w:ascii="Cambria Math" w:hAnsi="Cambria Math"/>
                    </w:rPr>
                    <m:t>ц</m:t>
                  </m:r>
                </m:sup>
              </m:sSubSup>
            </m:oMath>
            <w:r w:rsidRPr="005A615E">
              <w:rPr>
                <w:rFonts w:ascii="Times New Roman" w:hAnsi="Times New Roman"/>
              </w:rPr>
              <w:t xml:space="preserve"> – цільовий індекс рівня сервісу кол-центру протягом 30 секунд – не менше </w:t>
            </w:r>
            <w:r w:rsidRPr="005A615E">
              <w:rPr>
                <w:rFonts w:ascii="Times New Roman" w:hAnsi="Times New Roman"/>
                <w:shd w:val="clear" w:color="auto" w:fill="FFFFFF"/>
              </w:rPr>
              <w:t xml:space="preserve">75 %; </w:t>
            </w:r>
          </w:p>
          <w:p w:rsidR="00CF2AC1" w:rsidRPr="005A615E" w:rsidRDefault="000D13C5" w:rsidP="00CF2AC1">
            <w:pPr>
              <w:ind w:firstLine="315"/>
              <w:jc w:val="both"/>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рсt-2</m:t>
                  </m:r>
                </m:sub>
                <m:sup>
                  <m:r>
                    <w:rPr>
                      <w:rFonts w:ascii="Cambria Math" w:hAnsi="Cambria Math"/>
                    </w:rPr>
                    <m:t>ф</m:t>
                  </m:r>
                </m:sup>
              </m:sSubSup>
            </m:oMath>
            <w:r w:rsidR="00CF2AC1" w:rsidRPr="005A615E">
              <w:rPr>
                <w:rFonts w:ascii="Times New Roman" w:hAnsi="Times New Roman"/>
              </w:rPr>
              <w:t> – фактичний індекс рівня сервісу кол-центру протягом 30 секунд у році t-2, визначається за даними додатка 4 до Мінімальних вимог до якості обслуговування споживачів електричної енергії кол-центрами, затверджених постановою НКРЕКП від 12 червня 2018 року № 373,</w:t>
            </w:r>
          </w:p>
          <w:p w:rsidR="00CF2AC1" w:rsidRPr="005A615E" w:rsidRDefault="00CF2AC1" w:rsidP="00CF2AC1">
            <w:pPr>
              <w:ind w:firstLine="709"/>
              <w:jc w:val="both"/>
              <w:rPr>
                <w:rFonts w:ascii="Times New Roman" w:eastAsiaTheme="minorEastAsia" w:hAnsi="Times New Roman"/>
                <w:szCs w:val="28"/>
              </w:rPr>
            </w:pPr>
          </w:p>
          <w:p w:rsidR="00CF2AC1" w:rsidRPr="005A615E" w:rsidRDefault="00CF2AC1" w:rsidP="00CF2AC1">
            <w:pPr>
              <w:rPr>
                <w:rFonts w:ascii="Times New Roman" w:eastAsia="Times New Roman" w:hAnsi="Times New Roman"/>
                <w:szCs w:val="28"/>
              </w:rPr>
            </w:pPr>
            <m:oMath>
              <m:r>
                <w:rPr>
                  <w:rFonts w:ascii="Cambria Math" w:hAnsi="Cambria Math"/>
                  <w:szCs w:val="28"/>
                </w:rPr>
                <m:t xml:space="preserve">Якщо </m:t>
              </m:r>
              <m:sSubSup>
                <m:sSubSupPr>
                  <m:ctrlPr>
                    <w:rPr>
                      <w:rFonts w:ascii="Cambria Math" w:eastAsia="Times New Roman" w:hAnsi="Cambria Math"/>
                      <w:i/>
                      <w:sz w:val="24"/>
                      <w:szCs w:val="28"/>
                      <w:lang w:eastAsia="ru-RU"/>
                    </w:rPr>
                  </m:ctrlPr>
                </m:sSubSupPr>
                <m:e>
                  <m:r>
                    <w:rPr>
                      <w:rFonts w:ascii="Cambria Math" w:hAnsi="Cambria Math"/>
                      <w:szCs w:val="28"/>
                    </w:rPr>
                    <m:t>I</m:t>
                  </m:r>
                </m:e>
                <m:sub>
                  <m:r>
                    <w:rPr>
                      <w:rFonts w:ascii="Cambria Math" w:hAnsi="Cambria Math"/>
                      <w:szCs w:val="28"/>
                    </w:rPr>
                    <m:t>рсt-2</m:t>
                  </m:r>
                </m:sub>
                <m:sup>
                  <m:r>
                    <w:rPr>
                      <w:rFonts w:ascii="Cambria Math" w:hAnsi="Cambria Math"/>
                      <w:szCs w:val="28"/>
                    </w:rPr>
                    <m:t>ф</m:t>
                  </m:r>
                </m:sup>
              </m:sSubSup>
              <m:r>
                <w:rPr>
                  <w:rFonts w:ascii="Cambria Math" w:hAnsi="Cambria Math"/>
                  <w:szCs w:val="28"/>
                </w:rPr>
                <m:t xml:space="preserve">- </m:t>
              </m:r>
              <m:sSubSup>
                <m:sSubSupPr>
                  <m:ctrlPr>
                    <w:rPr>
                      <w:rFonts w:ascii="Cambria Math" w:eastAsia="Times New Roman" w:hAnsi="Cambria Math"/>
                      <w:i/>
                      <w:sz w:val="24"/>
                      <w:szCs w:val="28"/>
                      <w:lang w:eastAsia="ru-RU"/>
                    </w:rPr>
                  </m:ctrlPr>
                </m:sSubSupPr>
                <m:e>
                  <m:r>
                    <w:rPr>
                      <w:rFonts w:ascii="Cambria Math" w:hAnsi="Cambria Math"/>
                      <w:szCs w:val="28"/>
                    </w:rPr>
                    <m:t>I</m:t>
                  </m:r>
                </m:e>
                <m:sub>
                  <m:r>
                    <w:rPr>
                      <w:rFonts w:ascii="Cambria Math" w:hAnsi="Cambria Math"/>
                      <w:szCs w:val="28"/>
                    </w:rPr>
                    <m:t>рсt-2</m:t>
                  </m:r>
                </m:sub>
                <m:sup>
                  <m:r>
                    <w:rPr>
                      <w:rFonts w:ascii="Cambria Math" w:hAnsi="Cambria Math"/>
                      <w:szCs w:val="28"/>
                    </w:rPr>
                    <m:t>ц</m:t>
                  </m:r>
                </m:sup>
              </m:sSubSup>
              <m:r>
                <w:rPr>
                  <w:rFonts w:ascii="Cambria Math" w:hAnsi="Cambria Math"/>
                  <w:szCs w:val="28"/>
                </w:rPr>
                <m:t xml:space="preserve">&gt;0, то </m:t>
              </m:r>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рсt</m:t>
                  </m:r>
                </m:sub>
              </m:sSub>
              <m:r>
                <w:rPr>
                  <w:rFonts w:ascii="Cambria Math" w:hAnsi="Cambria Math"/>
                  <w:szCs w:val="28"/>
                </w:rPr>
                <m:t xml:space="preserve">=0;      </m:t>
              </m:r>
            </m:oMath>
            <w:r w:rsidRPr="005A615E">
              <w:rPr>
                <w:rFonts w:ascii="Times New Roman" w:eastAsiaTheme="minorEastAsia" w:hAnsi="Times New Roman"/>
                <w:szCs w:val="28"/>
              </w:rPr>
              <w:t>(48)</w:t>
            </w:r>
          </w:p>
          <w:p w:rsidR="00CF2AC1" w:rsidRPr="005A615E" w:rsidRDefault="00CF2AC1" w:rsidP="00CF2AC1">
            <w:pPr>
              <w:jc w:val="both"/>
              <w:rPr>
                <w:rFonts w:ascii="Times New Roman" w:hAnsi="Times New Roman"/>
                <w:szCs w:val="28"/>
              </w:rPr>
            </w:pPr>
          </w:p>
          <w:p w:rsidR="00CF2AC1" w:rsidRPr="005A615E" w:rsidRDefault="00CF2AC1" w:rsidP="00CF2AC1">
            <w:pPr>
              <w:ind w:firstLine="173"/>
              <w:jc w:val="both"/>
              <w:rPr>
                <w:rFonts w:ascii="Times New Roman" w:hAnsi="Times New Roman"/>
                <w:szCs w:val="24"/>
              </w:rPr>
            </w:pPr>
            <w:r w:rsidRPr="005A615E">
              <w:rPr>
                <w:rFonts w:ascii="Times New Roman" w:hAnsi="Times New Roman"/>
              </w:rPr>
              <w:t xml:space="preserve">7) індекс відсотка втрачених у черзі дзвінків кол-центру </w:t>
            </w:r>
            <m:oMath>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вдзt</m:t>
                  </m:r>
                </m:sub>
              </m:sSub>
            </m:oMath>
            <w:r w:rsidRPr="005A615E">
              <w:rPr>
                <w:rFonts w:ascii="Times New Roman" w:hAnsi="Times New Roman"/>
              </w:rPr>
              <w:t>), на рік t визначається за формулою</w:t>
            </w:r>
          </w:p>
          <w:p w:rsidR="00CF2AC1" w:rsidRPr="005A615E" w:rsidRDefault="00CF2AC1" w:rsidP="00CF2AC1">
            <w:pPr>
              <w:ind w:firstLine="709"/>
              <w:jc w:val="both"/>
              <w:rPr>
                <w:rFonts w:ascii="Times New Roman" w:hAnsi="Times New Roman"/>
                <w:szCs w:val="28"/>
              </w:rPr>
            </w:pPr>
          </w:p>
          <w:p w:rsidR="00CF2AC1" w:rsidRPr="005A615E" w:rsidRDefault="000D13C5" w:rsidP="00CF2AC1">
            <w:pPr>
              <w:rPr>
                <w:rFonts w:ascii="Times New Roman" w:hAnsi="Times New Roman"/>
                <w:szCs w:val="24"/>
              </w:rPr>
            </w:pPr>
            <m:oMath>
              <m:sSub>
                <m:sSubPr>
                  <m:ctrlPr>
                    <w:rPr>
                      <w:rFonts w:ascii="Cambria Math" w:eastAsia="Times New Roman" w:hAnsi="Cambria Math"/>
                      <w:i/>
                      <w:sz w:val="24"/>
                      <w:szCs w:val="28"/>
                      <w:lang w:eastAsia="ru-RU"/>
                    </w:rPr>
                  </m:ctrlPr>
                </m:sSubPr>
                <m:e>
                  <m:r>
                    <w:rPr>
                      <w:rFonts w:ascii="Cambria Math" w:hAnsi="Cambria Math"/>
                      <w:szCs w:val="28"/>
                    </w:rPr>
                    <m:t>КЯ</m:t>
                  </m:r>
                </m:e>
                <m:sub>
                  <m:r>
                    <w:rPr>
                      <w:rFonts w:ascii="Cambria Math" w:hAnsi="Cambria Math"/>
                      <w:szCs w:val="28"/>
                    </w:rPr>
                    <m:t>вдз</m:t>
                  </m:r>
                  <m:r>
                    <w:rPr>
                      <w:rFonts w:ascii="Cambria Math" w:hAnsi="Cambria Math"/>
                      <w:szCs w:val="28"/>
                      <w:lang w:val="en-US"/>
                    </w:rPr>
                    <m:t>t</m:t>
                  </m:r>
                </m:sub>
              </m:sSub>
              <m:r>
                <w:rPr>
                  <w:rFonts w:ascii="Cambria Math" w:hAnsi="Cambria Math"/>
                  <w:szCs w:val="28"/>
                </w:rPr>
                <m:t>=0,0005*</m:t>
              </m:r>
              <m:d>
                <m:dPr>
                  <m:ctrlPr>
                    <w:rPr>
                      <w:rFonts w:ascii="Cambria Math" w:eastAsia="Times New Roman" w:hAnsi="Cambria Math"/>
                      <w:i/>
                      <w:sz w:val="24"/>
                      <w:szCs w:val="28"/>
                      <w:lang w:eastAsia="ru-RU"/>
                    </w:rPr>
                  </m:ctrlPr>
                </m:dPr>
                <m:e>
                  <m:sSubSup>
                    <m:sSubSupPr>
                      <m:ctrlPr>
                        <w:rPr>
                          <w:rFonts w:ascii="Cambria Math" w:eastAsia="Times New Roman" w:hAnsi="Cambria Math"/>
                          <w:i/>
                          <w:sz w:val="24"/>
                          <w:szCs w:val="28"/>
                          <w:lang w:eastAsia="ru-RU"/>
                        </w:rPr>
                      </m:ctrlPr>
                    </m:sSubSupPr>
                    <m:e>
                      <m:r>
                        <w:rPr>
                          <w:rFonts w:ascii="Cambria Math" w:hAnsi="Cambria Math"/>
                          <w:szCs w:val="28"/>
                          <w:lang w:val="en-US"/>
                        </w:rPr>
                        <m:t>I</m:t>
                      </m:r>
                    </m:e>
                    <m:sub>
                      <m:r>
                        <w:rPr>
                          <w:rFonts w:ascii="Cambria Math" w:hAnsi="Cambria Math"/>
                          <w:szCs w:val="28"/>
                        </w:rPr>
                        <m:t>вд</m:t>
                      </m:r>
                      <m:r>
                        <w:rPr>
                          <w:rFonts w:ascii="Cambria Math" w:hAnsi="Cambria Math"/>
                          <w:szCs w:val="28"/>
                          <w:lang w:val="en-US"/>
                        </w:rPr>
                        <m:t>t</m:t>
                      </m:r>
                      <m:r>
                        <w:rPr>
                          <w:rFonts w:ascii="Cambria Math" w:hAnsi="Cambria Math"/>
                          <w:szCs w:val="28"/>
                        </w:rPr>
                        <m:t>-2</m:t>
                      </m:r>
                    </m:sub>
                    <m:sup>
                      <m:r>
                        <w:rPr>
                          <w:rFonts w:ascii="Cambria Math" w:hAnsi="Cambria Math"/>
                          <w:szCs w:val="28"/>
                        </w:rPr>
                        <m:t>ц</m:t>
                      </m:r>
                    </m:sup>
                  </m:sSubSup>
                  <m:r>
                    <w:rPr>
                      <w:rFonts w:ascii="Cambria Math" w:hAnsi="Cambria Math"/>
                      <w:szCs w:val="28"/>
                    </w:rPr>
                    <m:t>-</m:t>
                  </m:r>
                  <m:sSubSup>
                    <m:sSubSupPr>
                      <m:ctrlPr>
                        <w:rPr>
                          <w:rFonts w:ascii="Cambria Math" w:eastAsia="Times New Roman" w:hAnsi="Cambria Math"/>
                          <w:i/>
                          <w:sz w:val="24"/>
                          <w:szCs w:val="28"/>
                          <w:lang w:eastAsia="ru-RU"/>
                        </w:rPr>
                      </m:ctrlPr>
                    </m:sSubSupPr>
                    <m:e>
                      <m:r>
                        <w:rPr>
                          <w:rFonts w:ascii="Cambria Math" w:hAnsi="Cambria Math"/>
                          <w:szCs w:val="28"/>
                          <w:lang w:val="en-US"/>
                        </w:rPr>
                        <m:t>I</m:t>
                      </m:r>
                    </m:e>
                    <m:sub>
                      <m:r>
                        <w:rPr>
                          <w:rFonts w:ascii="Cambria Math" w:hAnsi="Cambria Math"/>
                          <w:szCs w:val="28"/>
                        </w:rPr>
                        <m:t>вд</m:t>
                      </m:r>
                      <m:r>
                        <w:rPr>
                          <w:rFonts w:ascii="Cambria Math" w:hAnsi="Cambria Math"/>
                          <w:szCs w:val="28"/>
                          <w:lang w:val="en-US"/>
                        </w:rPr>
                        <m:t>t</m:t>
                      </m:r>
                      <m:r>
                        <w:rPr>
                          <w:rFonts w:ascii="Cambria Math" w:hAnsi="Cambria Math"/>
                          <w:szCs w:val="28"/>
                        </w:rPr>
                        <m:t>-2</m:t>
                      </m:r>
                    </m:sub>
                    <m:sup>
                      <m:r>
                        <w:rPr>
                          <w:rFonts w:ascii="Cambria Math" w:hAnsi="Cambria Math"/>
                          <w:szCs w:val="28"/>
                        </w:rPr>
                        <m:t>ф</m:t>
                      </m:r>
                    </m:sup>
                  </m:sSubSup>
                </m:e>
              </m:d>
              <m:r>
                <w:rPr>
                  <w:rFonts w:ascii="Cambria Math" w:hAnsi="Cambria Math"/>
                  <w:szCs w:val="28"/>
                </w:rPr>
                <m:t>*</m:t>
              </m:r>
              <m:sSubSup>
                <m:sSubSupPr>
                  <m:ctrlPr>
                    <w:rPr>
                      <w:rFonts w:ascii="Cambria Math" w:eastAsia="Times New Roman" w:hAnsi="Cambria Math"/>
                      <w:i/>
                      <w:sz w:val="24"/>
                      <w:szCs w:val="28"/>
                      <w:lang w:eastAsia="ru-RU"/>
                    </w:rPr>
                  </m:ctrlPr>
                </m:sSubSupPr>
                <m:e>
                  <m:r>
                    <w:rPr>
                      <w:rFonts w:ascii="Cambria Math" w:hAnsi="Cambria Math"/>
                      <w:szCs w:val="28"/>
                    </w:rPr>
                    <m:t>НД</m:t>
                  </m:r>
                </m:e>
                <m:sub>
                  <m:r>
                    <w:rPr>
                      <w:rFonts w:ascii="Cambria Math" w:hAnsi="Cambria Math"/>
                      <w:szCs w:val="28"/>
                      <w:lang w:val="en-US"/>
                    </w:rPr>
                    <m:t>t</m:t>
                  </m:r>
                  <m:r>
                    <w:rPr>
                      <w:rFonts w:ascii="Cambria Math" w:hAnsi="Cambria Math"/>
                      <w:szCs w:val="28"/>
                    </w:rPr>
                    <m:t>-2</m:t>
                  </m:r>
                </m:sub>
                <m:sup>
                  <m:r>
                    <w:rPr>
                      <w:rFonts w:ascii="Cambria Math" w:hAnsi="Cambria Math"/>
                      <w:szCs w:val="28"/>
                      <w:lang w:val="en-US"/>
                    </w:rPr>
                    <m:t>n</m:t>
                  </m:r>
                </m:sup>
              </m:sSubSup>
              <m:r>
                <w:rPr>
                  <w:rFonts w:ascii="Cambria Math" w:hAnsi="Cambria Math"/>
                  <w:szCs w:val="28"/>
                </w:rPr>
                <m:t>, тис. грн</m:t>
              </m:r>
            </m:oMath>
            <w:r w:rsidR="00CF2AC1" w:rsidRPr="005A615E">
              <w:rPr>
                <w:rFonts w:ascii="Times New Roman" w:hAnsi="Times New Roman"/>
                <w:sz w:val="28"/>
                <w:szCs w:val="28"/>
              </w:rPr>
              <w:t xml:space="preserve">   </w:t>
            </w:r>
            <w:r w:rsidR="00CF2AC1" w:rsidRPr="005A615E">
              <w:rPr>
                <w:rFonts w:ascii="Times New Roman" w:hAnsi="Times New Roman"/>
              </w:rPr>
              <w:t>(49)</w:t>
            </w:r>
          </w:p>
          <w:p w:rsidR="00CF2AC1" w:rsidRPr="005A615E" w:rsidRDefault="00CF2AC1" w:rsidP="00CF2AC1">
            <w:pPr>
              <w:rPr>
                <w:rFonts w:ascii="Times New Roman" w:hAnsi="Times New Roman"/>
              </w:rPr>
            </w:pPr>
          </w:p>
          <w:p w:rsidR="00CF2AC1" w:rsidRPr="005A615E" w:rsidRDefault="000D13C5" w:rsidP="00CF2AC1">
            <w:pPr>
              <w:rPr>
                <w:rFonts w:ascii="Times New Roman" w:hAnsi="Times New Roman"/>
              </w:rPr>
            </w:pPr>
            <m:oMath>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вдз</m:t>
                  </m:r>
                  <m:r>
                    <w:rPr>
                      <w:rFonts w:ascii="Cambria Math" w:hAnsi="Cambria Math"/>
                      <w:lang w:val="en-US"/>
                    </w:rPr>
                    <m:t>t</m:t>
                  </m:r>
                </m:sub>
              </m:sSub>
              <m:r>
                <w:rPr>
                  <w:rFonts w:ascii="Cambria Math" w:hAnsi="Cambria Math"/>
                </w:rPr>
                <m:t xml:space="preserve">˂-0,005 × </m:t>
              </m:r>
              <m:sSubSup>
                <m:sSubSupPr>
                  <m:ctrlPr>
                    <w:rPr>
                      <w:rFonts w:ascii="Cambria Math" w:eastAsia="Times New Roman" w:hAnsi="Cambria Math"/>
                      <w:i/>
                      <w:sz w:val="24"/>
                      <w:szCs w:val="24"/>
                      <w:lang w:eastAsia="ru-RU"/>
                    </w:rPr>
                  </m:ctrlPr>
                </m:sSubSupPr>
                <m:e>
                  <m:r>
                    <w:rPr>
                      <w:rFonts w:ascii="Cambria Math" w:hAnsi="Cambria Math"/>
                    </w:rPr>
                    <m:t>НД</m:t>
                  </m:r>
                </m:e>
                <m:sub>
                  <m:r>
                    <w:rPr>
                      <w:rFonts w:ascii="Cambria Math" w:hAnsi="Cambria Math"/>
                      <w:lang w:val="en-US"/>
                    </w:rPr>
                    <m:t>t</m:t>
                  </m:r>
                  <m:r>
                    <w:rPr>
                      <w:rFonts w:ascii="Cambria Math" w:hAnsi="Cambria Math"/>
                    </w:rPr>
                    <m:t>-2</m:t>
                  </m:r>
                </m:sub>
                <m:sup>
                  <m:r>
                    <w:rPr>
                      <w:rFonts w:ascii="Cambria Math" w:hAnsi="Cambria Math"/>
                      <w:lang w:val="en-US"/>
                    </w:rPr>
                    <m:t>n</m:t>
                  </m:r>
                </m:sup>
              </m:sSubSup>
            </m:oMath>
            <w:r w:rsidR="00CF2AC1" w:rsidRPr="005A615E">
              <w:rPr>
                <w:rFonts w:ascii="Times New Roman" w:hAnsi="Times New Roman"/>
              </w:rPr>
              <w:t xml:space="preserve"> , то </w:t>
            </w:r>
            <m:oMath>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вдз</m:t>
                  </m:r>
                  <m:r>
                    <w:rPr>
                      <w:rFonts w:ascii="Cambria Math" w:hAnsi="Cambria Math"/>
                      <w:lang w:val="en-US"/>
                    </w:rPr>
                    <m:t>t</m:t>
                  </m:r>
                </m:sub>
              </m:sSub>
              <m:r>
                <w:rPr>
                  <w:rFonts w:ascii="Cambria Math" w:hAnsi="Cambria Math"/>
                </w:rPr>
                <m:t xml:space="preserve">=-0,005 × </m:t>
              </m:r>
              <m:sSubSup>
                <m:sSubSupPr>
                  <m:ctrlPr>
                    <w:rPr>
                      <w:rFonts w:ascii="Cambria Math" w:eastAsia="Times New Roman" w:hAnsi="Cambria Math"/>
                      <w:i/>
                      <w:sz w:val="24"/>
                      <w:szCs w:val="24"/>
                      <w:lang w:eastAsia="ru-RU"/>
                    </w:rPr>
                  </m:ctrlPr>
                </m:sSubSupPr>
                <m:e>
                  <m:r>
                    <w:rPr>
                      <w:rFonts w:ascii="Cambria Math" w:hAnsi="Cambria Math"/>
                    </w:rPr>
                    <m:t>НД</m:t>
                  </m:r>
                </m:e>
                <m:sub>
                  <m:r>
                    <w:rPr>
                      <w:rFonts w:ascii="Cambria Math" w:hAnsi="Cambria Math"/>
                      <w:lang w:val="en-US"/>
                    </w:rPr>
                    <m:t>t</m:t>
                  </m:r>
                  <m:r>
                    <w:rPr>
                      <w:rFonts w:ascii="Cambria Math" w:hAnsi="Cambria Math"/>
                    </w:rPr>
                    <m:t>-2</m:t>
                  </m:r>
                </m:sub>
                <m:sup>
                  <m:r>
                    <w:rPr>
                      <w:rFonts w:ascii="Cambria Math" w:hAnsi="Cambria Math"/>
                      <w:lang w:val="en-US"/>
                    </w:rPr>
                    <m:t>n</m:t>
                  </m:r>
                </m:sup>
              </m:sSubSup>
            </m:oMath>
            <w:r w:rsidR="00CF2AC1" w:rsidRPr="005A615E">
              <w:rPr>
                <w:rFonts w:ascii="Times New Roman" w:eastAsiaTheme="minorEastAsia" w:hAnsi="Times New Roman"/>
              </w:rPr>
              <w:t xml:space="preserve">        (50)</w:t>
            </w:r>
          </w:p>
          <w:p w:rsidR="00CF2AC1" w:rsidRPr="005A615E" w:rsidRDefault="00CF2AC1" w:rsidP="00CF2AC1">
            <w:pPr>
              <w:ind w:firstLine="709"/>
              <w:jc w:val="both"/>
              <w:rPr>
                <w:rFonts w:ascii="Times New Roman" w:hAnsi="Times New Roman"/>
              </w:rPr>
            </w:pPr>
          </w:p>
          <w:p w:rsidR="00CF2AC1" w:rsidRPr="005A615E" w:rsidRDefault="00CF2AC1" w:rsidP="00CF2AC1">
            <w:pPr>
              <w:ind w:firstLine="173"/>
              <w:jc w:val="both"/>
              <w:rPr>
                <w:rFonts w:ascii="Times New Roman" w:hAnsi="Times New Roman"/>
              </w:rPr>
            </w:pPr>
            <w:r w:rsidRPr="005A615E">
              <w:rPr>
                <w:rFonts w:ascii="Times New Roman" w:eastAsiaTheme="minorEastAsia" w:hAnsi="Times New Roman"/>
              </w:rPr>
              <w:t xml:space="preserve">де </w:t>
            </w: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вдt-2</m:t>
                  </m:r>
                </m:sub>
                <m:sup>
                  <m:r>
                    <w:rPr>
                      <w:rFonts w:ascii="Cambria Math" w:hAnsi="Cambria Math"/>
                    </w:rPr>
                    <m:t>ц</m:t>
                  </m:r>
                </m:sup>
              </m:sSubSup>
            </m:oMath>
            <w:r w:rsidRPr="005A615E">
              <w:rPr>
                <w:rFonts w:ascii="Times New Roman" w:hAnsi="Times New Roman"/>
              </w:rPr>
              <w:t xml:space="preserve"> – цільовий індекс відсотка втрачених у черзі дзвінків кол-центру – </w:t>
            </w:r>
            <w:r w:rsidRPr="005A615E">
              <w:rPr>
                <w:rFonts w:ascii="Times New Roman" w:hAnsi="Times New Roman"/>
                <w:shd w:val="clear" w:color="auto" w:fill="FFFFFF"/>
              </w:rPr>
              <w:t>не більше 10 %;</w:t>
            </w:r>
          </w:p>
          <w:p w:rsidR="00CF2AC1" w:rsidRPr="005A615E" w:rsidRDefault="000D13C5" w:rsidP="00CF2AC1">
            <w:pPr>
              <w:ind w:firstLine="173"/>
              <w:jc w:val="both"/>
              <w:rPr>
                <w:rFonts w:ascii="Times New Roman" w:hAnsi="Times New Roman"/>
              </w:rPr>
            </w:pPr>
            <m:oMath>
              <m:sSubSup>
                <m:sSubSupPr>
                  <m:ctrlPr>
                    <w:rPr>
                      <w:rFonts w:ascii="Cambria Math" w:eastAsia="Times New Roman" w:hAnsi="Cambria Math"/>
                      <w:i/>
                      <w:sz w:val="24"/>
                      <w:szCs w:val="24"/>
                      <w:lang w:eastAsia="ru-RU"/>
                    </w:rPr>
                  </m:ctrlPr>
                </m:sSubSupPr>
                <m:e>
                  <m:r>
                    <w:rPr>
                      <w:rFonts w:ascii="Cambria Math" w:hAnsi="Cambria Math"/>
                    </w:rPr>
                    <m:t>I</m:t>
                  </m:r>
                </m:e>
                <m:sub>
                  <m:r>
                    <w:rPr>
                      <w:rFonts w:ascii="Cambria Math" w:hAnsi="Cambria Math"/>
                    </w:rPr>
                    <m:t>вдt-2</m:t>
                  </m:r>
                </m:sub>
                <m:sup>
                  <m:r>
                    <w:rPr>
                      <w:rFonts w:ascii="Cambria Math" w:hAnsi="Cambria Math"/>
                    </w:rPr>
                    <m:t>ф</m:t>
                  </m:r>
                </m:sup>
              </m:sSubSup>
            </m:oMath>
            <w:r w:rsidR="00CF2AC1" w:rsidRPr="005A615E">
              <w:rPr>
                <w:rFonts w:ascii="Times New Roman" w:hAnsi="Times New Roman"/>
              </w:rPr>
              <w:t> – фактичний індекс відсотка втрачених у черзі дзвінків кол-центру у році t-2, визначається за даними додатка 4 до Мінімальних вимог до якості обслуговування споживачів електричної енергії кол-центрами, затверджених постановою НКРЕКП від 12 червня 2018 року № 373,</w:t>
            </w:r>
          </w:p>
          <w:p w:rsidR="00CF2AC1" w:rsidRPr="005A615E" w:rsidRDefault="00CF2AC1" w:rsidP="00CF2AC1">
            <w:pPr>
              <w:ind w:firstLine="709"/>
              <w:jc w:val="both"/>
              <w:rPr>
                <w:rFonts w:ascii="Times New Roman" w:hAnsi="Times New Roman"/>
              </w:rPr>
            </w:pPr>
            <m:oMath>
              <m:r>
                <w:rPr>
                  <w:rFonts w:ascii="Cambria Math" w:hAnsi="Cambria Math"/>
                </w:rPr>
                <m:t xml:space="preserve">Якщо </m:t>
              </m:r>
              <m:sSubSup>
                <m:sSubSupPr>
                  <m:ctrlPr>
                    <w:rPr>
                      <w:rFonts w:ascii="Cambria Math" w:eastAsia="Times New Roman" w:hAnsi="Cambria Math"/>
                      <w:i/>
                      <w:sz w:val="24"/>
                      <w:szCs w:val="24"/>
                      <w:lang w:eastAsia="ru-RU"/>
                    </w:rPr>
                  </m:ctrlPr>
                </m:sSubSupPr>
                <m:e>
                  <m:r>
                    <w:rPr>
                      <w:rFonts w:ascii="Cambria Math" w:hAnsi="Cambria Math"/>
                      <w:lang w:val="en-US"/>
                    </w:rPr>
                    <m:t>I</m:t>
                  </m:r>
                </m:e>
                <m:sub>
                  <m:r>
                    <w:rPr>
                      <w:rFonts w:ascii="Cambria Math" w:hAnsi="Cambria Math"/>
                    </w:rPr>
                    <m:t>вд</m:t>
                  </m:r>
                  <m:r>
                    <w:rPr>
                      <w:rFonts w:ascii="Cambria Math" w:hAnsi="Cambria Math"/>
                      <w:lang w:val="en-US"/>
                    </w:rPr>
                    <m:t>t</m:t>
                  </m:r>
                  <m:r>
                    <w:rPr>
                      <w:rFonts w:ascii="Cambria Math" w:hAnsi="Cambria Math"/>
                    </w:rPr>
                    <m:t>-2</m:t>
                  </m:r>
                </m:sub>
                <m:sup>
                  <m:r>
                    <w:rPr>
                      <w:rFonts w:ascii="Cambria Math" w:hAnsi="Cambria Math"/>
                    </w:rPr>
                    <m:t>ц</m:t>
                  </m:r>
                </m:sup>
              </m:sSubSup>
              <m:r>
                <w:rPr>
                  <w:rFonts w:ascii="Cambria Math" w:hAnsi="Cambria Math"/>
                </w:rPr>
                <m:t xml:space="preserve">- </m:t>
              </m:r>
              <m:sSubSup>
                <m:sSubSupPr>
                  <m:ctrlPr>
                    <w:rPr>
                      <w:rFonts w:ascii="Cambria Math" w:eastAsia="Times New Roman" w:hAnsi="Cambria Math"/>
                      <w:i/>
                      <w:sz w:val="24"/>
                      <w:szCs w:val="24"/>
                      <w:lang w:eastAsia="ru-RU"/>
                    </w:rPr>
                  </m:ctrlPr>
                </m:sSubSupPr>
                <m:e>
                  <m:r>
                    <w:rPr>
                      <w:rFonts w:ascii="Cambria Math" w:hAnsi="Cambria Math"/>
                      <w:lang w:val="en-US"/>
                    </w:rPr>
                    <m:t>I</m:t>
                  </m:r>
                </m:e>
                <m:sub>
                  <m:r>
                    <w:rPr>
                      <w:rFonts w:ascii="Cambria Math" w:hAnsi="Cambria Math"/>
                    </w:rPr>
                    <m:t>вд</m:t>
                  </m:r>
                  <m:r>
                    <w:rPr>
                      <w:rFonts w:ascii="Cambria Math" w:hAnsi="Cambria Math"/>
                      <w:lang w:val="en-US"/>
                    </w:rPr>
                    <m:t>t</m:t>
                  </m:r>
                  <m:r>
                    <w:rPr>
                      <w:rFonts w:ascii="Cambria Math" w:hAnsi="Cambria Math"/>
                    </w:rPr>
                    <m:t>-2</m:t>
                  </m:r>
                </m:sub>
                <m:sup>
                  <m:r>
                    <w:rPr>
                      <w:rFonts w:ascii="Cambria Math" w:hAnsi="Cambria Math"/>
                    </w:rPr>
                    <m:t>ф</m:t>
                  </m:r>
                </m:sup>
              </m:sSubSup>
              <m:r>
                <w:rPr>
                  <w:rFonts w:ascii="Cambria Math" w:hAnsi="Cambria Math"/>
                </w:rPr>
                <m:t xml:space="preserve">&gt;0, то </m:t>
              </m:r>
              <m:sSub>
                <m:sSubPr>
                  <m:ctrlPr>
                    <w:rPr>
                      <w:rFonts w:ascii="Cambria Math" w:eastAsia="Times New Roman" w:hAnsi="Cambria Math"/>
                      <w:i/>
                      <w:sz w:val="24"/>
                      <w:szCs w:val="24"/>
                      <w:lang w:eastAsia="ru-RU"/>
                    </w:rPr>
                  </m:ctrlPr>
                </m:sSubPr>
                <m:e>
                  <m:r>
                    <w:rPr>
                      <w:rFonts w:ascii="Cambria Math" w:hAnsi="Cambria Math"/>
                    </w:rPr>
                    <m:t>КЯ</m:t>
                  </m:r>
                </m:e>
                <m:sub>
                  <m:r>
                    <w:rPr>
                      <w:rFonts w:ascii="Cambria Math" w:hAnsi="Cambria Math"/>
                    </w:rPr>
                    <m:t>вд</m:t>
                  </m:r>
                  <m:r>
                    <w:rPr>
                      <w:rFonts w:ascii="Cambria Math" w:hAnsi="Cambria Math"/>
                      <w:lang w:val="en-US"/>
                    </w:rPr>
                    <m:t>t</m:t>
                  </m:r>
                </m:sub>
              </m:sSub>
              <m:r>
                <w:rPr>
                  <w:rFonts w:ascii="Cambria Math" w:hAnsi="Cambria Math"/>
                </w:rPr>
                <m:t>=0</m:t>
              </m:r>
            </m:oMath>
            <w:r w:rsidRPr="005A615E">
              <w:rPr>
                <w:rFonts w:ascii="Times New Roman" w:eastAsiaTheme="minorEastAsia" w:hAnsi="Times New Roman"/>
              </w:rPr>
              <w:t xml:space="preserve">        (51)</w:t>
            </w:r>
          </w:p>
          <w:p w:rsidR="00CF2AC1" w:rsidRPr="005A615E" w:rsidRDefault="00CF2AC1" w:rsidP="00CF2AC1">
            <w:pPr>
              <w:pStyle w:val="rvps2"/>
              <w:shd w:val="clear" w:color="auto" w:fill="FFFFFF"/>
              <w:spacing w:beforeAutospacing="0" w:after="150" w:afterAutospacing="0"/>
              <w:ind w:firstLine="164"/>
              <w:jc w:val="both"/>
              <w:rPr>
                <w:lang w:val="uk-UA"/>
              </w:rPr>
            </w:pPr>
          </w:p>
        </w:tc>
        <w:tc>
          <w:tcPr>
            <w:tcW w:w="5387" w:type="dxa"/>
          </w:tcPr>
          <w:p w:rsidR="00CF2AC1" w:rsidRPr="005A615E" w:rsidRDefault="00CF2AC1" w:rsidP="00CF2AC1">
            <w:pPr>
              <w:spacing w:after="75" w:line="259" w:lineRule="auto"/>
              <w:ind w:firstLine="240"/>
              <w:jc w:val="both"/>
              <w:rPr>
                <w:rFonts w:ascii="Times New Roman" w:hAnsi="Times New Roman"/>
                <w:b/>
                <w:sz w:val="24"/>
                <w:u w:val="single"/>
              </w:rPr>
            </w:pPr>
            <w:r w:rsidRPr="005A615E">
              <w:rPr>
                <w:rFonts w:ascii="Times New Roman" w:hAnsi="Times New Roman"/>
                <w:b/>
                <w:sz w:val="24"/>
                <w:u w:val="single"/>
              </w:rPr>
              <w:t xml:space="preserve">ГО «Перша енергетична рада» (лист </w:t>
            </w:r>
            <w:r w:rsidRPr="005A615E">
              <w:rPr>
                <w:rFonts w:ascii="Times New Roman" w:hAnsi="Times New Roman"/>
                <w:b/>
                <w:sz w:val="24"/>
                <w:u w:val="single"/>
              </w:rPr>
              <w:br/>
              <w:t xml:space="preserve">від 20.07.2026 № 28/01), 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 «Прикарпаттяобленерго» (лист </w:t>
            </w:r>
            <w:r w:rsidRPr="005A615E">
              <w:rPr>
                <w:rFonts w:ascii="Times New Roman" w:hAnsi="Times New Roman"/>
                <w:b/>
                <w:sz w:val="24"/>
                <w:u w:val="single"/>
              </w:rPr>
              <w:br/>
              <w:t>від 27.07.2026 № 50012257/12), 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p>
          <w:p w:rsidR="00CF2AC1" w:rsidRPr="005A615E" w:rsidRDefault="00CF2AC1" w:rsidP="00CF2AC1">
            <w:pPr>
              <w:jc w:val="both"/>
              <w:rPr>
                <w:rFonts w:ascii="Times New Roman" w:hAnsi="Times New Roman"/>
                <w:b/>
                <w:sz w:val="24"/>
              </w:rPr>
            </w:pPr>
            <w:r w:rsidRPr="005A615E">
              <w:rPr>
                <w:rFonts w:ascii="Times New Roman" w:hAnsi="Times New Roman"/>
                <w:b/>
                <w:sz w:val="24"/>
              </w:rPr>
              <w:t>Пункт 5.20 вилучити</w:t>
            </w:r>
          </w:p>
          <w:p w:rsidR="00CF2AC1" w:rsidRPr="005A615E" w:rsidRDefault="00CF2AC1" w:rsidP="00CF2AC1">
            <w:pPr>
              <w:jc w:val="both"/>
              <w:rPr>
                <w:rFonts w:ascii="Times New Roman" w:hAnsi="Times New Roman"/>
                <w:b/>
                <w:sz w:val="24"/>
              </w:rPr>
            </w:pPr>
          </w:p>
          <w:p w:rsidR="00CF2AC1" w:rsidRPr="005A615E" w:rsidRDefault="00CF2AC1" w:rsidP="00CF2AC1">
            <w:pPr>
              <w:rPr>
                <w:rFonts w:ascii="Times New Roman" w:hAnsi="Times New Roman"/>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В запропонованій редакції запровадження цільових показників комерційної якості послуг вбачається недоречним:</w:t>
            </w:r>
          </w:p>
          <w:p w:rsidR="00CF2AC1" w:rsidRPr="005A615E" w:rsidRDefault="00CF2AC1" w:rsidP="00CF2AC1">
            <w:pPr>
              <w:jc w:val="both"/>
              <w:rPr>
                <w:rFonts w:ascii="Times New Roman" w:hAnsi="Times New Roman"/>
              </w:rPr>
            </w:pPr>
            <w:r w:rsidRPr="005A615E">
              <w:rPr>
                <w:rFonts w:ascii="Times New Roman" w:hAnsi="Times New Roman"/>
              </w:rPr>
              <w:t xml:space="preserve"> - більшість з показників не входить до  переліку чинних показників якості послуг, </w:t>
            </w:r>
          </w:p>
          <w:p w:rsidR="00CF2AC1" w:rsidRPr="005A615E" w:rsidRDefault="00CF2AC1" w:rsidP="00CF2AC1">
            <w:pPr>
              <w:jc w:val="both"/>
              <w:rPr>
                <w:rFonts w:ascii="Times New Roman" w:hAnsi="Times New Roman"/>
              </w:rPr>
            </w:pPr>
            <w:r w:rsidRPr="005A615E">
              <w:rPr>
                <w:rFonts w:ascii="Times New Roman" w:hAnsi="Times New Roman"/>
              </w:rPr>
              <w:t xml:space="preserve"> - по двох показниках ОСР виплачують індивідуальні компенсації споживачам. Крім того, за порушення показників якості послуг на ОСР Регулятором накладаються штрафні санкції, відповідно матимуть місце подвійні/ потрійні фінансові санкції на ОСР за одні й ті самі порушення,</w:t>
            </w:r>
          </w:p>
          <w:p w:rsidR="00CF2AC1" w:rsidRPr="005A615E" w:rsidRDefault="00CF2AC1" w:rsidP="00CF2AC1">
            <w:pPr>
              <w:jc w:val="both"/>
              <w:rPr>
                <w:rFonts w:ascii="Times New Roman" w:hAnsi="Times New Roman"/>
              </w:rPr>
            </w:pPr>
            <w:r w:rsidRPr="005A615E">
              <w:rPr>
                <w:rFonts w:ascii="Times New Roman" w:hAnsi="Times New Roman"/>
              </w:rPr>
              <w:t xml:space="preserve"> - досяжність більшості з цільових показників є сумнівною, особливо в умовах військового стану і за відсутності можливості залучення нових інвестицій.</w:t>
            </w:r>
          </w:p>
          <w:p w:rsidR="00CF2AC1" w:rsidRPr="005A615E" w:rsidRDefault="00CF2AC1" w:rsidP="00CF2AC1">
            <w:pPr>
              <w:jc w:val="both"/>
              <w:rPr>
                <w:rFonts w:ascii="Times New Roman" w:hAnsi="Times New Roman"/>
                <w:u w:val="single"/>
              </w:rPr>
            </w:pPr>
            <w:r w:rsidRPr="005A615E">
              <w:rPr>
                <w:rFonts w:ascii="Times New Roman" w:hAnsi="Times New Roman"/>
              </w:rPr>
              <w:t>Запропонований показник якості к</w:t>
            </w:r>
            <w:r w:rsidRPr="005A615E">
              <w:rPr>
                <w:rFonts w:ascii="Times New Roman" w:hAnsi="Times New Roman"/>
                <w:iCs/>
                <w:szCs w:val="28"/>
              </w:rPr>
              <w:t>ореспондується</w:t>
            </w:r>
            <w:r w:rsidRPr="005A615E">
              <w:rPr>
                <w:rFonts w:ascii="Times New Roman" w:hAnsi="Times New Roman"/>
                <w:bCs/>
                <w:iCs/>
                <w:szCs w:val="28"/>
              </w:rPr>
              <w:t xml:space="preserve"> з гарантованим стандартом якості послуг ОСР (у</w:t>
            </w:r>
            <w:r w:rsidRPr="005A615E">
              <w:rPr>
                <w:rFonts w:ascii="Times New Roman" w:hAnsi="Times New Roman"/>
              </w:rPr>
              <w:t xml:space="preserve">сунення причин недотримання показників якості електричної енергії за результатами розгляду скарги/звернення/претензії споживача або групи споживачів), за порушення якого </w:t>
            </w:r>
            <w:r w:rsidRPr="005A615E">
              <w:rPr>
                <w:rFonts w:ascii="Times New Roman" w:hAnsi="Times New Roman"/>
                <w:u w:val="single"/>
              </w:rPr>
              <w:t>передбачена компенсація споживачам.</w:t>
            </w:r>
          </w:p>
          <w:p w:rsidR="00CF2AC1" w:rsidRPr="005A615E" w:rsidRDefault="00CF2AC1" w:rsidP="00CF2AC1">
            <w:pPr>
              <w:jc w:val="both"/>
              <w:rPr>
                <w:rFonts w:ascii="Times New Roman" w:hAnsi="Times New Roman"/>
              </w:rPr>
            </w:pPr>
            <w:r w:rsidRPr="005A615E">
              <w:rPr>
                <w:rFonts w:ascii="Times New Roman" w:hAnsi="Times New Roman"/>
              </w:rPr>
              <w:t>За запропонованою формулою вартість коригування може в рази перевищувати необхідний дохід ОСР.</w:t>
            </w:r>
          </w:p>
          <w:p w:rsidR="00CF2AC1" w:rsidRPr="005A615E" w:rsidRDefault="00CF2AC1" w:rsidP="00CF2AC1">
            <w:pPr>
              <w:jc w:val="both"/>
              <w:rPr>
                <w:rFonts w:ascii="Times New Roman" w:hAnsi="Times New Roman"/>
              </w:rPr>
            </w:pPr>
            <w:r w:rsidRPr="005A615E">
              <w:rPr>
                <w:rFonts w:ascii="Times New Roman" w:hAnsi="Times New Roman"/>
              </w:rPr>
              <w:t xml:space="preserve">Крім того запропонований показник </w:t>
            </w:r>
            <w:r w:rsidRPr="005A615E">
              <w:rPr>
                <w:rFonts w:ascii="Times New Roman" w:hAnsi="Times New Roman"/>
                <w:u w:val="single"/>
              </w:rPr>
              <w:t>відсутній у Порядку забезпечення стандартів якості електропостачання</w:t>
            </w:r>
            <w:r w:rsidRPr="005A615E">
              <w:rPr>
                <w:rFonts w:ascii="Times New Roman" w:hAnsi="Times New Roman"/>
              </w:rPr>
              <w:t xml:space="preserve"> та надання компенсацій споживачам за їх недотримання, затвердженому постановою НКРЕКП №375.</w:t>
            </w:r>
          </w:p>
          <w:p w:rsidR="00CF2AC1" w:rsidRPr="005A615E" w:rsidRDefault="00CF2AC1" w:rsidP="00CF2AC1">
            <w:pPr>
              <w:jc w:val="both"/>
              <w:rPr>
                <w:rFonts w:ascii="Times New Roman" w:hAnsi="Times New Roman"/>
              </w:rPr>
            </w:pPr>
            <w:r w:rsidRPr="005A615E">
              <w:rPr>
                <w:rFonts w:ascii="Times New Roman" w:hAnsi="Times New Roman"/>
              </w:rPr>
              <w:t>При цьому за запропонованою формулою вартість коригування може в рази перевищувати необхідний дохід ОСР.</w:t>
            </w:r>
          </w:p>
          <w:p w:rsidR="00CF2AC1" w:rsidRPr="005A615E" w:rsidRDefault="00CF2AC1" w:rsidP="00CF2AC1">
            <w:pPr>
              <w:jc w:val="both"/>
              <w:rPr>
                <w:rFonts w:ascii="Times New Roman" w:hAnsi="Times New Roman"/>
                <w:u w:val="single"/>
              </w:rPr>
            </w:pPr>
            <w:r w:rsidRPr="005A615E">
              <w:rPr>
                <w:rFonts w:ascii="Times New Roman" w:hAnsi="Times New Roman"/>
              </w:rPr>
              <w:t xml:space="preserve">Разом з цим запропонований </w:t>
            </w:r>
            <w:r w:rsidRPr="005A615E">
              <w:rPr>
                <w:rFonts w:ascii="Times New Roman" w:hAnsi="Times New Roman"/>
                <w:bCs/>
                <w:iCs/>
                <w:szCs w:val="28"/>
              </w:rPr>
              <w:t xml:space="preserve">показник кореспондується з гарантованим стандартом якості послуг ОСР </w:t>
            </w:r>
            <w:r w:rsidRPr="005A615E">
              <w:rPr>
                <w:rFonts w:ascii="Times New Roman" w:hAnsi="Times New Roman"/>
              </w:rPr>
              <w:t xml:space="preserve"> (позачерговий контрольний огляд та огляд схеми підключення засобів комерційного обліку), за порушення якого </w:t>
            </w:r>
            <w:r w:rsidRPr="005A615E">
              <w:rPr>
                <w:rFonts w:ascii="Times New Roman" w:hAnsi="Times New Roman"/>
                <w:u w:val="single"/>
              </w:rPr>
              <w:t>передбачена компенсація споживачам.</w:t>
            </w:r>
          </w:p>
          <w:p w:rsidR="00CF2AC1" w:rsidRPr="005A615E" w:rsidRDefault="00CF2AC1" w:rsidP="00CF2AC1">
            <w:pPr>
              <w:jc w:val="both"/>
              <w:rPr>
                <w:rFonts w:ascii="Times New Roman" w:hAnsi="Times New Roman"/>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i/>
                <w:u w:val="single"/>
              </w:rPr>
              <w:t xml:space="preserve">Обгрунтування </w:t>
            </w:r>
            <w:r w:rsidRPr="005A615E">
              <w:rPr>
                <w:rFonts w:ascii="Times New Roman" w:hAnsi="Times New Roman"/>
                <w:b/>
                <w:sz w:val="24"/>
                <w:u w:val="single"/>
              </w:rPr>
              <w:t xml:space="preserve">АТ «Прикарпаттяобленерго» </w:t>
            </w:r>
          </w:p>
          <w:p w:rsidR="00CF2AC1" w:rsidRPr="005A615E" w:rsidRDefault="00CF2AC1" w:rsidP="00CF2AC1">
            <w:pPr>
              <w:jc w:val="both"/>
              <w:rPr>
                <w:rFonts w:ascii="Times New Roman" w:hAnsi="Times New Roman"/>
                <w:b/>
                <w:sz w:val="24"/>
                <w:u w:val="single"/>
              </w:rPr>
            </w:pPr>
            <w:r w:rsidRPr="005A615E">
              <w:rPr>
                <w:rFonts w:ascii="Times New Roman" w:hAnsi="Times New Roman"/>
                <w:lang w:eastAsia="uk-UA"/>
              </w:rPr>
              <w:t xml:space="preserve">Пропонуємо не додавати даний пункт  </w:t>
            </w:r>
            <w:r w:rsidRPr="005A615E">
              <w:rPr>
                <w:rFonts w:ascii="Times New Roman" w:hAnsi="Times New Roman"/>
              </w:rPr>
              <w:t>в зв’язку з пропозицією до пункту 2 проекту постанови № 1009 не вводити додаткові</w:t>
            </w:r>
            <w:r w:rsidRPr="005A615E">
              <w:rPr>
                <w:rFonts w:ascii="Times New Roman" w:hAnsi="Times New Roman"/>
                <w:bCs/>
              </w:rPr>
              <w:t xml:space="preserve"> цільові показники комерційної якості послуг</w:t>
            </w:r>
            <w:r w:rsidRPr="005A615E">
              <w:rPr>
                <w:rFonts w:ascii="Times New Roman" w:hAnsi="Times New Roman"/>
              </w:rPr>
              <w:t xml:space="preserve">, оскільки їх виконання та штрафні санкції за недотримання і виплата компенсацій споживачам </w:t>
            </w:r>
            <w:r w:rsidRPr="005A615E">
              <w:rPr>
                <w:rFonts w:ascii="Times New Roman" w:hAnsi="Times New Roman"/>
                <w:shd w:val="clear" w:color="auto" w:fill="FFFFFF"/>
              </w:rPr>
              <w:t>регулюються іншими постановами НКРЕКП, а здійснення коригування необхідного доходу за невиконання цих показників призведе до подвоєння штрафів за однакові порушення.</w:t>
            </w:r>
          </w:p>
          <w:p w:rsidR="00CF2AC1" w:rsidRPr="005A615E" w:rsidRDefault="00CF2AC1" w:rsidP="00CF2AC1">
            <w:pPr>
              <w:jc w:val="both"/>
              <w:rPr>
                <w:rFonts w:ascii="Times New Roman" w:hAnsi="Times New Roman"/>
                <w:b/>
                <w:bCs/>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i/>
                <w:u w:val="single"/>
              </w:rPr>
              <w:t xml:space="preserve">Обгрунтування </w:t>
            </w:r>
            <w:r w:rsidRPr="005A615E">
              <w:rPr>
                <w:rFonts w:ascii="Times New Roman" w:hAnsi="Times New Roman"/>
                <w:b/>
                <w:sz w:val="24"/>
                <w:u w:val="single"/>
              </w:rPr>
              <w:t>ДТЕК, АТ «ТЕРНОПІЛЬОБЛЕНЕРГО», Громадська спілка «Розумні електромережі України», АТ «Харківобленерго», АТ «УКРАЇНСЬКІ РОЗПОДІЛЬНІ МЕРЕЖІ»,</w:t>
            </w:r>
            <w:r w:rsidRPr="005A615E">
              <w:rPr>
                <w:u w:val="single"/>
              </w:rPr>
              <w:t xml:space="preserve"> </w:t>
            </w:r>
            <w:r w:rsidRPr="005A615E">
              <w:rPr>
                <w:rFonts w:ascii="Times New Roman" w:hAnsi="Times New Roman"/>
                <w:b/>
                <w:sz w:val="24"/>
                <w:u w:val="single"/>
              </w:rPr>
              <w:t xml:space="preserve">АТ «ХМЕЛЬНИЦЬКОБЛЕНЕРГО» </w:t>
            </w:r>
          </w:p>
          <w:p w:rsidR="00CF2AC1" w:rsidRPr="005A615E" w:rsidRDefault="00CF2AC1" w:rsidP="00CF2AC1">
            <w:pPr>
              <w:jc w:val="both"/>
              <w:rPr>
                <w:rFonts w:ascii="Times New Roman" w:hAnsi="Times New Roman"/>
              </w:rPr>
            </w:pPr>
            <w:r w:rsidRPr="005A615E">
              <w:rPr>
                <w:rFonts w:ascii="Times New Roman" w:hAnsi="Times New Roman"/>
              </w:rPr>
              <w:t xml:space="preserve">1.Згідно з Порядком забезпечення стандартів якості (затверджений постановою НКРЕКП від 12 червня 2018 року N 375) передбачено необхідність виплати адресних компенсацій за недотримання показників якості у разі порущень ОСР встановлених строків або стандартів напруги. </w:t>
            </w:r>
          </w:p>
          <w:p w:rsidR="00CF2AC1" w:rsidRPr="005A615E" w:rsidRDefault="00CF2AC1" w:rsidP="00CF2AC1">
            <w:pPr>
              <w:jc w:val="both"/>
              <w:rPr>
                <w:rFonts w:ascii="Times New Roman" w:hAnsi="Times New Roman"/>
              </w:rPr>
            </w:pPr>
            <w:r w:rsidRPr="005A615E">
              <w:rPr>
                <w:rFonts w:ascii="Times New Roman" w:hAnsi="Times New Roman"/>
              </w:rPr>
              <w:t xml:space="preserve">2. </w:t>
            </w:r>
            <w:hyperlink r:id="rId263" w:tgtFrame="_blank" w:history="1">
              <w:r w:rsidRPr="005A615E">
                <w:rPr>
                  <w:rStyle w:val="a9"/>
                  <w:rFonts w:ascii="Times New Roman" w:hAnsi="Times New Roman"/>
                  <w:color w:val="auto"/>
                </w:rPr>
                <w:t>Кодексом системи розподілу</w:t>
              </w:r>
            </w:hyperlink>
            <w:r w:rsidRPr="005A615E">
              <w:rPr>
                <w:rFonts w:ascii="Times New Roman" w:hAnsi="Times New Roman"/>
              </w:rPr>
              <w:t xml:space="preserve"> передбачено механізм захисту прав споживача шляхом зниження вартості послуги, якщо ОСР протермінував виконання робіт із приєднання. Також, НКРЕКП за результатами перевірки накладає ОСР фінансовий штраф у разі порушення надання послуги з приєднання.</w:t>
            </w:r>
          </w:p>
          <w:p w:rsidR="00CF2AC1" w:rsidRPr="005A615E" w:rsidRDefault="00CF2AC1" w:rsidP="00CF2AC1">
            <w:pPr>
              <w:jc w:val="both"/>
              <w:rPr>
                <w:rFonts w:ascii="Times New Roman" w:hAnsi="Times New Roman"/>
              </w:rPr>
            </w:pPr>
            <w:r w:rsidRPr="005A615E">
              <w:rPr>
                <w:rFonts w:ascii="Times New Roman" w:hAnsi="Times New Roman"/>
              </w:rPr>
              <w:t>3. Вимоги із забезпечення автоматизованого дистанційного зчитуванням даних з вузлів обліку регулюється Кодексом комерційного обліку електричної енергії (ККОЕЕ). Відповідно до п. 2.3 Ліцензійних умов, ОСР має забезпечувати та здійснювати комерційний облік електричної енергії та обмін даними комерційного обліку відповідно до правил ринку та </w:t>
            </w:r>
            <w:hyperlink r:id="rId264" w:anchor="n9" w:tgtFrame="_blank" w:history="1">
              <w:r w:rsidRPr="005A615E">
                <w:rPr>
                  <w:rStyle w:val="a9"/>
                  <w:rFonts w:ascii="Times New Roman" w:hAnsi="Times New Roman"/>
                  <w:color w:val="auto"/>
                </w:rPr>
                <w:t>кодексу комерційного обліку</w:t>
              </w:r>
            </w:hyperlink>
            <w:r w:rsidRPr="005A615E">
              <w:rPr>
                <w:rFonts w:ascii="Times New Roman" w:hAnsi="Times New Roman"/>
              </w:rPr>
              <w:t>. Недотримання цієї вимоги вважається невиконанням Ліцензійних умов, за результатами чого застосовуються штрафи за результатами перевірок.</w:t>
            </w:r>
          </w:p>
          <w:p w:rsidR="00CF2AC1" w:rsidRPr="005A615E" w:rsidRDefault="00CF2AC1" w:rsidP="00CF2AC1">
            <w:pPr>
              <w:jc w:val="both"/>
              <w:rPr>
                <w:rFonts w:ascii="Times New Roman" w:hAnsi="Times New Roman"/>
              </w:rPr>
            </w:pPr>
            <w:r w:rsidRPr="005A615E">
              <w:rPr>
                <w:rFonts w:ascii="Times New Roman" w:hAnsi="Times New Roman"/>
              </w:rPr>
              <w:t>4. Вимоги щодо періодичності контрольних оглядів вузлів обліку електричної енергії визначаються Кодексом комерційного обліку електричної енергії. Порушення ККОЕЕ є порушенням ліцензійних умов діяльності ОСР, за результатами перевірок  застосовуються штрафні санкції до ОСР.</w:t>
            </w:r>
          </w:p>
          <w:p w:rsidR="00CF2AC1" w:rsidRPr="005A615E" w:rsidRDefault="00CF2AC1" w:rsidP="00CF2AC1">
            <w:pPr>
              <w:jc w:val="both"/>
              <w:rPr>
                <w:rFonts w:ascii="Times New Roman" w:hAnsi="Times New Roman"/>
              </w:rPr>
            </w:pPr>
            <w:r w:rsidRPr="005A615E">
              <w:rPr>
                <w:rFonts w:ascii="Times New Roman" w:hAnsi="Times New Roman"/>
              </w:rPr>
              <w:t xml:space="preserve">5. Відповідно до ПНКРЕКП від 12.06.2018 №375 до загальних стандартів якості надання послуг ОСР належать рівень сервісу кол-центру протягом 30 секунд (відсоток дзвінків, з'єднаних з оператором кол-центру протягом 30 секунд) у звітному році - не менше 75 %, індекс відсотка втрачених у черзі дзвінків кол-центру у звітному році ≤ 10 %. Питання функціонування кол-центрів включено до ліцензійних вимог провадження діяльності з розподілу, у разі його невиконання передбачені штрафи за результатами перевірок.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Таким чином за результатами щорічних перевірок ліцензованої діяльності згідно Порядку нарахування штрафів (постанова №1800 від 29.09.2023) нараховується штраф за кожний вид порушення з урахуванням кількості споживачів, тривалості тощо.</w:t>
            </w:r>
          </w:p>
          <w:p w:rsidR="00CF2AC1" w:rsidRPr="005A615E" w:rsidRDefault="00CF2AC1" w:rsidP="00CF2AC1">
            <w:pPr>
              <w:shd w:val="clear" w:color="auto" w:fill="FFFFFF"/>
              <w:jc w:val="both"/>
              <w:rPr>
                <w:rFonts w:ascii="Times New Roman" w:hAnsi="Times New Roman"/>
                <w:b/>
                <w:bCs/>
              </w:rPr>
            </w:pPr>
            <w:r w:rsidRPr="005A615E">
              <w:rPr>
                <w:rFonts w:ascii="Times New Roman" w:hAnsi="Times New Roman"/>
                <w:b/>
                <w:bCs/>
              </w:rPr>
              <w:t xml:space="preserve">Таким чином, вищезазначені в підпункті 9 показники якості  регулюються положеннями вже діючих документів. Додаткова фіксація цих вимог в іншому документі НКРЕКП призведе до подвоєння штрафів за однакові порушення. </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У разі запровадження індексів, що визначаються по запропонованим формулам, коригування необхідного доходу на значення цих індексів, може перевищувати тарифний рівень річного доходу ОСР.</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«ПОЛТАВАОБЛЕНЕРГО» (лист </w:t>
            </w:r>
            <w:r w:rsidRPr="005A615E">
              <w:rPr>
                <w:rFonts w:ascii="Times New Roman" w:hAnsi="Times New Roman"/>
                <w:b/>
                <w:sz w:val="24"/>
                <w:u w:val="single"/>
              </w:rPr>
              <w:br/>
              <w:t>від 20.07.2026 № 03.20/19248)</w:t>
            </w:r>
          </w:p>
          <w:p w:rsidR="00CF2AC1" w:rsidRPr="005A615E" w:rsidRDefault="00CF2AC1" w:rsidP="00CF2AC1">
            <w:pPr>
              <w:jc w:val="both"/>
              <w:rPr>
                <w:rFonts w:ascii="Times New Roman" w:hAnsi="Times New Roman"/>
                <w:bCs/>
                <w:iCs/>
                <w:szCs w:val="28"/>
              </w:rPr>
            </w:pPr>
            <w:r w:rsidRPr="005A615E">
              <w:rPr>
                <w:rFonts w:ascii="Times New Roman" w:hAnsi="Times New Roman"/>
                <w:bCs/>
                <w:iCs/>
                <w:szCs w:val="28"/>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CF2AC1" w:rsidRPr="005A615E" w:rsidRDefault="00CF2AC1" w:rsidP="00CF2AC1">
            <w:pPr>
              <w:jc w:val="both"/>
              <w:rPr>
                <w:rFonts w:ascii="Times New Roman" w:hAnsi="Times New Roman"/>
                <w:bCs/>
                <w:iCs/>
                <w:szCs w:val="28"/>
              </w:rPr>
            </w:pPr>
            <w:r w:rsidRPr="005A615E">
              <w:rPr>
                <w:rFonts w:ascii="Times New Roman" w:hAnsi="Times New Roman"/>
                <w:bCs/>
                <w:iCs/>
                <w:szCs w:val="28"/>
              </w:rPr>
              <w:t>…</w:t>
            </w:r>
          </w:p>
          <w:p w:rsidR="00CF2AC1" w:rsidRPr="005A615E" w:rsidRDefault="000D13C5" w:rsidP="00CF2AC1">
            <w:pPr>
              <w:rPr>
                <w:rFonts w:ascii="Times New Roman" w:hAnsi="Times New Roman"/>
                <w:bCs/>
                <w:iCs/>
                <w:szCs w:val="28"/>
              </w:rPr>
            </w:pPr>
            <m:oMath>
              <m:sSubSup>
                <m:sSubSupPr>
                  <m:ctrlPr>
                    <w:rPr>
                      <w:rFonts w:ascii="Cambria Math" w:hAnsi="Cambria Math"/>
                      <w:bCs/>
                      <w:iCs/>
                      <w:szCs w:val="28"/>
                    </w:rPr>
                  </m:ctrlPr>
                </m:sSubSupPr>
                <m:e>
                  <m:r>
                    <w:rPr>
                      <w:rFonts w:ascii="Cambria Math" w:hAnsi="Cambria Math"/>
                      <w:szCs w:val="28"/>
                    </w:rPr>
                    <m:t>I</m:t>
                  </m:r>
                </m:e>
                <m:sub>
                  <m:r>
                    <m:rPr>
                      <m:sty m:val="p"/>
                    </m:rPr>
                    <w:rPr>
                      <w:rFonts w:ascii="Cambria Math" w:hAnsi="Cambria Math"/>
                      <w:szCs w:val="28"/>
                    </w:rPr>
                    <m:t>нп</m:t>
                  </m:r>
                  <m:r>
                    <w:rPr>
                      <w:rFonts w:ascii="Cambria Math" w:hAnsi="Cambria Math"/>
                      <w:szCs w:val="28"/>
                    </w:rPr>
                    <m:t>t</m:t>
                  </m:r>
                  <m:r>
                    <m:rPr>
                      <m:sty m:val="p"/>
                    </m:rPr>
                    <w:rPr>
                      <w:rFonts w:ascii="Cambria Math" w:hAnsi="Cambria Math"/>
                      <w:szCs w:val="28"/>
                    </w:rPr>
                    <m:t>-2</m:t>
                  </m:r>
                </m:sub>
                <m:sup>
                  <m:r>
                    <m:rPr>
                      <m:sty m:val="p"/>
                    </m:rPr>
                    <w:rPr>
                      <w:rFonts w:ascii="Cambria Math" w:hAnsi="Cambria Math"/>
                      <w:szCs w:val="28"/>
                    </w:rPr>
                    <m:t>ф</m:t>
                  </m:r>
                </m:sup>
              </m:sSubSup>
              <m:r>
                <m:rPr>
                  <m:sty m:val="p"/>
                </m:rPr>
                <w:rPr>
                  <w:rFonts w:ascii="Cambria Math" w:hAnsi="Cambria Math"/>
                  <w:szCs w:val="28"/>
                </w:rPr>
                <m:t>=1-</m:t>
              </m:r>
              <m:f>
                <m:fPr>
                  <m:ctrlPr>
                    <w:rPr>
                      <w:rFonts w:ascii="Cambria Math" w:hAnsi="Cambria Math"/>
                      <w:bCs/>
                      <w:iCs/>
                      <w:szCs w:val="28"/>
                    </w:rPr>
                  </m:ctrlPr>
                </m:fPr>
                <m:num>
                  <m:sSubSup>
                    <m:sSubSupPr>
                      <m:ctrlPr>
                        <w:rPr>
                          <w:rFonts w:ascii="Cambria Math" w:hAnsi="Cambria Math"/>
                          <w:bCs/>
                          <w:iCs/>
                          <w:szCs w:val="28"/>
                        </w:rPr>
                      </m:ctrlPr>
                    </m:sSubSupPr>
                    <m:e>
                      <m:r>
                        <w:rPr>
                          <w:rFonts w:ascii="Cambria Math" w:hAnsi="Cambria Math"/>
                          <w:szCs w:val="28"/>
                        </w:rPr>
                        <m:t>N</m:t>
                      </m:r>
                    </m:e>
                    <m:sub>
                      <m:r>
                        <m:rPr>
                          <m:sty m:val="p"/>
                        </m:rPr>
                        <w:rPr>
                          <w:rFonts w:ascii="Cambria Math" w:hAnsi="Cambria Math"/>
                          <w:szCs w:val="28"/>
                        </w:rPr>
                        <m:t>нп</m:t>
                      </m:r>
                      <m:r>
                        <w:rPr>
                          <w:rFonts w:ascii="Cambria Math" w:hAnsi="Cambria Math"/>
                          <w:szCs w:val="28"/>
                        </w:rPr>
                        <m:t>t</m:t>
                      </m:r>
                      <m:r>
                        <m:rPr>
                          <m:sty m:val="p"/>
                        </m:rPr>
                        <w:rPr>
                          <w:rFonts w:ascii="Cambria Math" w:hAnsi="Cambria Math"/>
                          <w:szCs w:val="28"/>
                        </w:rPr>
                        <m:t>-2</m:t>
                      </m:r>
                    </m:sub>
                    <m:sup>
                      <m:r>
                        <m:rPr>
                          <m:sty m:val="p"/>
                        </m:rPr>
                        <w:rPr>
                          <w:rFonts w:ascii="Cambria Math" w:hAnsi="Cambria Math"/>
                          <w:szCs w:val="28"/>
                        </w:rPr>
                        <m:t>ф_ВЧ</m:t>
                      </m:r>
                    </m:sup>
                  </m:sSubSup>
                </m:num>
                <m:den>
                  <m:sSubSup>
                    <m:sSubSupPr>
                      <m:ctrlPr>
                        <w:rPr>
                          <w:rFonts w:ascii="Cambria Math" w:hAnsi="Cambria Math"/>
                          <w:bCs/>
                          <w:iCs/>
                          <w:szCs w:val="28"/>
                        </w:rPr>
                      </m:ctrlPr>
                    </m:sSubSupPr>
                    <m:e>
                      <m:r>
                        <w:rPr>
                          <w:rFonts w:ascii="Cambria Math" w:hAnsi="Cambria Math"/>
                          <w:szCs w:val="28"/>
                        </w:rPr>
                        <m:t>N</m:t>
                      </m:r>
                    </m:e>
                    <m:sub>
                      <m:r>
                        <m:rPr>
                          <m:sty m:val="p"/>
                        </m:rPr>
                        <w:rPr>
                          <w:rFonts w:ascii="Cambria Math" w:hAnsi="Cambria Math"/>
                          <w:szCs w:val="28"/>
                        </w:rPr>
                        <m:t>нп</m:t>
                      </m:r>
                      <m:r>
                        <w:rPr>
                          <w:rFonts w:ascii="Cambria Math" w:hAnsi="Cambria Math"/>
                          <w:szCs w:val="28"/>
                        </w:rPr>
                        <m:t>t</m:t>
                      </m:r>
                      <m:r>
                        <m:rPr>
                          <m:sty m:val="p"/>
                        </m:rPr>
                        <w:rPr>
                          <w:rFonts w:ascii="Cambria Math" w:hAnsi="Cambria Math"/>
                          <w:szCs w:val="28"/>
                        </w:rPr>
                        <m:t>-2</m:t>
                      </m:r>
                    </m:sub>
                    <m:sup>
                      <m:r>
                        <m:rPr>
                          <m:sty m:val="p"/>
                        </m:rPr>
                        <w:rPr>
                          <w:rFonts w:ascii="Cambria Math" w:hAnsi="Cambria Math"/>
                          <w:szCs w:val="28"/>
                        </w:rPr>
                        <m:t>ф_заг</m:t>
                      </m:r>
                    </m:sup>
                  </m:sSubSup>
                </m:den>
              </m:f>
              <m:r>
                <m:rPr>
                  <m:sty m:val="p"/>
                </m:rPr>
                <w:rPr>
                  <w:rFonts w:ascii="Cambria Math" w:hAnsi="Cambria Math"/>
                  <w:szCs w:val="28"/>
                </w:rPr>
                <m:t xml:space="preserve">        </m:t>
              </m:r>
            </m:oMath>
            <w:r w:rsidR="00CF2AC1" w:rsidRPr="005A615E">
              <w:rPr>
                <w:rFonts w:ascii="Times New Roman" w:hAnsi="Times New Roman"/>
                <w:bCs/>
                <w:iCs/>
                <w:szCs w:val="28"/>
              </w:rPr>
              <w:t>, %    (38)</w:t>
            </w:r>
          </w:p>
          <w:p w:rsidR="00CF2AC1" w:rsidRPr="005A615E" w:rsidRDefault="00CF2AC1" w:rsidP="00CF2AC1">
            <w:pPr>
              <w:jc w:val="both"/>
              <w:rPr>
                <w:rFonts w:ascii="Times New Roman" w:hAnsi="Times New Roman"/>
                <w:bCs/>
                <w:iCs/>
                <w:szCs w:val="28"/>
              </w:rPr>
            </w:pPr>
            <w:r w:rsidRPr="005A615E">
              <w:rPr>
                <w:rFonts w:ascii="Times New Roman" w:hAnsi="Times New Roman"/>
                <w:bCs/>
                <w:iCs/>
                <w:szCs w:val="28"/>
              </w:rPr>
              <w:t xml:space="preserve">де </w:t>
            </w:r>
            <m:oMath>
              <m:sSubSup>
                <m:sSubSupPr>
                  <m:ctrlPr>
                    <w:rPr>
                      <w:rFonts w:ascii="Cambria Math" w:hAnsi="Cambria Math"/>
                      <w:bCs/>
                      <w:iCs/>
                      <w:szCs w:val="28"/>
                    </w:rPr>
                  </m:ctrlPr>
                </m:sSubSupPr>
                <m:e>
                  <m:r>
                    <w:rPr>
                      <w:rFonts w:ascii="Cambria Math" w:hAnsi="Cambria Math"/>
                      <w:szCs w:val="28"/>
                    </w:rPr>
                    <m:t>N</m:t>
                  </m:r>
                </m:e>
                <m:sub>
                  <m:r>
                    <m:rPr>
                      <m:sty m:val="p"/>
                    </m:rPr>
                    <w:rPr>
                      <w:rFonts w:ascii="Cambria Math" w:hAnsi="Cambria Math"/>
                      <w:szCs w:val="28"/>
                    </w:rPr>
                    <m:t>нп</m:t>
                  </m:r>
                  <m:r>
                    <w:rPr>
                      <w:rFonts w:ascii="Cambria Math" w:hAnsi="Cambria Math"/>
                      <w:szCs w:val="28"/>
                    </w:rPr>
                    <m:t>t</m:t>
                  </m:r>
                  <m:r>
                    <m:rPr>
                      <m:sty m:val="p"/>
                    </m:rPr>
                    <w:rPr>
                      <w:rFonts w:ascii="Cambria Math" w:hAnsi="Cambria Math"/>
                      <w:szCs w:val="28"/>
                    </w:rPr>
                    <m:t>-2</m:t>
                  </m:r>
                </m:sub>
                <m:sup>
                  <m:r>
                    <m:rPr>
                      <m:sty m:val="p"/>
                    </m:rPr>
                    <w:rPr>
                      <w:rFonts w:ascii="Cambria Math" w:hAnsi="Cambria Math"/>
                      <w:szCs w:val="28"/>
                    </w:rPr>
                    <m:t>ф_ВЧ</m:t>
                  </m:r>
                </m:sup>
              </m:sSubSup>
            </m:oMath>
            <w:r w:rsidRPr="005A615E">
              <w:rPr>
                <w:rFonts w:ascii="Times New Roman" w:hAnsi="Times New Roman"/>
                <w:bCs/>
                <w:iCs/>
                <w:szCs w:val="28"/>
              </w:rPr>
              <w:t xml:space="preserve"> – кількість скарг/звернень/претензій споживачів, які визнані обґрунтованими, та щодо яких порушено строк усунення причин неналежної якості електричної енергії на рік t-2 </w:t>
            </w:r>
            <w:r w:rsidRPr="005A615E">
              <w:rPr>
                <w:rFonts w:ascii="Times New Roman" w:hAnsi="Times New Roman"/>
                <w:b/>
                <w:bCs/>
                <w:iCs/>
                <w:szCs w:val="28"/>
              </w:rPr>
              <w:t>(за виключенням скарг/звернень/претензій споживачів, які визнано обґрунтованими, де ОСР не є стороною відповідальною за усунення причин недотримання показників якості електричної енергії)</w:t>
            </w:r>
            <w:r w:rsidRPr="005A615E">
              <w:rPr>
                <w:rFonts w:ascii="Times New Roman" w:hAnsi="Times New Roman"/>
                <w:bCs/>
                <w:iCs/>
                <w:szCs w:val="28"/>
              </w:rPr>
              <w:t xml:space="preserve">, які визначаються за даними форми звітності № 10-НКРЕКП-якість-розподіл (річна) «Звіт щодо усунення причин незадовільної якості електричної енергії за скаргами споживачів», затвердженої постановою НКРЕКП від 12 червня 2018 року № 374; </w:t>
            </w:r>
          </w:p>
          <w:p w:rsidR="00CF2AC1" w:rsidRPr="005A615E" w:rsidRDefault="000D13C5" w:rsidP="00CF2AC1">
            <w:pPr>
              <w:jc w:val="both"/>
              <w:rPr>
                <w:rFonts w:ascii="Times New Roman" w:hAnsi="Times New Roman"/>
                <w:bCs/>
                <w:iCs/>
                <w:szCs w:val="28"/>
              </w:rPr>
            </w:pPr>
            <m:oMath>
              <m:sSubSup>
                <m:sSubSupPr>
                  <m:ctrlPr>
                    <w:rPr>
                      <w:rFonts w:ascii="Cambria Math" w:hAnsi="Cambria Math"/>
                      <w:i/>
                    </w:rPr>
                  </m:ctrlPr>
                </m:sSubSupPr>
                <m:e>
                  <m:r>
                    <w:rPr>
                      <w:rFonts w:ascii="Cambria Math" w:hAnsi="Cambria Math"/>
                    </w:rPr>
                    <m:t>N</m:t>
                  </m:r>
                </m:e>
                <m:sub>
                  <m:r>
                    <w:rPr>
                      <w:rFonts w:ascii="Cambria Math" w:hAnsi="Cambria Math"/>
                    </w:rPr>
                    <m:t>нпt-2</m:t>
                  </m:r>
                </m:sub>
                <m:sup>
                  <m:r>
                    <w:rPr>
                      <w:rFonts w:ascii="Cambria Math" w:hAnsi="Cambria Math"/>
                    </w:rPr>
                    <m:t>ф_заг</m:t>
                  </m:r>
                </m:sup>
              </m:sSubSup>
            </m:oMath>
            <w:r w:rsidR="00CF2AC1" w:rsidRPr="005A615E">
              <w:rPr>
                <w:rFonts w:ascii="Times New Roman" w:hAnsi="Times New Roman"/>
              </w:rPr>
              <w:t xml:space="preserve"> – загальна кількість скарг/звернень/претензій споживачів щодо неналежної якості електричної енергії, визнаних обґрунтованими на рік t-2 </w:t>
            </w:r>
            <w:r w:rsidR="00CF2AC1" w:rsidRPr="005A615E">
              <w:rPr>
                <w:rFonts w:ascii="Times New Roman" w:hAnsi="Times New Roman"/>
                <w:b/>
              </w:rPr>
              <w:t>(за виключенням скарг/звернень/претензій споживачів, які визнано обґрунтованими, де ОСР не є стороною відповідальною за усунення причин недотримання показників якості електричної енергії)</w:t>
            </w:r>
            <w:r w:rsidR="00CF2AC1" w:rsidRPr="005A615E">
              <w:rPr>
                <w:rFonts w:ascii="Times New Roman" w:hAnsi="Times New Roman"/>
              </w:rPr>
              <w:t xml:space="preserve">, </w:t>
            </w:r>
            <w:r w:rsidR="00CF2AC1" w:rsidRPr="005A615E">
              <w:rPr>
                <w:rFonts w:ascii="Times New Roman" w:hAnsi="Times New Roman"/>
                <w:lang w:eastAsia="uk-UA"/>
              </w:rPr>
              <w:t>які визначаються за даними форми звітності № 10-НКРЕКП-якість-розподіл (річна) «</w:t>
            </w:r>
            <w:r w:rsidR="00CF2AC1" w:rsidRPr="005A615E">
              <w:rPr>
                <w:rFonts w:ascii="Times New Roman" w:hAnsi="Times New Roman"/>
                <w:shd w:val="clear" w:color="auto" w:fill="FFFFFF"/>
              </w:rPr>
              <w:t>Звіт щодо усунення причин незадовільної якості електричної енергії за скаргами споживачів</w:t>
            </w:r>
            <w:r w:rsidR="00CF2AC1" w:rsidRPr="005A615E">
              <w:rPr>
                <w:rFonts w:ascii="Times New Roman" w:hAnsi="Times New Roman"/>
                <w:lang w:eastAsia="uk-UA"/>
              </w:rPr>
              <w:t>», затвердженої постановою НКРЕКП від 12 червня 2018 року № 374</w:t>
            </w:r>
            <w:r w:rsidR="00CF2AC1" w:rsidRPr="005A615E">
              <w:rPr>
                <w:rFonts w:ascii="Times New Roman" w:hAnsi="Times New Roman"/>
              </w:rPr>
              <w:t>;</w:t>
            </w:r>
          </w:p>
          <w:p w:rsidR="00CF2AC1" w:rsidRPr="005A615E" w:rsidRDefault="00CF2AC1" w:rsidP="00CF2AC1">
            <w:pPr>
              <w:jc w:val="both"/>
              <w:rPr>
                <w:rFonts w:ascii="Times New Roman" w:hAnsi="Times New Roman"/>
                <w:bCs/>
                <w:iCs/>
                <w:szCs w:val="28"/>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tabs>
                <w:tab w:val="left" w:pos="5625"/>
              </w:tabs>
              <w:ind w:firstLine="323"/>
              <w:jc w:val="both"/>
              <w:rPr>
                <w:rFonts w:ascii="Times New Roman" w:hAnsi="Times New Roman"/>
              </w:rPr>
            </w:pPr>
            <w:r w:rsidRPr="005A615E">
              <w:rPr>
                <w:rFonts w:ascii="Times New Roman" w:hAnsi="Times New Roman"/>
              </w:rPr>
              <w:t xml:space="preserve">До Товариства в значній кількості надходять скарги/звернення/претензії споживачів щодо незадовільної якості електричної енергії. У низці випадків за результатами проведених Товариством вимірювань у точках розподілу електричної енергії на межі балансової належності з ОСП/Основним споживачем та споживачами встановлюється, що невідповідність рівня напруги вимогам державних стандартів виникла не з вини ОСР. За результатами розгляду такі скарги споживачів визнаються обгрунтованими та включаються до </w:t>
            </w:r>
            <w:r w:rsidRPr="005A615E">
              <w:rPr>
                <w:rFonts w:ascii="Times New Roman" w:hAnsi="Times New Roman"/>
                <w:lang w:eastAsia="uk-UA"/>
              </w:rPr>
              <w:t>форми звітності № 10-НКРЕКП-якість-розподіл (річна) «</w:t>
            </w:r>
            <w:r w:rsidRPr="005A615E">
              <w:rPr>
                <w:rFonts w:ascii="Times New Roman" w:hAnsi="Times New Roman"/>
                <w:shd w:val="clear" w:color="auto" w:fill="FFFFFF"/>
              </w:rPr>
              <w:t>Звіт щодо усунення причин незадовільної якості електричної енергії за скаргами споживачів</w:t>
            </w:r>
            <w:r w:rsidRPr="005A615E">
              <w:rPr>
                <w:rFonts w:ascii="Times New Roman" w:hAnsi="Times New Roman"/>
                <w:lang w:eastAsia="uk-UA"/>
              </w:rPr>
              <w:t>», затвердженої постановою НКРЕКП від 12 червня 2018 року №374. При цьому Товариство не володіє інформацією щодо дати усунення причин незадовільної якості електричної енергії відповідно до законодавства. Крім того ф</w:t>
            </w:r>
            <w:r w:rsidRPr="005A615E">
              <w:rPr>
                <w:rFonts w:ascii="Times New Roman" w:hAnsi="Times New Roman"/>
              </w:rPr>
              <w:t xml:space="preserve">актичний строк усунення причин недотримання показників якості електричної енергії у таких випадках не залежить від ОСР. Товариство не має можливості впливати на строки виконання необхідних технічних або організаційних заходів. </w:t>
            </w:r>
          </w:p>
          <w:p w:rsidR="00CF2AC1" w:rsidRPr="005A615E" w:rsidRDefault="00CF2AC1" w:rsidP="00CF2AC1">
            <w:pPr>
              <w:jc w:val="both"/>
              <w:rPr>
                <w:rFonts w:ascii="Times New Roman" w:hAnsi="Times New Roman"/>
              </w:rPr>
            </w:pPr>
            <w:r w:rsidRPr="005A615E">
              <w:rPr>
                <w:rFonts w:ascii="Times New Roman" w:hAnsi="Times New Roman"/>
              </w:rPr>
              <w:t>Товариство вважає за доцільне не враховувати під час визначення фактичного індексу усунення причин недотримання показників якості електричної енергії у встановлений строк та, відповідно, індексу усунення причин недотримання показників якості електричної енергії у встановлений строк, кількість обґрунтованих скарг/звернень/ претензій споживачів, де ОСР не є стороною відповідальною за усунення причин недотримання показників якості електричної енергії.</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w:t>
            </w:r>
          </w:p>
          <w:p w:rsidR="00CF2AC1" w:rsidRPr="005A615E" w:rsidRDefault="00CF2AC1" w:rsidP="00CF2AC1">
            <w:pPr>
              <w:autoSpaceDE w:val="0"/>
              <w:autoSpaceDN w:val="0"/>
              <w:jc w:val="both"/>
              <w:rPr>
                <w:rFonts w:ascii="Times New Roman" w:hAnsi="Times New Roman"/>
                <w:szCs w:val="28"/>
              </w:rPr>
            </w:pPr>
            <w:r w:rsidRPr="005A615E">
              <w:rPr>
                <w:rFonts w:ascii="Times New Roman" w:hAnsi="Times New Roman"/>
                <w:szCs w:val="28"/>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CF2AC1" w:rsidRPr="005A615E" w:rsidRDefault="00CF2AC1" w:rsidP="00CF2AC1">
            <w:pPr>
              <w:autoSpaceDE w:val="0"/>
              <w:autoSpaceDN w:val="0"/>
              <w:ind w:firstLine="709"/>
              <w:jc w:val="both"/>
              <w:rPr>
                <w:rFonts w:ascii="Times New Roman" w:hAnsi="Times New Roman"/>
                <w:szCs w:val="28"/>
              </w:rPr>
            </w:pPr>
          </w:p>
          <w:p w:rsidR="00CF2AC1" w:rsidRPr="005A615E" w:rsidRDefault="000D13C5" w:rsidP="00CF2AC1">
            <w:pPr>
              <w:rPr>
                <w:rFonts w:ascii="Times New Roman" w:eastAsiaTheme="minorEastAsia" w:hAnsi="Times New Roman"/>
                <w:szCs w:val="28"/>
              </w:rPr>
            </w:pPr>
            <m:oMath>
              <m:sSub>
                <m:sSubPr>
                  <m:ctrlPr>
                    <w:rPr>
                      <w:rFonts w:ascii="Cambria Math" w:eastAsiaTheme="minorEastAsia" w:hAnsi="Cambria Math"/>
                      <w:szCs w:val="28"/>
                    </w:rPr>
                  </m:ctrlPr>
                </m:sSubPr>
                <m:e>
                  <m:r>
                    <w:rPr>
                      <w:rFonts w:ascii="Cambria Math" w:eastAsiaTheme="minorEastAsia" w:hAnsi="Cambria Math"/>
                      <w:szCs w:val="28"/>
                    </w:rPr>
                    <m:t>КЯ</m:t>
                  </m:r>
                </m:e>
                <m:sub>
                  <m:r>
                    <w:rPr>
                      <w:rFonts w:ascii="Cambria Math" w:hAnsi="Cambria Math"/>
                      <w:szCs w:val="28"/>
                    </w:rPr>
                    <m:t xml:space="preserve">t </m:t>
                  </m:r>
                </m:sub>
              </m:sSub>
              <m:r>
                <w:rPr>
                  <w:rFonts w:ascii="Cambria Math" w:hAnsi="Cambria Math"/>
                  <w:szCs w:val="28"/>
                </w:rPr>
                <m:t>=</m:t>
              </m:r>
              <m:sSub>
                <m:sSubPr>
                  <m:ctrlPr>
                    <w:rPr>
                      <w:rFonts w:ascii="Cambria Math" w:eastAsiaTheme="minorEastAsia" w:hAnsi="Cambria Math"/>
                      <w:szCs w:val="28"/>
                    </w:rPr>
                  </m:ctrlPr>
                </m:sSubPr>
                <m:e>
                  <m:r>
                    <w:rPr>
                      <w:rFonts w:ascii="Cambria Math" w:eastAsiaTheme="minorEastAsia" w:hAnsi="Cambria Math"/>
                      <w:szCs w:val="28"/>
                    </w:rPr>
                    <m:t>КЯ</m:t>
                  </m:r>
                </m:e>
                <m:sub>
                  <m:r>
                    <w:rPr>
                      <w:rFonts w:ascii="Cambria Math" w:hAnsi="Cambria Math"/>
                      <w:szCs w:val="28"/>
                    </w:rPr>
                    <m:t xml:space="preserve">яt </m:t>
                  </m:r>
                </m:sub>
              </m:sSub>
              <m:r>
                <m:rPr>
                  <m:sty m:val="p"/>
                </m:rPr>
                <w:rPr>
                  <w:rFonts w:ascii="Cambria Math" w:eastAsiaTheme="minorEastAsia" w:hAnsi="Cambria Math"/>
                  <w:szCs w:val="28"/>
                </w:rPr>
                <m:t xml:space="preserve">+ </m:t>
              </m:r>
              <m:sSub>
                <m:sSubPr>
                  <m:ctrlPr>
                    <w:rPr>
                      <w:rFonts w:ascii="Cambria Math" w:hAnsi="Cambria Math"/>
                      <w:b/>
                      <w:i/>
                      <w:strike/>
                      <w:szCs w:val="28"/>
                    </w:rPr>
                  </m:ctrlPr>
                </m:sSubPr>
                <m:e>
                  <m:r>
                    <m:rPr>
                      <m:sty m:val="bi"/>
                    </m:rPr>
                    <w:rPr>
                      <w:rFonts w:ascii="Cambria Math" w:hAnsi="Cambria Math"/>
                      <w:strike/>
                      <w:szCs w:val="28"/>
                    </w:rPr>
                    <m:t>КЯ</m:t>
                  </m:r>
                </m:e>
                <m:sub>
                  <m:r>
                    <m:rPr>
                      <m:sty m:val="bi"/>
                    </m:rPr>
                    <w:rPr>
                      <w:rFonts w:ascii="Cambria Math" w:hAnsi="Cambria Math"/>
                      <w:strike/>
                      <w:szCs w:val="28"/>
                    </w:rPr>
                    <m:t>нпt</m:t>
                  </m:r>
                </m:sub>
              </m:sSub>
              <m:r>
                <m:rPr>
                  <m:sty m:val="p"/>
                </m:rPr>
                <w:rPr>
                  <w:rFonts w:ascii="Cambria Math" w:eastAsiaTheme="minorEastAsia" w:hAnsi="Cambria Math"/>
                  <w:szCs w:val="28"/>
                </w:rPr>
                <m:t>+</m:t>
              </m:r>
              <m:r>
                <w:rPr>
                  <w:rFonts w:ascii="Cambria Math" w:eastAsiaTheme="minorEastAsia" w:hAnsi="Cambria Math"/>
                  <w:szCs w:val="28"/>
                </w:rPr>
                <m:t xml:space="preserve"> </m:t>
              </m:r>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прt</m:t>
                  </m:r>
                </m:sub>
              </m:sSub>
              <m:r>
                <m:rPr>
                  <m:sty m:val="p"/>
                </m:rPr>
                <w:rPr>
                  <w:rFonts w:ascii="Cambria Math" w:eastAsiaTheme="minorEastAsia" w:hAnsi="Cambria Math"/>
                  <w:szCs w:val="28"/>
                </w:rPr>
                <m:t>+</m:t>
              </m:r>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дt</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коt</m:t>
                  </m:r>
                </m:sub>
              </m:sSub>
            </m:oMath>
            <w:r w:rsidR="00CF2AC1" w:rsidRPr="005A615E">
              <w:rPr>
                <w:rFonts w:ascii="Times New Roman" w:eastAsiaTheme="minorEastAsia" w:hAnsi="Times New Roman"/>
                <w:szCs w:val="28"/>
              </w:rPr>
              <w:t xml:space="preserve"> + </w:t>
            </w:r>
            <m:oMath>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рсt</m:t>
                  </m:r>
                </m:sub>
              </m:sSub>
            </m:oMath>
            <w:r w:rsidR="00CF2AC1" w:rsidRPr="005A615E">
              <w:rPr>
                <w:rFonts w:ascii="Times New Roman" w:hAnsi="Times New Roman"/>
                <w:szCs w:val="28"/>
              </w:rPr>
              <w:t xml:space="preserve"> +</w:t>
            </w:r>
            <m:oMath>
              <m:r>
                <w:rPr>
                  <w:rFonts w:ascii="Cambria Math" w:hAnsi="Cambria Math"/>
                  <w:szCs w:val="28"/>
                </w:rPr>
                <m:t xml:space="preserve"> </m:t>
              </m:r>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вдзt</m:t>
                  </m:r>
                </m:sub>
              </m:sSub>
            </m:oMath>
            <w:r w:rsidR="00CF2AC1" w:rsidRPr="005A615E">
              <w:rPr>
                <w:rFonts w:ascii="Times New Roman" w:hAnsi="Times New Roman"/>
                <w:szCs w:val="28"/>
              </w:rPr>
              <w:t xml:space="preserve">, </w:t>
            </w:r>
            <w:r w:rsidR="00CF2AC1" w:rsidRPr="005A615E">
              <w:rPr>
                <w:rFonts w:ascii="Times New Roman" w:eastAsiaTheme="minorEastAsia" w:hAnsi="Times New Roman"/>
                <w:szCs w:val="28"/>
              </w:rPr>
              <w:t xml:space="preserve">тис. грн,    </w:t>
            </w:r>
            <w:hyperlink r:id="rId265" w:tgtFrame="_blank" w:history="1">
              <w:r w:rsidR="00CF2AC1" w:rsidRPr="005A615E">
                <w:rPr>
                  <w:rFonts w:ascii="Times New Roman" w:eastAsiaTheme="minorEastAsia" w:hAnsi="Times New Roman"/>
                  <w:szCs w:val="28"/>
                </w:rPr>
                <w:t>(</w:t>
              </w:r>
            </w:hyperlink>
            <w:hyperlink r:id="rId266" w:tgtFrame="_blank" w:history="1">
              <w:r w:rsidR="00CF2AC1" w:rsidRPr="005A615E">
                <w:rPr>
                  <w:rFonts w:ascii="Times New Roman" w:eastAsiaTheme="minorEastAsia" w:hAnsi="Times New Roman"/>
                  <w:szCs w:val="28"/>
                </w:rPr>
                <w:t>32</w:t>
              </w:r>
            </w:hyperlink>
            <w:hyperlink r:id="rId267" w:tgtFrame="_blank" w:history="1">
              <w:r w:rsidR="00CF2AC1" w:rsidRPr="005A615E">
                <w:rPr>
                  <w:rFonts w:ascii="Times New Roman" w:eastAsiaTheme="minorEastAsia" w:hAnsi="Times New Roman"/>
                  <w:szCs w:val="28"/>
                </w:rPr>
                <w:t>)</w:t>
              </w:r>
            </w:hyperlink>
          </w:p>
          <w:p w:rsidR="00CF2AC1" w:rsidRPr="005A615E" w:rsidRDefault="000D13C5" w:rsidP="00CF2AC1">
            <w:pPr>
              <w:ind w:firstLine="709"/>
              <w:rPr>
                <w:rFonts w:ascii="Times New Roman" w:hAnsi="Times New Roman"/>
                <w:szCs w:val="28"/>
              </w:rPr>
            </w:pPr>
            <m:oMath>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я</m:t>
                  </m:r>
                  <m:r>
                    <w:rPr>
                      <w:rFonts w:ascii="Cambria Math" w:hAnsi="Cambria Math"/>
                      <w:szCs w:val="28"/>
                    </w:rPr>
                    <m:t>t</m:t>
                  </m:r>
                  <m:r>
                    <m:rPr>
                      <m:sty m:val="p"/>
                    </m:rPr>
                    <w:rPr>
                      <w:rFonts w:ascii="Cambria Math" w:hAnsi="Cambria Math"/>
                      <w:szCs w:val="28"/>
                    </w:rPr>
                    <m:t xml:space="preserve"> </m:t>
                  </m:r>
                </m:sub>
              </m:sSub>
            </m:oMath>
            <w:r w:rsidR="00CF2AC1" w:rsidRPr="005A615E">
              <w:rPr>
                <w:rFonts w:ascii="Times New Roman" w:hAnsi="Times New Roman"/>
                <w:szCs w:val="28"/>
              </w:rPr>
              <w:t xml:space="preserve"> </w:t>
            </w:r>
            <m:oMath>
              <m:r>
                <m:rPr>
                  <m:sty m:val="p"/>
                </m:rPr>
                <w:rPr>
                  <w:rFonts w:ascii="Cambria Math" w:hAnsi="Cambria Math"/>
                  <w:szCs w:val="28"/>
                </w:rPr>
                <m:t>≤</m:t>
              </m:r>
            </m:oMath>
            <w:r w:rsidR="00CF2AC1" w:rsidRPr="005A615E">
              <w:rPr>
                <w:rFonts w:ascii="Times New Roman" w:hAnsi="Times New Roman"/>
                <w:szCs w:val="28"/>
              </w:rPr>
              <w:t>0,02</w:t>
            </w:r>
          </w:p>
          <w:p w:rsidR="00CF2AC1" w:rsidRPr="005A615E" w:rsidRDefault="000D13C5" w:rsidP="00CF2AC1">
            <w:pPr>
              <w:ind w:firstLine="709"/>
              <w:rPr>
                <w:rFonts w:ascii="Times New Roman" w:hAnsi="Times New Roman"/>
                <w:szCs w:val="28"/>
              </w:rPr>
            </w:pPr>
            <m:oMath>
              <m:sSub>
                <m:sSubPr>
                  <m:ctrlPr>
                    <w:rPr>
                      <w:rFonts w:ascii="Cambria Math" w:hAnsi="Cambria Math"/>
                      <w:szCs w:val="28"/>
                    </w:rPr>
                  </m:ctrlPr>
                </m:sSubPr>
                <m:e>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нп</m:t>
                      </m:r>
                      <m:r>
                        <w:rPr>
                          <w:rFonts w:ascii="Cambria Math" w:hAnsi="Cambria Math"/>
                          <w:szCs w:val="28"/>
                        </w:rPr>
                        <m:t>t</m:t>
                      </m:r>
                    </m:sub>
                  </m:sSub>
                  <m:r>
                    <m:rPr>
                      <m:sty m:val="p"/>
                    </m:rPr>
                    <w:rPr>
                      <w:rFonts w:ascii="Cambria Math" w:hAnsi="Cambria Math"/>
                      <w:szCs w:val="28"/>
                    </w:rPr>
                    <m:t>; КЯ</m:t>
                  </m:r>
                </m:e>
                <m:sub>
                  <m:r>
                    <m:rPr>
                      <m:sty m:val="p"/>
                    </m:rPr>
                    <w:rPr>
                      <w:rFonts w:ascii="Cambria Math" w:hAnsi="Cambria Math"/>
                      <w:szCs w:val="28"/>
                    </w:rPr>
                    <m:t>пр</m:t>
                  </m:r>
                  <m:r>
                    <w:rPr>
                      <w:rFonts w:ascii="Cambria Math" w:hAnsi="Cambria Math"/>
                      <w:szCs w:val="28"/>
                    </w:rPr>
                    <m:t>t</m:t>
                  </m:r>
                </m:sub>
              </m:sSub>
              <m:r>
                <m:rPr>
                  <m:sty m:val="p"/>
                </m:rPr>
                <w:rPr>
                  <w:rFonts w:ascii="Cambria Math" w:hAnsi="Cambria Math"/>
                  <w:szCs w:val="28"/>
                </w:rPr>
                <m:t xml:space="preserve">; </m:t>
              </m:r>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д</m:t>
                  </m:r>
                  <m:r>
                    <w:rPr>
                      <w:rFonts w:ascii="Cambria Math" w:hAnsi="Cambria Math"/>
                      <w:szCs w:val="28"/>
                    </w:rPr>
                    <m:t>t</m:t>
                  </m:r>
                </m:sub>
              </m:sSub>
              <m:r>
                <m:rPr>
                  <m:sty m:val="p"/>
                </m:rPr>
                <w:rPr>
                  <w:rFonts w:ascii="Cambria Math" w:hAnsi="Cambria Math"/>
                  <w:szCs w:val="28"/>
                </w:rPr>
                <m:t>;</m:t>
              </m:r>
            </m:oMath>
            <w:r w:rsidR="00CF2AC1" w:rsidRPr="005A615E">
              <w:rPr>
                <w:rFonts w:ascii="Times New Roman" w:hAnsi="Times New Roman"/>
                <w:szCs w:val="28"/>
              </w:rPr>
              <w:t xml:space="preserve"> </w:t>
            </w:r>
            <m:oMath>
              <m:sSub>
                <m:sSubPr>
                  <m:ctrlPr>
                    <w:rPr>
                      <w:rFonts w:ascii="Cambria Math" w:hAnsi="Cambria Math"/>
                      <w:szCs w:val="28"/>
                    </w:rPr>
                  </m:ctrlPr>
                </m:sSubPr>
                <m:e>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ко</m:t>
                      </m:r>
                      <m:r>
                        <w:rPr>
                          <w:rFonts w:ascii="Cambria Math" w:hAnsi="Cambria Math"/>
                          <w:szCs w:val="28"/>
                        </w:rPr>
                        <m:t>t</m:t>
                      </m:r>
                    </m:sub>
                  </m:sSub>
                  <m:r>
                    <m:rPr>
                      <m:sty m:val="p"/>
                    </m:rPr>
                    <w:rPr>
                      <w:rFonts w:ascii="Cambria Math" w:hAnsi="Cambria Math"/>
                      <w:szCs w:val="28"/>
                    </w:rPr>
                    <m:t xml:space="preserve">; </m:t>
                  </m:r>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рс</m:t>
                      </m:r>
                      <m:r>
                        <w:rPr>
                          <w:rFonts w:ascii="Cambria Math" w:hAnsi="Cambria Math"/>
                          <w:szCs w:val="28"/>
                        </w:rPr>
                        <m:t>t</m:t>
                      </m:r>
                    </m:sub>
                  </m:sSub>
                  <m:r>
                    <m:rPr>
                      <m:sty m:val="p"/>
                    </m:rPr>
                    <w:rPr>
                      <w:rFonts w:ascii="Cambria Math" w:hAnsi="Cambria Math"/>
                      <w:szCs w:val="28"/>
                    </w:rPr>
                    <m:t xml:space="preserve"> ;КЯ</m:t>
                  </m:r>
                </m:e>
                <m:sub>
                  <m:r>
                    <m:rPr>
                      <m:sty m:val="p"/>
                    </m:rPr>
                    <w:rPr>
                      <w:rFonts w:ascii="Cambria Math" w:hAnsi="Cambria Math"/>
                      <w:szCs w:val="28"/>
                    </w:rPr>
                    <m:t>вдз</m:t>
                  </m:r>
                  <m:r>
                    <w:rPr>
                      <w:rFonts w:ascii="Cambria Math" w:hAnsi="Cambria Math"/>
                      <w:szCs w:val="28"/>
                    </w:rPr>
                    <m:t>t</m:t>
                  </m:r>
                </m:sub>
              </m:sSub>
              <m:r>
                <m:rPr>
                  <m:sty m:val="p"/>
                </m:rPr>
                <w:rPr>
                  <w:rFonts w:ascii="Cambria Math" w:hAnsi="Cambria Math"/>
                  <w:szCs w:val="28"/>
                </w:rPr>
                <m:t>≤</m:t>
              </m:r>
            </m:oMath>
            <w:r w:rsidR="00CF2AC1" w:rsidRPr="005A615E">
              <w:rPr>
                <w:rFonts w:ascii="Times New Roman" w:hAnsi="Times New Roman"/>
                <w:szCs w:val="28"/>
              </w:rPr>
              <w:t>0,005</w:t>
            </w:r>
          </w:p>
          <w:tbl>
            <w:tblPr>
              <w:tblW w:w="8454"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2592"/>
              <w:gridCol w:w="566"/>
              <w:gridCol w:w="2121"/>
              <w:gridCol w:w="3175"/>
            </w:tblGrid>
            <w:tr w:rsidR="00CF2AC1" w:rsidRPr="005A615E" w:rsidTr="00033E93">
              <w:trPr>
                <w:trHeight w:val="313"/>
                <w:tblCellSpacing w:w="22" w:type="dxa"/>
              </w:trPr>
              <w:tc>
                <w:tcPr>
                  <w:tcW w:w="1493" w:type="pct"/>
                  <w:vAlign w:val="center"/>
                  <w:hideMark/>
                </w:tcPr>
                <w:p w:rsidR="00CF2AC1" w:rsidRPr="005A615E" w:rsidRDefault="000D13C5" w:rsidP="00CF2AC1">
                  <w:pPr>
                    <w:rPr>
                      <w:rFonts w:ascii="Times New Roman" w:hAnsi="Times New Roman"/>
                    </w:rPr>
                  </w:pPr>
                  <m:oMathPara>
                    <m:oMath>
                      <m:sSub>
                        <m:sSubPr>
                          <m:ctrlPr>
                            <w:rPr>
                              <w:rFonts w:ascii="Cambria Math" w:eastAsiaTheme="minorEastAsia" w:hAnsi="Cambria Math"/>
                            </w:rPr>
                          </m:ctrlPr>
                        </m:sSubPr>
                        <m:e>
                          <m:r>
                            <w:rPr>
                              <w:rFonts w:ascii="Cambria Math" w:eastAsiaTheme="minorEastAsia" w:hAnsi="Cambria Math"/>
                            </w:rPr>
                            <m:t>КЯ</m:t>
                          </m:r>
                        </m:e>
                        <m:sub>
                          <m:r>
                            <w:rPr>
                              <w:rFonts w:ascii="Cambria Math" w:hAnsi="Cambria Math"/>
                            </w:rPr>
                            <m:t xml:space="preserve">t </m:t>
                          </m:r>
                        </m:sub>
                      </m:sSub>
                      <m:r>
                        <w:rPr>
                          <w:rFonts w:ascii="Cambria Math" w:hAnsi="Cambria Math"/>
                        </w:rPr>
                        <m:t xml:space="preserve">˂-0,05 × </m:t>
                      </m:r>
                      <m:sSubSup>
                        <m:sSubSupPr>
                          <m:ctrlPr>
                            <w:rPr>
                              <w:rFonts w:ascii="Cambria Math" w:hAnsi="Cambria Math"/>
                              <w:i/>
                            </w:rPr>
                          </m:ctrlPr>
                        </m:sSubSupPr>
                        <m:e>
                          <m:r>
                            <w:rPr>
                              <w:rFonts w:ascii="Cambria Math" w:hAnsi="Cambria Math"/>
                            </w:rPr>
                            <m:t>НД</m:t>
                          </m:r>
                        </m:e>
                        <m:sub>
                          <m:r>
                            <w:rPr>
                              <w:rFonts w:ascii="Cambria Math" w:hAnsi="Cambria Math"/>
                            </w:rPr>
                            <m:t>t-2</m:t>
                          </m:r>
                        </m:sub>
                        <m:sup>
                          <m:r>
                            <w:rPr>
                              <w:rFonts w:ascii="Cambria Math" w:hAnsi="Cambria Math"/>
                            </w:rPr>
                            <m:t>n</m:t>
                          </m:r>
                        </m:sup>
                      </m:sSubSup>
                    </m:oMath>
                  </m:oMathPara>
                </w:p>
              </w:tc>
              <w:tc>
                <w:tcPr>
                  <w:tcW w:w="309" w:type="pct"/>
                  <w:vAlign w:val="center"/>
                  <w:hideMark/>
                </w:tcPr>
                <w:p w:rsidR="00CF2AC1" w:rsidRPr="005A615E" w:rsidRDefault="000D13C5" w:rsidP="00CF2AC1">
                  <w:pPr>
                    <w:rPr>
                      <w:rFonts w:ascii="Times New Roman" w:hAnsi="Times New Roman"/>
                    </w:rPr>
                  </w:pPr>
                  <w:hyperlink r:id="rId268" w:tgtFrame="_blank" w:history="1">
                    <w:r w:rsidR="00CF2AC1" w:rsidRPr="005A615E">
                      <w:rPr>
                        <w:rFonts w:ascii="Times New Roman" w:hAnsi="Times New Roman"/>
                      </w:rPr>
                      <w:t>, то</w:t>
                    </w:r>
                  </w:hyperlink>
                </w:p>
              </w:tc>
              <w:tc>
                <w:tcPr>
                  <w:tcW w:w="1228" w:type="pct"/>
                  <w:vAlign w:val="center"/>
                  <w:hideMark/>
                </w:tcPr>
                <w:p w:rsidR="00CF2AC1" w:rsidRPr="005A615E" w:rsidRDefault="000D13C5" w:rsidP="00CF2AC1">
                  <w:pPr>
                    <w:rPr>
                      <w:rFonts w:ascii="Times New Roman" w:hAnsi="Times New Roman"/>
                    </w:rPr>
                  </w:pPr>
                  <m:oMath>
                    <m:sSub>
                      <m:sSubPr>
                        <m:ctrlPr>
                          <w:rPr>
                            <w:rFonts w:ascii="Cambria Math" w:eastAsiaTheme="minorEastAsia" w:hAnsi="Cambria Math"/>
                          </w:rPr>
                        </m:ctrlPr>
                      </m:sSubPr>
                      <m:e>
                        <m:r>
                          <w:rPr>
                            <w:rFonts w:ascii="Cambria Math" w:eastAsiaTheme="minorEastAsia" w:hAnsi="Cambria Math"/>
                          </w:rPr>
                          <m:t>КЯ</m:t>
                        </m:r>
                      </m:e>
                      <m:sub>
                        <m:r>
                          <w:rPr>
                            <w:rFonts w:ascii="Cambria Math" w:hAnsi="Cambria Math"/>
                          </w:rPr>
                          <m:t xml:space="preserve">t </m:t>
                        </m:r>
                      </m:sub>
                    </m:sSub>
                    <m:r>
                      <w:rPr>
                        <w:rFonts w:ascii="Cambria Math" w:hAnsi="Cambria Math"/>
                      </w:rPr>
                      <m:t xml:space="preserve">=-0,05 × </m:t>
                    </m:r>
                    <m:sSubSup>
                      <m:sSubSupPr>
                        <m:ctrlPr>
                          <w:rPr>
                            <w:rFonts w:ascii="Cambria Math" w:hAnsi="Cambria Math"/>
                            <w:i/>
                          </w:rPr>
                        </m:ctrlPr>
                      </m:sSubSupPr>
                      <m:e>
                        <m:r>
                          <w:rPr>
                            <w:rFonts w:ascii="Cambria Math" w:hAnsi="Cambria Math"/>
                          </w:rPr>
                          <m:t>НД</m:t>
                        </m:r>
                      </m:e>
                      <m:sub>
                        <m:r>
                          <w:rPr>
                            <w:rFonts w:ascii="Cambria Math" w:hAnsi="Cambria Math"/>
                          </w:rPr>
                          <m:t>t-2</m:t>
                        </m:r>
                      </m:sub>
                      <m:sup>
                        <m:r>
                          <w:rPr>
                            <w:rFonts w:ascii="Cambria Math" w:hAnsi="Cambria Math"/>
                          </w:rPr>
                          <m:t>n</m:t>
                        </m:r>
                      </m:sup>
                    </m:sSubSup>
                  </m:oMath>
                  <w:r w:rsidR="00CF2AC1" w:rsidRPr="005A615E">
                    <w:rPr>
                      <w:rFonts w:ascii="Times New Roman" w:eastAsiaTheme="minorEastAsia" w:hAnsi="Times New Roman"/>
                    </w:rPr>
                    <w:t>,</w:t>
                  </w:r>
                </w:p>
              </w:tc>
              <w:tc>
                <w:tcPr>
                  <w:tcW w:w="1839" w:type="pct"/>
                  <w:vAlign w:val="center"/>
                  <w:hideMark/>
                </w:tcPr>
                <w:p w:rsidR="00CF2AC1" w:rsidRPr="005A615E" w:rsidRDefault="000D13C5" w:rsidP="00CF2AC1">
                  <w:pPr>
                    <w:rPr>
                      <w:rFonts w:ascii="Times New Roman" w:hAnsi="Times New Roman"/>
                    </w:rPr>
                  </w:pPr>
                  <w:hyperlink r:id="rId269" w:tgtFrame="_blank" w:history="1">
                    <w:r w:rsidR="00CF2AC1" w:rsidRPr="005A615E">
                      <w:rPr>
                        <w:rFonts w:ascii="Times New Roman" w:hAnsi="Times New Roman"/>
                      </w:rPr>
                      <w:t xml:space="preserve"> тис. грн;</w:t>
                    </w:r>
                  </w:hyperlink>
                  <w:r w:rsidR="00CF2AC1" w:rsidRPr="005A615E">
                    <w:rPr>
                      <w:rFonts w:ascii="Times New Roman" w:hAnsi="Times New Roman"/>
                    </w:rPr>
                    <w:t xml:space="preserve">   (33)</w:t>
                  </w:r>
                </w:p>
              </w:tc>
            </w:tr>
          </w:tbl>
          <w:p w:rsidR="00CF2AC1" w:rsidRPr="005A615E" w:rsidRDefault="00CF2AC1" w:rsidP="00CF2AC1">
            <w:pPr>
              <w:ind w:firstLine="709"/>
              <w:jc w:val="both"/>
              <w:rPr>
                <w:rFonts w:ascii="Times New Roman" w:hAnsi="Times New Roman"/>
                <w:szCs w:val="28"/>
              </w:rPr>
            </w:pPr>
          </w:p>
          <w:p w:rsidR="00CF2AC1" w:rsidRPr="005A615E" w:rsidRDefault="00CF2AC1" w:rsidP="00CF2AC1">
            <w:pPr>
              <w:ind w:firstLine="709"/>
              <w:jc w:val="both"/>
              <w:rPr>
                <w:rFonts w:ascii="Times New Roman" w:hAnsi="Times New Roman"/>
                <w:szCs w:val="28"/>
              </w:rPr>
            </w:pPr>
            <w:r w:rsidRPr="005A615E">
              <w:rPr>
                <w:rFonts w:ascii="Times New Roman" w:hAnsi="Times New Roman"/>
                <w:szCs w:val="28"/>
              </w:rPr>
              <w:t>1) тривалість довгих перерв в електропостачанні, на рік t визначається за формулами</w:t>
            </w:r>
          </w:p>
          <w:p w:rsidR="00CF2AC1" w:rsidRPr="005A615E" w:rsidRDefault="00CF2AC1" w:rsidP="00CF2AC1">
            <w:pPr>
              <w:ind w:firstLine="709"/>
              <w:jc w:val="both"/>
              <w:rPr>
                <w:rFonts w:ascii="Times New Roman" w:hAnsi="Times New Roman"/>
                <w:szCs w:val="28"/>
              </w:rPr>
            </w:pPr>
          </w:p>
          <w:p w:rsidR="00CF2AC1" w:rsidRPr="005A615E" w:rsidRDefault="000D13C5" w:rsidP="00CF2AC1">
            <w:pPr>
              <w:rPr>
                <w:rFonts w:ascii="Times New Roman" w:hAnsi="Times New Roman"/>
                <w:szCs w:val="28"/>
              </w:rPr>
            </w:pPr>
            <m:oMath>
              <m:sSub>
                <m:sSubPr>
                  <m:ctrlPr>
                    <w:rPr>
                      <w:rFonts w:ascii="Cambria Math" w:eastAsiaTheme="minorEastAsia" w:hAnsi="Cambria Math"/>
                      <w:szCs w:val="28"/>
                    </w:rPr>
                  </m:ctrlPr>
                </m:sSubPr>
                <m:e>
                  <m:r>
                    <w:rPr>
                      <w:rFonts w:ascii="Cambria Math" w:eastAsiaTheme="minorEastAsia" w:hAnsi="Cambria Math"/>
                      <w:szCs w:val="28"/>
                    </w:rPr>
                    <m:t>КЯ</m:t>
                  </m:r>
                </m:e>
                <m:sub>
                  <m:r>
                    <w:rPr>
                      <w:rFonts w:ascii="Cambria Math" w:hAnsi="Cambria Math"/>
                      <w:szCs w:val="28"/>
                    </w:rPr>
                    <m:t xml:space="preserve">яt </m:t>
                  </m:r>
                </m:sub>
              </m:sSub>
              <m:r>
                <w:rPr>
                  <w:rFonts w:ascii="Cambria Math" w:hAnsi="Cambria Math"/>
                  <w:szCs w:val="28"/>
                </w:rPr>
                <m:t>=</m:t>
              </m:r>
              <m:sSubSup>
                <m:sSubSupPr>
                  <m:ctrlPr>
                    <w:rPr>
                      <w:rFonts w:ascii="Cambria Math" w:hAnsi="Cambria Math"/>
                      <w:i/>
                      <w:szCs w:val="28"/>
                    </w:rPr>
                  </m:ctrlPr>
                </m:sSubSupPr>
                <m:e>
                  <m:r>
                    <w:rPr>
                      <w:rFonts w:ascii="Cambria Math" w:hAnsi="Cambria Math"/>
                      <w:szCs w:val="28"/>
                    </w:rPr>
                    <m:t>КЯ</m:t>
                  </m:r>
                </m:e>
                <m:sub>
                  <m:r>
                    <w:rPr>
                      <w:rFonts w:ascii="Cambria Math" w:hAnsi="Cambria Math"/>
                      <w:szCs w:val="28"/>
                    </w:rPr>
                    <m:t>яt</m:t>
                  </m:r>
                </m:sub>
                <m:sup>
                  <m:r>
                    <w:rPr>
                      <w:rFonts w:ascii="Cambria Math" w:hAnsi="Cambria Math"/>
                      <w:szCs w:val="28"/>
                    </w:rPr>
                    <m:t>м</m:t>
                  </m:r>
                </m:sup>
              </m:sSubSup>
              <m:r>
                <m:rPr>
                  <m:sty m:val="p"/>
                </m:rPr>
                <w:rPr>
                  <w:rFonts w:ascii="Cambria Math" w:eastAsiaTheme="minorEastAsia" w:hAnsi="Cambria Math"/>
                  <w:szCs w:val="28"/>
                </w:rPr>
                <m:t>+</m:t>
              </m:r>
              <m:sSubSup>
                <m:sSubSupPr>
                  <m:ctrlPr>
                    <w:rPr>
                      <w:rFonts w:ascii="Cambria Math" w:hAnsi="Cambria Math"/>
                      <w:i/>
                      <w:szCs w:val="28"/>
                    </w:rPr>
                  </m:ctrlPr>
                </m:sSubSupPr>
                <m:e>
                  <m:r>
                    <w:rPr>
                      <w:rFonts w:ascii="Cambria Math" w:hAnsi="Cambria Math"/>
                      <w:szCs w:val="28"/>
                    </w:rPr>
                    <m:t>КЯ</m:t>
                  </m:r>
                </m:e>
                <m:sub>
                  <m:r>
                    <w:rPr>
                      <w:rFonts w:ascii="Cambria Math" w:hAnsi="Cambria Math"/>
                      <w:szCs w:val="28"/>
                    </w:rPr>
                    <m:t>яt</m:t>
                  </m:r>
                </m:sub>
                <m:sup>
                  <m:r>
                    <w:rPr>
                      <w:rFonts w:ascii="Cambria Math" w:hAnsi="Cambria Math"/>
                      <w:szCs w:val="28"/>
                    </w:rPr>
                    <m:t>с</m:t>
                  </m:r>
                </m:sup>
              </m:sSubSup>
            </m:oMath>
            <w:r w:rsidR="00CF2AC1" w:rsidRPr="005A615E">
              <w:rPr>
                <w:rFonts w:ascii="Times New Roman" w:hAnsi="Times New Roman"/>
                <w:szCs w:val="28"/>
              </w:rPr>
              <w:t xml:space="preserve"> ,    </w:t>
            </w:r>
            <w:r w:rsidR="00CF2AC1" w:rsidRPr="005A615E">
              <w:rPr>
                <w:rFonts w:ascii="Times New Roman" w:eastAsiaTheme="minorEastAsia" w:hAnsi="Times New Roman"/>
                <w:szCs w:val="28"/>
              </w:rPr>
              <w:t>тис. грн,    (34)</w:t>
            </w:r>
          </w:p>
          <w:p w:rsidR="00CF2AC1" w:rsidRPr="005A615E" w:rsidRDefault="000D13C5" w:rsidP="00CF2AC1">
            <w:pPr>
              <w:ind w:firstLine="709"/>
              <w:jc w:val="both"/>
              <w:rPr>
                <w:rFonts w:ascii="Times New Roman" w:hAnsi="Times New Roman"/>
                <w:szCs w:val="28"/>
              </w:rPr>
            </w:pPr>
            <w:hyperlink r:id="rId270" w:tgtFrame="_blank" w:history="1">
              <w:r w:rsidR="00CF2AC1" w:rsidRPr="005A615E">
                <w:rPr>
                  <w:rFonts w:ascii="Times New Roman" w:hAnsi="Times New Roman"/>
                  <w:szCs w:val="28"/>
                </w:rPr>
                <w:t>де  </w:t>
              </w:r>
              <m:oMath>
                <m:sSubSup>
                  <m:sSubSupPr>
                    <m:ctrlPr>
                      <w:rPr>
                        <w:rFonts w:ascii="Cambria Math" w:hAnsi="Cambria Math"/>
                        <w:i/>
                        <w:szCs w:val="28"/>
                      </w:rPr>
                    </m:ctrlPr>
                  </m:sSubSupPr>
                  <m:e>
                    <m:r>
                      <m:rPr>
                        <m:sty m:val="p"/>
                      </m:rPr>
                      <w:rPr>
                        <w:rFonts w:ascii="Cambria Math" w:hAnsi="Cambria Math"/>
                        <w:szCs w:val="28"/>
                      </w:rPr>
                      <m:t>КЯ</m:t>
                    </m:r>
                  </m:e>
                  <m:sub>
                    <m:r>
                      <m:rPr>
                        <m:sty m:val="p"/>
                      </m:rPr>
                      <w:rPr>
                        <w:rFonts w:ascii="Cambria Math" w:hAnsi="Cambria Math"/>
                        <w:szCs w:val="28"/>
                      </w:rPr>
                      <m:t>яt</m:t>
                    </m:r>
                  </m:sub>
                  <m:sup>
                    <m:r>
                      <m:rPr>
                        <m:sty m:val="p"/>
                      </m:rPr>
                      <w:rPr>
                        <w:rFonts w:ascii="Cambria Math" w:hAnsi="Cambria Math"/>
                        <w:szCs w:val="28"/>
                      </w:rPr>
                      <m:t>м(с)</m:t>
                    </m:r>
                  </m:sup>
                </m:sSubSup>
              </m:oMath>
              <w:r w:rsidR="00CF2AC1" w:rsidRPr="005A615E">
                <w:rPr>
                  <w:rFonts w:ascii="Times New Roman" w:hAnsi="Times New Roman"/>
                  <w:szCs w:val="28"/>
                </w:rPr>
                <w:t>– складові якості послуг для міської (сільської) території, що розраховуються за формулами</w:t>
              </w:r>
            </w:hyperlink>
          </w:p>
          <w:p w:rsidR="00CF2AC1" w:rsidRPr="005A615E" w:rsidRDefault="00CF2AC1" w:rsidP="00CF2AC1">
            <w:pPr>
              <w:ind w:firstLine="709"/>
              <w:jc w:val="both"/>
              <w:rPr>
                <w:rFonts w:ascii="Times New Roman" w:hAnsi="Times New Roman"/>
                <w:szCs w:val="28"/>
              </w:rPr>
            </w:pPr>
          </w:p>
          <w:p w:rsidR="00CF2AC1" w:rsidRPr="005A615E" w:rsidRDefault="000D13C5" w:rsidP="00CF2AC1">
            <w:pPr>
              <w:ind w:left="507" w:hanging="567"/>
              <w:rPr>
                <w:rFonts w:ascii="Times New Roman" w:eastAsiaTheme="minorEastAsia" w:hAnsi="Times New Roman"/>
                <w:szCs w:val="28"/>
              </w:rPr>
            </w:pPr>
            <m:oMath>
              <m:sSubSup>
                <m:sSubSupPr>
                  <m:ctrlPr>
                    <w:rPr>
                      <w:rFonts w:ascii="Cambria Math" w:hAnsi="Cambria Math"/>
                      <w:i/>
                      <w:sz w:val="20"/>
                    </w:rPr>
                  </m:ctrlPr>
                </m:sSubSupPr>
                <m:e>
                  <m:r>
                    <w:rPr>
                      <w:rFonts w:ascii="Cambria Math" w:hAnsi="Cambria Math"/>
                      <w:sz w:val="20"/>
                    </w:rPr>
                    <m:t>КЯ</m:t>
                  </m:r>
                </m:e>
                <m:sub>
                  <m:r>
                    <w:rPr>
                      <w:rFonts w:ascii="Cambria Math" w:hAnsi="Cambria Math"/>
                      <w:sz w:val="20"/>
                    </w:rPr>
                    <m:t>яt</m:t>
                  </m:r>
                </m:sub>
                <m:sup>
                  <m:r>
                    <w:rPr>
                      <w:rFonts w:ascii="Cambria Math" w:hAnsi="Cambria Math"/>
                      <w:sz w:val="20"/>
                    </w:rPr>
                    <m:t>м(с)</m:t>
                  </m:r>
                </m:sup>
              </m:sSubSup>
              <m:r>
                <w:rPr>
                  <w:rFonts w:ascii="Cambria Math" w:hAnsi="Cambria Math"/>
                  <w:sz w:val="20"/>
                </w:rPr>
                <m:t>=</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SAIDI</m:t>
                      </m:r>
                    </m:e>
                    <m:sub>
                      <m:r>
                        <w:rPr>
                          <w:rFonts w:ascii="Cambria Math" w:hAnsi="Cambria Math"/>
                          <w:sz w:val="20"/>
                        </w:rPr>
                        <m:t>t-2</m:t>
                      </m:r>
                    </m:sub>
                    <m:sup>
                      <m:r>
                        <w:rPr>
                          <w:rFonts w:ascii="Cambria Math" w:hAnsi="Cambria Math"/>
                          <w:sz w:val="20"/>
                        </w:rPr>
                        <m:t>м</m:t>
                      </m:r>
                      <m:d>
                        <m:dPr>
                          <m:ctrlPr>
                            <w:rPr>
                              <w:rFonts w:ascii="Cambria Math" w:hAnsi="Cambria Math"/>
                              <w:i/>
                              <w:sz w:val="20"/>
                            </w:rPr>
                          </m:ctrlPr>
                        </m:dPr>
                        <m:e>
                          <m:r>
                            <w:rPr>
                              <w:rFonts w:ascii="Cambria Math" w:hAnsi="Cambria Math"/>
                              <w:sz w:val="20"/>
                            </w:rPr>
                            <m:t>с</m:t>
                          </m:r>
                        </m:e>
                      </m:d>
                      <m:r>
                        <w:rPr>
                          <w:rFonts w:ascii="Cambria Math" w:hAnsi="Cambria Math"/>
                          <w:sz w:val="20"/>
                        </w:rPr>
                        <m:t>р</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SAIDI</m:t>
                      </m:r>
                    </m:e>
                    <m:sub>
                      <m:r>
                        <w:rPr>
                          <w:rFonts w:ascii="Cambria Math" w:hAnsi="Cambria Math"/>
                          <w:sz w:val="20"/>
                        </w:rPr>
                        <m:t>t-2</m:t>
                      </m:r>
                    </m:sub>
                    <m:sup>
                      <m:r>
                        <w:rPr>
                          <w:rFonts w:ascii="Cambria Math" w:hAnsi="Cambria Math"/>
                          <w:sz w:val="20"/>
                        </w:rPr>
                        <m:t>м</m:t>
                      </m:r>
                      <m:d>
                        <m:dPr>
                          <m:ctrlPr>
                            <w:rPr>
                              <w:rFonts w:ascii="Cambria Math" w:hAnsi="Cambria Math"/>
                              <w:i/>
                              <w:sz w:val="20"/>
                            </w:rPr>
                          </m:ctrlPr>
                        </m:dPr>
                        <m:e>
                          <m:r>
                            <w:rPr>
                              <w:rFonts w:ascii="Cambria Math" w:hAnsi="Cambria Math"/>
                              <w:sz w:val="20"/>
                            </w:rPr>
                            <m:t>с</m:t>
                          </m:r>
                        </m:e>
                      </m:d>
                      <m:r>
                        <w:rPr>
                          <w:rFonts w:ascii="Cambria Math" w:hAnsi="Cambria Math"/>
                          <w:sz w:val="20"/>
                        </w:rPr>
                        <m:t>ф</m:t>
                      </m:r>
                    </m:sup>
                  </m:sSubSup>
                </m:e>
              </m:d>
              <m:r>
                <w:rPr>
                  <w:rFonts w:ascii="Cambria Math" w:hAnsi="Cambria Math"/>
                  <w:sz w:val="20"/>
                </w:rPr>
                <m:t>×</m:t>
              </m:r>
              <m:f>
                <m:fPr>
                  <m:ctrlPr>
                    <w:rPr>
                      <w:rFonts w:ascii="Cambria Math" w:eastAsiaTheme="minorEastAsia" w:hAnsi="Cambria Math"/>
                      <w:i/>
                      <w:sz w:val="20"/>
                    </w:rPr>
                  </m:ctrlPr>
                </m:fPr>
                <m:num>
                  <m:r>
                    <w:rPr>
                      <w:rFonts w:ascii="Cambria Math" w:eastAsiaTheme="minorEastAsia" w:hAnsi="Cambria Math"/>
                      <w:sz w:val="20"/>
                    </w:rPr>
                    <m:t xml:space="preserve">ПКя </m:t>
                  </m:r>
                  <m:r>
                    <w:rPr>
                      <w:rFonts w:ascii="Cambria Math"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Ц</m:t>
                      </m:r>
                    </m:e>
                    <m:sub>
                      <m:sSub>
                        <m:sSubPr>
                          <m:ctrlPr>
                            <w:rPr>
                              <w:rFonts w:ascii="Cambria Math" w:eastAsiaTheme="minorEastAsia" w:hAnsi="Cambria Math"/>
                              <w:i/>
                              <w:sz w:val="20"/>
                            </w:rPr>
                          </m:ctrlPr>
                        </m:sSubPr>
                        <m:e>
                          <m:r>
                            <w:rPr>
                              <w:rFonts w:ascii="Cambria Math" w:eastAsiaTheme="minorEastAsia" w:hAnsi="Cambria Math"/>
                              <w:sz w:val="20"/>
                            </w:rPr>
                            <m:t>2_</m:t>
                          </m:r>
                        </m:e>
                        <m:sub>
                          <m:r>
                            <w:rPr>
                              <w:rFonts w:ascii="Cambria Math" w:eastAsiaTheme="minorEastAsia" w:hAnsi="Cambria Math"/>
                              <w:sz w:val="20"/>
                            </w:rPr>
                            <m:t>t</m:t>
                          </m:r>
                        </m:sub>
                      </m:sSub>
                      <m:r>
                        <w:rPr>
                          <w:rFonts w:ascii="Cambria Math" w:eastAsiaTheme="minorEastAsia" w:hAnsi="Cambria Math"/>
                          <w:sz w:val="20"/>
                        </w:rPr>
                        <m:t>-2</m:t>
                      </m:r>
                    </m:sub>
                  </m:sSub>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W</m:t>
                      </m:r>
                    </m:e>
                    <m:sub>
                      <m:sSub>
                        <m:sSubPr>
                          <m:ctrlPr>
                            <w:rPr>
                              <w:rFonts w:ascii="Cambria Math" w:eastAsiaTheme="minorEastAsia" w:hAnsi="Cambria Math"/>
                              <w:i/>
                              <w:sz w:val="20"/>
                            </w:rPr>
                          </m:ctrlPr>
                        </m:sSubPr>
                        <m:e>
                          <m:r>
                            <w:rPr>
                              <w:rFonts w:ascii="Cambria Math" w:eastAsiaTheme="minorEastAsia" w:hAnsi="Cambria Math"/>
                              <w:sz w:val="20"/>
                            </w:rPr>
                            <m:t>2_</m:t>
                          </m:r>
                        </m:e>
                        <m:sub>
                          <m:r>
                            <w:rPr>
                              <w:rFonts w:ascii="Cambria Math" w:eastAsiaTheme="minorEastAsia" w:hAnsi="Cambria Math"/>
                              <w:sz w:val="20"/>
                            </w:rPr>
                            <m:t>t</m:t>
                          </m:r>
                        </m:sub>
                      </m:sSub>
                      <m:r>
                        <w:rPr>
                          <w:rFonts w:ascii="Cambria Math" w:eastAsiaTheme="minorEastAsia" w:hAnsi="Cambria Math"/>
                          <w:sz w:val="20"/>
                        </w:rPr>
                        <m:t>-2</m:t>
                      </m:r>
                    </m:sub>
                    <m:sup>
                      <m:r>
                        <w:rPr>
                          <w:rFonts w:ascii="Cambria Math" w:hAnsi="Cambria Math"/>
                          <w:sz w:val="20"/>
                        </w:rPr>
                        <m:t>м</m:t>
                      </m:r>
                      <m:d>
                        <m:dPr>
                          <m:ctrlPr>
                            <w:rPr>
                              <w:rFonts w:ascii="Cambria Math" w:hAnsi="Cambria Math"/>
                              <w:i/>
                              <w:sz w:val="20"/>
                            </w:rPr>
                          </m:ctrlPr>
                        </m:dPr>
                        <m:e>
                          <m:r>
                            <w:rPr>
                              <w:rFonts w:ascii="Cambria Math" w:hAnsi="Cambria Math"/>
                              <w:sz w:val="20"/>
                            </w:rPr>
                            <m:t>с</m:t>
                          </m:r>
                        </m:e>
                      </m:d>
                      <m:r>
                        <w:rPr>
                          <w:rFonts w:ascii="Cambria Math" w:hAnsi="Cambria Math"/>
                          <w:sz w:val="20"/>
                        </w:rPr>
                        <m:t>ф</m:t>
                      </m:r>
                    </m:sup>
                  </m:sSubSup>
                  <m:r>
                    <w:rPr>
                      <w:rFonts w:ascii="Cambria Math" w:eastAsiaTheme="minorEastAsia" w:hAnsi="Cambria Math"/>
                      <w:sz w:val="20"/>
                    </w:rPr>
                    <m:t xml:space="preserve"> </m:t>
                  </m:r>
                </m:num>
                <m:den>
                  <m:r>
                    <w:rPr>
                      <w:rFonts w:ascii="Cambria Math" w:eastAsiaTheme="minorEastAsia" w:hAnsi="Cambria Math"/>
                      <w:sz w:val="20"/>
                    </w:rPr>
                    <m:t xml:space="preserve">(365 </m:t>
                  </m:r>
                  <m:r>
                    <w:rPr>
                      <w:rFonts w:ascii="Cambria Math" w:hAnsi="Cambria Math"/>
                      <w:sz w:val="20"/>
                    </w:rPr>
                    <m:t>×</m:t>
                  </m:r>
                  <m:r>
                    <w:rPr>
                      <w:rFonts w:ascii="Cambria Math" w:eastAsiaTheme="minorEastAsia" w:hAnsi="Cambria Math"/>
                      <w:sz w:val="20"/>
                    </w:rPr>
                    <m:t xml:space="preserve"> 24 </m:t>
                  </m:r>
                  <m:r>
                    <w:rPr>
                      <w:rFonts w:ascii="Cambria Math" w:hAnsi="Cambria Math"/>
                      <w:sz w:val="20"/>
                    </w:rPr>
                    <m:t>×</m:t>
                  </m:r>
                  <m:r>
                    <w:rPr>
                      <w:rFonts w:ascii="Cambria Math" w:eastAsiaTheme="minorEastAsia" w:hAnsi="Cambria Math"/>
                      <w:sz w:val="20"/>
                    </w:rPr>
                    <m:t xml:space="preserve"> 60)</m:t>
                  </m:r>
                </m:den>
              </m:f>
              <m:r>
                <w:rPr>
                  <w:rFonts w:ascii="Cambria Math" w:hAnsi="Cambria Math"/>
                  <w:sz w:val="20"/>
                </w:rPr>
                <m:t xml:space="preserve"> ÷1000</m:t>
              </m:r>
            </m:oMath>
            <w:r w:rsidR="00CF2AC1" w:rsidRPr="005A615E">
              <w:rPr>
                <w:rFonts w:ascii="Times New Roman" w:eastAsiaTheme="minorEastAsia" w:hAnsi="Times New Roman"/>
                <w:szCs w:val="28"/>
              </w:rPr>
              <w:t>, тис. грн   (35),</w:t>
            </w:r>
          </w:p>
          <w:p w:rsidR="00CF2AC1" w:rsidRPr="005A615E" w:rsidRDefault="00CF2AC1" w:rsidP="00CF2AC1">
            <w:pPr>
              <w:ind w:left="507" w:hanging="567"/>
              <w:rPr>
                <w:rFonts w:ascii="Times New Roman" w:eastAsiaTheme="minorEastAsia" w:hAnsi="Times New Roman"/>
                <w:szCs w:val="28"/>
              </w:rPr>
            </w:pPr>
          </w:p>
          <w:tbl>
            <w:tblPr>
              <w:tblW w:w="7181"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1031"/>
              <w:gridCol w:w="2835"/>
              <w:gridCol w:w="764"/>
              <w:gridCol w:w="2551"/>
            </w:tblGrid>
            <w:tr w:rsidR="00CF2AC1" w:rsidRPr="005A615E" w:rsidTr="00247D24">
              <w:trPr>
                <w:trHeight w:val="412"/>
                <w:tblCellSpacing w:w="22" w:type="dxa"/>
              </w:trPr>
              <w:tc>
                <w:tcPr>
                  <w:tcW w:w="672" w:type="pct"/>
                  <w:vAlign w:val="center"/>
                  <w:hideMark/>
                </w:tcPr>
                <w:p w:rsidR="00CF2AC1" w:rsidRPr="005A615E" w:rsidRDefault="00CF2AC1" w:rsidP="00CF2AC1">
                  <w:pPr>
                    <w:rPr>
                      <w:rFonts w:ascii="Times New Roman" w:hAnsi="Times New Roman"/>
                      <w:szCs w:val="28"/>
                    </w:rPr>
                  </w:pPr>
                  <w:r w:rsidRPr="005A615E">
                    <w:rPr>
                      <w:rFonts w:ascii="Times New Roman" w:hAnsi="Times New Roman"/>
                      <w:szCs w:val="28"/>
                    </w:rPr>
                    <w:t xml:space="preserve"> </w:t>
                  </w:r>
                  <w:hyperlink r:id="rId271" w:tgtFrame="_blank" w:history="1">
                    <w:r w:rsidRPr="005A615E">
                      <w:rPr>
                        <w:rFonts w:ascii="Times New Roman" w:hAnsi="Times New Roman"/>
                        <w:szCs w:val="28"/>
                      </w:rPr>
                      <w:t>якщо</w:t>
                    </w:r>
                  </w:hyperlink>
                </w:p>
              </w:tc>
              <w:tc>
                <w:tcPr>
                  <w:tcW w:w="1943" w:type="pct"/>
                  <w:vAlign w:val="center"/>
                  <w:hideMark/>
                </w:tcPr>
                <w:p w:rsidR="00CF2AC1" w:rsidRPr="005A615E" w:rsidRDefault="00CF2AC1" w:rsidP="00CF2AC1">
                  <w:pPr>
                    <w:rPr>
                      <w:rFonts w:ascii="Times New Roman" w:hAnsi="Times New Roman"/>
                      <w:szCs w:val="28"/>
                    </w:rPr>
                  </w:pPr>
                  <w:r w:rsidRPr="005A615E">
                    <w:rPr>
                      <w:rFonts w:ascii="Times New Roman" w:hAnsi="Times New Roman"/>
                      <w:noProof/>
                      <w:szCs w:val="28"/>
                      <w:lang w:eastAsia="uk-UA"/>
                    </w:rPr>
                    <w:drawing>
                      <wp:inline distT="0" distB="0" distL="0" distR="0" wp14:anchorId="5E79F300" wp14:editId="076C2470">
                        <wp:extent cx="1516380" cy="191195"/>
                        <wp:effectExtent l="0" t="0" r="7620" b="0"/>
                        <wp:docPr id="423835348" name="Рисунок 423835348" descr="https://zakon-pro.ligazakon.net/l_flib1.nsf/LookupFiles/GK40721_IMG_299.GIF/$file/GK40721_IMG_2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7" name="Рисунок 1993780127" descr="https://zakon-pro.ligazakon.net/l_flib1.nsf/LookupFiles/GK40721_IMG_299.GIF/$file/GK40721_IMG_299.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1586521" cy="200039"/>
                                </a:xfrm>
                                <a:prstGeom prst="rect">
                                  <a:avLst/>
                                </a:prstGeom>
                                <a:noFill/>
                                <a:ln>
                                  <a:noFill/>
                                </a:ln>
                              </pic:spPr>
                            </pic:pic>
                          </a:graphicData>
                        </a:graphic>
                      </wp:inline>
                    </w:drawing>
                  </w:r>
                </w:p>
              </w:tc>
              <w:tc>
                <w:tcPr>
                  <w:tcW w:w="501" w:type="pct"/>
                  <w:vAlign w:val="center"/>
                  <w:hideMark/>
                </w:tcPr>
                <w:p w:rsidR="00CF2AC1" w:rsidRPr="005A615E" w:rsidRDefault="000D13C5" w:rsidP="00CF2AC1">
                  <w:pPr>
                    <w:rPr>
                      <w:rFonts w:ascii="Times New Roman" w:hAnsi="Times New Roman"/>
                      <w:szCs w:val="28"/>
                    </w:rPr>
                  </w:pPr>
                  <w:hyperlink r:id="rId272" w:tgtFrame="_blank" w:history="1">
                    <w:r w:rsidR="00CF2AC1" w:rsidRPr="005A615E">
                      <w:rPr>
                        <w:rFonts w:ascii="Times New Roman" w:hAnsi="Times New Roman"/>
                        <w:szCs w:val="28"/>
                      </w:rPr>
                      <w:t>, то</w:t>
                    </w:r>
                  </w:hyperlink>
                </w:p>
              </w:tc>
              <w:tc>
                <w:tcPr>
                  <w:tcW w:w="1730" w:type="pct"/>
                  <w:vAlign w:val="center"/>
                  <w:hideMark/>
                </w:tcPr>
                <w:p w:rsidR="00CF2AC1" w:rsidRPr="005A615E" w:rsidRDefault="000D13C5" w:rsidP="00CF2AC1">
                  <w:pPr>
                    <w:rPr>
                      <w:rFonts w:ascii="Times New Roman" w:hAnsi="Times New Roman"/>
                      <w:szCs w:val="28"/>
                    </w:rPr>
                  </w:pPr>
                  <m:oMath>
                    <m:sSubSup>
                      <m:sSubSupPr>
                        <m:ctrlPr>
                          <w:rPr>
                            <w:rFonts w:ascii="Cambria Math" w:hAnsi="Cambria Math"/>
                            <w:i/>
                            <w:szCs w:val="28"/>
                          </w:rPr>
                        </m:ctrlPr>
                      </m:sSubSupPr>
                      <m:e>
                        <m:r>
                          <w:rPr>
                            <w:rFonts w:ascii="Cambria Math" w:hAnsi="Cambria Math"/>
                            <w:szCs w:val="28"/>
                          </w:rPr>
                          <m:t>КЯ</m:t>
                        </m:r>
                      </m:e>
                      <m:sub>
                        <m:r>
                          <w:rPr>
                            <w:rFonts w:ascii="Cambria Math" w:hAnsi="Cambria Math"/>
                            <w:szCs w:val="28"/>
                          </w:rPr>
                          <m:t>яt</m:t>
                        </m:r>
                      </m:sub>
                      <m:sup>
                        <m:r>
                          <w:rPr>
                            <w:rFonts w:ascii="Cambria Math" w:hAnsi="Cambria Math"/>
                            <w:szCs w:val="28"/>
                          </w:rPr>
                          <m:t>м(с)</m:t>
                        </m:r>
                      </m:sup>
                    </m:sSubSup>
                  </m:oMath>
                  <w:r w:rsidR="00CF2AC1" w:rsidRPr="005A615E">
                    <w:rPr>
                      <w:rFonts w:ascii="Times New Roman" w:hAnsi="Times New Roman"/>
                      <w:szCs w:val="28"/>
                    </w:rPr>
                    <w:t>= 0          (36)</w:t>
                  </w:r>
                </w:p>
              </w:tc>
            </w:tr>
          </w:tbl>
          <w:p w:rsidR="00CF2AC1" w:rsidRPr="005A615E" w:rsidRDefault="00CF2AC1" w:rsidP="00CF2AC1">
            <w:pPr>
              <w:ind w:firstLine="315"/>
              <w:contextualSpacing/>
              <w:jc w:val="both"/>
              <w:rPr>
                <w:rFonts w:ascii="Times New Roman" w:hAnsi="Times New Roman"/>
              </w:rPr>
            </w:pPr>
            <w:r w:rsidRPr="005A615E">
              <w:rPr>
                <w:rFonts w:ascii="Times New Roman" w:eastAsiaTheme="minorEastAsia" w:hAnsi="Times New Roman"/>
              </w:rPr>
              <w:t xml:space="preserve">де </w:t>
            </w:r>
            <m:oMath>
              <w:hyperlink r:id="rId273" w:tgtFrame="_blank" w:history="1">
                <m:sSubSup>
                  <m:sSubSupPr>
                    <m:ctrlPr>
                      <w:rPr>
                        <w:rFonts w:ascii="Cambria Math" w:hAnsi="Cambria Math"/>
                        <w:i/>
                      </w:rPr>
                    </m:ctrlPr>
                  </m:sSubSupPr>
                  <m:e>
                    <m:r>
                      <m:rPr>
                        <m:sty m:val="p"/>
                      </m:rPr>
                      <w:rPr>
                        <w:rFonts w:ascii="Cambria Math" w:hAnsi="Cambria Math"/>
                      </w:rPr>
                      <m:t>SAIDI</m:t>
                    </m:r>
                  </m:e>
                  <m:sub>
                    <m:r>
                      <m:rPr>
                        <m:sty m:val="p"/>
                      </m:rPr>
                      <w:rPr>
                        <w:rFonts w:ascii="Cambria Math" w:hAnsi="Cambria Math"/>
                      </w:rPr>
                      <m:t>t-2</m:t>
                    </m:r>
                  </m:sub>
                  <m:sup>
                    <m:r>
                      <m:rPr>
                        <m:sty m:val="p"/>
                      </m:rPr>
                      <w:rPr>
                        <w:rFonts w:ascii="Cambria Math" w:hAnsi="Cambria Math"/>
                      </w:rPr>
                      <m:t>м</m:t>
                    </m:r>
                    <m:d>
                      <m:dPr>
                        <m:ctrlPr>
                          <w:rPr>
                            <w:rFonts w:ascii="Cambria Math" w:hAnsi="Cambria Math"/>
                            <w:i/>
                          </w:rPr>
                        </m:ctrlPr>
                      </m:dPr>
                      <m:e>
                        <m:r>
                          <m:rPr>
                            <m:sty m:val="p"/>
                          </m:rPr>
                          <w:rPr>
                            <w:rFonts w:ascii="Cambria Math" w:hAnsi="Cambria Math"/>
                          </w:rPr>
                          <m:t>с</m:t>
                        </m:r>
                      </m:e>
                    </m:d>
                    <m:r>
                      <m:rPr>
                        <m:sty m:val="p"/>
                      </m:rPr>
                      <w:rPr>
                        <w:rFonts w:ascii="Cambria Math" w:hAnsi="Cambria Math"/>
                      </w:rPr>
                      <m:t>р</m:t>
                    </m:r>
                  </m:sup>
                </m:sSubSup>
              </w:hyperlink>
            </m:oMath>
            <w:r w:rsidRPr="005A615E">
              <w:rPr>
                <w:rFonts w:ascii="Times New Roman" w:hAnsi="Times New Roman"/>
              </w:rPr>
              <w:t xml:space="preserve">  з першого року другого </w:t>
            </w:r>
            <w:r w:rsidRPr="005A615E">
              <w:rPr>
                <w:rFonts w:ascii="Times New Roman" w:hAnsi="Times New Roman"/>
                <w:lang w:eastAsia="uk-UA"/>
              </w:rPr>
              <w:t xml:space="preserve">регуляторного періоду </w:t>
            </w:r>
            <w:r w:rsidRPr="005A615E">
              <w:rPr>
                <w:rFonts w:ascii="Times New Roman" w:hAnsi="Times New Roman"/>
              </w:rPr>
              <w:t>продовжує визначатися за формулами 30 та 31 пункту 5.19 цього Порядку (може бути змінено з другого року другого регуляторного періоду за результатами бенчмаркінгу);</w:t>
            </w:r>
          </w:p>
          <w:p w:rsidR="00CF2AC1" w:rsidRPr="005A615E" w:rsidRDefault="000D13C5" w:rsidP="00CF2AC1">
            <w:pPr>
              <w:ind w:firstLine="315"/>
              <w:contextualSpacing/>
              <w:jc w:val="both"/>
              <w:rPr>
                <w:rFonts w:ascii="Times New Roman" w:hAnsi="Times New Roman"/>
              </w:rPr>
            </w:pPr>
            <w:hyperlink r:id="rId274" w:tgtFrame="_blank" w:history="1">
              <w:r w:rsidR="00CF2AC1" w:rsidRPr="005A615E">
                <w:rPr>
                  <w:rFonts w:ascii="Times New Roman" w:hAnsi="Times New Roman"/>
                </w:rPr>
                <w:t>ПКя – встановлений НКРЕКП параметр коригування необхідного доходу за недотримання показників якості послуг для відповідних територій (ПК &gt; 1).</w:t>
              </w:r>
            </w:hyperlink>
          </w:p>
          <w:p w:rsidR="00CF2AC1" w:rsidRPr="005A615E" w:rsidRDefault="000D13C5" w:rsidP="00CF2AC1">
            <w:pPr>
              <w:ind w:firstLine="315"/>
              <w:contextualSpacing/>
              <w:jc w:val="both"/>
              <w:rPr>
                <w:rFonts w:ascii="Times New Roman" w:hAnsi="Times New Roman"/>
              </w:rPr>
            </w:pPr>
            <w:hyperlink r:id="rId275" w:tgtFrame="_blank" w:history="1">
              <w:r w:rsidR="00CF2AC1" w:rsidRPr="005A615E">
                <w:rPr>
                  <w:rFonts w:ascii="Times New Roman" w:hAnsi="Times New Roman"/>
                </w:rPr>
                <w:t>За результатами здійснення заходів контролю за дотриманням Ліцензійних умов показник КЯя може бути уточнено.</w:t>
              </w:r>
            </w:hyperlink>
          </w:p>
          <w:p w:rsidR="00CF2AC1" w:rsidRPr="005A615E" w:rsidRDefault="000D13C5" w:rsidP="00CF2AC1">
            <w:pPr>
              <w:widowControl w:val="0"/>
              <w:ind w:firstLine="315"/>
              <w:contextualSpacing/>
              <w:jc w:val="both"/>
              <w:rPr>
                <w:rFonts w:ascii="Times New Roman" w:hAnsi="Times New Roman"/>
              </w:rPr>
            </w:pPr>
            <w:hyperlink r:id="rId276" w:tgtFrame="_blank" w:history="1">
              <w:r w:rsidR="00CF2AC1" w:rsidRPr="005A615E">
                <w:rPr>
                  <w:rFonts w:ascii="Times New Roman" w:hAnsi="Times New Roman"/>
                </w:rPr>
                <w:t>Коригування необхідного доходу відповідно до даних виконання цільового завдання щодо досягнення показників якості послуг тривалості довгих перерв за 2027</w:t>
              </w:r>
            </w:hyperlink>
            <w:r w:rsidR="00CF2AC1" w:rsidRPr="005A615E">
              <w:rPr>
                <w:rFonts w:ascii="Times New Roman" w:hAnsi="Times New Roman"/>
              </w:rPr>
              <w:t> рік</w:t>
            </w:r>
            <w:hyperlink r:id="rId277" w:tgtFrame="_blank" w:history="1">
              <w:r w:rsidR="00CF2AC1" w:rsidRPr="005A615E">
                <w:rPr>
                  <w:rFonts w:ascii="Times New Roman" w:hAnsi="Times New Roman"/>
                </w:rPr>
                <w:t xml:space="preserve"> не застосовується до ліцензіатів, наведених у додатку 34 до цього Порядку</w:t>
              </w:r>
            </w:hyperlink>
            <w:hyperlink r:id="rId278" w:tgtFrame="_blank" w:history="1">
              <w:r w:rsidR="00CF2AC1" w:rsidRPr="005A615E">
                <w:rPr>
                  <w:rFonts w:ascii="Times New Roman" w:hAnsi="Times New Roman"/>
                </w:rPr>
                <w:t>;</w:t>
              </w:r>
            </w:hyperlink>
            <w:r w:rsidR="00CF2AC1" w:rsidRPr="005A615E">
              <w:rPr>
                <w:rFonts w:ascii="Times New Roman" w:hAnsi="Times New Roman"/>
              </w:rPr>
              <w:t xml:space="preserve"> </w:t>
            </w:r>
          </w:p>
          <w:p w:rsidR="00CF2AC1" w:rsidRPr="005A615E" w:rsidRDefault="00CF2AC1" w:rsidP="00CF2AC1">
            <w:pPr>
              <w:widowControl w:val="0"/>
              <w:ind w:firstLine="315"/>
              <w:contextualSpacing/>
              <w:jc w:val="both"/>
              <w:rPr>
                <w:rFonts w:ascii="Times New Roman" w:hAnsi="Times New Roman"/>
              </w:rPr>
            </w:pPr>
          </w:p>
          <w:p w:rsidR="00CF2AC1" w:rsidRPr="005A615E" w:rsidRDefault="00CF2AC1" w:rsidP="00CF2AC1">
            <w:pPr>
              <w:widowControl w:val="0"/>
              <w:ind w:firstLine="315"/>
              <w:contextualSpacing/>
              <w:jc w:val="both"/>
              <w:rPr>
                <w:rFonts w:ascii="Times New Roman" w:hAnsi="Times New Roman"/>
                <w:b/>
                <w:strike/>
              </w:rPr>
            </w:pPr>
            <w:r w:rsidRPr="005A615E">
              <w:rPr>
                <w:rFonts w:ascii="Times New Roman" w:hAnsi="Times New Roman"/>
                <w:b/>
                <w:strike/>
              </w:rPr>
              <w:t>2) індекс усунення причин недотримання показників якості електричної енергії у встановлений строк, на рік t визначається за формулою</w:t>
            </w:r>
          </w:p>
          <w:p w:rsidR="00CF2AC1" w:rsidRPr="005A615E" w:rsidRDefault="00CF2AC1" w:rsidP="00CF2AC1">
            <w:pPr>
              <w:widowControl w:val="0"/>
              <w:ind w:firstLine="709"/>
              <w:jc w:val="both"/>
              <w:rPr>
                <w:rFonts w:ascii="Times New Roman" w:hAnsi="Times New Roman"/>
                <w:b/>
                <w:strike/>
                <w:szCs w:val="28"/>
              </w:rPr>
            </w:pPr>
          </w:p>
          <w:p w:rsidR="00CF2AC1" w:rsidRPr="005A615E" w:rsidRDefault="000D13C5" w:rsidP="00CF2AC1">
            <w:pPr>
              <w:rPr>
                <w:rFonts w:ascii="Times New Roman" w:hAnsi="Times New Roman"/>
                <w:b/>
                <w:i/>
                <w:strike/>
                <w:szCs w:val="28"/>
              </w:rPr>
            </w:pPr>
            <m:oMath>
              <m:sSub>
                <m:sSubPr>
                  <m:ctrlPr>
                    <w:rPr>
                      <w:rFonts w:ascii="Cambria Math" w:hAnsi="Cambria Math"/>
                      <w:b/>
                      <w:i/>
                      <w:strike/>
                      <w:szCs w:val="28"/>
                    </w:rPr>
                  </m:ctrlPr>
                </m:sSubPr>
                <m:e>
                  <m:r>
                    <m:rPr>
                      <m:sty m:val="bi"/>
                    </m:rPr>
                    <w:rPr>
                      <w:rFonts w:ascii="Cambria Math" w:hAnsi="Cambria Math"/>
                      <w:strike/>
                      <w:szCs w:val="28"/>
                    </w:rPr>
                    <m:t>КЯ</m:t>
                  </m:r>
                </m:e>
                <m:sub>
                  <m:r>
                    <m:rPr>
                      <m:sty m:val="bi"/>
                    </m:rPr>
                    <w:rPr>
                      <w:rFonts w:ascii="Cambria Math" w:hAnsi="Cambria Math"/>
                      <w:strike/>
                      <w:szCs w:val="28"/>
                    </w:rPr>
                    <m:t>нпt</m:t>
                  </m:r>
                </m:sub>
              </m:sSub>
              <m:r>
                <m:rPr>
                  <m:sty m:val="bi"/>
                </m:rPr>
                <w:rPr>
                  <w:rFonts w:ascii="Cambria Math" w:hAnsi="Cambria Math"/>
                  <w:strike/>
                  <w:szCs w:val="28"/>
                </w:rPr>
                <m:t>=</m:t>
              </m:r>
              <m:f>
                <m:fPr>
                  <m:ctrlPr>
                    <w:rPr>
                      <w:rFonts w:ascii="Cambria Math" w:hAnsi="Cambria Math"/>
                      <w:b/>
                      <w:i/>
                      <w:strike/>
                      <w:szCs w:val="28"/>
                    </w:rPr>
                  </m:ctrlPr>
                </m:fPr>
                <m:num>
                  <m:d>
                    <m:dPr>
                      <m:ctrlPr>
                        <w:rPr>
                          <w:rFonts w:ascii="Cambria Math" w:hAnsi="Cambria Math"/>
                          <w:b/>
                          <w:i/>
                          <w:strike/>
                          <w:szCs w:val="28"/>
                        </w:rPr>
                      </m:ctrlPr>
                    </m:dPr>
                    <m:e>
                      <m:sSubSup>
                        <m:sSubSupPr>
                          <m:ctrlPr>
                            <w:rPr>
                              <w:rFonts w:ascii="Cambria Math" w:hAnsi="Cambria Math"/>
                              <w:b/>
                              <w:i/>
                              <w:strike/>
                              <w:szCs w:val="28"/>
                            </w:rPr>
                          </m:ctrlPr>
                        </m:sSubSupPr>
                        <m:e>
                          <m:r>
                            <m:rPr>
                              <m:sty m:val="bi"/>
                            </m:rPr>
                            <w:rPr>
                              <w:rFonts w:ascii="Cambria Math" w:hAnsi="Cambria Math"/>
                              <w:strike/>
                              <w:szCs w:val="28"/>
                            </w:rPr>
                            <m:t>I</m:t>
                          </m:r>
                        </m:e>
                        <m:sub>
                          <m:r>
                            <m:rPr>
                              <m:sty m:val="bi"/>
                            </m:rPr>
                            <w:rPr>
                              <w:rFonts w:ascii="Cambria Math" w:hAnsi="Cambria Math"/>
                              <w:strike/>
                              <w:szCs w:val="28"/>
                            </w:rPr>
                            <m:t>нпt-2</m:t>
                          </m:r>
                        </m:sub>
                        <m:sup>
                          <m:r>
                            <m:rPr>
                              <m:sty m:val="bi"/>
                            </m:rPr>
                            <w:rPr>
                              <w:rFonts w:ascii="Cambria Math" w:hAnsi="Cambria Math"/>
                              <w:strike/>
                              <w:szCs w:val="28"/>
                            </w:rPr>
                            <m:t>р</m:t>
                          </m:r>
                        </m:sup>
                      </m:sSubSup>
                      <m:r>
                        <m:rPr>
                          <m:sty m:val="bi"/>
                        </m:rPr>
                        <w:rPr>
                          <w:rFonts w:ascii="Cambria Math" w:hAnsi="Cambria Math"/>
                          <w:strike/>
                          <w:szCs w:val="28"/>
                        </w:rPr>
                        <m:t>-</m:t>
                      </m:r>
                      <m:sSubSup>
                        <m:sSubSupPr>
                          <m:ctrlPr>
                            <w:rPr>
                              <w:rFonts w:ascii="Cambria Math" w:hAnsi="Cambria Math"/>
                              <w:b/>
                              <w:i/>
                              <w:strike/>
                              <w:szCs w:val="28"/>
                            </w:rPr>
                          </m:ctrlPr>
                        </m:sSubSupPr>
                        <m:e>
                          <m:r>
                            <m:rPr>
                              <m:sty m:val="bi"/>
                            </m:rPr>
                            <w:rPr>
                              <w:rFonts w:ascii="Cambria Math" w:hAnsi="Cambria Math"/>
                              <w:strike/>
                              <w:szCs w:val="28"/>
                            </w:rPr>
                            <m:t>I</m:t>
                          </m:r>
                        </m:e>
                        <m:sub>
                          <m:r>
                            <m:rPr>
                              <m:sty m:val="bi"/>
                            </m:rPr>
                            <w:rPr>
                              <w:rFonts w:ascii="Cambria Math" w:hAnsi="Cambria Math"/>
                              <w:strike/>
                              <w:szCs w:val="28"/>
                            </w:rPr>
                            <m:t>нпt-2</m:t>
                          </m:r>
                        </m:sub>
                        <m:sup>
                          <m:r>
                            <m:rPr>
                              <m:sty m:val="bi"/>
                            </m:rPr>
                            <w:rPr>
                              <w:rFonts w:ascii="Cambria Math" w:hAnsi="Cambria Math"/>
                              <w:strike/>
                              <w:szCs w:val="28"/>
                            </w:rPr>
                            <m:t>ф</m:t>
                          </m:r>
                        </m:sup>
                      </m:sSubSup>
                    </m:e>
                  </m:d>
                  <m:r>
                    <m:rPr>
                      <m:sty m:val="bi"/>
                    </m:rPr>
                    <w:rPr>
                      <w:rFonts w:ascii="Cambria Math" w:hAnsi="Cambria Math"/>
                      <w:strike/>
                      <w:szCs w:val="28"/>
                    </w:rPr>
                    <m:t>∙</m:t>
                  </m:r>
                  <m:sSubSup>
                    <m:sSubSupPr>
                      <m:ctrlPr>
                        <w:rPr>
                          <w:rFonts w:ascii="Cambria Math" w:hAnsi="Cambria Math"/>
                          <w:b/>
                          <w:i/>
                          <w:strike/>
                          <w:szCs w:val="28"/>
                        </w:rPr>
                      </m:ctrlPr>
                    </m:sSubSupPr>
                    <m:e>
                      <m:r>
                        <m:rPr>
                          <m:sty m:val="bi"/>
                        </m:rPr>
                        <w:rPr>
                          <w:rFonts w:ascii="Cambria Math" w:hAnsi="Cambria Math"/>
                          <w:strike/>
                          <w:szCs w:val="28"/>
                        </w:rPr>
                        <m:t>W</m:t>
                      </m:r>
                    </m:e>
                    <m:sub>
                      <m:sSub>
                        <m:sSubPr>
                          <m:ctrlPr>
                            <w:rPr>
                              <w:rFonts w:ascii="Cambria Math" w:hAnsi="Cambria Math"/>
                              <w:b/>
                              <w:i/>
                              <w:strike/>
                              <w:szCs w:val="28"/>
                            </w:rPr>
                          </m:ctrlPr>
                        </m:sSubPr>
                        <m:e>
                          <m:r>
                            <m:rPr>
                              <m:sty m:val="bi"/>
                            </m:rPr>
                            <w:rPr>
                              <w:rFonts w:ascii="Cambria Math" w:hAnsi="Cambria Math"/>
                              <w:strike/>
                              <w:szCs w:val="28"/>
                            </w:rPr>
                            <m:t>2</m:t>
                          </m:r>
                        </m:e>
                        <m:sub>
                          <m:r>
                            <m:rPr>
                              <m:sty m:val="bi"/>
                            </m:rPr>
                            <w:rPr>
                              <w:rFonts w:ascii="Cambria Math" w:hAnsi="Cambria Math"/>
                              <w:strike/>
                              <w:szCs w:val="28"/>
                            </w:rPr>
                            <m:t>t</m:t>
                          </m:r>
                        </m:sub>
                      </m:sSub>
                      <m:r>
                        <m:rPr>
                          <m:sty m:val="bi"/>
                        </m:rPr>
                        <w:rPr>
                          <w:rFonts w:ascii="Cambria Math" w:hAnsi="Cambria Math"/>
                          <w:strike/>
                          <w:szCs w:val="28"/>
                        </w:rPr>
                        <m:t>-2</m:t>
                      </m:r>
                    </m:sub>
                    <m:sup>
                      <m:r>
                        <m:rPr>
                          <m:sty m:val="bi"/>
                        </m:rPr>
                        <w:rPr>
                          <w:rFonts w:ascii="Cambria Math" w:hAnsi="Cambria Math"/>
                          <w:strike/>
                          <w:szCs w:val="28"/>
                        </w:rPr>
                        <m:t>м</m:t>
                      </m:r>
                      <m:d>
                        <m:dPr>
                          <m:ctrlPr>
                            <w:rPr>
                              <w:rFonts w:ascii="Cambria Math" w:hAnsi="Cambria Math"/>
                              <w:b/>
                              <w:i/>
                              <w:strike/>
                              <w:szCs w:val="28"/>
                            </w:rPr>
                          </m:ctrlPr>
                        </m:dPr>
                        <m:e>
                          <m:r>
                            <m:rPr>
                              <m:sty m:val="bi"/>
                            </m:rPr>
                            <w:rPr>
                              <w:rFonts w:ascii="Cambria Math" w:hAnsi="Cambria Math"/>
                              <w:strike/>
                              <w:szCs w:val="28"/>
                            </w:rPr>
                            <m:t>с</m:t>
                          </m:r>
                        </m:e>
                      </m:d>
                      <m:r>
                        <m:rPr>
                          <m:sty m:val="bi"/>
                        </m:rPr>
                        <w:rPr>
                          <w:rFonts w:ascii="Cambria Math" w:hAnsi="Cambria Math"/>
                          <w:strike/>
                          <w:szCs w:val="28"/>
                        </w:rPr>
                        <m:t>ф</m:t>
                      </m:r>
                    </m:sup>
                  </m:sSubSup>
                  <m:r>
                    <m:rPr>
                      <m:sty m:val="bi"/>
                    </m:rPr>
                    <w:rPr>
                      <w:rFonts w:ascii="Cambria Math" w:hAnsi="Cambria Math"/>
                      <w:strike/>
                      <w:szCs w:val="28"/>
                    </w:rPr>
                    <m:t>∙</m:t>
                  </m:r>
                  <m:sSub>
                    <m:sSubPr>
                      <m:ctrlPr>
                        <w:rPr>
                          <w:rFonts w:ascii="Cambria Math" w:hAnsi="Cambria Math"/>
                          <w:b/>
                          <w:i/>
                          <w:strike/>
                          <w:szCs w:val="28"/>
                        </w:rPr>
                      </m:ctrlPr>
                    </m:sSubPr>
                    <m:e>
                      <m:r>
                        <m:rPr>
                          <m:sty m:val="bi"/>
                        </m:rPr>
                        <w:rPr>
                          <w:rFonts w:ascii="Cambria Math" w:hAnsi="Cambria Math"/>
                          <w:strike/>
                          <w:szCs w:val="28"/>
                        </w:rPr>
                        <m:t>Ц</m:t>
                      </m:r>
                    </m:e>
                    <m:sub>
                      <m:sSub>
                        <m:sSubPr>
                          <m:ctrlPr>
                            <w:rPr>
                              <w:rFonts w:ascii="Cambria Math" w:hAnsi="Cambria Math"/>
                              <w:b/>
                              <w:i/>
                              <w:strike/>
                              <w:szCs w:val="28"/>
                            </w:rPr>
                          </m:ctrlPr>
                        </m:sSubPr>
                        <m:e>
                          <m:r>
                            <m:rPr>
                              <m:sty m:val="bi"/>
                            </m:rPr>
                            <w:rPr>
                              <w:rFonts w:ascii="Cambria Math" w:hAnsi="Cambria Math"/>
                              <w:strike/>
                              <w:szCs w:val="28"/>
                            </w:rPr>
                            <m:t>2</m:t>
                          </m:r>
                        </m:e>
                        <m:sub>
                          <m:r>
                            <m:rPr>
                              <m:sty m:val="bi"/>
                            </m:rPr>
                            <w:rPr>
                              <w:rFonts w:ascii="Cambria Math" w:hAnsi="Cambria Math"/>
                              <w:strike/>
                              <w:szCs w:val="28"/>
                            </w:rPr>
                            <m:t>t</m:t>
                          </m:r>
                        </m:sub>
                      </m:sSub>
                      <m:r>
                        <m:rPr>
                          <m:sty m:val="bi"/>
                        </m:rPr>
                        <w:rPr>
                          <w:rFonts w:ascii="Cambria Math" w:hAnsi="Cambria Math"/>
                          <w:strike/>
                          <w:szCs w:val="28"/>
                        </w:rPr>
                        <m:t>-2</m:t>
                      </m:r>
                    </m:sub>
                  </m:sSub>
                  <m:r>
                    <m:rPr>
                      <m:sty m:val="bi"/>
                    </m:rPr>
                    <w:rPr>
                      <w:rFonts w:ascii="Cambria Math" w:hAnsi="Cambria Math"/>
                      <w:strike/>
                      <w:szCs w:val="28"/>
                    </w:rPr>
                    <m:t>*ПКнп</m:t>
                  </m:r>
                </m:num>
                <m:den>
                  <m:r>
                    <m:rPr>
                      <m:sty m:val="bi"/>
                    </m:rPr>
                    <w:rPr>
                      <w:rFonts w:ascii="Cambria Math" w:hAnsi="Cambria Math"/>
                      <w:strike/>
                      <w:szCs w:val="28"/>
                    </w:rPr>
                    <m:t>1000</m:t>
                  </m:r>
                </m:den>
              </m:f>
              <m:r>
                <m:rPr>
                  <m:sty m:val="bi"/>
                </m:rPr>
                <w:rPr>
                  <w:rFonts w:ascii="Cambria Math" w:hAnsi="Cambria Math"/>
                  <w:strike/>
                  <w:szCs w:val="28"/>
                </w:rPr>
                <m:t xml:space="preserve">  , тис. </m:t>
              </m:r>
              <m:r>
                <m:rPr>
                  <m:sty m:val="b"/>
                </m:rPr>
                <w:rPr>
                  <w:rFonts w:ascii="Cambria Math" w:hAnsi="Cambria Math"/>
                  <w:strike/>
                  <w:szCs w:val="28"/>
                </w:rPr>
                <m:t>грн</m:t>
              </m:r>
            </m:oMath>
            <w:r w:rsidR="00CF2AC1" w:rsidRPr="005A615E">
              <w:rPr>
                <w:rFonts w:ascii="Times New Roman" w:hAnsi="Times New Roman"/>
                <w:b/>
                <w:strike/>
                <w:szCs w:val="28"/>
              </w:rPr>
              <w:t xml:space="preserve">  </w:t>
            </w:r>
            <w:r w:rsidR="00CF2AC1" w:rsidRPr="005A615E">
              <w:rPr>
                <w:rFonts w:ascii="Times New Roman" w:eastAsiaTheme="minorEastAsia" w:hAnsi="Times New Roman"/>
                <w:b/>
                <w:strike/>
                <w:szCs w:val="28"/>
                <w:lang w:eastAsia="uk-UA"/>
              </w:rPr>
              <w:t xml:space="preserve">  (37</w:t>
            </w:r>
            <w:r w:rsidR="00CF2AC1" w:rsidRPr="005A615E">
              <w:rPr>
                <w:rFonts w:ascii="Times New Roman" w:eastAsiaTheme="minorEastAsia" w:hAnsi="Times New Roman"/>
                <w:b/>
                <w:strike/>
                <w:szCs w:val="28"/>
              </w:rPr>
              <w:t>)</w:t>
            </w:r>
          </w:p>
          <w:p w:rsidR="00CF2AC1" w:rsidRPr="005A615E" w:rsidRDefault="00CF2AC1" w:rsidP="00CF2AC1">
            <w:pPr>
              <w:ind w:firstLine="709"/>
              <w:jc w:val="both"/>
              <w:rPr>
                <w:rFonts w:ascii="Times New Roman" w:hAnsi="Times New Roman"/>
                <w:b/>
                <w:strike/>
                <w:szCs w:val="28"/>
              </w:rPr>
            </w:pPr>
          </w:p>
          <w:p w:rsidR="00CF2AC1" w:rsidRPr="005A615E" w:rsidRDefault="00CF2AC1" w:rsidP="00CF2AC1">
            <w:pPr>
              <w:ind w:firstLine="315"/>
              <w:contextualSpacing/>
              <w:jc w:val="both"/>
              <w:rPr>
                <w:rFonts w:ascii="Times New Roman" w:hAnsi="Times New Roman"/>
                <w:b/>
                <w:strike/>
                <w:u w:val="single"/>
              </w:rPr>
            </w:pPr>
            <w:r w:rsidRPr="005A615E">
              <w:rPr>
                <w:rFonts w:ascii="Times New Roman" w:hAnsi="Times New Roman"/>
                <w:b/>
                <w:strike/>
              </w:rPr>
              <w:t xml:space="preserve">де </w:t>
            </w: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нп_ц</m:t>
                  </m:r>
                </m:sub>
                <m:sup>
                  <m:r>
                    <m:rPr>
                      <m:sty m:val="bi"/>
                    </m:rPr>
                    <w:rPr>
                      <w:rFonts w:ascii="Cambria Math" w:hAnsi="Cambria Math"/>
                      <w:strike/>
                    </w:rPr>
                    <m:t>р</m:t>
                  </m:r>
                </m:sup>
              </m:sSubSup>
            </m:oMath>
            <w:r w:rsidRPr="005A615E">
              <w:rPr>
                <w:rFonts w:ascii="Times New Roman" w:eastAsiaTheme="minorEastAsia" w:hAnsi="Times New Roman"/>
                <w:b/>
                <w:strike/>
              </w:rPr>
              <w:t xml:space="preserve"> </w:t>
            </w:r>
            <w:r w:rsidRPr="005A615E">
              <w:rPr>
                <w:rFonts w:ascii="Times New Roman" w:hAnsi="Times New Roman"/>
                <w:b/>
                <w:strike/>
              </w:rPr>
              <w:t>–</w:t>
            </w:r>
            <w:r w:rsidRPr="005A615E">
              <w:rPr>
                <w:rFonts w:ascii="Times New Roman" w:eastAsiaTheme="minorEastAsia" w:hAnsi="Times New Roman"/>
                <w:b/>
                <w:strike/>
              </w:rPr>
              <w:t xml:space="preserve"> </w:t>
            </w:r>
            <w:r w:rsidRPr="005A615E">
              <w:rPr>
                <w:rFonts w:ascii="Times New Roman" w:hAnsi="Times New Roman"/>
                <w:b/>
                <w:strike/>
              </w:rPr>
              <w:t>встановлений НКРЕКП цільовий індекс усунення причин недотримання показників якості електричної енергії у встановлений строк, на рівні 98 %, який враховується у розрахунку починаючи з третього року другого регуляторного періоду (</w:t>
            </w:r>
            <m:oMath>
              <m:sSubSup>
                <m:sSubSupPr>
                  <m:ctrlPr>
                    <w:rPr>
                      <w:rFonts w:ascii="Cambria Math" w:hAnsi="Cambria Math"/>
                      <w:b/>
                      <w:strike/>
                    </w:rPr>
                  </m:ctrlPr>
                </m:sSubSupPr>
                <m:e>
                  <m:r>
                    <m:rPr>
                      <m:sty m:val="bi"/>
                    </m:rPr>
                    <w:rPr>
                      <w:rFonts w:ascii="Cambria Math" w:hAnsi="Cambria Math"/>
                      <w:strike/>
                    </w:rPr>
                    <m:t>I</m:t>
                  </m:r>
                </m:e>
                <m:sub>
                  <m:r>
                    <m:rPr>
                      <m:sty m:val="b"/>
                    </m:rPr>
                    <w:rPr>
                      <w:rFonts w:ascii="Cambria Math" w:hAnsi="Cambria Math"/>
                      <w:strike/>
                    </w:rPr>
                    <m:t>нп</m:t>
                  </m:r>
                  <m:r>
                    <m:rPr>
                      <m:sty m:val="bi"/>
                    </m:rPr>
                    <w:rPr>
                      <w:rFonts w:ascii="Cambria Math" w:hAnsi="Cambria Math"/>
                      <w:strike/>
                    </w:rPr>
                    <m:t>t</m:t>
                  </m:r>
                  <m:r>
                    <m:rPr>
                      <m:sty m:val="b"/>
                    </m:rPr>
                    <w:rPr>
                      <w:rFonts w:ascii="Cambria Math" w:hAnsi="Cambria Math"/>
                      <w:strike/>
                    </w:rPr>
                    <m:t>-2</m:t>
                  </m:r>
                </m:sub>
                <m:sup>
                  <m:r>
                    <m:rPr>
                      <m:sty m:val="b"/>
                    </m:rPr>
                    <w:rPr>
                      <w:rFonts w:ascii="Cambria Math" w:hAnsi="Cambria Math"/>
                      <w:strike/>
                    </w:rPr>
                    <m:t>р</m:t>
                  </m:r>
                </m:sup>
              </m:sSubSup>
            </m:oMath>
            <w:r w:rsidRPr="005A615E">
              <w:rPr>
                <w:rFonts w:ascii="Times New Roman" w:hAnsi="Times New Roman"/>
                <w:b/>
                <w:strike/>
              </w:rPr>
              <w:t>);</w:t>
            </w:r>
          </w:p>
          <w:p w:rsidR="00CF2AC1" w:rsidRPr="005A615E" w:rsidRDefault="000D13C5" w:rsidP="00CF2AC1">
            <w:pPr>
              <w:ind w:firstLine="315"/>
              <w:contextualSpacing/>
              <w:jc w:val="both"/>
              <w:rPr>
                <w:rFonts w:ascii="Times New Roman" w:hAnsi="Times New Roman"/>
                <w:b/>
                <w:strike/>
              </w:rPr>
            </w:pP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нпt-2</m:t>
                  </m:r>
                </m:sub>
                <m:sup>
                  <m:r>
                    <m:rPr>
                      <m:sty m:val="bi"/>
                    </m:rPr>
                    <w:rPr>
                      <w:rFonts w:ascii="Cambria Math" w:hAnsi="Cambria Math"/>
                      <w:strike/>
                    </w:rPr>
                    <m:t>ф</m:t>
                  </m:r>
                </m:sup>
              </m:sSubSup>
            </m:oMath>
            <w:r w:rsidR="00CF2AC1" w:rsidRPr="005A615E">
              <w:rPr>
                <w:rFonts w:ascii="Times New Roman" w:eastAsiaTheme="minorEastAsia" w:hAnsi="Times New Roman"/>
                <w:b/>
                <w:strike/>
              </w:rPr>
              <w:t xml:space="preserve"> – </w:t>
            </w:r>
            <w:r w:rsidR="00CF2AC1" w:rsidRPr="005A615E">
              <w:rPr>
                <w:rFonts w:ascii="Times New Roman" w:hAnsi="Times New Roman"/>
                <w:b/>
                <w:strike/>
              </w:rPr>
              <w:t xml:space="preserve">фактичний індекс усунення причин недотримання показників якості електричної енергії у встановлений строк, де оператор системи розподілу є стороною відповідальною за усунення причин недотримання показників якості електричної енергії на рівні ≥ 98 %, на рік t-2 визначається за формулою </w:t>
            </w:r>
          </w:p>
          <w:p w:rsidR="00CF2AC1" w:rsidRPr="005A615E" w:rsidRDefault="00CF2AC1" w:rsidP="00CF2AC1">
            <w:pPr>
              <w:ind w:firstLine="709"/>
              <w:jc w:val="both"/>
              <w:rPr>
                <w:rFonts w:ascii="Times New Roman" w:hAnsi="Times New Roman"/>
                <w:b/>
                <w:strike/>
                <w:szCs w:val="28"/>
              </w:rPr>
            </w:pPr>
          </w:p>
          <w:p w:rsidR="00CF2AC1" w:rsidRPr="005A615E" w:rsidRDefault="000D13C5" w:rsidP="00CF2AC1">
            <w:pPr>
              <w:ind w:left="567"/>
              <w:rPr>
                <w:rFonts w:ascii="Times New Roman" w:hAnsi="Times New Roman"/>
                <w:b/>
                <w:strike/>
                <w:lang w:eastAsia="uk-UA"/>
              </w:rPr>
            </w:pP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нпt-2</m:t>
                  </m:r>
                </m:sub>
                <m:sup>
                  <m:r>
                    <m:rPr>
                      <m:sty m:val="bi"/>
                    </m:rPr>
                    <w:rPr>
                      <w:rFonts w:ascii="Cambria Math" w:hAnsi="Cambria Math"/>
                      <w:strike/>
                    </w:rPr>
                    <m:t>ф</m:t>
                  </m:r>
                </m:sup>
              </m:sSubSup>
              <m:r>
                <m:rPr>
                  <m:sty m:val="bi"/>
                </m:rPr>
                <w:rPr>
                  <w:rFonts w:ascii="Cambria Math" w:hAnsi="Cambria Math"/>
                  <w:strike/>
                  <w:lang w:eastAsia="uk-UA"/>
                </w:rPr>
                <m:t>=1-</m:t>
              </m:r>
              <m:f>
                <m:fPr>
                  <m:ctrlPr>
                    <w:rPr>
                      <w:rFonts w:ascii="Cambria Math" w:hAnsi="Cambria Math"/>
                      <w:b/>
                      <w:strike/>
                      <w:lang w:eastAsia="uk-UA"/>
                    </w:rPr>
                  </m:ctrlPr>
                </m:fPr>
                <m:num>
                  <m:sSubSup>
                    <m:sSubSupPr>
                      <m:ctrlPr>
                        <w:rPr>
                          <w:rFonts w:ascii="Cambria Math" w:hAnsi="Cambria Math"/>
                          <w:b/>
                          <w:i/>
                          <w:strike/>
                        </w:rPr>
                      </m:ctrlPr>
                    </m:sSubSupPr>
                    <m:e>
                      <m:r>
                        <m:rPr>
                          <m:sty m:val="bi"/>
                        </m:rPr>
                        <w:rPr>
                          <w:rFonts w:ascii="Cambria Math" w:hAnsi="Cambria Math"/>
                          <w:strike/>
                        </w:rPr>
                        <m:t>N</m:t>
                      </m:r>
                    </m:e>
                    <m:sub>
                      <m:r>
                        <m:rPr>
                          <m:sty m:val="bi"/>
                        </m:rPr>
                        <w:rPr>
                          <w:rFonts w:ascii="Cambria Math" w:hAnsi="Cambria Math"/>
                          <w:strike/>
                        </w:rPr>
                        <m:t>нпt-2</m:t>
                      </m:r>
                    </m:sub>
                    <m:sup>
                      <m:r>
                        <m:rPr>
                          <m:sty m:val="bi"/>
                        </m:rPr>
                        <w:rPr>
                          <w:rFonts w:ascii="Cambria Math" w:hAnsi="Cambria Math"/>
                          <w:strike/>
                        </w:rPr>
                        <m:t>ф_ВЧ</m:t>
                      </m:r>
                    </m:sup>
                  </m:sSubSup>
                  <m:ctrlPr>
                    <w:rPr>
                      <w:rFonts w:ascii="Cambria Math" w:hAnsi="Cambria Math"/>
                      <w:b/>
                      <w:i/>
                      <w:strike/>
                      <w:lang w:eastAsia="uk-UA"/>
                    </w:rPr>
                  </m:ctrlPr>
                </m:num>
                <m:den>
                  <m:sSubSup>
                    <m:sSubSupPr>
                      <m:ctrlPr>
                        <w:rPr>
                          <w:rFonts w:ascii="Cambria Math" w:hAnsi="Cambria Math"/>
                          <w:b/>
                          <w:i/>
                          <w:strike/>
                        </w:rPr>
                      </m:ctrlPr>
                    </m:sSubSupPr>
                    <m:e>
                      <m:r>
                        <m:rPr>
                          <m:sty m:val="bi"/>
                        </m:rPr>
                        <w:rPr>
                          <w:rFonts w:ascii="Cambria Math" w:hAnsi="Cambria Math"/>
                          <w:strike/>
                        </w:rPr>
                        <m:t>N</m:t>
                      </m:r>
                    </m:e>
                    <m:sub>
                      <m:r>
                        <m:rPr>
                          <m:sty m:val="bi"/>
                        </m:rPr>
                        <w:rPr>
                          <w:rFonts w:ascii="Cambria Math" w:hAnsi="Cambria Math"/>
                          <w:strike/>
                        </w:rPr>
                        <m:t>нпt-2</m:t>
                      </m:r>
                    </m:sub>
                    <m:sup>
                      <m:r>
                        <m:rPr>
                          <m:sty m:val="bi"/>
                        </m:rPr>
                        <w:rPr>
                          <w:rFonts w:ascii="Cambria Math" w:hAnsi="Cambria Math"/>
                          <w:strike/>
                        </w:rPr>
                        <m:t>ф_заг</m:t>
                      </m:r>
                    </m:sup>
                  </m:sSubSup>
                  <m:ctrlPr>
                    <w:rPr>
                      <w:rFonts w:ascii="Cambria Math" w:hAnsi="Cambria Math"/>
                      <w:b/>
                      <w:i/>
                      <w:strike/>
                      <w:lang w:eastAsia="uk-UA"/>
                    </w:rPr>
                  </m:ctrlPr>
                </m:den>
              </m:f>
              <m:r>
                <m:rPr>
                  <m:sty m:val="bi"/>
                </m:rPr>
                <w:rPr>
                  <w:rFonts w:ascii="Cambria Math" w:hAnsi="Cambria Math"/>
                  <w:strike/>
                  <w:lang w:eastAsia="uk-UA"/>
                </w:rPr>
                <m:t xml:space="preserve">        </m:t>
              </m:r>
            </m:oMath>
            <w:r w:rsidR="00CF2AC1" w:rsidRPr="005A615E">
              <w:rPr>
                <w:rFonts w:ascii="Times New Roman" w:eastAsiaTheme="minorEastAsia" w:hAnsi="Times New Roman"/>
                <w:b/>
                <w:strike/>
                <w:lang w:eastAsia="uk-UA"/>
              </w:rPr>
              <w:t xml:space="preserve">, %    (38)     </w:t>
            </w:r>
          </w:p>
          <w:p w:rsidR="00CF2AC1" w:rsidRPr="005A615E" w:rsidRDefault="00CF2AC1" w:rsidP="00CF2AC1">
            <w:pPr>
              <w:ind w:firstLine="315"/>
              <w:contextualSpacing/>
              <w:jc w:val="both"/>
              <w:rPr>
                <w:rFonts w:ascii="Times New Roman" w:hAnsi="Times New Roman"/>
                <w:b/>
                <w:strike/>
              </w:rPr>
            </w:pPr>
            <w:r w:rsidRPr="005A615E">
              <w:rPr>
                <w:rFonts w:ascii="Times New Roman" w:hAnsi="Times New Roman"/>
                <w:b/>
                <w:strike/>
                <w:lang w:eastAsia="uk-UA"/>
              </w:rPr>
              <w:t xml:space="preserve">де </w:t>
            </w:r>
            <m:oMath>
              <m:sSubSup>
                <m:sSubSupPr>
                  <m:ctrlPr>
                    <w:rPr>
                      <w:rFonts w:ascii="Cambria Math" w:hAnsi="Cambria Math"/>
                      <w:b/>
                      <w:i/>
                      <w:strike/>
                    </w:rPr>
                  </m:ctrlPr>
                </m:sSubSupPr>
                <m:e>
                  <m:r>
                    <m:rPr>
                      <m:sty m:val="bi"/>
                    </m:rPr>
                    <w:rPr>
                      <w:rFonts w:ascii="Cambria Math" w:hAnsi="Cambria Math"/>
                      <w:strike/>
                    </w:rPr>
                    <m:t>N</m:t>
                  </m:r>
                </m:e>
                <m:sub>
                  <m:r>
                    <m:rPr>
                      <m:sty m:val="bi"/>
                    </m:rPr>
                    <w:rPr>
                      <w:rFonts w:ascii="Cambria Math" w:hAnsi="Cambria Math"/>
                      <w:strike/>
                    </w:rPr>
                    <m:t>нпt-2</m:t>
                  </m:r>
                </m:sub>
                <m:sup>
                  <m:r>
                    <m:rPr>
                      <m:sty m:val="bi"/>
                    </m:rPr>
                    <w:rPr>
                      <w:rFonts w:ascii="Cambria Math" w:hAnsi="Cambria Math"/>
                      <w:strike/>
                    </w:rPr>
                    <m:t>ф_ВЧ</m:t>
                  </m:r>
                </m:sup>
              </m:sSubSup>
            </m:oMath>
            <w:r w:rsidRPr="005A615E">
              <w:rPr>
                <w:rFonts w:ascii="Times New Roman" w:hAnsi="Times New Roman"/>
                <w:b/>
                <w:strike/>
              </w:rPr>
              <w:t xml:space="preserve"> – кількість скарг/звернень/претензій споживачів, які визнані обґрунтованими, та щодо яких порушено строк усунення причин неналежної якості електричної енергії на рік t-2,</w:t>
            </w:r>
            <w:r w:rsidRPr="005A615E">
              <w:rPr>
                <w:rFonts w:ascii="Times New Roman" w:hAnsi="Times New Roman"/>
                <w:b/>
                <w:strike/>
                <w:lang w:eastAsia="uk-UA"/>
              </w:rPr>
              <w:t xml:space="preserve"> які визначаються за даними форми звітності № 10-НКРЕКП-якість-розподіл (річна) «</w:t>
            </w:r>
            <w:r w:rsidRPr="005A615E">
              <w:rPr>
                <w:rFonts w:ascii="Times New Roman" w:hAnsi="Times New Roman"/>
                <w:b/>
                <w:strike/>
                <w:shd w:val="clear" w:color="auto" w:fill="FFFFFF"/>
              </w:rPr>
              <w:t>Звіт щодо усунення причин незадовільної якості електричної енергії за скаргами споживачів</w:t>
            </w:r>
            <w:r w:rsidRPr="005A615E">
              <w:rPr>
                <w:rFonts w:ascii="Times New Roman" w:hAnsi="Times New Roman"/>
                <w:b/>
                <w:strike/>
                <w:lang w:eastAsia="uk-UA"/>
              </w:rPr>
              <w:t>», затвердженої постановою НКРЕКП від 12 червня 2018 року № 374;</w:t>
            </w:r>
            <w:r w:rsidRPr="005A615E">
              <w:rPr>
                <w:rFonts w:ascii="Times New Roman" w:hAnsi="Times New Roman"/>
                <w:b/>
                <w:strike/>
              </w:rPr>
              <w:t xml:space="preserve"> </w:t>
            </w:r>
          </w:p>
          <w:p w:rsidR="00CF2AC1" w:rsidRPr="005A615E" w:rsidRDefault="000D13C5" w:rsidP="00CF2AC1">
            <w:pPr>
              <w:ind w:firstLine="315"/>
              <w:contextualSpacing/>
              <w:jc w:val="both"/>
              <w:rPr>
                <w:rFonts w:ascii="Times New Roman" w:hAnsi="Times New Roman"/>
                <w:b/>
                <w:strike/>
              </w:rPr>
            </w:pPr>
            <m:oMath>
              <m:sSubSup>
                <m:sSubSupPr>
                  <m:ctrlPr>
                    <w:rPr>
                      <w:rFonts w:ascii="Cambria Math" w:hAnsi="Cambria Math"/>
                      <w:b/>
                      <w:i/>
                      <w:strike/>
                    </w:rPr>
                  </m:ctrlPr>
                </m:sSubSupPr>
                <m:e>
                  <m:r>
                    <m:rPr>
                      <m:sty m:val="bi"/>
                    </m:rPr>
                    <w:rPr>
                      <w:rFonts w:ascii="Cambria Math" w:hAnsi="Cambria Math"/>
                      <w:strike/>
                    </w:rPr>
                    <m:t>N</m:t>
                  </m:r>
                </m:e>
                <m:sub>
                  <m:r>
                    <m:rPr>
                      <m:sty m:val="bi"/>
                    </m:rPr>
                    <w:rPr>
                      <w:rFonts w:ascii="Cambria Math" w:hAnsi="Cambria Math"/>
                      <w:strike/>
                    </w:rPr>
                    <m:t>нпt-2</m:t>
                  </m:r>
                </m:sub>
                <m:sup>
                  <m:r>
                    <m:rPr>
                      <m:sty m:val="bi"/>
                    </m:rPr>
                    <w:rPr>
                      <w:rFonts w:ascii="Cambria Math" w:hAnsi="Cambria Math"/>
                      <w:strike/>
                    </w:rPr>
                    <m:t>ф_заг</m:t>
                  </m:r>
                </m:sup>
              </m:sSubSup>
            </m:oMath>
            <w:r w:rsidR="00CF2AC1" w:rsidRPr="005A615E">
              <w:rPr>
                <w:rFonts w:ascii="Times New Roman" w:hAnsi="Times New Roman"/>
                <w:b/>
                <w:strike/>
              </w:rPr>
              <w:t xml:space="preserve"> – загальна кількість скарг/звернень/претензій споживачів щодо неналежної якості електричної енергії, визнаних обґрунтованими на рік t-2, </w:t>
            </w:r>
            <w:r w:rsidR="00CF2AC1" w:rsidRPr="005A615E">
              <w:rPr>
                <w:rFonts w:ascii="Times New Roman" w:hAnsi="Times New Roman"/>
                <w:b/>
                <w:strike/>
                <w:lang w:eastAsia="uk-UA"/>
              </w:rPr>
              <w:t>які визначаються за даними форми звітності № 10-НКРЕКП-якість-розподіл (річна) «</w:t>
            </w:r>
            <w:r w:rsidR="00CF2AC1" w:rsidRPr="005A615E">
              <w:rPr>
                <w:rFonts w:ascii="Times New Roman" w:hAnsi="Times New Roman"/>
                <w:b/>
                <w:strike/>
                <w:shd w:val="clear" w:color="auto" w:fill="FFFFFF"/>
              </w:rPr>
              <w:t>Звіт щодо усунення причин незадовільної якості електричної енергії за скаргами споживачів</w:t>
            </w:r>
            <w:r w:rsidR="00CF2AC1" w:rsidRPr="005A615E">
              <w:rPr>
                <w:rFonts w:ascii="Times New Roman" w:hAnsi="Times New Roman"/>
                <w:b/>
                <w:strike/>
                <w:lang w:eastAsia="uk-UA"/>
              </w:rPr>
              <w:t>», затвердженої постановою НКРЕКП від 12 червня 2018 року № 374</w:t>
            </w:r>
            <w:r w:rsidR="00CF2AC1" w:rsidRPr="005A615E">
              <w:rPr>
                <w:rFonts w:ascii="Times New Roman" w:hAnsi="Times New Roman"/>
                <w:b/>
                <w:strike/>
              </w:rPr>
              <w:t xml:space="preserve">; </w:t>
            </w:r>
          </w:p>
          <w:p w:rsidR="00CF2AC1" w:rsidRPr="005A615E" w:rsidRDefault="00CF2AC1" w:rsidP="00CF2AC1">
            <w:pPr>
              <w:ind w:firstLine="315"/>
              <w:contextualSpacing/>
              <w:jc w:val="both"/>
              <w:rPr>
                <w:rFonts w:ascii="Times New Roman" w:hAnsi="Times New Roman"/>
                <w:b/>
                <w:strike/>
              </w:rPr>
            </w:pPr>
            <w:r w:rsidRPr="005A615E">
              <w:rPr>
                <w:rFonts w:ascii="Times New Roman" w:hAnsi="Times New Roman"/>
                <w:b/>
                <w:strike/>
              </w:rPr>
              <w:t>ПК</w:t>
            </w:r>
            <w:r w:rsidRPr="005A615E">
              <w:rPr>
                <w:rFonts w:ascii="Times New Roman" w:hAnsi="Times New Roman"/>
                <w:b/>
                <w:strike/>
                <w:vertAlign w:val="subscript"/>
              </w:rPr>
              <w:t>нп</w:t>
            </w:r>
            <w:r w:rsidRPr="005A615E">
              <w:rPr>
                <w:rFonts w:ascii="Times New Roman" w:hAnsi="Times New Roman"/>
                <w:b/>
                <w:strike/>
              </w:rPr>
              <w:t xml:space="preserve"> – встановлений НКРЕКП параметр коригування необхідного доходу за недотримання відповідного показника комерційної якості надання послуг </w:t>
            </w:r>
            <w:r w:rsidRPr="005A615E">
              <w:rPr>
                <w:rFonts w:ascii="Times New Roman" w:hAnsi="Times New Roman"/>
                <w:b/>
                <w:strike/>
              </w:rPr>
              <w:br/>
              <w:t>(ПК &gt; 1).</w:t>
            </w:r>
          </w:p>
          <w:p w:rsidR="00CF2AC1" w:rsidRPr="005A615E" w:rsidRDefault="00CF2AC1" w:rsidP="00CF2AC1">
            <w:pPr>
              <w:jc w:val="both"/>
              <w:rPr>
                <w:rFonts w:ascii="Times New Roman" w:hAnsi="Times New Roman"/>
                <w:b/>
                <w:strike/>
              </w:rPr>
            </w:pPr>
            <w:r w:rsidRPr="005A615E">
              <w:rPr>
                <w:rFonts w:ascii="Times New Roman" w:hAnsi="Times New Roman"/>
                <w:b/>
                <w:strike/>
              </w:rPr>
              <w:t xml:space="preserve">За результатами здійснення заходів контролю за дотриманням Ліцензійних умов показник </w:t>
            </w:r>
            <m:oMath>
              <m:sSub>
                <m:sSubPr>
                  <m:ctrlPr>
                    <w:rPr>
                      <w:rFonts w:ascii="Cambria Math" w:hAnsi="Cambria Math"/>
                      <w:b/>
                      <w:i/>
                      <w:strike/>
                    </w:rPr>
                  </m:ctrlPr>
                </m:sSubPr>
                <m:e>
                  <m:r>
                    <m:rPr>
                      <m:sty m:val="b"/>
                    </m:rPr>
                    <w:rPr>
                      <w:rFonts w:ascii="Cambria Math" w:hAnsi="Cambria Math"/>
                      <w:strike/>
                    </w:rPr>
                    <m:t>КЯ</m:t>
                  </m:r>
                </m:e>
                <m:sub>
                  <m:r>
                    <m:rPr>
                      <m:sty m:val="b"/>
                    </m:rPr>
                    <w:rPr>
                      <w:rFonts w:ascii="Cambria Math" w:hAnsi="Cambria Math"/>
                      <w:strike/>
                    </w:rPr>
                    <m:t>нп_t</m:t>
                  </m:r>
                </m:sub>
              </m:sSub>
            </m:oMath>
            <w:r w:rsidRPr="005A615E">
              <w:rPr>
                <w:rFonts w:ascii="Times New Roman" w:hAnsi="Times New Roman"/>
                <w:b/>
                <w:strike/>
              </w:rPr>
              <w:t xml:space="preserve"> може бути уточнено;</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ind w:firstLine="368"/>
              <w:jc w:val="both"/>
              <w:rPr>
                <w:rFonts w:ascii="Times New Roman" w:hAnsi="Times New Roman"/>
              </w:rPr>
            </w:pPr>
            <w:r w:rsidRPr="005A615E">
              <w:rPr>
                <w:rFonts w:ascii="Times New Roman" w:hAnsi="Times New Roman"/>
              </w:rPr>
              <w:t>Пропозиція вилучити розрахунок  КЯ</w:t>
            </w:r>
            <w:r w:rsidRPr="005A615E">
              <w:rPr>
                <w:rFonts w:ascii="Times New Roman" w:hAnsi="Times New Roman"/>
                <w:vertAlign w:val="subscript"/>
              </w:rPr>
              <w:t>нпt</w:t>
            </w:r>
            <w:r w:rsidRPr="005A615E">
              <w:rPr>
                <w:rFonts w:ascii="Times New Roman" w:hAnsi="Times New Roman"/>
              </w:rPr>
              <w:t xml:space="preserve"> - індексу усунення причин недотримання показників якості електричної енергії у встановлений строк.</w:t>
            </w:r>
          </w:p>
          <w:p w:rsidR="00CF2AC1" w:rsidRPr="005A615E" w:rsidRDefault="00CF2AC1" w:rsidP="00CF2AC1">
            <w:pPr>
              <w:suppressAutoHyphens/>
              <w:ind w:firstLine="510"/>
              <w:jc w:val="both"/>
              <w:rPr>
                <w:rFonts w:ascii="Times New Roman" w:hAnsi="Times New Roman"/>
                <w:b/>
                <w:u w:val="single"/>
              </w:rPr>
            </w:pPr>
            <w:r w:rsidRPr="005A615E">
              <w:rPr>
                <w:rFonts w:ascii="Times New Roman" w:hAnsi="Times New Roman"/>
                <w:lang w:eastAsia="ar-SA"/>
              </w:rPr>
              <w:t xml:space="preserve">У відповідності до постанови НКРЕКП від </w:t>
            </w:r>
            <w:r w:rsidRPr="005A615E">
              <w:rPr>
                <w:rFonts w:ascii="Times New Roman" w:hAnsi="Times New Roman"/>
                <w:b/>
                <w:bCs/>
                <w:shd w:val="clear" w:color="auto" w:fill="FFFFFF"/>
              </w:rPr>
              <w:t>12.06.2018  № 375 п.2.5 Розділу 2 вже</w:t>
            </w:r>
            <w:r w:rsidRPr="005A615E">
              <w:rPr>
                <w:rFonts w:ascii="Times New Roman" w:hAnsi="Times New Roman"/>
              </w:rPr>
              <w:t xml:space="preserve"> передбачено дієвий механізм фінансової відповідальності Ліцензіата</w:t>
            </w:r>
            <w:r w:rsidRPr="005A615E">
              <w:rPr>
                <w:rFonts w:ascii="Times New Roman" w:hAnsi="Times New Roman"/>
                <w:b/>
                <w:bCs/>
                <w:shd w:val="clear" w:color="auto" w:fill="FFFFFF"/>
              </w:rPr>
              <w:t xml:space="preserve"> за неотримання термінів </w:t>
            </w:r>
            <w:r w:rsidRPr="005A615E">
              <w:rPr>
                <w:rFonts w:ascii="Times New Roman" w:hAnsi="Times New Roman"/>
              </w:rPr>
              <w:t xml:space="preserve">усунення причин недотримання показників якості електричної енергії. Притягнення Ліцензіата ОСР до відповідальності за недотримання термінів усунення причин незадовільної якості напруги двічі є неправомірним та таким, що не відповідає принципу правової визначеності та заборони </w:t>
            </w:r>
            <w:r w:rsidRPr="005A615E">
              <w:rPr>
                <w:rFonts w:ascii="Times New Roman" w:hAnsi="Times New Roman"/>
                <w:b/>
                <w:u w:val="single"/>
              </w:rPr>
              <w:t xml:space="preserve">подвійної відповідальності за одне й те саме порушення. </w:t>
            </w:r>
          </w:p>
          <w:p w:rsidR="00CF2AC1" w:rsidRPr="005A615E" w:rsidRDefault="00CF2AC1" w:rsidP="00CF2AC1">
            <w:pPr>
              <w:suppressAutoHyphens/>
              <w:ind w:firstLine="510"/>
              <w:jc w:val="both"/>
              <w:rPr>
                <w:rFonts w:ascii="Times New Roman" w:hAnsi="Times New Roman"/>
              </w:rPr>
            </w:pPr>
            <w:r w:rsidRPr="005A615E">
              <w:rPr>
                <w:rFonts w:ascii="Times New Roman" w:hAnsi="Times New Roman"/>
              </w:rPr>
              <w:t>Вимога щодо застосування повторних санкцій є необґрунтованою, оскільки фінансова відповідальність Ліцензіата перед споживачем вже врегульована нормами Постанови.</w:t>
            </w:r>
          </w:p>
          <w:p w:rsidR="00CF2AC1" w:rsidRPr="005A615E" w:rsidRDefault="00CF2AC1" w:rsidP="00CF2AC1">
            <w:pPr>
              <w:suppressAutoHyphens/>
              <w:ind w:firstLine="510"/>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«ЧЕРНІГІВОБЛЕНЕРГО» (лист від 24.07.2026 № 49/9422/01-14)</w:t>
            </w: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CF2AC1" w:rsidRPr="005A615E" w:rsidRDefault="000D13C5" w:rsidP="00CF2AC1">
            <w:pPr>
              <w:rPr>
                <w:rFonts w:eastAsiaTheme="minorEastAsia"/>
                <w:b/>
              </w:rPr>
            </w:pPr>
            <m:oMath>
              <m:sSub>
                <m:sSubPr>
                  <m:ctrlPr>
                    <w:rPr>
                      <w:rFonts w:ascii="Cambria Math" w:eastAsiaTheme="minorEastAsia" w:hAnsi="Cambria Math"/>
                      <w:b/>
                    </w:rPr>
                  </m:ctrlPr>
                </m:sSubPr>
                <m:e>
                  <m:r>
                    <m:rPr>
                      <m:sty m:val="bi"/>
                    </m:rPr>
                    <w:rPr>
                      <w:rFonts w:ascii="Cambria Math" w:eastAsiaTheme="minorEastAsia" w:hAnsi="Cambria Math"/>
                    </w:rPr>
                    <m:t>КЯ</m:t>
                  </m:r>
                </m:e>
                <m:sub>
                  <m:r>
                    <m:rPr>
                      <m:sty m:val="bi"/>
                    </m:rPr>
                    <w:rPr>
                      <w:rFonts w:ascii="Cambria Math" w:hAnsi="Cambria Math"/>
                    </w:rPr>
                    <m:t xml:space="preserve">t </m:t>
                  </m:r>
                </m:sub>
              </m:sSub>
              <m:r>
                <m:rPr>
                  <m:sty m:val="bi"/>
                </m:rPr>
                <w:rPr>
                  <w:rFonts w:ascii="Cambria Math" w:hAnsi="Cambria Math"/>
                </w:rPr>
                <m:t>=</m:t>
              </m:r>
              <m:sSub>
                <m:sSubPr>
                  <m:ctrlPr>
                    <w:rPr>
                      <w:rFonts w:ascii="Cambria Math" w:eastAsiaTheme="minorEastAsia" w:hAnsi="Cambria Math"/>
                      <w:b/>
                    </w:rPr>
                  </m:ctrlPr>
                </m:sSubPr>
                <m:e>
                  <m:r>
                    <m:rPr>
                      <m:sty m:val="bi"/>
                    </m:rPr>
                    <w:rPr>
                      <w:rFonts w:ascii="Cambria Math" w:eastAsiaTheme="minorEastAsia" w:hAnsi="Cambria Math"/>
                    </w:rPr>
                    <m:t>КЯ</m:t>
                  </m:r>
                </m:e>
                <m:sub>
                  <m:r>
                    <m:rPr>
                      <m:sty m:val="bi"/>
                    </m:rPr>
                    <w:rPr>
                      <w:rFonts w:ascii="Cambria Math" w:hAnsi="Cambria Math"/>
                    </w:rPr>
                    <m:t xml:space="preserve">яt </m:t>
                  </m:r>
                </m:sub>
              </m:sSub>
              <m:r>
                <m:rPr>
                  <m:sty m:val="b"/>
                </m:rPr>
                <w:rPr>
                  <w:rFonts w:ascii="Cambria Math" w:eastAsiaTheme="minorEastAsia" w:hAnsi="Cambria Math"/>
                </w:rPr>
                <m:t xml:space="preserve">+ </m:t>
              </m:r>
              <m:sSub>
                <m:sSubPr>
                  <m:ctrlPr>
                    <w:rPr>
                      <w:rFonts w:ascii="Cambria Math" w:hAnsi="Cambria Math"/>
                      <w:b/>
                      <w:i/>
                    </w:rPr>
                  </m:ctrlPr>
                </m:sSubPr>
                <m:e>
                  <m:r>
                    <m:rPr>
                      <m:sty m:val="bi"/>
                    </m:rPr>
                    <w:rPr>
                      <w:rFonts w:ascii="Cambria Math" w:hAnsi="Cambria Math"/>
                    </w:rPr>
                    <m:t>КЯ</m:t>
                  </m:r>
                </m:e>
                <m:sub>
                  <m:r>
                    <m:rPr>
                      <m:sty m:val="bi"/>
                    </m:rPr>
                    <w:rPr>
                      <w:rFonts w:ascii="Cambria Math" w:hAnsi="Cambria Math"/>
                    </w:rPr>
                    <m:t>нпt</m:t>
                  </m:r>
                </m:sub>
              </m:sSub>
              <m:r>
                <m:rPr>
                  <m:sty m:val="b"/>
                </m:rPr>
                <w:rPr>
                  <w:rFonts w:ascii="Cambria Math" w:eastAsiaTheme="minorEastAsia" w:hAnsi="Cambria Math"/>
                </w:rPr>
                <m:t>+</m:t>
              </m:r>
              <m:r>
                <m:rPr>
                  <m:sty m:val="bi"/>
                </m:rPr>
                <w:rPr>
                  <w:rFonts w:ascii="Cambria Math" w:eastAsiaTheme="minorEastAsia" w:hAnsi="Cambria Math"/>
                </w:rPr>
                <m:t xml:space="preserve"> </m:t>
              </m:r>
              <m:sSub>
                <m:sSubPr>
                  <m:ctrlPr>
                    <w:rPr>
                      <w:rFonts w:ascii="Cambria Math" w:hAnsi="Cambria Math"/>
                      <w:b/>
                      <w:i/>
                    </w:rPr>
                  </m:ctrlPr>
                </m:sSubPr>
                <m:e>
                  <m:r>
                    <m:rPr>
                      <m:sty m:val="bi"/>
                    </m:rPr>
                    <w:rPr>
                      <w:rFonts w:ascii="Cambria Math" w:hAnsi="Cambria Math"/>
                    </w:rPr>
                    <m:t>КЯ</m:t>
                  </m:r>
                </m:e>
                <m:sub>
                  <m:r>
                    <m:rPr>
                      <m:sty m:val="bi"/>
                    </m:rPr>
                    <w:rPr>
                      <w:rFonts w:ascii="Cambria Math" w:hAnsi="Cambria Math"/>
                    </w:rPr>
                    <m:t>прt</m:t>
                  </m:r>
                </m:sub>
              </m:sSub>
              <m:r>
                <m:rPr>
                  <m:sty m:val="b"/>
                </m:rPr>
                <w:rPr>
                  <w:rFonts w:ascii="Cambria Math" w:eastAsiaTheme="minorEastAsia" w:hAnsi="Cambria Math"/>
                </w:rPr>
                <m:t>+</m:t>
              </m:r>
              <m:sSub>
                <m:sSubPr>
                  <m:ctrlPr>
                    <w:rPr>
                      <w:rFonts w:ascii="Cambria Math" w:hAnsi="Cambria Math"/>
                      <w:b/>
                      <w:i/>
                    </w:rPr>
                  </m:ctrlPr>
                </m:sSubPr>
                <m:e>
                  <m:r>
                    <m:rPr>
                      <m:sty m:val="bi"/>
                    </m:rPr>
                    <w:rPr>
                      <w:rFonts w:ascii="Cambria Math" w:hAnsi="Cambria Math"/>
                    </w:rPr>
                    <m:t>КЯ</m:t>
                  </m:r>
                </m:e>
                <m:sub>
                  <m:r>
                    <m:rPr>
                      <m:sty m:val="bi"/>
                    </m:rPr>
                    <w:rPr>
                      <w:rFonts w:ascii="Cambria Math" w:hAnsi="Cambria Math"/>
                    </w:rPr>
                    <m:t>дt</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КЯ</m:t>
                  </m:r>
                </m:e>
                <m:sub>
                  <m:r>
                    <m:rPr>
                      <m:sty m:val="bi"/>
                    </m:rPr>
                    <w:rPr>
                      <w:rFonts w:ascii="Cambria Math" w:hAnsi="Cambria Math"/>
                    </w:rPr>
                    <m:t>коt</m:t>
                  </m:r>
                </m:sub>
              </m:sSub>
            </m:oMath>
            <w:r w:rsidR="00CF2AC1" w:rsidRPr="005A615E">
              <w:rPr>
                <w:rFonts w:eastAsiaTheme="minorEastAsia"/>
                <w:b/>
              </w:rPr>
              <w:t xml:space="preserve"> + </w:t>
            </w:r>
            <m:oMath>
              <m:sSub>
                <m:sSubPr>
                  <m:ctrlPr>
                    <w:rPr>
                      <w:rFonts w:ascii="Cambria Math" w:hAnsi="Cambria Math"/>
                      <w:b/>
                      <w:i/>
                    </w:rPr>
                  </m:ctrlPr>
                </m:sSubPr>
                <m:e>
                  <m:r>
                    <m:rPr>
                      <m:sty m:val="bi"/>
                    </m:rPr>
                    <w:rPr>
                      <w:rFonts w:ascii="Cambria Math" w:hAnsi="Cambria Math"/>
                    </w:rPr>
                    <m:t>КЯ</m:t>
                  </m:r>
                </m:e>
                <m:sub>
                  <m:r>
                    <m:rPr>
                      <m:sty m:val="bi"/>
                    </m:rPr>
                    <w:rPr>
                      <w:rFonts w:ascii="Cambria Math" w:hAnsi="Cambria Math"/>
                    </w:rPr>
                    <m:t>рсt</m:t>
                  </m:r>
                </m:sub>
              </m:sSub>
            </m:oMath>
            <w:r w:rsidR="00CF2AC1" w:rsidRPr="005A615E">
              <w:rPr>
                <w:b/>
              </w:rPr>
              <w:t xml:space="preserve"> +</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КЯ</m:t>
                  </m:r>
                </m:e>
                <m:sub>
                  <m:r>
                    <m:rPr>
                      <m:sty m:val="bi"/>
                    </m:rPr>
                    <w:rPr>
                      <w:rFonts w:ascii="Cambria Math" w:hAnsi="Cambria Math"/>
                    </w:rPr>
                    <m:t>вдзt</m:t>
                  </m:r>
                </m:sub>
              </m:sSub>
            </m:oMath>
            <w:r w:rsidR="00CF2AC1" w:rsidRPr="005A615E">
              <w:t xml:space="preserve">, </w:t>
            </w:r>
            <w:r w:rsidR="00CF2AC1" w:rsidRPr="005A615E">
              <w:rPr>
                <w:rFonts w:ascii="Times New Roman" w:eastAsiaTheme="minorEastAsia" w:hAnsi="Times New Roman"/>
              </w:rPr>
              <w:t xml:space="preserve">тис. грн,    </w:t>
            </w:r>
            <w:hyperlink r:id="rId279" w:tgtFrame="_blank" w:history="1">
              <w:r w:rsidR="00CF2AC1" w:rsidRPr="005A615E">
                <w:rPr>
                  <w:rFonts w:ascii="Times New Roman" w:eastAsiaTheme="minorEastAsia" w:hAnsi="Times New Roman"/>
                </w:rPr>
                <w:t>(</w:t>
              </w:r>
            </w:hyperlink>
            <w:hyperlink r:id="rId280" w:tgtFrame="_blank" w:history="1">
              <w:r w:rsidR="00CF2AC1" w:rsidRPr="005A615E">
                <w:rPr>
                  <w:rFonts w:ascii="Times New Roman" w:eastAsiaTheme="minorEastAsia" w:hAnsi="Times New Roman"/>
                </w:rPr>
                <w:t>32</w:t>
              </w:r>
            </w:hyperlink>
            <w:hyperlink r:id="rId281" w:tgtFrame="_blank" w:history="1">
              <w:r w:rsidR="00CF2AC1" w:rsidRPr="005A615E">
                <w:rPr>
                  <w:rFonts w:ascii="Times New Roman" w:eastAsiaTheme="minorEastAsia" w:hAnsi="Times New Roman"/>
                </w:rPr>
                <w:t>)</w:t>
              </w:r>
            </w:hyperlink>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w:t>
            </w:r>
          </w:p>
          <w:p w:rsidR="00CF2AC1" w:rsidRPr="005A615E" w:rsidRDefault="00CF2AC1" w:rsidP="00CF2AC1">
            <w:pPr>
              <w:autoSpaceDE w:val="0"/>
              <w:autoSpaceDN w:val="0"/>
              <w:adjustRightInd w:val="0"/>
              <w:jc w:val="both"/>
              <w:rPr>
                <w:rFonts w:ascii="Times New Roman" w:eastAsia="Times New Roman" w:hAnsi="Times New Roman"/>
                <w:b/>
                <w:bCs/>
                <w:sz w:val="24"/>
                <w:szCs w:val="24"/>
                <w:lang w:eastAsia="uk-UA"/>
              </w:rPr>
            </w:pPr>
            <w:r w:rsidRPr="005A615E">
              <w:rPr>
                <w:rFonts w:ascii="Times New Roman" w:eastAsiaTheme="minorEastAsia" w:hAnsi="Times New Roman"/>
                <w:sz w:val="24"/>
                <w:szCs w:val="24"/>
              </w:rPr>
              <w:t xml:space="preserve">де </w:t>
            </w:r>
            <w:hyperlink r:id="rId282" w:tgtFrame="_blank" w:history="1">
              <m:oMath>
                <m:sSubSup>
                  <m:sSubSupPr>
                    <m:ctrlPr>
                      <w:rPr>
                        <w:rFonts w:ascii="Cambria Math" w:hAnsi="Cambria Math"/>
                        <w:i/>
                        <w:sz w:val="24"/>
                        <w:szCs w:val="24"/>
                      </w:rPr>
                    </m:ctrlPr>
                  </m:sSubSupPr>
                  <m:e>
                    <m:r>
                      <m:rPr>
                        <m:sty m:val="p"/>
                      </m:rPr>
                      <w:rPr>
                        <w:rFonts w:ascii="Cambria Math" w:hAnsi="Cambria Math"/>
                        <w:sz w:val="24"/>
                        <w:szCs w:val="24"/>
                      </w:rPr>
                      <m:t>SAIDI</m:t>
                    </m:r>
                  </m:e>
                  <m:sub>
                    <m:r>
                      <m:rPr>
                        <m:sty m:val="p"/>
                      </m:rPr>
                      <w:rPr>
                        <w:rFonts w:ascii="Cambria Math" w:hAnsi="Cambria Math"/>
                        <w:sz w:val="24"/>
                        <w:szCs w:val="24"/>
                      </w:rPr>
                      <m:t>t-2</m:t>
                    </m:r>
                  </m:sub>
                  <m:sup>
                    <m:r>
                      <m:rPr>
                        <m:sty m:val="p"/>
                      </m:rPr>
                      <w:rPr>
                        <w:rFonts w:ascii="Cambria Math" w:hAnsi="Cambria Math"/>
                        <w:sz w:val="24"/>
                        <w:szCs w:val="24"/>
                      </w:rPr>
                      <m:t>м</m:t>
                    </m:r>
                    <m:d>
                      <m:dPr>
                        <m:ctrlPr>
                          <w:rPr>
                            <w:rFonts w:ascii="Cambria Math" w:hAnsi="Cambria Math"/>
                            <w:i/>
                            <w:sz w:val="24"/>
                            <w:szCs w:val="24"/>
                          </w:rPr>
                        </m:ctrlPr>
                      </m:dPr>
                      <m:e>
                        <m:r>
                          <m:rPr>
                            <m:sty m:val="p"/>
                          </m:rPr>
                          <w:rPr>
                            <w:rFonts w:ascii="Cambria Math" w:hAnsi="Cambria Math"/>
                            <w:sz w:val="24"/>
                            <w:szCs w:val="24"/>
                          </w:rPr>
                          <m:t>с</m:t>
                        </m:r>
                      </m:e>
                    </m:d>
                    <m:r>
                      <m:rPr>
                        <m:sty m:val="p"/>
                      </m:rPr>
                      <w:rPr>
                        <w:rFonts w:ascii="Cambria Math" w:hAnsi="Cambria Math"/>
                        <w:sz w:val="24"/>
                        <w:szCs w:val="24"/>
                      </w:rPr>
                      <m:t>р</m:t>
                    </m:r>
                  </m:sup>
                </m:sSubSup>
              </m:oMath>
              <w:r w:rsidRPr="005A615E">
                <w:rPr>
                  <w:rFonts w:ascii="Times New Roman" w:hAnsi="Times New Roman"/>
                  <w:sz w:val="24"/>
                  <w:szCs w:val="24"/>
                </w:rPr>
                <w:t xml:space="preserve">  </w:t>
              </w:r>
              <w:r w:rsidRPr="005A615E">
                <w:rPr>
                  <w:rFonts w:ascii="Times New Roman" w:hAnsi="Times New Roman"/>
                  <w:b/>
                  <w:bCs/>
                  <w:sz w:val="24"/>
                  <w:szCs w:val="24"/>
                </w:rPr>
                <w:t>(</w:t>
              </w:r>
            </w:hyperlink>
            <w:r w:rsidRPr="005A615E">
              <w:rPr>
                <w:rFonts w:ascii="Times New Roman" w:hAnsi="Times New Roman"/>
                <w:b/>
                <w:bCs/>
                <w:sz w:val="24"/>
                <w:szCs w:val="24"/>
              </w:rPr>
              <w:t>враховувати дане коригування після</w:t>
            </w:r>
            <w:r w:rsidRPr="005A615E">
              <w:rPr>
                <w:rFonts w:ascii="Times New Roman" w:hAnsi="Times New Roman"/>
                <w:b/>
                <w:bCs/>
              </w:rPr>
              <w:t xml:space="preserve"> завершення військового стану та реалізації пріоритетних заходів з відновлення енергооб'єктів)</w:t>
            </w:r>
            <w:r w:rsidRPr="005A615E">
              <w:rPr>
                <w:rFonts w:ascii="Times New Roman" w:eastAsia="Times New Roman" w:hAnsi="Times New Roman"/>
                <w:b/>
                <w:bCs/>
                <w:sz w:val="24"/>
                <w:szCs w:val="24"/>
                <w:lang w:eastAsia="uk-UA"/>
              </w:rPr>
              <w:t>;</w:t>
            </w:r>
          </w:p>
          <w:p w:rsidR="00CF2AC1" w:rsidRPr="005A615E" w:rsidRDefault="00CF2AC1" w:rsidP="00CF2AC1">
            <w:pPr>
              <w:autoSpaceDE w:val="0"/>
              <w:autoSpaceDN w:val="0"/>
              <w:adjustRightInd w:val="0"/>
              <w:jc w:val="both"/>
              <w:rPr>
                <w:rFonts w:ascii="Times New Roman" w:eastAsia="Times New Roman" w:hAnsi="Times New Roman"/>
                <w:b/>
                <w:bCs/>
                <w:sz w:val="24"/>
                <w:szCs w:val="24"/>
                <w:lang w:eastAsia="uk-UA"/>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uppressAutoHyphens/>
              <w:jc w:val="both"/>
              <w:rPr>
                <w:rFonts w:ascii="Times New Roman" w:eastAsia="Times New Roman" w:hAnsi="Times New Roman"/>
                <w:lang w:eastAsia="uk-UA"/>
              </w:rPr>
            </w:pPr>
            <w:r w:rsidRPr="005A615E">
              <w:rPr>
                <w:rFonts w:ascii="Times New Roman" w:eastAsia="Times New Roman" w:hAnsi="Times New Roman"/>
                <w:lang w:eastAsia="uk-UA"/>
              </w:rPr>
              <w:t xml:space="preserve">Пропонуємо розпочати враховувати коригування необхідного доходу відповідно до даних виконання цільового завдання якості послуг після завершення військового стану та реалізації пріоритетних заходів з відновлення енергооб'єктів.    </w:t>
            </w:r>
          </w:p>
          <w:p w:rsidR="00CF2AC1" w:rsidRPr="005A615E" w:rsidRDefault="00CF2AC1" w:rsidP="00CF2AC1">
            <w:pPr>
              <w:suppressAutoHyphens/>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jc w:val="both"/>
              <w:rPr>
                <w:rFonts w:ascii="Times New Roman" w:hAnsi="Times New Roman"/>
                <w:b/>
              </w:rPr>
            </w:pPr>
            <w:r w:rsidRPr="005A615E">
              <w:rPr>
                <w:rFonts w:ascii="Times New Roman" w:hAnsi="Times New Roman"/>
                <w:bCs/>
              </w:rPr>
              <w:t xml:space="preserve">5.20. Коригування необхідного доходу відповідно до даних виконання цільових завдань якості послуг для другого періоду регулювання, </w:t>
            </w:r>
            <w:r w:rsidRPr="005A615E">
              <w:rPr>
                <w:rFonts w:ascii="Times New Roman" w:hAnsi="Times New Roman"/>
                <w:b/>
              </w:rPr>
              <w:t>(не застосовується протягом 2027-2029 років для ліцензіатів, перелік яких наведено в додатку 35 до Порядку встановлення (формування) тарифів);</w:t>
            </w:r>
          </w:p>
          <w:p w:rsidR="00CF2AC1" w:rsidRPr="005A615E" w:rsidRDefault="00CF2AC1" w:rsidP="00CF2AC1">
            <w:pPr>
              <w:jc w:val="both"/>
              <w:rPr>
                <w:rFonts w:ascii="Times New Roman" w:hAnsi="Times New Roman"/>
                <w:bCs/>
              </w:rPr>
            </w:pPr>
            <w:r w:rsidRPr="005A615E">
              <w:rPr>
                <w:rFonts w:ascii="Times New Roman" w:hAnsi="Times New Roman"/>
                <w:bCs/>
              </w:rPr>
              <w:t>…</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bCs/>
              </w:rPr>
            </w:pPr>
            <w:r w:rsidRPr="005A615E">
              <w:rPr>
                <w:rFonts w:ascii="Times New Roman" w:hAnsi="Times New Roman"/>
                <w:bCs/>
              </w:rPr>
              <w:t>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F2AC1" w:rsidRPr="005A615E" w:rsidRDefault="00CF2AC1" w:rsidP="00CF2AC1">
            <w:pPr>
              <w:jc w:val="both"/>
              <w:rPr>
                <w:rFonts w:ascii="Times New Roman" w:hAnsi="Times New Roman"/>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«Кіровоградобленерго» (лист від 27.07.2026  № 3919/05/34)</w:t>
            </w:r>
          </w:p>
          <w:p w:rsidR="00CF2AC1" w:rsidRPr="005A615E" w:rsidRDefault="00CF2AC1" w:rsidP="00CF2AC1">
            <w:pPr>
              <w:autoSpaceDE w:val="0"/>
              <w:autoSpaceDN w:val="0"/>
              <w:ind w:firstLine="709"/>
              <w:jc w:val="both"/>
              <w:rPr>
                <w:rFonts w:ascii="Times New Roman" w:hAnsi="Times New Roman"/>
                <w:szCs w:val="28"/>
              </w:rPr>
            </w:pPr>
            <w:r w:rsidRPr="005A615E">
              <w:rPr>
                <w:rFonts w:ascii="Times New Roman" w:hAnsi="Times New Roman"/>
                <w:szCs w:val="28"/>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CF2AC1" w:rsidRPr="005A615E" w:rsidRDefault="000D13C5" w:rsidP="00CF2AC1">
            <w:pPr>
              <w:rPr>
                <w:rFonts w:ascii="Times New Roman" w:eastAsiaTheme="minorEastAsia" w:hAnsi="Times New Roman"/>
                <w:szCs w:val="28"/>
              </w:rPr>
            </w:pPr>
            <m:oMath>
              <m:sSub>
                <m:sSubPr>
                  <m:ctrlPr>
                    <w:rPr>
                      <w:rFonts w:ascii="Cambria Math" w:eastAsiaTheme="minorEastAsia" w:hAnsi="Cambria Math"/>
                      <w:szCs w:val="28"/>
                    </w:rPr>
                  </m:ctrlPr>
                </m:sSubPr>
                <m:e>
                  <m:r>
                    <w:rPr>
                      <w:rFonts w:ascii="Cambria Math" w:eastAsiaTheme="minorEastAsia" w:hAnsi="Cambria Math"/>
                      <w:szCs w:val="28"/>
                    </w:rPr>
                    <m:t>КЯ</m:t>
                  </m:r>
                </m:e>
                <m:sub>
                  <m:r>
                    <w:rPr>
                      <w:rFonts w:ascii="Cambria Math" w:hAnsi="Cambria Math"/>
                      <w:szCs w:val="28"/>
                    </w:rPr>
                    <m:t xml:space="preserve">t </m:t>
                  </m:r>
                </m:sub>
              </m:sSub>
              <m:r>
                <w:rPr>
                  <w:rFonts w:ascii="Cambria Math" w:hAnsi="Cambria Math"/>
                  <w:szCs w:val="28"/>
                </w:rPr>
                <m:t>=</m:t>
              </m:r>
              <m:sSub>
                <m:sSubPr>
                  <m:ctrlPr>
                    <w:rPr>
                      <w:rFonts w:ascii="Cambria Math" w:eastAsiaTheme="minorEastAsia" w:hAnsi="Cambria Math"/>
                      <w:szCs w:val="28"/>
                    </w:rPr>
                  </m:ctrlPr>
                </m:sSubPr>
                <m:e>
                  <m:r>
                    <w:rPr>
                      <w:rFonts w:ascii="Cambria Math" w:eastAsiaTheme="minorEastAsia" w:hAnsi="Cambria Math"/>
                      <w:szCs w:val="28"/>
                    </w:rPr>
                    <m:t>КЯ</m:t>
                  </m:r>
                </m:e>
                <m:sub>
                  <m:r>
                    <w:rPr>
                      <w:rFonts w:ascii="Cambria Math" w:hAnsi="Cambria Math"/>
                      <w:szCs w:val="28"/>
                    </w:rPr>
                    <m:t xml:space="preserve">яt </m:t>
                  </m:r>
                </m:sub>
              </m:sSub>
              <m:r>
                <m:rPr>
                  <m:sty m:val="p"/>
                </m:rPr>
                <w:rPr>
                  <w:rFonts w:ascii="Cambria Math" w:eastAsiaTheme="minorEastAsia" w:hAnsi="Cambria Math"/>
                  <w:szCs w:val="28"/>
                </w:rPr>
                <m:t xml:space="preserve">+ </m:t>
              </m:r>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нпt</m:t>
                  </m:r>
                </m:sub>
              </m:sSub>
              <m:r>
                <m:rPr>
                  <m:sty m:val="p"/>
                </m:rPr>
                <w:rPr>
                  <w:rFonts w:ascii="Cambria Math" w:eastAsiaTheme="minorEastAsia" w:hAnsi="Cambria Math"/>
                  <w:szCs w:val="28"/>
                </w:rPr>
                <m:t>+</m:t>
              </m:r>
              <m:r>
                <w:rPr>
                  <w:rFonts w:ascii="Cambria Math" w:eastAsiaTheme="minorEastAsia" w:hAnsi="Cambria Math"/>
                  <w:szCs w:val="28"/>
                </w:rPr>
                <m:t xml:space="preserve"> </m:t>
              </m:r>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прt</m:t>
                  </m:r>
                </m:sub>
              </m:sSub>
              <m:r>
                <m:rPr>
                  <m:sty m:val="p"/>
                </m:rPr>
                <w:rPr>
                  <w:rFonts w:ascii="Cambria Math" w:eastAsiaTheme="minorEastAsia" w:hAnsi="Cambria Math"/>
                  <w:szCs w:val="28"/>
                </w:rPr>
                <m:t>+</m:t>
              </m:r>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дt</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коt</m:t>
                  </m:r>
                </m:sub>
              </m:sSub>
            </m:oMath>
            <w:r w:rsidR="00CF2AC1" w:rsidRPr="005A615E">
              <w:rPr>
                <w:rFonts w:ascii="Times New Roman" w:eastAsiaTheme="minorEastAsia" w:hAnsi="Times New Roman"/>
                <w:szCs w:val="28"/>
              </w:rPr>
              <w:t xml:space="preserve"> + </w:t>
            </w:r>
            <m:oMath>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рсt</m:t>
                  </m:r>
                </m:sub>
              </m:sSub>
            </m:oMath>
            <w:r w:rsidR="00CF2AC1" w:rsidRPr="005A615E">
              <w:rPr>
                <w:rFonts w:ascii="Times New Roman" w:hAnsi="Times New Roman"/>
                <w:szCs w:val="28"/>
              </w:rPr>
              <w:t xml:space="preserve"> +</w:t>
            </w:r>
            <m:oMath>
              <m:r>
                <w:rPr>
                  <w:rFonts w:ascii="Cambria Math" w:hAnsi="Cambria Math"/>
                  <w:szCs w:val="28"/>
                </w:rPr>
                <m:t xml:space="preserve"> </m:t>
              </m:r>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вдзt</m:t>
                  </m:r>
                </m:sub>
              </m:sSub>
            </m:oMath>
            <w:r w:rsidR="00CF2AC1" w:rsidRPr="005A615E">
              <w:rPr>
                <w:rFonts w:ascii="Times New Roman" w:hAnsi="Times New Roman"/>
                <w:szCs w:val="28"/>
              </w:rPr>
              <w:t xml:space="preserve">, </w:t>
            </w:r>
            <w:r w:rsidR="00CF2AC1" w:rsidRPr="005A615E">
              <w:rPr>
                <w:rFonts w:ascii="Times New Roman" w:eastAsiaTheme="minorEastAsia" w:hAnsi="Times New Roman"/>
                <w:szCs w:val="28"/>
              </w:rPr>
              <w:t xml:space="preserve">тис. грн,    </w:t>
            </w:r>
            <w:hyperlink r:id="rId283" w:tgtFrame="_blank" w:history="1">
              <w:r w:rsidR="00CF2AC1" w:rsidRPr="005A615E">
                <w:rPr>
                  <w:rFonts w:ascii="Times New Roman" w:eastAsiaTheme="minorEastAsia" w:hAnsi="Times New Roman"/>
                  <w:szCs w:val="28"/>
                </w:rPr>
                <w:t>(</w:t>
              </w:r>
            </w:hyperlink>
            <w:hyperlink r:id="rId284" w:tgtFrame="_blank" w:history="1">
              <w:r w:rsidR="00CF2AC1" w:rsidRPr="005A615E">
                <w:rPr>
                  <w:rFonts w:ascii="Times New Roman" w:eastAsiaTheme="minorEastAsia" w:hAnsi="Times New Roman"/>
                  <w:szCs w:val="28"/>
                </w:rPr>
                <w:t>32</w:t>
              </w:r>
            </w:hyperlink>
            <w:hyperlink r:id="rId285" w:tgtFrame="_blank" w:history="1">
              <w:r w:rsidR="00CF2AC1" w:rsidRPr="005A615E">
                <w:rPr>
                  <w:rFonts w:ascii="Times New Roman" w:eastAsiaTheme="minorEastAsia" w:hAnsi="Times New Roman"/>
                  <w:szCs w:val="28"/>
                </w:rPr>
                <w:t>)</w:t>
              </w:r>
            </w:hyperlink>
          </w:p>
          <w:p w:rsidR="00CF2AC1" w:rsidRPr="005A615E" w:rsidRDefault="000D13C5" w:rsidP="00CF2AC1">
            <w:pPr>
              <w:ind w:firstLine="709"/>
              <w:rPr>
                <w:rFonts w:ascii="Times New Roman" w:hAnsi="Times New Roman"/>
                <w:szCs w:val="28"/>
              </w:rPr>
            </w:pPr>
            <m:oMath>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я</m:t>
                  </m:r>
                  <m:r>
                    <w:rPr>
                      <w:rFonts w:ascii="Cambria Math" w:hAnsi="Cambria Math"/>
                      <w:szCs w:val="28"/>
                    </w:rPr>
                    <m:t>t</m:t>
                  </m:r>
                  <m:r>
                    <m:rPr>
                      <m:sty m:val="p"/>
                    </m:rPr>
                    <w:rPr>
                      <w:rFonts w:ascii="Cambria Math" w:hAnsi="Cambria Math"/>
                      <w:szCs w:val="28"/>
                    </w:rPr>
                    <m:t xml:space="preserve"> </m:t>
                  </m:r>
                </m:sub>
              </m:sSub>
            </m:oMath>
            <w:r w:rsidR="00CF2AC1" w:rsidRPr="005A615E">
              <w:rPr>
                <w:rFonts w:ascii="Times New Roman" w:hAnsi="Times New Roman"/>
                <w:szCs w:val="28"/>
              </w:rPr>
              <w:t xml:space="preserve"> </w:t>
            </w:r>
            <m:oMath>
              <m:r>
                <m:rPr>
                  <m:sty m:val="p"/>
                </m:rPr>
                <w:rPr>
                  <w:rFonts w:ascii="Cambria Math" w:hAnsi="Cambria Math"/>
                  <w:szCs w:val="28"/>
                </w:rPr>
                <m:t>≤</m:t>
              </m:r>
            </m:oMath>
            <w:r w:rsidR="00CF2AC1" w:rsidRPr="005A615E">
              <w:rPr>
                <w:rFonts w:ascii="Times New Roman" w:hAnsi="Times New Roman"/>
                <w:szCs w:val="28"/>
              </w:rPr>
              <w:t>0,02</w:t>
            </w:r>
          </w:p>
          <w:p w:rsidR="00CF2AC1" w:rsidRPr="005A615E" w:rsidRDefault="000D13C5" w:rsidP="00CF2AC1">
            <w:pPr>
              <w:ind w:firstLine="709"/>
              <w:rPr>
                <w:rFonts w:ascii="Times New Roman" w:hAnsi="Times New Roman"/>
                <w:szCs w:val="28"/>
              </w:rPr>
            </w:pPr>
            <m:oMath>
              <m:sSub>
                <m:sSubPr>
                  <m:ctrlPr>
                    <w:rPr>
                      <w:rFonts w:ascii="Cambria Math" w:hAnsi="Cambria Math"/>
                      <w:szCs w:val="28"/>
                    </w:rPr>
                  </m:ctrlPr>
                </m:sSubPr>
                <m:e>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нп</m:t>
                      </m:r>
                      <m:r>
                        <w:rPr>
                          <w:rFonts w:ascii="Cambria Math" w:hAnsi="Cambria Math"/>
                          <w:szCs w:val="28"/>
                        </w:rPr>
                        <m:t>t</m:t>
                      </m:r>
                    </m:sub>
                  </m:sSub>
                  <m:r>
                    <m:rPr>
                      <m:sty m:val="p"/>
                    </m:rPr>
                    <w:rPr>
                      <w:rFonts w:ascii="Cambria Math" w:hAnsi="Cambria Math"/>
                      <w:szCs w:val="28"/>
                    </w:rPr>
                    <m:t>; КЯ</m:t>
                  </m:r>
                </m:e>
                <m:sub>
                  <m:r>
                    <m:rPr>
                      <m:sty m:val="p"/>
                    </m:rPr>
                    <w:rPr>
                      <w:rFonts w:ascii="Cambria Math" w:hAnsi="Cambria Math"/>
                      <w:szCs w:val="28"/>
                    </w:rPr>
                    <m:t>пр</m:t>
                  </m:r>
                  <m:r>
                    <w:rPr>
                      <w:rFonts w:ascii="Cambria Math" w:hAnsi="Cambria Math"/>
                      <w:szCs w:val="28"/>
                    </w:rPr>
                    <m:t>t</m:t>
                  </m:r>
                </m:sub>
              </m:sSub>
              <m:r>
                <m:rPr>
                  <m:sty m:val="p"/>
                </m:rPr>
                <w:rPr>
                  <w:rFonts w:ascii="Cambria Math" w:hAnsi="Cambria Math"/>
                  <w:szCs w:val="28"/>
                </w:rPr>
                <m:t xml:space="preserve">; </m:t>
              </m:r>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д</m:t>
                  </m:r>
                  <m:r>
                    <w:rPr>
                      <w:rFonts w:ascii="Cambria Math" w:hAnsi="Cambria Math"/>
                      <w:szCs w:val="28"/>
                    </w:rPr>
                    <m:t>t</m:t>
                  </m:r>
                </m:sub>
              </m:sSub>
              <m:r>
                <m:rPr>
                  <m:sty m:val="p"/>
                </m:rPr>
                <w:rPr>
                  <w:rFonts w:ascii="Cambria Math" w:hAnsi="Cambria Math"/>
                  <w:szCs w:val="28"/>
                </w:rPr>
                <m:t>;</m:t>
              </m:r>
            </m:oMath>
            <w:r w:rsidR="00CF2AC1" w:rsidRPr="005A615E">
              <w:rPr>
                <w:rFonts w:ascii="Times New Roman" w:hAnsi="Times New Roman"/>
                <w:szCs w:val="28"/>
              </w:rPr>
              <w:t xml:space="preserve"> </w:t>
            </w:r>
            <m:oMath>
              <m:sSub>
                <m:sSubPr>
                  <m:ctrlPr>
                    <w:rPr>
                      <w:rFonts w:ascii="Cambria Math" w:hAnsi="Cambria Math"/>
                      <w:szCs w:val="28"/>
                    </w:rPr>
                  </m:ctrlPr>
                </m:sSubPr>
                <m:e>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ко</m:t>
                      </m:r>
                      <m:r>
                        <w:rPr>
                          <w:rFonts w:ascii="Cambria Math" w:hAnsi="Cambria Math"/>
                          <w:szCs w:val="28"/>
                        </w:rPr>
                        <m:t>t</m:t>
                      </m:r>
                    </m:sub>
                  </m:sSub>
                  <m:r>
                    <m:rPr>
                      <m:sty m:val="p"/>
                    </m:rPr>
                    <w:rPr>
                      <w:rFonts w:ascii="Cambria Math" w:hAnsi="Cambria Math"/>
                      <w:szCs w:val="28"/>
                    </w:rPr>
                    <m:t xml:space="preserve">; </m:t>
                  </m:r>
                  <m:sSub>
                    <m:sSubPr>
                      <m:ctrlPr>
                        <w:rPr>
                          <w:rFonts w:ascii="Cambria Math" w:hAnsi="Cambria Math"/>
                          <w:szCs w:val="28"/>
                        </w:rPr>
                      </m:ctrlPr>
                    </m:sSubPr>
                    <m:e>
                      <m:r>
                        <m:rPr>
                          <m:sty m:val="p"/>
                        </m:rPr>
                        <w:rPr>
                          <w:rFonts w:ascii="Cambria Math" w:hAnsi="Cambria Math"/>
                          <w:szCs w:val="28"/>
                        </w:rPr>
                        <m:t>КЯ</m:t>
                      </m:r>
                    </m:e>
                    <m:sub>
                      <m:r>
                        <m:rPr>
                          <m:sty m:val="p"/>
                        </m:rPr>
                        <w:rPr>
                          <w:rFonts w:ascii="Cambria Math" w:hAnsi="Cambria Math"/>
                          <w:szCs w:val="28"/>
                        </w:rPr>
                        <m:t>рс</m:t>
                      </m:r>
                      <m:r>
                        <w:rPr>
                          <w:rFonts w:ascii="Cambria Math" w:hAnsi="Cambria Math"/>
                          <w:szCs w:val="28"/>
                        </w:rPr>
                        <m:t>t</m:t>
                      </m:r>
                    </m:sub>
                  </m:sSub>
                  <m:r>
                    <m:rPr>
                      <m:sty m:val="p"/>
                    </m:rPr>
                    <w:rPr>
                      <w:rFonts w:ascii="Cambria Math" w:hAnsi="Cambria Math"/>
                      <w:szCs w:val="28"/>
                    </w:rPr>
                    <m:t xml:space="preserve"> ;КЯ</m:t>
                  </m:r>
                </m:e>
                <m:sub>
                  <m:r>
                    <m:rPr>
                      <m:sty m:val="p"/>
                    </m:rPr>
                    <w:rPr>
                      <w:rFonts w:ascii="Cambria Math" w:hAnsi="Cambria Math"/>
                      <w:szCs w:val="28"/>
                    </w:rPr>
                    <m:t>вдз</m:t>
                  </m:r>
                  <m:r>
                    <w:rPr>
                      <w:rFonts w:ascii="Cambria Math" w:hAnsi="Cambria Math"/>
                      <w:szCs w:val="28"/>
                    </w:rPr>
                    <m:t>t</m:t>
                  </m:r>
                </m:sub>
              </m:sSub>
              <m:r>
                <m:rPr>
                  <m:sty m:val="p"/>
                </m:rPr>
                <w:rPr>
                  <w:rFonts w:ascii="Cambria Math" w:hAnsi="Cambria Math"/>
                  <w:szCs w:val="28"/>
                </w:rPr>
                <m:t>≤</m:t>
              </m:r>
            </m:oMath>
            <w:r w:rsidR="00CF2AC1" w:rsidRPr="005A615E">
              <w:rPr>
                <w:rFonts w:ascii="Times New Roman" w:hAnsi="Times New Roman"/>
                <w:szCs w:val="28"/>
              </w:rPr>
              <w:t>0,005</w:t>
            </w:r>
          </w:p>
          <w:tbl>
            <w:tblPr>
              <w:tblW w:w="9026"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2590"/>
              <w:gridCol w:w="567"/>
              <w:gridCol w:w="2693"/>
              <w:gridCol w:w="3176"/>
            </w:tblGrid>
            <w:tr w:rsidR="00CF2AC1" w:rsidRPr="005A615E" w:rsidTr="00137D16">
              <w:trPr>
                <w:trHeight w:val="313"/>
                <w:tblCellSpacing w:w="22" w:type="dxa"/>
              </w:trPr>
              <w:tc>
                <w:tcPr>
                  <w:tcW w:w="1398" w:type="pct"/>
                  <w:vAlign w:val="center"/>
                  <w:hideMark/>
                </w:tcPr>
                <w:p w:rsidR="00CF2AC1" w:rsidRPr="005A615E" w:rsidRDefault="000D13C5" w:rsidP="00CF2AC1">
                  <w:pPr>
                    <w:rPr>
                      <w:rFonts w:ascii="Times New Roman" w:hAnsi="Times New Roman"/>
                    </w:rPr>
                  </w:pPr>
                  <m:oMathPara>
                    <m:oMath>
                      <m:sSub>
                        <m:sSubPr>
                          <m:ctrlPr>
                            <w:rPr>
                              <w:rFonts w:ascii="Cambria Math" w:eastAsiaTheme="minorEastAsia" w:hAnsi="Cambria Math"/>
                            </w:rPr>
                          </m:ctrlPr>
                        </m:sSubPr>
                        <m:e>
                          <m:r>
                            <w:rPr>
                              <w:rFonts w:ascii="Cambria Math" w:eastAsiaTheme="minorEastAsia" w:hAnsi="Cambria Math"/>
                            </w:rPr>
                            <m:t>КЯ</m:t>
                          </m:r>
                        </m:e>
                        <m:sub>
                          <m:r>
                            <w:rPr>
                              <w:rFonts w:ascii="Cambria Math" w:hAnsi="Cambria Math"/>
                            </w:rPr>
                            <m:t xml:space="preserve">t </m:t>
                          </m:r>
                        </m:sub>
                      </m:sSub>
                      <m:r>
                        <w:rPr>
                          <w:rFonts w:ascii="Cambria Math" w:hAnsi="Cambria Math"/>
                        </w:rPr>
                        <m:t xml:space="preserve">˂-0,05 × </m:t>
                      </m:r>
                      <m:sSubSup>
                        <m:sSubSupPr>
                          <m:ctrlPr>
                            <w:rPr>
                              <w:rFonts w:ascii="Cambria Math" w:hAnsi="Cambria Math"/>
                              <w:i/>
                            </w:rPr>
                          </m:ctrlPr>
                        </m:sSubSupPr>
                        <m:e>
                          <m:r>
                            <w:rPr>
                              <w:rFonts w:ascii="Cambria Math" w:hAnsi="Cambria Math"/>
                            </w:rPr>
                            <m:t>НД</m:t>
                          </m:r>
                        </m:e>
                        <m:sub>
                          <m:r>
                            <w:rPr>
                              <w:rFonts w:ascii="Cambria Math" w:hAnsi="Cambria Math"/>
                            </w:rPr>
                            <m:t>t-2</m:t>
                          </m:r>
                        </m:sub>
                        <m:sup>
                          <m:r>
                            <w:rPr>
                              <w:rFonts w:ascii="Cambria Math" w:hAnsi="Cambria Math"/>
                            </w:rPr>
                            <m:t>n</m:t>
                          </m:r>
                        </m:sup>
                      </m:sSubSup>
                    </m:oMath>
                  </m:oMathPara>
                </w:p>
              </w:tc>
              <w:tc>
                <w:tcPr>
                  <w:tcW w:w="290" w:type="pct"/>
                  <w:vAlign w:val="center"/>
                  <w:hideMark/>
                </w:tcPr>
                <w:p w:rsidR="00CF2AC1" w:rsidRPr="005A615E" w:rsidRDefault="000D13C5" w:rsidP="00CF2AC1">
                  <w:pPr>
                    <w:rPr>
                      <w:rFonts w:ascii="Times New Roman" w:hAnsi="Times New Roman"/>
                    </w:rPr>
                  </w:pPr>
                  <w:hyperlink r:id="rId286" w:tgtFrame="_blank" w:history="1">
                    <w:r w:rsidR="00CF2AC1" w:rsidRPr="005A615E">
                      <w:rPr>
                        <w:rFonts w:ascii="Times New Roman" w:hAnsi="Times New Roman"/>
                      </w:rPr>
                      <w:t>, то</w:t>
                    </w:r>
                  </w:hyperlink>
                </w:p>
              </w:tc>
              <w:tc>
                <w:tcPr>
                  <w:tcW w:w="1467" w:type="pct"/>
                  <w:vAlign w:val="center"/>
                  <w:hideMark/>
                </w:tcPr>
                <w:p w:rsidR="00CF2AC1" w:rsidRPr="005A615E" w:rsidRDefault="000D13C5" w:rsidP="00CF2AC1">
                  <w:pPr>
                    <w:rPr>
                      <w:rFonts w:ascii="Times New Roman" w:hAnsi="Times New Roman"/>
                    </w:rPr>
                  </w:pPr>
                  <m:oMath>
                    <m:sSub>
                      <m:sSubPr>
                        <m:ctrlPr>
                          <w:rPr>
                            <w:rFonts w:ascii="Cambria Math" w:eastAsiaTheme="minorEastAsia" w:hAnsi="Cambria Math"/>
                          </w:rPr>
                        </m:ctrlPr>
                      </m:sSubPr>
                      <m:e>
                        <m:r>
                          <w:rPr>
                            <w:rFonts w:ascii="Cambria Math" w:eastAsiaTheme="minorEastAsia" w:hAnsi="Cambria Math"/>
                          </w:rPr>
                          <m:t>КЯ</m:t>
                        </m:r>
                      </m:e>
                      <m:sub>
                        <m:r>
                          <w:rPr>
                            <w:rFonts w:ascii="Cambria Math" w:hAnsi="Cambria Math"/>
                          </w:rPr>
                          <m:t xml:space="preserve">t </m:t>
                        </m:r>
                      </m:sub>
                    </m:sSub>
                    <m:r>
                      <w:rPr>
                        <w:rFonts w:ascii="Cambria Math" w:hAnsi="Cambria Math"/>
                      </w:rPr>
                      <m:t xml:space="preserve">=-0,05 × </m:t>
                    </m:r>
                    <m:sSubSup>
                      <m:sSubSupPr>
                        <m:ctrlPr>
                          <w:rPr>
                            <w:rFonts w:ascii="Cambria Math" w:hAnsi="Cambria Math"/>
                            <w:i/>
                          </w:rPr>
                        </m:ctrlPr>
                      </m:sSubSupPr>
                      <m:e>
                        <m:r>
                          <w:rPr>
                            <w:rFonts w:ascii="Cambria Math" w:hAnsi="Cambria Math"/>
                          </w:rPr>
                          <m:t>НД</m:t>
                        </m:r>
                      </m:e>
                      <m:sub>
                        <m:r>
                          <w:rPr>
                            <w:rFonts w:ascii="Cambria Math" w:hAnsi="Cambria Math"/>
                          </w:rPr>
                          <m:t>t-2</m:t>
                        </m:r>
                      </m:sub>
                      <m:sup>
                        <m:r>
                          <w:rPr>
                            <w:rFonts w:ascii="Cambria Math" w:hAnsi="Cambria Math"/>
                          </w:rPr>
                          <m:t>n</m:t>
                        </m:r>
                      </m:sup>
                    </m:sSubSup>
                  </m:oMath>
                  <w:r w:rsidR="00CF2AC1" w:rsidRPr="005A615E">
                    <w:rPr>
                      <w:rFonts w:ascii="Times New Roman" w:eastAsiaTheme="minorEastAsia" w:hAnsi="Times New Roman"/>
                    </w:rPr>
                    <w:t>,</w:t>
                  </w:r>
                </w:p>
              </w:tc>
              <w:tc>
                <w:tcPr>
                  <w:tcW w:w="1723" w:type="pct"/>
                  <w:vAlign w:val="center"/>
                  <w:hideMark/>
                </w:tcPr>
                <w:p w:rsidR="00CF2AC1" w:rsidRPr="005A615E" w:rsidRDefault="000D13C5" w:rsidP="00CF2AC1">
                  <w:pPr>
                    <w:rPr>
                      <w:rFonts w:ascii="Times New Roman" w:hAnsi="Times New Roman"/>
                    </w:rPr>
                  </w:pPr>
                  <w:hyperlink r:id="rId287" w:tgtFrame="_blank" w:history="1">
                    <w:r w:rsidR="00CF2AC1" w:rsidRPr="005A615E">
                      <w:rPr>
                        <w:rFonts w:ascii="Times New Roman" w:hAnsi="Times New Roman"/>
                      </w:rPr>
                      <w:t xml:space="preserve"> тис. грн;</w:t>
                    </w:r>
                  </w:hyperlink>
                  <w:r w:rsidR="00CF2AC1" w:rsidRPr="005A615E">
                    <w:rPr>
                      <w:rFonts w:ascii="Times New Roman" w:hAnsi="Times New Roman"/>
                    </w:rPr>
                    <w:t xml:space="preserve">   (33)</w:t>
                  </w:r>
                </w:p>
              </w:tc>
            </w:tr>
          </w:tbl>
          <w:p w:rsidR="00CF2AC1" w:rsidRPr="005A615E" w:rsidRDefault="00CF2AC1" w:rsidP="00CF2AC1">
            <w:pPr>
              <w:ind w:firstLine="709"/>
              <w:jc w:val="both"/>
              <w:rPr>
                <w:rFonts w:ascii="Times New Roman" w:hAnsi="Times New Roman"/>
                <w:sz w:val="20"/>
                <w:szCs w:val="20"/>
              </w:rPr>
            </w:pPr>
          </w:p>
          <w:p w:rsidR="00CF2AC1" w:rsidRPr="005A615E" w:rsidRDefault="00CF2AC1" w:rsidP="00CF2AC1">
            <w:pPr>
              <w:ind w:firstLine="709"/>
              <w:jc w:val="both"/>
              <w:rPr>
                <w:rFonts w:ascii="Times New Roman" w:hAnsi="Times New Roman"/>
                <w:szCs w:val="28"/>
              </w:rPr>
            </w:pPr>
            <w:r w:rsidRPr="005A615E">
              <w:rPr>
                <w:rFonts w:ascii="Times New Roman" w:hAnsi="Times New Roman"/>
                <w:szCs w:val="28"/>
              </w:rPr>
              <w:t>1) тривалість довгих перерв в електропостачанні, на рік t визначається за формулами</w:t>
            </w:r>
          </w:p>
          <w:p w:rsidR="00CF2AC1" w:rsidRPr="005A615E" w:rsidRDefault="00CF2AC1" w:rsidP="00CF2AC1">
            <w:pPr>
              <w:ind w:firstLine="709"/>
              <w:jc w:val="both"/>
              <w:rPr>
                <w:rFonts w:ascii="Times New Roman" w:hAnsi="Times New Roman"/>
                <w:szCs w:val="28"/>
              </w:rPr>
            </w:pPr>
          </w:p>
          <w:p w:rsidR="00CF2AC1" w:rsidRPr="005A615E" w:rsidRDefault="000D13C5" w:rsidP="00CF2AC1">
            <w:pPr>
              <w:rPr>
                <w:rFonts w:ascii="Times New Roman" w:hAnsi="Times New Roman"/>
                <w:szCs w:val="28"/>
              </w:rPr>
            </w:pPr>
            <m:oMath>
              <m:sSub>
                <m:sSubPr>
                  <m:ctrlPr>
                    <w:rPr>
                      <w:rFonts w:ascii="Cambria Math" w:eastAsiaTheme="minorEastAsia" w:hAnsi="Cambria Math"/>
                      <w:szCs w:val="28"/>
                    </w:rPr>
                  </m:ctrlPr>
                </m:sSubPr>
                <m:e>
                  <m:r>
                    <w:rPr>
                      <w:rFonts w:ascii="Cambria Math" w:eastAsiaTheme="minorEastAsia" w:hAnsi="Cambria Math"/>
                      <w:szCs w:val="28"/>
                    </w:rPr>
                    <m:t>КЯ</m:t>
                  </m:r>
                </m:e>
                <m:sub>
                  <m:r>
                    <w:rPr>
                      <w:rFonts w:ascii="Cambria Math" w:hAnsi="Cambria Math"/>
                      <w:szCs w:val="28"/>
                    </w:rPr>
                    <m:t xml:space="preserve">яt </m:t>
                  </m:r>
                </m:sub>
              </m:sSub>
              <m:r>
                <w:rPr>
                  <w:rFonts w:ascii="Cambria Math" w:hAnsi="Cambria Math"/>
                  <w:szCs w:val="28"/>
                </w:rPr>
                <m:t>=</m:t>
              </m:r>
              <m:sSubSup>
                <m:sSubSupPr>
                  <m:ctrlPr>
                    <w:rPr>
                      <w:rFonts w:ascii="Cambria Math" w:hAnsi="Cambria Math"/>
                      <w:i/>
                      <w:szCs w:val="28"/>
                    </w:rPr>
                  </m:ctrlPr>
                </m:sSubSupPr>
                <m:e>
                  <m:r>
                    <w:rPr>
                      <w:rFonts w:ascii="Cambria Math" w:hAnsi="Cambria Math"/>
                      <w:szCs w:val="28"/>
                    </w:rPr>
                    <m:t>КЯ</m:t>
                  </m:r>
                </m:e>
                <m:sub>
                  <m:r>
                    <w:rPr>
                      <w:rFonts w:ascii="Cambria Math" w:hAnsi="Cambria Math"/>
                      <w:szCs w:val="28"/>
                    </w:rPr>
                    <m:t>яt</m:t>
                  </m:r>
                </m:sub>
                <m:sup>
                  <m:r>
                    <w:rPr>
                      <w:rFonts w:ascii="Cambria Math" w:hAnsi="Cambria Math"/>
                      <w:szCs w:val="28"/>
                    </w:rPr>
                    <m:t>м</m:t>
                  </m:r>
                </m:sup>
              </m:sSubSup>
              <m:r>
                <m:rPr>
                  <m:sty m:val="p"/>
                </m:rPr>
                <w:rPr>
                  <w:rFonts w:ascii="Cambria Math" w:eastAsiaTheme="minorEastAsia" w:hAnsi="Cambria Math"/>
                  <w:szCs w:val="28"/>
                </w:rPr>
                <m:t>+</m:t>
              </m:r>
              <m:sSubSup>
                <m:sSubSupPr>
                  <m:ctrlPr>
                    <w:rPr>
                      <w:rFonts w:ascii="Cambria Math" w:hAnsi="Cambria Math"/>
                      <w:i/>
                      <w:szCs w:val="28"/>
                    </w:rPr>
                  </m:ctrlPr>
                </m:sSubSupPr>
                <m:e>
                  <m:r>
                    <w:rPr>
                      <w:rFonts w:ascii="Cambria Math" w:hAnsi="Cambria Math"/>
                      <w:szCs w:val="28"/>
                    </w:rPr>
                    <m:t>КЯ</m:t>
                  </m:r>
                </m:e>
                <m:sub>
                  <m:r>
                    <w:rPr>
                      <w:rFonts w:ascii="Cambria Math" w:hAnsi="Cambria Math"/>
                      <w:szCs w:val="28"/>
                    </w:rPr>
                    <m:t>яt</m:t>
                  </m:r>
                </m:sub>
                <m:sup>
                  <m:r>
                    <w:rPr>
                      <w:rFonts w:ascii="Cambria Math" w:hAnsi="Cambria Math"/>
                      <w:szCs w:val="28"/>
                    </w:rPr>
                    <m:t>с</m:t>
                  </m:r>
                </m:sup>
              </m:sSubSup>
            </m:oMath>
            <w:r w:rsidR="00CF2AC1" w:rsidRPr="005A615E">
              <w:rPr>
                <w:rFonts w:ascii="Times New Roman" w:hAnsi="Times New Roman"/>
                <w:szCs w:val="28"/>
              </w:rPr>
              <w:t xml:space="preserve"> ,    </w:t>
            </w:r>
            <w:r w:rsidR="00CF2AC1" w:rsidRPr="005A615E">
              <w:rPr>
                <w:rFonts w:ascii="Times New Roman" w:eastAsiaTheme="minorEastAsia" w:hAnsi="Times New Roman"/>
                <w:szCs w:val="28"/>
              </w:rPr>
              <w:t>тис. грн,    (34)</w:t>
            </w:r>
          </w:p>
          <w:p w:rsidR="00CF2AC1" w:rsidRPr="005A615E" w:rsidRDefault="000D13C5" w:rsidP="00CF2AC1">
            <w:pPr>
              <w:ind w:firstLine="709"/>
              <w:jc w:val="both"/>
              <w:rPr>
                <w:rFonts w:ascii="Times New Roman" w:hAnsi="Times New Roman"/>
                <w:szCs w:val="28"/>
              </w:rPr>
            </w:pPr>
            <w:hyperlink r:id="rId288" w:tgtFrame="_blank" w:history="1">
              <w:r w:rsidR="00CF2AC1" w:rsidRPr="005A615E">
                <w:rPr>
                  <w:rFonts w:ascii="Times New Roman" w:hAnsi="Times New Roman"/>
                  <w:szCs w:val="28"/>
                </w:rPr>
                <w:t>де  </w:t>
              </w:r>
              <m:oMath>
                <m:sSubSup>
                  <m:sSubSupPr>
                    <m:ctrlPr>
                      <w:rPr>
                        <w:rFonts w:ascii="Cambria Math" w:hAnsi="Cambria Math"/>
                        <w:i/>
                        <w:szCs w:val="28"/>
                      </w:rPr>
                    </m:ctrlPr>
                  </m:sSubSupPr>
                  <m:e>
                    <m:r>
                      <m:rPr>
                        <m:sty m:val="p"/>
                      </m:rPr>
                      <w:rPr>
                        <w:rFonts w:ascii="Cambria Math" w:hAnsi="Cambria Math"/>
                        <w:szCs w:val="28"/>
                      </w:rPr>
                      <m:t>КЯ</m:t>
                    </m:r>
                  </m:e>
                  <m:sub>
                    <m:r>
                      <m:rPr>
                        <m:sty m:val="p"/>
                      </m:rPr>
                      <w:rPr>
                        <w:rFonts w:ascii="Cambria Math" w:hAnsi="Cambria Math"/>
                        <w:szCs w:val="28"/>
                      </w:rPr>
                      <m:t>яt</m:t>
                    </m:r>
                  </m:sub>
                  <m:sup>
                    <m:r>
                      <m:rPr>
                        <m:sty m:val="p"/>
                      </m:rPr>
                      <w:rPr>
                        <w:rFonts w:ascii="Cambria Math" w:hAnsi="Cambria Math"/>
                        <w:szCs w:val="28"/>
                      </w:rPr>
                      <m:t>м(с)</m:t>
                    </m:r>
                  </m:sup>
                </m:sSubSup>
              </m:oMath>
              <w:r w:rsidR="00CF2AC1" w:rsidRPr="005A615E">
                <w:rPr>
                  <w:rFonts w:ascii="Times New Roman" w:hAnsi="Times New Roman"/>
                  <w:szCs w:val="28"/>
                </w:rPr>
                <w:t>– складові якості послуг для міської (сільської) території, що розраховуються за формулами</w:t>
              </w:r>
            </w:hyperlink>
          </w:p>
          <w:p w:rsidR="00CF2AC1" w:rsidRPr="005A615E" w:rsidRDefault="00CF2AC1" w:rsidP="00CF2AC1">
            <w:pPr>
              <w:ind w:firstLine="709"/>
              <w:jc w:val="both"/>
              <w:rPr>
                <w:rFonts w:ascii="Times New Roman" w:hAnsi="Times New Roman"/>
                <w:szCs w:val="28"/>
              </w:rPr>
            </w:pPr>
          </w:p>
          <w:p w:rsidR="00CF2AC1" w:rsidRPr="005A615E" w:rsidRDefault="000D13C5" w:rsidP="00CF2AC1">
            <w:pPr>
              <w:ind w:left="507" w:hanging="567"/>
              <w:rPr>
                <w:rFonts w:ascii="Times New Roman" w:eastAsiaTheme="minorEastAsia" w:hAnsi="Times New Roman"/>
                <w:szCs w:val="28"/>
              </w:rPr>
            </w:pPr>
            <m:oMath>
              <m:sSubSup>
                <m:sSubSupPr>
                  <m:ctrlPr>
                    <w:rPr>
                      <w:rFonts w:ascii="Cambria Math" w:hAnsi="Cambria Math"/>
                      <w:i/>
                      <w:sz w:val="20"/>
                    </w:rPr>
                  </m:ctrlPr>
                </m:sSubSupPr>
                <m:e>
                  <m:r>
                    <w:rPr>
                      <w:rFonts w:ascii="Cambria Math" w:hAnsi="Cambria Math"/>
                      <w:sz w:val="20"/>
                    </w:rPr>
                    <m:t>КЯ</m:t>
                  </m:r>
                </m:e>
                <m:sub>
                  <m:r>
                    <w:rPr>
                      <w:rFonts w:ascii="Cambria Math" w:hAnsi="Cambria Math"/>
                      <w:sz w:val="20"/>
                    </w:rPr>
                    <m:t>яt</m:t>
                  </m:r>
                </m:sub>
                <m:sup>
                  <m:r>
                    <w:rPr>
                      <w:rFonts w:ascii="Cambria Math" w:hAnsi="Cambria Math"/>
                      <w:sz w:val="20"/>
                    </w:rPr>
                    <m:t>м(с)</m:t>
                  </m:r>
                </m:sup>
              </m:sSubSup>
              <m:r>
                <w:rPr>
                  <w:rFonts w:ascii="Cambria Math" w:hAnsi="Cambria Math"/>
                  <w:sz w:val="20"/>
                </w:rPr>
                <m:t>=</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SAIDI</m:t>
                      </m:r>
                    </m:e>
                    <m:sub>
                      <m:r>
                        <w:rPr>
                          <w:rFonts w:ascii="Cambria Math" w:hAnsi="Cambria Math"/>
                          <w:sz w:val="20"/>
                        </w:rPr>
                        <m:t>t-2</m:t>
                      </m:r>
                    </m:sub>
                    <m:sup>
                      <m:r>
                        <w:rPr>
                          <w:rFonts w:ascii="Cambria Math" w:hAnsi="Cambria Math"/>
                          <w:sz w:val="20"/>
                        </w:rPr>
                        <m:t>м</m:t>
                      </m:r>
                      <m:d>
                        <m:dPr>
                          <m:ctrlPr>
                            <w:rPr>
                              <w:rFonts w:ascii="Cambria Math" w:hAnsi="Cambria Math"/>
                              <w:i/>
                              <w:sz w:val="20"/>
                            </w:rPr>
                          </m:ctrlPr>
                        </m:dPr>
                        <m:e>
                          <m:r>
                            <w:rPr>
                              <w:rFonts w:ascii="Cambria Math" w:hAnsi="Cambria Math"/>
                              <w:sz w:val="20"/>
                            </w:rPr>
                            <m:t>с</m:t>
                          </m:r>
                        </m:e>
                      </m:d>
                      <m:r>
                        <w:rPr>
                          <w:rFonts w:ascii="Cambria Math" w:hAnsi="Cambria Math"/>
                          <w:sz w:val="20"/>
                        </w:rPr>
                        <m:t>р</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SAIDI</m:t>
                      </m:r>
                    </m:e>
                    <m:sub>
                      <m:r>
                        <w:rPr>
                          <w:rFonts w:ascii="Cambria Math" w:hAnsi="Cambria Math"/>
                          <w:sz w:val="20"/>
                        </w:rPr>
                        <m:t>t-2</m:t>
                      </m:r>
                    </m:sub>
                    <m:sup>
                      <m:r>
                        <w:rPr>
                          <w:rFonts w:ascii="Cambria Math" w:hAnsi="Cambria Math"/>
                          <w:sz w:val="20"/>
                        </w:rPr>
                        <m:t>м</m:t>
                      </m:r>
                      <m:d>
                        <m:dPr>
                          <m:ctrlPr>
                            <w:rPr>
                              <w:rFonts w:ascii="Cambria Math" w:hAnsi="Cambria Math"/>
                              <w:i/>
                              <w:sz w:val="20"/>
                            </w:rPr>
                          </m:ctrlPr>
                        </m:dPr>
                        <m:e>
                          <m:r>
                            <w:rPr>
                              <w:rFonts w:ascii="Cambria Math" w:hAnsi="Cambria Math"/>
                              <w:sz w:val="20"/>
                            </w:rPr>
                            <m:t>с</m:t>
                          </m:r>
                        </m:e>
                      </m:d>
                      <m:r>
                        <w:rPr>
                          <w:rFonts w:ascii="Cambria Math" w:hAnsi="Cambria Math"/>
                          <w:sz w:val="20"/>
                        </w:rPr>
                        <m:t>ф</m:t>
                      </m:r>
                    </m:sup>
                  </m:sSubSup>
                </m:e>
              </m:d>
              <m:r>
                <w:rPr>
                  <w:rFonts w:ascii="Cambria Math" w:hAnsi="Cambria Math"/>
                  <w:sz w:val="20"/>
                </w:rPr>
                <m:t>×</m:t>
              </m:r>
              <m:f>
                <m:fPr>
                  <m:ctrlPr>
                    <w:rPr>
                      <w:rFonts w:ascii="Cambria Math" w:eastAsiaTheme="minorEastAsia" w:hAnsi="Cambria Math"/>
                      <w:i/>
                      <w:sz w:val="20"/>
                    </w:rPr>
                  </m:ctrlPr>
                </m:fPr>
                <m:num>
                  <m:r>
                    <w:rPr>
                      <w:rFonts w:ascii="Cambria Math" w:eastAsiaTheme="minorEastAsia" w:hAnsi="Cambria Math"/>
                      <w:sz w:val="20"/>
                    </w:rPr>
                    <m:t xml:space="preserve">ПКя </m:t>
                  </m:r>
                  <m:r>
                    <w:rPr>
                      <w:rFonts w:ascii="Cambria Math" w:hAnsi="Cambria Math"/>
                      <w:sz w:val="20"/>
                    </w:rPr>
                    <m:t xml:space="preserve">× </m:t>
                  </m:r>
                  <m:sSub>
                    <m:sSubPr>
                      <m:ctrlPr>
                        <w:rPr>
                          <w:rFonts w:ascii="Cambria Math" w:eastAsiaTheme="minorEastAsia" w:hAnsi="Cambria Math"/>
                          <w:i/>
                          <w:sz w:val="20"/>
                        </w:rPr>
                      </m:ctrlPr>
                    </m:sSubPr>
                    <m:e>
                      <m:r>
                        <w:rPr>
                          <w:rFonts w:ascii="Cambria Math" w:eastAsiaTheme="minorEastAsia" w:hAnsi="Cambria Math"/>
                          <w:sz w:val="20"/>
                        </w:rPr>
                        <m:t>Ц</m:t>
                      </m:r>
                    </m:e>
                    <m:sub>
                      <m:sSub>
                        <m:sSubPr>
                          <m:ctrlPr>
                            <w:rPr>
                              <w:rFonts w:ascii="Cambria Math" w:eastAsiaTheme="minorEastAsia" w:hAnsi="Cambria Math"/>
                              <w:i/>
                              <w:sz w:val="20"/>
                            </w:rPr>
                          </m:ctrlPr>
                        </m:sSubPr>
                        <m:e>
                          <m:r>
                            <w:rPr>
                              <w:rFonts w:ascii="Cambria Math" w:eastAsiaTheme="minorEastAsia" w:hAnsi="Cambria Math"/>
                              <w:sz w:val="20"/>
                            </w:rPr>
                            <m:t>2_</m:t>
                          </m:r>
                        </m:e>
                        <m:sub>
                          <m:r>
                            <w:rPr>
                              <w:rFonts w:ascii="Cambria Math" w:eastAsiaTheme="minorEastAsia" w:hAnsi="Cambria Math"/>
                              <w:sz w:val="20"/>
                            </w:rPr>
                            <m:t>t</m:t>
                          </m:r>
                        </m:sub>
                      </m:sSub>
                      <m:r>
                        <w:rPr>
                          <w:rFonts w:ascii="Cambria Math" w:eastAsiaTheme="minorEastAsia" w:hAnsi="Cambria Math"/>
                          <w:sz w:val="20"/>
                        </w:rPr>
                        <m:t>-2</m:t>
                      </m:r>
                    </m:sub>
                  </m:sSub>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W</m:t>
                      </m:r>
                    </m:e>
                    <m:sub>
                      <m:sSub>
                        <m:sSubPr>
                          <m:ctrlPr>
                            <w:rPr>
                              <w:rFonts w:ascii="Cambria Math" w:eastAsiaTheme="minorEastAsia" w:hAnsi="Cambria Math"/>
                              <w:i/>
                              <w:sz w:val="20"/>
                            </w:rPr>
                          </m:ctrlPr>
                        </m:sSubPr>
                        <m:e>
                          <m:r>
                            <w:rPr>
                              <w:rFonts w:ascii="Cambria Math" w:eastAsiaTheme="minorEastAsia" w:hAnsi="Cambria Math"/>
                              <w:sz w:val="20"/>
                            </w:rPr>
                            <m:t>2_</m:t>
                          </m:r>
                        </m:e>
                        <m:sub>
                          <m:r>
                            <w:rPr>
                              <w:rFonts w:ascii="Cambria Math" w:eastAsiaTheme="minorEastAsia" w:hAnsi="Cambria Math"/>
                              <w:sz w:val="20"/>
                            </w:rPr>
                            <m:t>t</m:t>
                          </m:r>
                        </m:sub>
                      </m:sSub>
                      <m:r>
                        <w:rPr>
                          <w:rFonts w:ascii="Cambria Math" w:eastAsiaTheme="minorEastAsia" w:hAnsi="Cambria Math"/>
                          <w:sz w:val="20"/>
                        </w:rPr>
                        <m:t>-2</m:t>
                      </m:r>
                    </m:sub>
                    <m:sup>
                      <m:r>
                        <w:rPr>
                          <w:rFonts w:ascii="Cambria Math" w:hAnsi="Cambria Math"/>
                          <w:sz w:val="20"/>
                        </w:rPr>
                        <m:t>м</m:t>
                      </m:r>
                      <m:d>
                        <m:dPr>
                          <m:ctrlPr>
                            <w:rPr>
                              <w:rFonts w:ascii="Cambria Math" w:hAnsi="Cambria Math"/>
                              <w:i/>
                              <w:sz w:val="20"/>
                            </w:rPr>
                          </m:ctrlPr>
                        </m:dPr>
                        <m:e>
                          <m:r>
                            <w:rPr>
                              <w:rFonts w:ascii="Cambria Math" w:hAnsi="Cambria Math"/>
                              <w:sz w:val="20"/>
                            </w:rPr>
                            <m:t>с</m:t>
                          </m:r>
                        </m:e>
                      </m:d>
                      <m:r>
                        <w:rPr>
                          <w:rFonts w:ascii="Cambria Math" w:hAnsi="Cambria Math"/>
                          <w:sz w:val="20"/>
                        </w:rPr>
                        <m:t>ф</m:t>
                      </m:r>
                    </m:sup>
                  </m:sSubSup>
                  <m:r>
                    <w:rPr>
                      <w:rFonts w:ascii="Cambria Math" w:eastAsiaTheme="minorEastAsia" w:hAnsi="Cambria Math"/>
                      <w:sz w:val="20"/>
                    </w:rPr>
                    <m:t xml:space="preserve"> </m:t>
                  </m:r>
                </m:num>
                <m:den>
                  <m:r>
                    <w:rPr>
                      <w:rFonts w:ascii="Cambria Math" w:eastAsiaTheme="minorEastAsia" w:hAnsi="Cambria Math"/>
                      <w:sz w:val="20"/>
                    </w:rPr>
                    <m:t xml:space="preserve">(365 </m:t>
                  </m:r>
                  <m:r>
                    <w:rPr>
                      <w:rFonts w:ascii="Cambria Math" w:hAnsi="Cambria Math"/>
                      <w:sz w:val="20"/>
                    </w:rPr>
                    <m:t>×</m:t>
                  </m:r>
                  <m:r>
                    <w:rPr>
                      <w:rFonts w:ascii="Cambria Math" w:eastAsiaTheme="minorEastAsia" w:hAnsi="Cambria Math"/>
                      <w:sz w:val="20"/>
                    </w:rPr>
                    <m:t xml:space="preserve"> 24 </m:t>
                  </m:r>
                  <m:r>
                    <w:rPr>
                      <w:rFonts w:ascii="Cambria Math" w:hAnsi="Cambria Math"/>
                      <w:sz w:val="20"/>
                    </w:rPr>
                    <m:t>×</m:t>
                  </m:r>
                  <m:r>
                    <w:rPr>
                      <w:rFonts w:ascii="Cambria Math" w:eastAsiaTheme="minorEastAsia" w:hAnsi="Cambria Math"/>
                      <w:sz w:val="20"/>
                    </w:rPr>
                    <m:t xml:space="preserve"> 60)</m:t>
                  </m:r>
                </m:den>
              </m:f>
              <m:r>
                <w:rPr>
                  <w:rFonts w:ascii="Cambria Math" w:hAnsi="Cambria Math"/>
                  <w:sz w:val="20"/>
                </w:rPr>
                <m:t xml:space="preserve"> ÷1000</m:t>
              </m:r>
            </m:oMath>
            <w:r w:rsidR="00CF2AC1" w:rsidRPr="005A615E">
              <w:rPr>
                <w:rFonts w:ascii="Times New Roman" w:eastAsiaTheme="minorEastAsia" w:hAnsi="Times New Roman"/>
                <w:szCs w:val="28"/>
              </w:rPr>
              <w:t>, тис. грн   (35),</w:t>
            </w:r>
          </w:p>
          <w:p w:rsidR="00CF2AC1" w:rsidRPr="005A615E" w:rsidRDefault="00CF2AC1" w:rsidP="00CF2AC1">
            <w:pPr>
              <w:ind w:left="507" w:hanging="567"/>
              <w:rPr>
                <w:rFonts w:ascii="Times New Roman" w:eastAsiaTheme="minorEastAsia" w:hAnsi="Times New Roman"/>
                <w:szCs w:val="28"/>
              </w:rPr>
            </w:pPr>
          </w:p>
          <w:tbl>
            <w:tblPr>
              <w:tblW w:w="7181"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1031"/>
              <w:gridCol w:w="2835"/>
              <w:gridCol w:w="764"/>
              <w:gridCol w:w="2551"/>
            </w:tblGrid>
            <w:tr w:rsidR="00CF2AC1" w:rsidRPr="005A615E" w:rsidTr="00137D16">
              <w:trPr>
                <w:trHeight w:val="412"/>
                <w:tblCellSpacing w:w="22" w:type="dxa"/>
              </w:trPr>
              <w:tc>
                <w:tcPr>
                  <w:tcW w:w="672" w:type="pct"/>
                  <w:vAlign w:val="center"/>
                  <w:hideMark/>
                </w:tcPr>
                <w:p w:rsidR="00CF2AC1" w:rsidRPr="005A615E" w:rsidRDefault="00CF2AC1" w:rsidP="00CF2AC1">
                  <w:pPr>
                    <w:rPr>
                      <w:rFonts w:ascii="Times New Roman" w:hAnsi="Times New Roman"/>
                      <w:szCs w:val="28"/>
                    </w:rPr>
                  </w:pPr>
                  <w:r w:rsidRPr="005A615E">
                    <w:rPr>
                      <w:rFonts w:ascii="Times New Roman" w:hAnsi="Times New Roman"/>
                      <w:szCs w:val="28"/>
                    </w:rPr>
                    <w:t xml:space="preserve"> </w:t>
                  </w:r>
                  <w:hyperlink r:id="rId289" w:tgtFrame="_blank" w:history="1">
                    <w:r w:rsidRPr="005A615E">
                      <w:rPr>
                        <w:rFonts w:ascii="Times New Roman" w:hAnsi="Times New Roman"/>
                        <w:szCs w:val="28"/>
                      </w:rPr>
                      <w:t>якщо</w:t>
                    </w:r>
                  </w:hyperlink>
                </w:p>
              </w:tc>
              <w:tc>
                <w:tcPr>
                  <w:tcW w:w="1943" w:type="pct"/>
                  <w:vAlign w:val="center"/>
                  <w:hideMark/>
                </w:tcPr>
                <w:p w:rsidR="00CF2AC1" w:rsidRPr="005A615E" w:rsidRDefault="00CF2AC1" w:rsidP="00CF2AC1">
                  <w:pPr>
                    <w:rPr>
                      <w:rFonts w:ascii="Times New Roman" w:hAnsi="Times New Roman"/>
                      <w:szCs w:val="28"/>
                    </w:rPr>
                  </w:pPr>
                  <w:r w:rsidRPr="005A615E">
                    <w:rPr>
                      <w:rFonts w:ascii="Times New Roman" w:hAnsi="Times New Roman"/>
                      <w:noProof/>
                      <w:szCs w:val="28"/>
                      <w:lang w:eastAsia="uk-UA"/>
                    </w:rPr>
                    <w:drawing>
                      <wp:inline distT="0" distB="0" distL="0" distR="0" wp14:anchorId="5ABEA392" wp14:editId="5E95EB6F">
                        <wp:extent cx="1516380" cy="191195"/>
                        <wp:effectExtent l="0" t="0" r="7620" b="0"/>
                        <wp:docPr id="792200257" name="Рисунок 792200257" descr="https://zakon-pro.ligazakon.net/l_flib1.nsf/LookupFiles/GK40721_IMG_299.GIF/$file/GK40721_IMG_2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7" name="Рисунок 1993780127" descr="https://zakon-pro.ligazakon.net/l_flib1.nsf/LookupFiles/GK40721_IMG_299.GIF/$file/GK40721_IMG_299.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1586521" cy="200039"/>
                                </a:xfrm>
                                <a:prstGeom prst="rect">
                                  <a:avLst/>
                                </a:prstGeom>
                                <a:noFill/>
                                <a:ln>
                                  <a:noFill/>
                                </a:ln>
                              </pic:spPr>
                            </pic:pic>
                          </a:graphicData>
                        </a:graphic>
                      </wp:inline>
                    </w:drawing>
                  </w:r>
                </w:p>
              </w:tc>
              <w:tc>
                <w:tcPr>
                  <w:tcW w:w="501" w:type="pct"/>
                  <w:vAlign w:val="center"/>
                  <w:hideMark/>
                </w:tcPr>
                <w:p w:rsidR="00CF2AC1" w:rsidRPr="005A615E" w:rsidRDefault="000D13C5" w:rsidP="00CF2AC1">
                  <w:pPr>
                    <w:rPr>
                      <w:rFonts w:ascii="Times New Roman" w:hAnsi="Times New Roman"/>
                      <w:szCs w:val="28"/>
                    </w:rPr>
                  </w:pPr>
                  <w:hyperlink r:id="rId290" w:tgtFrame="_blank" w:history="1">
                    <w:r w:rsidR="00CF2AC1" w:rsidRPr="005A615E">
                      <w:rPr>
                        <w:rFonts w:ascii="Times New Roman" w:hAnsi="Times New Roman"/>
                        <w:szCs w:val="28"/>
                      </w:rPr>
                      <w:t>, то</w:t>
                    </w:r>
                  </w:hyperlink>
                </w:p>
              </w:tc>
              <w:tc>
                <w:tcPr>
                  <w:tcW w:w="1730" w:type="pct"/>
                  <w:vAlign w:val="center"/>
                  <w:hideMark/>
                </w:tcPr>
                <w:p w:rsidR="00CF2AC1" w:rsidRPr="005A615E" w:rsidRDefault="000D13C5" w:rsidP="00CF2AC1">
                  <w:pPr>
                    <w:rPr>
                      <w:rFonts w:ascii="Times New Roman" w:hAnsi="Times New Roman"/>
                      <w:szCs w:val="28"/>
                    </w:rPr>
                  </w:pPr>
                  <m:oMath>
                    <m:sSubSup>
                      <m:sSubSupPr>
                        <m:ctrlPr>
                          <w:rPr>
                            <w:rFonts w:ascii="Cambria Math" w:hAnsi="Cambria Math"/>
                            <w:i/>
                            <w:szCs w:val="28"/>
                          </w:rPr>
                        </m:ctrlPr>
                      </m:sSubSupPr>
                      <m:e>
                        <m:r>
                          <w:rPr>
                            <w:rFonts w:ascii="Cambria Math" w:hAnsi="Cambria Math"/>
                            <w:szCs w:val="28"/>
                          </w:rPr>
                          <m:t>КЯ</m:t>
                        </m:r>
                      </m:e>
                      <m:sub>
                        <m:r>
                          <w:rPr>
                            <w:rFonts w:ascii="Cambria Math" w:hAnsi="Cambria Math"/>
                            <w:szCs w:val="28"/>
                          </w:rPr>
                          <m:t>яt</m:t>
                        </m:r>
                      </m:sub>
                      <m:sup>
                        <m:r>
                          <w:rPr>
                            <w:rFonts w:ascii="Cambria Math" w:hAnsi="Cambria Math"/>
                            <w:szCs w:val="28"/>
                          </w:rPr>
                          <m:t>м(с)</m:t>
                        </m:r>
                      </m:sup>
                    </m:sSubSup>
                  </m:oMath>
                  <w:r w:rsidR="00CF2AC1" w:rsidRPr="005A615E">
                    <w:rPr>
                      <w:rFonts w:ascii="Times New Roman" w:hAnsi="Times New Roman"/>
                      <w:szCs w:val="28"/>
                    </w:rPr>
                    <w:t>= 0          (36)</w:t>
                  </w:r>
                </w:p>
              </w:tc>
            </w:tr>
          </w:tbl>
          <w:p w:rsidR="00CF2AC1" w:rsidRPr="005A615E" w:rsidRDefault="00CF2AC1" w:rsidP="00CF2AC1">
            <w:pPr>
              <w:ind w:firstLine="315"/>
              <w:contextualSpacing/>
              <w:jc w:val="both"/>
              <w:rPr>
                <w:rFonts w:ascii="Times New Roman" w:hAnsi="Times New Roman"/>
              </w:rPr>
            </w:pPr>
            <w:r w:rsidRPr="005A615E">
              <w:rPr>
                <w:rFonts w:ascii="Times New Roman" w:eastAsiaTheme="minorEastAsia" w:hAnsi="Times New Roman"/>
              </w:rPr>
              <w:t xml:space="preserve">де </w:t>
            </w:r>
            <w:hyperlink r:id="rId291" w:tgtFrame="_blank" w:history="1">
              <m:oMath>
                <m:sSubSup>
                  <m:sSubSupPr>
                    <m:ctrlPr>
                      <w:rPr>
                        <w:rFonts w:ascii="Cambria Math" w:hAnsi="Cambria Math"/>
                        <w:i/>
                      </w:rPr>
                    </m:ctrlPr>
                  </m:sSubSupPr>
                  <m:e>
                    <m:r>
                      <m:rPr>
                        <m:sty m:val="p"/>
                      </m:rPr>
                      <w:rPr>
                        <w:rFonts w:ascii="Cambria Math" w:hAnsi="Cambria Math"/>
                      </w:rPr>
                      <m:t>SAIDI</m:t>
                    </m:r>
                  </m:e>
                  <m:sub>
                    <m:r>
                      <m:rPr>
                        <m:sty m:val="p"/>
                      </m:rPr>
                      <w:rPr>
                        <w:rFonts w:ascii="Cambria Math" w:hAnsi="Cambria Math"/>
                      </w:rPr>
                      <m:t>t-2</m:t>
                    </m:r>
                  </m:sub>
                  <m:sup>
                    <m:r>
                      <m:rPr>
                        <m:sty m:val="p"/>
                      </m:rPr>
                      <w:rPr>
                        <w:rFonts w:ascii="Cambria Math" w:hAnsi="Cambria Math"/>
                      </w:rPr>
                      <m:t>м</m:t>
                    </m:r>
                    <m:d>
                      <m:dPr>
                        <m:ctrlPr>
                          <w:rPr>
                            <w:rFonts w:ascii="Cambria Math" w:hAnsi="Cambria Math"/>
                            <w:i/>
                          </w:rPr>
                        </m:ctrlPr>
                      </m:dPr>
                      <m:e>
                        <m:r>
                          <m:rPr>
                            <m:sty m:val="p"/>
                          </m:rPr>
                          <w:rPr>
                            <w:rFonts w:ascii="Cambria Math" w:hAnsi="Cambria Math"/>
                          </w:rPr>
                          <m:t>с</m:t>
                        </m:r>
                      </m:e>
                    </m:d>
                    <m:r>
                      <m:rPr>
                        <m:sty m:val="p"/>
                      </m:rPr>
                      <w:rPr>
                        <w:rFonts w:ascii="Cambria Math" w:hAnsi="Cambria Math"/>
                      </w:rPr>
                      <m:t>р</m:t>
                    </m:r>
                  </m:sup>
                </m:sSubSup>
              </m:oMath>
              <w:r w:rsidRPr="005A615E">
                <w:rPr>
                  <w:rFonts w:ascii="Times New Roman" w:hAnsi="Times New Roman"/>
                </w:rPr>
                <w:t xml:space="preserve">  з першого року другого </w:t>
              </w:r>
              <w:r w:rsidRPr="005A615E">
                <w:rPr>
                  <w:rFonts w:ascii="Times New Roman" w:hAnsi="Times New Roman"/>
                  <w:lang w:eastAsia="uk-UA"/>
                </w:rPr>
                <w:t xml:space="preserve">регуляторного періоду </w:t>
              </w:r>
              <w:r w:rsidRPr="005A615E">
                <w:rPr>
                  <w:rFonts w:ascii="Times New Roman" w:hAnsi="Times New Roman"/>
                </w:rPr>
                <w:t>продовжує визначатися за формулами 30 та 31 пункту 5.19 цього Порядку (може бути змінено з другого року другого регуляторного періоду за результатами бенчмаркінгу);</w:t>
              </w:r>
            </w:hyperlink>
          </w:p>
          <w:p w:rsidR="00CF2AC1" w:rsidRPr="005A615E" w:rsidRDefault="000D13C5" w:rsidP="00CF2AC1">
            <w:pPr>
              <w:ind w:firstLine="315"/>
              <w:contextualSpacing/>
              <w:jc w:val="both"/>
              <w:rPr>
                <w:rFonts w:ascii="Times New Roman" w:hAnsi="Times New Roman"/>
              </w:rPr>
            </w:pPr>
            <w:hyperlink r:id="rId292" w:tgtFrame="_blank" w:history="1">
              <w:r w:rsidR="00CF2AC1" w:rsidRPr="005A615E">
                <w:rPr>
                  <w:rFonts w:ascii="Times New Roman" w:hAnsi="Times New Roman"/>
                </w:rPr>
                <w:t>ПКя – встановлений НКРЕКП параметр коригування необхідного доходу за недотримання показників якості послуг для відповідних територій (ПК &gt; 1).</w:t>
              </w:r>
            </w:hyperlink>
          </w:p>
          <w:p w:rsidR="00CF2AC1" w:rsidRPr="005A615E" w:rsidRDefault="000D13C5" w:rsidP="00CF2AC1">
            <w:pPr>
              <w:ind w:firstLine="315"/>
              <w:contextualSpacing/>
              <w:jc w:val="both"/>
              <w:rPr>
                <w:rFonts w:ascii="Times New Roman" w:hAnsi="Times New Roman"/>
              </w:rPr>
            </w:pPr>
            <w:hyperlink r:id="rId293" w:tgtFrame="_blank" w:history="1">
              <w:r w:rsidR="00CF2AC1" w:rsidRPr="005A615E">
                <w:rPr>
                  <w:rFonts w:ascii="Times New Roman" w:hAnsi="Times New Roman"/>
                </w:rPr>
                <w:t>За результатами здійснення заходів контролю за дотриманням Ліцензійних умов показник КЯя може бути уточнено.</w:t>
              </w:r>
            </w:hyperlink>
          </w:p>
          <w:p w:rsidR="00CF2AC1" w:rsidRPr="005A615E" w:rsidRDefault="000D13C5" w:rsidP="00CF2AC1">
            <w:pPr>
              <w:shd w:val="clear" w:color="auto" w:fill="FFFFFF"/>
              <w:spacing w:after="150"/>
              <w:ind w:firstLine="450"/>
              <w:jc w:val="both"/>
              <w:rPr>
                <w:rFonts w:ascii="Times New Roman" w:hAnsi="Times New Roman"/>
              </w:rPr>
            </w:pPr>
            <w:hyperlink r:id="rId294" w:tgtFrame="_blank" w:history="1">
              <w:r w:rsidR="00CF2AC1" w:rsidRPr="005A615E">
                <w:rPr>
                  <w:rFonts w:ascii="Times New Roman" w:hAnsi="Times New Roman"/>
                </w:rPr>
                <w:t>Коригування необхідного доходу відповідно до даних виконання цільового завдання щодо досягнення показників якості послуг тривалості довгих перерв за 2027</w:t>
              </w:r>
            </w:hyperlink>
            <w:r w:rsidR="00CF2AC1" w:rsidRPr="005A615E">
              <w:rPr>
                <w:rFonts w:ascii="Times New Roman" w:hAnsi="Times New Roman"/>
              </w:rPr>
              <w:t> рік</w:t>
            </w:r>
            <w:hyperlink r:id="rId295" w:tgtFrame="_blank" w:history="1">
              <w:r w:rsidR="00CF2AC1" w:rsidRPr="005A615E">
                <w:rPr>
                  <w:rFonts w:ascii="Times New Roman" w:hAnsi="Times New Roman"/>
                </w:rPr>
                <w:t xml:space="preserve"> не застосовується до ліцензіатів, наведених у додатку 34 та додатку 35 до цього Порядку</w:t>
              </w:r>
            </w:hyperlink>
            <w:hyperlink r:id="rId296" w:tgtFrame="_blank" w:history="1">
              <w:r w:rsidR="00CF2AC1" w:rsidRPr="005A615E">
                <w:rPr>
                  <w:rFonts w:ascii="Times New Roman" w:hAnsi="Times New Roman"/>
                </w:rPr>
                <w:t>;</w:t>
              </w:r>
            </w:hyperlink>
          </w:p>
          <w:p w:rsidR="00CF2AC1" w:rsidRPr="005A615E" w:rsidRDefault="00CF2AC1" w:rsidP="00CF2AC1">
            <w:pPr>
              <w:widowControl w:val="0"/>
              <w:ind w:firstLine="315"/>
              <w:contextualSpacing/>
              <w:jc w:val="both"/>
              <w:rPr>
                <w:rFonts w:ascii="Times New Roman" w:hAnsi="Times New Roman"/>
              </w:rPr>
            </w:pPr>
            <w:r w:rsidRPr="005A615E">
              <w:rPr>
                <w:rFonts w:ascii="Times New Roman" w:hAnsi="Times New Roman"/>
              </w:rPr>
              <w:t>2) індекс усунення причин недотримання показників якості електричної енергії у встановлений строк, на рік t визначається за формулою</w:t>
            </w:r>
          </w:p>
          <w:p w:rsidR="00CF2AC1" w:rsidRPr="005A615E" w:rsidRDefault="00CF2AC1" w:rsidP="00CF2AC1">
            <w:pPr>
              <w:widowControl w:val="0"/>
              <w:ind w:firstLine="709"/>
              <w:jc w:val="both"/>
              <w:rPr>
                <w:rFonts w:ascii="Times New Roman" w:hAnsi="Times New Roman"/>
                <w:sz w:val="12"/>
                <w:szCs w:val="12"/>
              </w:rPr>
            </w:pPr>
          </w:p>
          <w:p w:rsidR="00CF2AC1" w:rsidRPr="005A615E" w:rsidRDefault="000D13C5" w:rsidP="00CF2AC1">
            <w:pPr>
              <w:rPr>
                <w:rFonts w:ascii="Times New Roman" w:hAnsi="Times New Roman"/>
                <w:i/>
                <w:szCs w:val="28"/>
              </w:rPr>
            </w:pPr>
            <m:oMath>
              <m:sSub>
                <m:sSubPr>
                  <m:ctrlPr>
                    <w:rPr>
                      <w:rFonts w:ascii="Cambria Math" w:hAnsi="Cambria Math"/>
                      <w:i/>
                      <w:szCs w:val="28"/>
                    </w:rPr>
                  </m:ctrlPr>
                </m:sSubPr>
                <m:e>
                  <m:r>
                    <w:rPr>
                      <w:rFonts w:ascii="Cambria Math" w:hAnsi="Cambria Math"/>
                      <w:szCs w:val="28"/>
                    </w:rPr>
                    <m:t>КЯ</m:t>
                  </m:r>
                </m:e>
                <m:sub>
                  <m:r>
                    <w:rPr>
                      <w:rFonts w:ascii="Cambria Math" w:hAnsi="Cambria Math"/>
                      <w:szCs w:val="28"/>
                    </w:rPr>
                    <m:t>нпt</m:t>
                  </m:r>
                </m:sub>
              </m:sSub>
              <m:r>
                <w:rPr>
                  <w:rFonts w:ascii="Cambria Math" w:hAnsi="Cambria Math"/>
                  <w:szCs w:val="28"/>
                </w:rPr>
                <m:t>=</m:t>
              </m:r>
              <m:f>
                <m:fPr>
                  <m:ctrlPr>
                    <w:rPr>
                      <w:rFonts w:ascii="Cambria Math" w:hAnsi="Cambria Math"/>
                      <w:i/>
                      <w:szCs w:val="28"/>
                    </w:rPr>
                  </m:ctrlPr>
                </m:fPr>
                <m:num>
                  <m:d>
                    <m:dPr>
                      <m:ctrlPr>
                        <w:rPr>
                          <w:rFonts w:ascii="Cambria Math" w:hAnsi="Cambria Math"/>
                          <w:i/>
                          <w:szCs w:val="28"/>
                        </w:rPr>
                      </m:ctrlPr>
                    </m:dPr>
                    <m:e>
                      <m:sSubSup>
                        <m:sSubSupPr>
                          <m:ctrlPr>
                            <w:rPr>
                              <w:rFonts w:ascii="Cambria Math" w:hAnsi="Cambria Math"/>
                              <w:i/>
                              <w:szCs w:val="28"/>
                            </w:rPr>
                          </m:ctrlPr>
                        </m:sSubSupPr>
                        <m:e>
                          <m:r>
                            <w:rPr>
                              <w:rFonts w:ascii="Cambria Math" w:hAnsi="Cambria Math"/>
                              <w:szCs w:val="28"/>
                            </w:rPr>
                            <m:t>I</m:t>
                          </m:r>
                        </m:e>
                        <m:sub>
                          <m:r>
                            <w:rPr>
                              <w:rFonts w:ascii="Cambria Math" w:hAnsi="Cambria Math"/>
                              <w:szCs w:val="28"/>
                            </w:rPr>
                            <m:t>нпt-2</m:t>
                          </m:r>
                        </m:sub>
                        <m:sup>
                          <m:r>
                            <w:rPr>
                              <w:rFonts w:ascii="Cambria Math" w:hAnsi="Cambria Math"/>
                              <w:szCs w:val="28"/>
                            </w:rPr>
                            <m:t>р</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I</m:t>
                          </m:r>
                        </m:e>
                        <m:sub>
                          <m:r>
                            <w:rPr>
                              <w:rFonts w:ascii="Cambria Math" w:hAnsi="Cambria Math"/>
                              <w:szCs w:val="28"/>
                            </w:rPr>
                            <m:t>нпt-2</m:t>
                          </m:r>
                        </m:sub>
                        <m:sup>
                          <m:r>
                            <w:rPr>
                              <w:rFonts w:ascii="Cambria Math" w:hAnsi="Cambria Math"/>
                              <w:szCs w:val="28"/>
                            </w:rPr>
                            <m:t>ф</m:t>
                          </m:r>
                        </m:sup>
                      </m:sSubSup>
                    </m:e>
                  </m:d>
                  <m:r>
                    <w:rPr>
                      <w:rFonts w:ascii="Cambria Math" w:hAnsi="Cambria Math"/>
                      <w:szCs w:val="28"/>
                    </w:rPr>
                    <m:t>∙</m:t>
                  </m:r>
                  <m:sSubSup>
                    <m:sSubSupPr>
                      <m:ctrlPr>
                        <w:rPr>
                          <w:rFonts w:ascii="Cambria Math" w:hAnsi="Cambria Math"/>
                          <w:i/>
                          <w:szCs w:val="28"/>
                        </w:rPr>
                      </m:ctrlPr>
                    </m:sSubSupPr>
                    <m:e>
                      <m:r>
                        <w:rPr>
                          <w:rFonts w:ascii="Cambria Math" w:hAnsi="Cambria Math"/>
                          <w:szCs w:val="28"/>
                        </w:rPr>
                        <m:t>W</m:t>
                      </m:r>
                    </m:e>
                    <m:sub>
                      <m:sSub>
                        <m:sSubPr>
                          <m:ctrlPr>
                            <w:rPr>
                              <w:rFonts w:ascii="Cambria Math" w:hAnsi="Cambria Math"/>
                              <w:i/>
                              <w:szCs w:val="28"/>
                            </w:rPr>
                          </m:ctrlPr>
                        </m:sSubPr>
                        <m:e>
                          <m:r>
                            <w:rPr>
                              <w:rFonts w:ascii="Cambria Math" w:hAnsi="Cambria Math"/>
                              <w:szCs w:val="28"/>
                            </w:rPr>
                            <m:t>2</m:t>
                          </m:r>
                        </m:e>
                        <m:sub>
                          <m:r>
                            <w:rPr>
                              <w:rFonts w:ascii="Cambria Math" w:hAnsi="Cambria Math"/>
                              <w:szCs w:val="28"/>
                            </w:rPr>
                            <m:t>t</m:t>
                          </m:r>
                        </m:sub>
                      </m:sSub>
                      <m:r>
                        <w:rPr>
                          <w:rFonts w:ascii="Cambria Math" w:hAnsi="Cambria Math"/>
                          <w:szCs w:val="28"/>
                        </w:rPr>
                        <m:t>-2</m:t>
                      </m:r>
                    </m:sub>
                    <m:sup>
                      <m:r>
                        <w:rPr>
                          <w:rFonts w:ascii="Cambria Math" w:hAnsi="Cambria Math"/>
                          <w:szCs w:val="28"/>
                        </w:rPr>
                        <m:t>м</m:t>
                      </m:r>
                      <m:d>
                        <m:dPr>
                          <m:ctrlPr>
                            <w:rPr>
                              <w:rFonts w:ascii="Cambria Math" w:hAnsi="Cambria Math"/>
                              <w:i/>
                              <w:szCs w:val="28"/>
                            </w:rPr>
                          </m:ctrlPr>
                        </m:dPr>
                        <m:e>
                          <m:r>
                            <w:rPr>
                              <w:rFonts w:ascii="Cambria Math" w:hAnsi="Cambria Math"/>
                              <w:szCs w:val="28"/>
                            </w:rPr>
                            <m:t>с</m:t>
                          </m:r>
                        </m:e>
                      </m:d>
                      <m:r>
                        <w:rPr>
                          <w:rFonts w:ascii="Cambria Math" w:hAnsi="Cambria Math"/>
                          <w:szCs w:val="28"/>
                        </w:rPr>
                        <m:t>ф</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Ц</m:t>
                      </m:r>
                    </m:e>
                    <m:sub>
                      <m:sSub>
                        <m:sSubPr>
                          <m:ctrlPr>
                            <w:rPr>
                              <w:rFonts w:ascii="Cambria Math" w:hAnsi="Cambria Math"/>
                              <w:i/>
                              <w:szCs w:val="28"/>
                            </w:rPr>
                          </m:ctrlPr>
                        </m:sSubPr>
                        <m:e>
                          <m:r>
                            <w:rPr>
                              <w:rFonts w:ascii="Cambria Math" w:hAnsi="Cambria Math"/>
                              <w:szCs w:val="28"/>
                            </w:rPr>
                            <m:t>2</m:t>
                          </m:r>
                        </m:e>
                        <m:sub>
                          <m:r>
                            <w:rPr>
                              <w:rFonts w:ascii="Cambria Math" w:hAnsi="Cambria Math"/>
                              <w:szCs w:val="28"/>
                            </w:rPr>
                            <m:t>t</m:t>
                          </m:r>
                        </m:sub>
                      </m:sSub>
                      <m:r>
                        <w:rPr>
                          <w:rFonts w:ascii="Cambria Math" w:hAnsi="Cambria Math"/>
                          <w:szCs w:val="28"/>
                        </w:rPr>
                        <m:t>-2</m:t>
                      </m:r>
                    </m:sub>
                  </m:sSub>
                  <m:r>
                    <w:rPr>
                      <w:rFonts w:ascii="Cambria Math" w:hAnsi="Cambria Math"/>
                      <w:szCs w:val="28"/>
                    </w:rPr>
                    <m:t>*ПКнп</m:t>
                  </m:r>
                </m:num>
                <m:den>
                  <m:r>
                    <w:rPr>
                      <w:rFonts w:ascii="Cambria Math" w:hAnsi="Cambria Math"/>
                      <w:szCs w:val="28"/>
                    </w:rPr>
                    <m:t>1000</m:t>
                  </m:r>
                </m:den>
              </m:f>
              <m:r>
                <w:rPr>
                  <w:rFonts w:ascii="Cambria Math" w:hAnsi="Cambria Math"/>
                  <w:szCs w:val="28"/>
                </w:rPr>
                <m:t xml:space="preserve">  , тис. </m:t>
              </m:r>
              <m:r>
                <m:rPr>
                  <m:sty m:val="p"/>
                </m:rPr>
                <w:rPr>
                  <w:rFonts w:ascii="Cambria Math" w:hAnsi="Cambria Math"/>
                  <w:szCs w:val="28"/>
                </w:rPr>
                <m:t>грн</m:t>
              </m:r>
            </m:oMath>
            <w:r w:rsidR="00CF2AC1" w:rsidRPr="005A615E">
              <w:rPr>
                <w:rFonts w:ascii="Times New Roman" w:hAnsi="Times New Roman"/>
                <w:szCs w:val="28"/>
              </w:rPr>
              <w:t xml:space="preserve">  </w:t>
            </w:r>
            <w:r w:rsidR="00CF2AC1" w:rsidRPr="005A615E">
              <w:rPr>
                <w:rFonts w:ascii="Times New Roman" w:eastAsiaTheme="minorEastAsia" w:hAnsi="Times New Roman"/>
                <w:szCs w:val="28"/>
                <w:lang w:eastAsia="uk-UA"/>
              </w:rPr>
              <w:t xml:space="preserve">  (37</w:t>
            </w:r>
            <w:r w:rsidR="00CF2AC1" w:rsidRPr="005A615E">
              <w:rPr>
                <w:rFonts w:ascii="Times New Roman" w:eastAsiaTheme="minorEastAsia" w:hAnsi="Times New Roman"/>
                <w:szCs w:val="28"/>
              </w:rPr>
              <w:t>)</w:t>
            </w:r>
          </w:p>
          <w:p w:rsidR="00CF2AC1" w:rsidRPr="005A615E" w:rsidRDefault="00CF2AC1" w:rsidP="00CF2AC1">
            <w:pPr>
              <w:ind w:firstLine="709"/>
              <w:jc w:val="both"/>
              <w:rPr>
                <w:rFonts w:ascii="Times New Roman" w:hAnsi="Times New Roman"/>
                <w:sz w:val="12"/>
                <w:szCs w:val="12"/>
              </w:rPr>
            </w:pPr>
          </w:p>
          <w:p w:rsidR="00CF2AC1" w:rsidRPr="005A615E" w:rsidRDefault="00CF2AC1" w:rsidP="00CF2AC1">
            <w:pPr>
              <w:ind w:firstLine="315"/>
              <w:contextualSpacing/>
              <w:jc w:val="both"/>
              <w:rPr>
                <w:rFonts w:ascii="Times New Roman" w:hAnsi="Times New Roman"/>
                <w:u w:val="single"/>
              </w:rPr>
            </w:pPr>
            <w:r w:rsidRPr="005A615E">
              <w:rPr>
                <w:rFonts w:ascii="Times New Roman" w:hAnsi="Times New Roman"/>
              </w:rPr>
              <w:t xml:space="preserve">де </w:t>
            </w:r>
            <m:oMath>
              <m:sSubSup>
                <m:sSubSupPr>
                  <m:ctrlPr>
                    <w:rPr>
                      <w:rFonts w:ascii="Cambria Math" w:hAnsi="Cambria Math"/>
                      <w:i/>
                    </w:rPr>
                  </m:ctrlPr>
                </m:sSubSupPr>
                <m:e>
                  <m:r>
                    <w:rPr>
                      <w:rFonts w:ascii="Cambria Math" w:hAnsi="Cambria Math"/>
                    </w:rPr>
                    <m:t>I</m:t>
                  </m:r>
                </m:e>
                <m:sub>
                  <m:r>
                    <w:rPr>
                      <w:rFonts w:ascii="Cambria Math" w:hAnsi="Cambria Math"/>
                    </w:rPr>
                    <m:t>нп_ц</m:t>
                  </m:r>
                </m:sub>
                <m:sup>
                  <m:r>
                    <w:rPr>
                      <w:rFonts w:ascii="Cambria Math" w:hAnsi="Cambria Math"/>
                    </w:rPr>
                    <m:t>р</m:t>
                  </m:r>
                </m:sup>
              </m:sSubSup>
            </m:oMath>
            <w:r w:rsidRPr="005A615E">
              <w:rPr>
                <w:rFonts w:ascii="Times New Roman" w:eastAsiaTheme="minorEastAsia" w:hAnsi="Times New Roman"/>
              </w:rPr>
              <w:t xml:space="preserve"> </w:t>
            </w:r>
            <w:r w:rsidRPr="005A615E">
              <w:rPr>
                <w:rFonts w:ascii="Times New Roman" w:hAnsi="Times New Roman"/>
              </w:rPr>
              <w:t>–</w:t>
            </w:r>
            <w:r w:rsidRPr="005A615E">
              <w:rPr>
                <w:rFonts w:ascii="Times New Roman" w:eastAsiaTheme="minorEastAsia" w:hAnsi="Times New Roman"/>
              </w:rPr>
              <w:t xml:space="preserve"> </w:t>
            </w:r>
            <w:r w:rsidRPr="005A615E">
              <w:rPr>
                <w:rFonts w:ascii="Times New Roman" w:hAnsi="Times New Roman"/>
              </w:rPr>
              <w:t>встановлений НКРЕКП цільовий індекс усунення причин недотримання показників якості електричної енергії у встановлений строк, на рівні 98 %, який враховується у розрахунку починаючи з третього року другого регуляторного періоду (</w:t>
            </w:r>
            <m:oMath>
              <m:sSubSup>
                <m:sSubSupPr>
                  <m:ctrlPr>
                    <w:rPr>
                      <w:rFonts w:ascii="Cambria Math" w:hAnsi="Cambria Math"/>
                    </w:rPr>
                  </m:ctrlPr>
                </m:sSubSupPr>
                <m:e>
                  <m:r>
                    <w:rPr>
                      <w:rFonts w:ascii="Cambria Math" w:hAnsi="Cambria Math"/>
                    </w:rPr>
                    <m:t>I</m:t>
                  </m:r>
                </m:e>
                <m:sub>
                  <m:r>
                    <m:rPr>
                      <m:sty m:val="p"/>
                    </m:rPr>
                    <w:rPr>
                      <w:rFonts w:ascii="Cambria Math" w:hAnsi="Cambria Math"/>
                    </w:rPr>
                    <m:t>нп</m:t>
                  </m:r>
                  <m:r>
                    <w:rPr>
                      <w:rFonts w:ascii="Cambria Math" w:hAnsi="Cambria Math"/>
                    </w:rPr>
                    <m:t>t</m:t>
                  </m:r>
                  <m:r>
                    <m:rPr>
                      <m:sty m:val="p"/>
                    </m:rPr>
                    <w:rPr>
                      <w:rFonts w:ascii="Cambria Math" w:hAnsi="Cambria Math"/>
                    </w:rPr>
                    <m:t>-2</m:t>
                  </m:r>
                </m:sub>
                <m:sup>
                  <m:r>
                    <m:rPr>
                      <m:sty m:val="p"/>
                    </m:rPr>
                    <w:rPr>
                      <w:rFonts w:ascii="Cambria Math" w:hAnsi="Cambria Math"/>
                    </w:rPr>
                    <m:t>р</m:t>
                  </m:r>
                </m:sup>
              </m:sSubSup>
            </m:oMath>
            <w:r w:rsidRPr="005A615E">
              <w:rPr>
                <w:rFonts w:ascii="Times New Roman" w:hAnsi="Times New Roman"/>
              </w:rPr>
              <w:t>);</w:t>
            </w:r>
          </w:p>
          <w:p w:rsidR="00CF2AC1" w:rsidRPr="005A615E" w:rsidRDefault="000D13C5" w:rsidP="00CF2AC1">
            <w:pPr>
              <w:ind w:firstLine="315"/>
              <w:contextualSpacing/>
              <w:jc w:val="both"/>
              <w:rPr>
                <w:rFonts w:ascii="Times New Roman" w:hAnsi="Times New Roman"/>
              </w:rPr>
            </w:pPr>
            <m:oMath>
              <m:sSubSup>
                <m:sSubSupPr>
                  <m:ctrlPr>
                    <w:rPr>
                      <w:rFonts w:ascii="Cambria Math" w:hAnsi="Cambria Math"/>
                      <w:i/>
                    </w:rPr>
                  </m:ctrlPr>
                </m:sSubSupPr>
                <m:e>
                  <m:r>
                    <w:rPr>
                      <w:rFonts w:ascii="Cambria Math" w:hAnsi="Cambria Math"/>
                    </w:rPr>
                    <m:t>I</m:t>
                  </m:r>
                </m:e>
                <m:sub>
                  <m:r>
                    <w:rPr>
                      <w:rFonts w:ascii="Cambria Math" w:hAnsi="Cambria Math"/>
                    </w:rPr>
                    <m:t>нпt-2</m:t>
                  </m:r>
                </m:sub>
                <m:sup>
                  <m:r>
                    <w:rPr>
                      <w:rFonts w:ascii="Cambria Math" w:hAnsi="Cambria Math"/>
                    </w:rPr>
                    <m:t>ф</m:t>
                  </m:r>
                </m:sup>
              </m:sSubSup>
            </m:oMath>
            <w:r w:rsidR="00CF2AC1" w:rsidRPr="005A615E">
              <w:rPr>
                <w:rFonts w:ascii="Times New Roman" w:eastAsiaTheme="minorEastAsia" w:hAnsi="Times New Roman"/>
              </w:rPr>
              <w:t xml:space="preserve"> – </w:t>
            </w:r>
            <w:r w:rsidR="00CF2AC1" w:rsidRPr="005A615E">
              <w:rPr>
                <w:rFonts w:ascii="Times New Roman" w:hAnsi="Times New Roman"/>
              </w:rPr>
              <w:t xml:space="preserve">фактичний індекс усунення причин недотримання показників якості електричної енергії у встановлений строк, де оператор системи розподілу є стороною відповідальною за усунення причин недотримання показників якості електричної енергії на рівні ≥ 98 %, на рік t-2 визначається за формулою </w:t>
            </w:r>
          </w:p>
          <w:p w:rsidR="00CF2AC1" w:rsidRPr="005A615E" w:rsidRDefault="00CF2AC1" w:rsidP="00CF2AC1">
            <w:pPr>
              <w:ind w:firstLine="709"/>
              <w:jc w:val="both"/>
              <w:rPr>
                <w:rFonts w:ascii="Times New Roman" w:hAnsi="Times New Roman"/>
                <w:sz w:val="12"/>
                <w:szCs w:val="12"/>
              </w:rPr>
            </w:pPr>
          </w:p>
          <w:p w:rsidR="00CF2AC1" w:rsidRPr="005A615E" w:rsidRDefault="000D13C5" w:rsidP="00CF2AC1">
            <w:pPr>
              <w:ind w:left="567"/>
              <w:rPr>
                <w:rFonts w:ascii="Times New Roman" w:hAnsi="Times New Roman"/>
                <w:lang w:eastAsia="uk-UA"/>
              </w:rPr>
            </w:pPr>
            <m:oMath>
              <m:sSubSup>
                <m:sSubSupPr>
                  <m:ctrlPr>
                    <w:rPr>
                      <w:rFonts w:ascii="Cambria Math" w:hAnsi="Cambria Math"/>
                      <w:i/>
                    </w:rPr>
                  </m:ctrlPr>
                </m:sSubSupPr>
                <m:e>
                  <m:r>
                    <w:rPr>
                      <w:rFonts w:ascii="Cambria Math" w:hAnsi="Cambria Math"/>
                    </w:rPr>
                    <m:t>I</m:t>
                  </m:r>
                </m:e>
                <m:sub>
                  <m:r>
                    <w:rPr>
                      <w:rFonts w:ascii="Cambria Math" w:hAnsi="Cambria Math"/>
                    </w:rPr>
                    <m:t>нпt-2</m:t>
                  </m:r>
                </m:sub>
                <m:sup>
                  <m:r>
                    <w:rPr>
                      <w:rFonts w:ascii="Cambria Math" w:hAnsi="Cambria Math"/>
                    </w:rPr>
                    <m:t>ф</m:t>
                  </m:r>
                </m:sup>
              </m:sSubSup>
              <m:r>
                <w:rPr>
                  <w:rFonts w:ascii="Cambria Math" w:hAnsi="Cambria Math"/>
                  <w:lang w:eastAsia="uk-UA"/>
                </w:rPr>
                <m:t>=1-</m:t>
              </m:r>
              <m:f>
                <m:fPr>
                  <m:ctrlPr>
                    <w:rPr>
                      <w:rFonts w:ascii="Cambria Math" w:hAnsi="Cambria Math"/>
                      <w:lang w:eastAsia="uk-UA"/>
                    </w:rPr>
                  </m:ctrlPr>
                </m:fPr>
                <m:num>
                  <m:sSubSup>
                    <m:sSubSupPr>
                      <m:ctrlPr>
                        <w:rPr>
                          <w:rFonts w:ascii="Cambria Math" w:hAnsi="Cambria Math"/>
                          <w:i/>
                        </w:rPr>
                      </m:ctrlPr>
                    </m:sSubSupPr>
                    <m:e>
                      <m:r>
                        <w:rPr>
                          <w:rFonts w:ascii="Cambria Math" w:hAnsi="Cambria Math"/>
                        </w:rPr>
                        <m:t>N</m:t>
                      </m:r>
                    </m:e>
                    <m:sub>
                      <m:r>
                        <w:rPr>
                          <w:rFonts w:ascii="Cambria Math" w:hAnsi="Cambria Math"/>
                        </w:rPr>
                        <m:t>нпt-2</m:t>
                      </m:r>
                    </m:sub>
                    <m:sup>
                      <m:r>
                        <w:rPr>
                          <w:rFonts w:ascii="Cambria Math" w:hAnsi="Cambria Math"/>
                        </w:rPr>
                        <m:t>ф_ВЧ</m:t>
                      </m:r>
                    </m:sup>
                  </m:sSubSup>
                  <m:ctrlPr>
                    <w:rPr>
                      <w:rFonts w:ascii="Cambria Math" w:hAnsi="Cambria Math"/>
                      <w:i/>
                      <w:lang w:eastAsia="uk-UA"/>
                    </w:rPr>
                  </m:ctrlPr>
                </m:num>
                <m:den>
                  <m:sSubSup>
                    <m:sSubSupPr>
                      <m:ctrlPr>
                        <w:rPr>
                          <w:rFonts w:ascii="Cambria Math" w:hAnsi="Cambria Math"/>
                          <w:i/>
                        </w:rPr>
                      </m:ctrlPr>
                    </m:sSubSupPr>
                    <m:e>
                      <m:r>
                        <w:rPr>
                          <w:rFonts w:ascii="Cambria Math" w:hAnsi="Cambria Math"/>
                        </w:rPr>
                        <m:t>N</m:t>
                      </m:r>
                    </m:e>
                    <m:sub>
                      <m:r>
                        <w:rPr>
                          <w:rFonts w:ascii="Cambria Math" w:hAnsi="Cambria Math"/>
                        </w:rPr>
                        <m:t>нпt-2</m:t>
                      </m:r>
                    </m:sub>
                    <m:sup>
                      <m:r>
                        <w:rPr>
                          <w:rFonts w:ascii="Cambria Math" w:hAnsi="Cambria Math"/>
                        </w:rPr>
                        <m:t>ф_заг</m:t>
                      </m:r>
                    </m:sup>
                  </m:sSubSup>
                  <m:ctrlPr>
                    <w:rPr>
                      <w:rFonts w:ascii="Cambria Math" w:hAnsi="Cambria Math"/>
                      <w:i/>
                      <w:lang w:eastAsia="uk-UA"/>
                    </w:rPr>
                  </m:ctrlPr>
                </m:den>
              </m:f>
              <m:r>
                <w:rPr>
                  <w:rFonts w:ascii="Cambria Math" w:hAnsi="Cambria Math"/>
                  <w:lang w:eastAsia="uk-UA"/>
                </w:rPr>
                <m:t xml:space="preserve">        </m:t>
              </m:r>
            </m:oMath>
            <w:r w:rsidR="00CF2AC1" w:rsidRPr="005A615E">
              <w:rPr>
                <w:rFonts w:ascii="Times New Roman" w:eastAsiaTheme="minorEastAsia" w:hAnsi="Times New Roman"/>
                <w:lang w:eastAsia="uk-UA"/>
              </w:rPr>
              <w:t xml:space="preserve">, %    (38)     </w:t>
            </w:r>
          </w:p>
          <w:p w:rsidR="00CF2AC1" w:rsidRPr="005A615E" w:rsidRDefault="00CF2AC1" w:rsidP="00CF2AC1">
            <w:pPr>
              <w:ind w:firstLine="315"/>
              <w:contextualSpacing/>
              <w:jc w:val="both"/>
              <w:rPr>
                <w:rFonts w:ascii="Times New Roman" w:hAnsi="Times New Roman"/>
              </w:rPr>
            </w:pPr>
            <w:r w:rsidRPr="005A615E">
              <w:rPr>
                <w:rFonts w:ascii="Times New Roman" w:hAnsi="Times New Roman"/>
                <w:lang w:eastAsia="uk-UA"/>
              </w:rPr>
              <w:t xml:space="preserve">де </w:t>
            </w:r>
            <m:oMath>
              <m:sSubSup>
                <m:sSubSupPr>
                  <m:ctrlPr>
                    <w:rPr>
                      <w:rFonts w:ascii="Cambria Math" w:hAnsi="Cambria Math"/>
                      <w:i/>
                    </w:rPr>
                  </m:ctrlPr>
                </m:sSubSupPr>
                <m:e>
                  <m:r>
                    <w:rPr>
                      <w:rFonts w:ascii="Cambria Math" w:hAnsi="Cambria Math"/>
                    </w:rPr>
                    <m:t>N</m:t>
                  </m:r>
                </m:e>
                <m:sub>
                  <m:r>
                    <w:rPr>
                      <w:rFonts w:ascii="Cambria Math" w:hAnsi="Cambria Math"/>
                    </w:rPr>
                    <m:t>нпt-2</m:t>
                  </m:r>
                </m:sub>
                <m:sup>
                  <m:r>
                    <w:rPr>
                      <w:rFonts w:ascii="Cambria Math" w:hAnsi="Cambria Math"/>
                    </w:rPr>
                    <m:t>ф_ВЧ</m:t>
                  </m:r>
                </m:sup>
              </m:sSubSup>
            </m:oMath>
            <w:r w:rsidRPr="005A615E">
              <w:rPr>
                <w:rFonts w:ascii="Times New Roman" w:hAnsi="Times New Roman"/>
              </w:rPr>
              <w:t xml:space="preserve"> – кількість скарг/звернень/претензій споживачів, які визнані обґрунтованими, та щодо яких порушено строк усунення причин неналежної якості електричної енергії на рік t-2,</w:t>
            </w:r>
            <w:r w:rsidRPr="005A615E">
              <w:rPr>
                <w:rFonts w:ascii="Times New Roman" w:hAnsi="Times New Roman"/>
                <w:lang w:eastAsia="uk-UA"/>
              </w:rPr>
              <w:t xml:space="preserve"> які визначаються за даними форми звітності № 10-НКРЕКП-якість-розподіл (річна) «</w:t>
            </w:r>
            <w:r w:rsidRPr="005A615E">
              <w:rPr>
                <w:rFonts w:ascii="Times New Roman" w:hAnsi="Times New Roman"/>
                <w:shd w:val="clear" w:color="auto" w:fill="FFFFFF"/>
              </w:rPr>
              <w:t>Звіт щодо усунення причин незадовільної якості електричної енергії за скаргами споживачів</w:t>
            </w:r>
            <w:r w:rsidRPr="005A615E">
              <w:rPr>
                <w:rFonts w:ascii="Times New Roman" w:hAnsi="Times New Roman"/>
                <w:lang w:eastAsia="uk-UA"/>
              </w:rPr>
              <w:t>», затвердженої постановою НКРЕКП від 12 червня 2018 року № 374;</w:t>
            </w:r>
            <w:r w:rsidRPr="005A615E">
              <w:rPr>
                <w:rFonts w:ascii="Times New Roman" w:hAnsi="Times New Roman"/>
              </w:rPr>
              <w:t xml:space="preserve"> </w:t>
            </w:r>
          </w:p>
          <w:p w:rsidR="00CF2AC1" w:rsidRPr="005A615E" w:rsidRDefault="000D13C5" w:rsidP="00CF2AC1">
            <w:pPr>
              <w:ind w:firstLine="315"/>
              <w:contextualSpacing/>
              <w:jc w:val="both"/>
              <w:rPr>
                <w:rFonts w:ascii="Times New Roman" w:hAnsi="Times New Roman"/>
              </w:rPr>
            </w:pPr>
            <m:oMath>
              <m:sSubSup>
                <m:sSubSupPr>
                  <m:ctrlPr>
                    <w:rPr>
                      <w:rFonts w:ascii="Cambria Math" w:hAnsi="Cambria Math"/>
                      <w:i/>
                    </w:rPr>
                  </m:ctrlPr>
                </m:sSubSupPr>
                <m:e>
                  <m:r>
                    <w:rPr>
                      <w:rFonts w:ascii="Cambria Math" w:hAnsi="Cambria Math"/>
                    </w:rPr>
                    <m:t>N</m:t>
                  </m:r>
                </m:e>
                <m:sub>
                  <m:r>
                    <w:rPr>
                      <w:rFonts w:ascii="Cambria Math" w:hAnsi="Cambria Math"/>
                    </w:rPr>
                    <m:t>нпt-2</m:t>
                  </m:r>
                </m:sub>
                <m:sup>
                  <m:r>
                    <w:rPr>
                      <w:rFonts w:ascii="Cambria Math" w:hAnsi="Cambria Math"/>
                    </w:rPr>
                    <m:t>ф_заг</m:t>
                  </m:r>
                </m:sup>
              </m:sSubSup>
            </m:oMath>
            <w:r w:rsidR="00CF2AC1" w:rsidRPr="005A615E">
              <w:rPr>
                <w:rFonts w:ascii="Times New Roman" w:hAnsi="Times New Roman"/>
              </w:rPr>
              <w:t xml:space="preserve"> – загальна кількість скарг/звернень/претензій споживачів щодо неналежної якості електричної енергії, визнаних обґрунтованими на рік t-2, </w:t>
            </w:r>
            <w:r w:rsidR="00CF2AC1" w:rsidRPr="005A615E">
              <w:rPr>
                <w:rFonts w:ascii="Times New Roman" w:hAnsi="Times New Roman"/>
                <w:lang w:eastAsia="uk-UA"/>
              </w:rPr>
              <w:t>які визначаються за даними форми звітності № 10-НКРЕКП-якість-розподіл (річна) «</w:t>
            </w:r>
            <w:r w:rsidR="00CF2AC1" w:rsidRPr="005A615E">
              <w:rPr>
                <w:rFonts w:ascii="Times New Roman" w:hAnsi="Times New Roman"/>
                <w:shd w:val="clear" w:color="auto" w:fill="FFFFFF"/>
              </w:rPr>
              <w:t>Звіт щодо усунення причин незадовільної якості електричної енергії за скаргами споживачів</w:t>
            </w:r>
            <w:r w:rsidR="00CF2AC1" w:rsidRPr="005A615E">
              <w:rPr>
                <w:rFonts w:ascii="Times New Roman" w:hAnsi="Times New Roman"/>
                <w:lang w:eastAsia="uk-UA"/>
              </w:rPr>
              <w:t>», затвердженої постановою НКРЕКП від 12 червня 2018 року № 374</w:t>
            </w:r>
            <w:r w:rsidR="00CF2AC1" w:rsidRPr="005A615E">
              <w:rPr>
                <w:rFonts w:ascii="Times New Roman" w:hAnsi="Times New Roman"/>
              </w:rPr>
              <w:t xml:space="preserve">; </w:t>
            </w:r>
          </w:p>
          <w:p w:rsidR="00CF2AC1" w:rsidRPr="005A615E" w:rsidRDefault="00CF2AC1" w:rsidP="00CF2AC1">
            <w:pPr>
              <w:ind w:firstLine="315"/>
              <w:contextualSpacing/>
              <w:jc w:val="both"/>
              <w:rPr>
                <w:rFonts w:ascii="Times New Roman" w:hAnsi="Times New Roman"/>
              </w:rPr>
            </w:pPr>
            <w:r w:rsidRPr="005A615E">
              <w:rPr>
                <w:rFonts w:ascii="Times New Roman" w:hAnsi="Times New Roman"/>
              </w:rPr>
              <w:t>ПК</w:t>
            </w:r>
            <w:r w:rsidRPr="005A615E">
              <w:rPr>
                <w:rFonts w:ascii="Times New Roman" w:hAnsi="Times New Roman"/>
                <w:vertAlign w:val="subscript"/>
              </w:rPr>
              <w:t>нп</w:t>
            </w:r>
            <w:r w:rsidRPr="005A615E">
              <w:rPr>
                <w:rFonts w:ascii="Times New Roman" w:hAnsi="Times New Roman"/>
              </w:rPr>
              <w:t xml:space="preserve"> – встановлений НКРЕКП параметр коригування необхідного доходу за недотримання відповідного показника комерційної якості надання послуг (ПК &gt; 1).</w:t>
            </w:r>
          </w:p>
          <w:p w:rsidR="00CF2AC1" w:rsidRPr="005A615E" w:rsidRDefault="00CF2AC1" w:rsidP="00CF2AC1">
            <w:pPr>
              <w:ind w:firstLine="315"/>
              <w:contextualSpacing/>
              <w:jc w:val="both"/>
              <w:rPr>
                <w:rFonts w:ascii="Times New Roman" w:hAnsi="Times New Roman"/>
                <w:b/>
              </w:rPr>
            </w:pPr>
            <w:r w:rsidRPr="005A615E">
              <w:rPr>
                <w:rFonts w:ascii="Times New Roman" w:hAnsi="Times New Roman"/>
              </w:rPr>
              <w:t xml:space="preserve">За результатами здійснення заходів контролю за дотриманням Ліцензійних умов показник </w:t>
            </w:r>
            <m:oMath>
              <m:sSub>
                <m:sSubPr>
                  <m:ctrlPr>
                    <w:rPr>
                      <w:rFonts w:ascii="Cambria Math" w:hAnsi="Cambria Math"/>
                      <w:i/>
                    </w:rPr>
                  </m:ctrlPr>
                </m:sSubPr>
                <m:e>
                  <m:r>
                    <m:rPr>
                      <m:sty m:val="p"/>
                    </m:rPr>
                    <w:rPr>
                      <w:rFonts w:ascii="Cambria Math" w:hAnsi="Cambria Math"/>
                    </w:rPr>
                    <m:t>КЯ</m:t>
                  </m:r>
                </m:e>
                <m:sub>
                  <m:r>
                    <m:rPr>
                      <m:sty m:val="p"/>
                    </m:rPr>
                    <w:rPr>
                      <w:rFonts w:ascii="Cambria Math" w:hAnsi="Cambria Math"/>
                    </w:rPr>
                    <m:t>нп_t</m:t>
                  </m:r>
                </m:sub>
              </m:sSub>
            </m:oMath>
            <w:r w:rsidRPr="005A615E">
              <w:rPr>
                <w:rFonts w:ascii="Times New Roman" w:hAnsi="Times New Roman"/>
              </w:rPr>
              <w:t xml:space="preserve"> може бути уточнено;</w:t>
            </w:r>
          </w:p>
          <w:p w:rsidR="00CF2AC1" w:rsidRPr="005A615E" w:rsidRDefault="00CF2AC1" w:rsidP="00CF2AC1">
            <w:pPr>
              <w:spacing w:after="150"/>
              <w:ind w:firstLine="450"/>
              <w:jc w:val="both"/>
              <w:rPr>
                <w:rFonts w:ascii="Times New Roman" w:hAnsi="Times New Roman"/>
                <w:b/>
              </w:rPr>
            </w:pPr>
            <w:r w:rsidRPr="005A615E">
              <w:rPr>
                <w:rFonts w:ascii="Times New Roman" w:hAnsi="Times New Roman"/>
                <w:b/>
              </w:rPr>
              <w:t xml:space="preserve">Коригування необхідного доходу відповідно до індексу усунення причин недотримання показників якості електричної енергії у встановлений строк </w:t>
            </w:r>
            <w:hyperlink r:id="rId297" w:tgtFrame="_blank" w:history="1">
              <w:r w:rsidRPr="005A615E">
                <w:rPr>
                  <w:rFonts w:ascii="Times New Roman" w:hAnsi="Times New Roman"/>
                  <w:b/>
                </w:rPr>
                <w:t>не застосовується до ліцензіатів, наведених додатку 35 до цього Порядку</w:t>
              </w:r>
            </w:hyperlink>
            <w:hyperlink r:id="rId298" w:tgtFrame="_blank" w:history="1">
              <w:r w:rsidRPr="005A615E">
                <w:rPr>
                  <w:rFonts w:ascii="Times New Roman" w:hAnsi="Times New Roman"/>
                  <w:b/>
                </w:rPr>
                <w:t>;</w:t>
              </w:r>
            </w:hyperlink>
          </w:p>
          <w:p w:rsidR="00CF2AC1" w:rsidRPr="005A615E" w:rsidRDefault="00CF2AC1" w:rsidP="00CF2AC1">
            <w:pPr>
              <w:ind w:firstLine="315"/>
              <w:contextualSpacing/>
              <w:jc w:val="both"/>
              <w:rPr>
                <w:rFonts w:ascii="Times New Roman" w:hAnsi="Times New Roman"/>
                <w:b/>
                <w:strike/>
              </w:rPr>
            </w:pPr>
            <w:r w:rsidRPr="005A615E">
              <w:rPr>
                <w:rFonts w:ascii="Times New Roman" w:hAnsi="Times New Roman"/>
                <w:b/>
                <w:strike/>
              </w:rPr>
              <w:t>3) індекс надання послуги зі стандартного приєднання у встановлений строк, на рік t визначається за формулою</w:t>
            </w:r>
          </w:p>
          <w:p w:rsidR="00CF2AC1" w:rsidRPr="005A615E" w:rsidRDefault="00CF2AC1" w:rsidP="00CF2AC1">
            <w:pPr>
              <w:jc w:val="both"/>
              <w:rPr>
                <w:rFonts w:ascii="Times New Roman" w:hAnsi="Times New Roman"/>
                <w:b/>
                <w:strike/>
                <w:sz w:val="12"/>
                <w:szCs w:val="12"/>
              </w:rPr>
            </w:pPr>
          </w:p>
          <w:p w:rsidR="00CF2AC1" w:rsidRPr="005A615E" w:rsidRDefault="000D13C5" w:rsidP="00CF2AC1">
            <w:pPr>
              <w:rPr>
                <w:rFonts w:ascii="Times New Roman" w:eastAsiaTheme="minorEastAsia" w:hAnsi="Times New Roman"/>
                <w:b/>
                <w:strike/>
              </w:rPr>
            </w:pPr>
            <m:oMath>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прt</m:t>
                  </m:r>
                </m:sub>
              </m:sSub>
              <m:r>
                <m:rPr>
                  <m:sty m:val="bi"/>
                </m:rPr>
                <w:rPr>
                  <w:rFonts w:ascii="Cambria Math" w:hAnsi="Cambria Math"/>
                  <w:strike/>
                </w:rPr>
                <m:t>=</m:t>
              </m:r>
              <m:f>
                <m:fPr>
                  <m:ctrlPr>
                    <w:rPr>
                      <w:rFonts w:ascii="Cambria Math" w:hAnsi="Cambria Math"/>
                      <w:b/>
                      <w:i/>
                      <w:strike/>
                    </w:rPr>
                  </m:ctrlPr>
                </m:fPr>
                <m:num>
                  <m:d>
                    <m:dPr>
                      <m:ctrlPr>
                        <w:rPr>
                          <w:rFonts w:ascii="Cambria Math" w:hAnsi="Cambria Math"/>
                          <w:b/>
                          <w:i/>
                          <w:strike/>
                        </w:rPr>
                      </m:ctrlPr>
                    </m:dPr>
                    <m:e>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прt-2</m:t>
                          </m:r>
                        </m:sub>
                        <m:sup>
                          <m:r>
                            <m:rPr>
                              <m:sty m:val="bi"/>
                            </m:rPr>
                            <w:rPr>
                              <w:rFonts w:ascii="Cambria Math" w:hAnsi="Cambria Math"/>
                              <w:strike/>
                            </w:rPr>
                            <m:t>р</m:t>
                          </m:r>
                        </m:sup>
                      </m:sSubSup>
                      <m:r>
                        <m:rPr>
                          <m:sty m:val="bi"/>
                        </m:rPr>
                        <w:rPr>
                          <w:rFonts w:ascii="Cambria Math" w:hAnsi="Cambria Math"/>
                          <w:strike/>
                        </w:rPr>
                        <m:t>-</m:t>
                      </m:r>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прt-2</m:t>
                          </m:r>
                        </m:sub>
                        <m:sup>
                          <m:r>
                            <m:rPr>
                              <m:sty m:val="bi"/>
                            </m:rPr>
                            <w:rPr>
                              <w:rFonts w:ascii="Cambria Math" w:hAnsi="Cambria Math"/>
                              <w:strike/>
                            </w:rPr>
                            <m:t>ф</m:t>
                          </m:r>
                        </m:sup>
                      </m:sSubSup>
                    </m:e>
                  </m:d>
                  <m:r>
                    <m:rPr>
                      <m:sty m:val="bi"/>
                    </m:rPr>
                    <w:rPr>
                      <w:rFonts w:ascii="Cambria Math" w:hAnsi="Cambria Math"/>
                      <w:strike/>
                    </w:rPr>
                    <m:t>∙</m:t>
                  </m:r>
                  <m:sSubSup>
                    <m:sSubSupPr>
                      <m:ctrlPr>
                        <w:rPr>
                          <w:rFonts w:ascii="Cambria Math" w:hAnsi="Cambria Math"/>
                          <w:b/>
                          <w:i/>
                          <w:strike/>
                        </w:rPr>
                      </m:ctrlPr>
                    </m:sSubSupPr>
                    <m:e>
                      <m:r>
                        <m:rPr>
                          <m:sty m:val="bi"/>
                        </m:rPr>
                        <w:rPr>
                          <w:rFonts w:ascii="Cambria Math" w:hAnsi="Cambria Math"/>
                          <w:strike/>
                        </w:rPr>
                        <m:t>W</m:t>
                      </m:r>
                    </m:e>
                    <m:sub>
                      <m:sSub>
                        <m:sSubPr>
                          <m:ctrlPr>
                            <w:rPr>
                              <w:rFonts w:ascii="Cambria Math" w:hAnsi="Cambria Math"/>
                              <w:b/>
                              <w:i/>
                              <w:strike/>
                            </w:rPr>
                          </m:ctrlPr>
                        </m:sSubPr>
                        <m:e>
                          <m:r>
                            <m:rPr>
                              <m:sty m:val="bi"/>
                            </m:rPr>
                            <w:rPr>
                              <w:rFonts w:ascii="Cambria Math" w:hAnsi="Cambria Math"/>
                              <w:strike/>
                            </w:rPr>
                            <m:t>2</m:t>
                          </m:r>
                        </m:e>
                        <m:sub>
                          <m:r>
                            <m:rPr>
                              <m:sty m:val="bi"/>
                            </m:rPr>
                            <w:rPr>
                              <w:rFonts w:ascii="Cambria Math" w:hAnsi="Cambria Math"/>
                              <w:strike/>
                            </w:rPr>
                            <m:t>t</m:t>
                          </m:r>
                        </m:sub>
                      </m:sSub>
                      <m:r>
                        <m:rPr>
                          <m:sty m:val="bi"/>
                        </m:rPr>
                        <w:rPr>
                          <w:rFonts w:ascii="Cambria Math" w:hAnsi="Cambria Math"/>
                          <w:strike/>
                        </w:rPr>
                        <m:t>-2</m:t>
                      </m:r>
                    </m:sub>
                    <m:sup>
                      <m:r>
                        <m:rPr>
                          <m:sty m:val="bi"/>
                        </m:rPr>
                        <w:rPr>
                          <w:rFonts w:ascii="Cambria Math" w:hAnsi="Cambria Math"/>
                          <w:strike/>
                        </w:rPr>
                        <m:t>м</m:t>
                      </m:r>
                      <m:d>
                        <m:dPr>
                          <m:ctrlPr>
                            <w:rPr>
                              <w:rFonts w:ascii="Cambria Math" w:hAnsi="Cambria Math"/>
                              <w:b/>
                              <w:i/>
                              <w:strike/>
                            </w:rPr>
                          </m:ctrlPr>
                        </m:dPr>
                        <m:e>
                          <m:r>
                            <m:rPr>
                              <m:sty m:val="bi"/>
                            </m:rPr>
                            <w:rPr>
                              <w:rFonts w:ascii="Cambria Math" w:hAnsi="Cambria Math"/>
                              <w:strike/>
                            </w:rPr>
                            <m:t>с</m:t>
                          </m:r>
                        </m:e>
                      </m:d>
                      <m:r>
                        <m:rPr>
                          <m:sty m:val="bi"/>
                        </m:rPr>
                        <w:rPr>
                          <w:rFonts w:ascii="Cambria Math" w:hAnsi="Cambria Math"/>
                          <w:strike/>
                        </w:rPr>
                        <m:t>ф</m:t>
                      </m:r>
                    </m:sup>
                  </m:sSubSup>
                  <m:r>
                    <m:rPr>
                      <m:sty m:val="bi"/>
                    </m:rPr>
                    <w:rPr>
                      <w:rFonts w:ascii="Cambria Math" w:hAnsi="Cambria Math"/>
                      <w:strike/>
                    </w:rPr>
                    <m:t>∙</m:t>
                  </m:r>
                  <m:sSub>
                    <m:sSubPr>
                      <m:ctrlPr>
                        <w:rPr>
                          <w:rFonts w:ascii="Cambria Math" w:hAnsi="Cambria Math"/>
                          <w:b/>
                          <w:i/>
                          <w:strike/>
                        </w:rPr>
                      </m:ctrlPr>
                    </m:sSubPr>
                    <m:e>
                      <m:r>
                        <m:rPr>
                          <m:sty m:val="bi"/>
                        </m:rPr>
                        <w:rPr>
                          <w:rFonts w:ascii="Cambria Math" w:hAnsi="Cambria Math"/>
                          <w:strike/>
                        </w:rPr>
                        <m:t>Ц</m:t>
                      </m:r>
                    </m:e>
                    <m:sub>
                      <m:sSub>
                        <m:sSubPr>
                          <m:ctrlPr>
                            <w:rPr>
                              <w:rFonts w:ascii="Cambria Math" w:hAnsi="Cambria Math"/>
                              <w:b/>
                              <w:i/>
                              <w:strike/>
                            </w:rPr>
                          </m:ctrlPr>
                        </m:sSubPr>
                        <m:e>
                          <m:r>
                            <m:rPr>
                              <m:sty m:val="bi"/>
                            </m:rPr>
                            <w:rPr>
                              <w:rFonts w:ascii="Cambria Math" w:hAnsi="Cambria Math"/>
                              <w:strike/>
                            </w:rPr>
                            <m:t>2</m:t>
                          </m:r>
                        </m:e>
                        <m:sub>
                          <m:r>
                            <m:rPr>
                              <m:sty m:val="bi"/>
                            </m:rPr>
                            <w:rPr>
                              <w:rFonts w:ascii="Cambria Math" w:hAnsi="Cambria Math"/>
                              <w:strike/>
                            </w:rPr>
                            <m:t>t</m:t>
                          </m:r>
                        </m:sub>
                      </m:sSub>
                      <m:r>
                        <m:rPr>
                          <m:sty m:val="bi"/>
                        </m:rPr>
                        <w:rPr>
                          <w:rFonts w:ascii="Cambria Math" w:hAnsi="Cambria Math"/>
                          <w:strike/>
                        </w:rPr>
                        <m:t>-2</m:t>
                      </m:r>
                    </m:sub>
                  </m:sSub>
                  <m:r>
                    <m:rPr>
                      <m:sty m:val="bi"/>
                    </m:rPr>
                    <w:rPr>
                      <w:rFonts w:ascii="Cambria Math" w:hAnsi="Cambria Math"/>
                      <w:strike/>
                    </w:rPr>
                    <m:t>*ПКпр</m:t>
                  </m:r>
                </m:num>
                <m:den>
                  <m:r>
                    <m:rPr>
                      <m:sty m:val="bi"/>
                    </m:rPr>
                    <w:rPr>
                      <w:rFonts w:ascii="Cambria Math" w:hAnsi="Cambria Math"/>
                      <w:strike/>
                    </w:rPr>
                    <m:t>1000</m:t>
                  </m:r>
                </m:den>
              </m:f>
              <m:r>
                <m:rPr>
                  <m:sty m:val="bi"/>
                </m:rPr>
                <w:rPr>
                  <w:rFonts w:ascii="Cambria Math" w:hAnsi="Cambria Math"/>
                  <w:strike/>
                </w:rPr>
                <m:t>, тис. грн</m:t>
              </m:r>
            </m:oMath>
            <w:r w:rsidR="00CF2AC1" w:rsidRPr="005A615E">
              <w:rPr>
                <w:rFonts w:ascii="Times New Roman" w:eastAsiaTheme="minorEastAsia" w:hAnsi="Times New Roman"/>
                <w:b/>
                <w:i/>
                <w:strike/>
              </w:rPr>
              <w:t xml:space="preserve">  </w:t>
            </w:r>
            <w:r w:rsidR="00CF2AC1" w:rsidRPr="005A615E">
              <w:rPr>
                <w:rFonts w:ascii="Times New Roman" w:eastAsiaTheme="minorEastAsia" w:hAnsi="Times New Roman"/>
                <w:b/>
                <w:strike/>
              </w:rPr>
              <w:t>(39)</w:t>
            </w:r>
          </w:p>
          <w:p w:rsidR="00CF2AC1" w:rsidRPr="005A615E" w:rsidRDefault="00CF2AC1" w:rsidP="00CF2AC1">
            <w:pPr>
              <w:rPr>
                <w:rFonts w:ascii="Times New Roman" w:hAnsi="Times New Roman"/>
                <w:b/>
                <w:strike/>
              </w:rPr>
            </w:pPr>
          </w:p>
          <w:p w:rsidR="00CF2AC1" w:rsidRPr="005A615E" w:rsidRDefault="00CF2AC1" w:rsidP="00CF2AC1">
            <w:pPr>
              <w:ind w:firstLine="315"/>
              <w:jc w:val="both"/>
              <w:rPr>
                <w:rFonts w:ascii="Times New Roman" w:hAnsi="Times New Roman"/>
                <w:b/>
                <w:strike/>
              </w:rPr>
            </w:pPr>
            <w:r w:rsidRPr="005A615E">
              <w:rPr>
                <w:rFonts w:ascii="Times New Roman" w:hAnsi="Times New Roman"/>
                <w:b/>
                <w:strike/>
              </w:rPr>
              <w:t xml:space="preserve">де </w:t>
            </w: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пр_ц</m:t>
                  </m:r>
                </m:sub>
                <m:sup>
                  <m:r>
                    <m:rPr>
                      <m:sty m:val="bi"/>
                    </m:rPr>
                    <w:rPr>
                      <w:rFonts w:ascii="Cambria Math" w:hAnsi="Cambria Math"/>
                      <w:strike/>
                    </w:rPr>
                    <m:t>р</m:t>
                  </m:r>
                </m:sup>
              </m:sSubSup>
            </m:oMath>
            <w:r w:rsidRPr="005A615E">
              <w:rPr>
                <w:rFonts w:ascii="Times New Roman" w:hAnsi="Times New Roman"/>
                <w:b/>
                <w:strike/>
              </w:rPr>
              <w:t xml:space="preserve"> – встановлений НКРЕКП для міської (сільської) території, цільовий індекс надання послуги зі стандартного приєднання у встановлений строк, на рівні 98 %, який враховується у розрахунку, починаючи з третього року другого регуляторного періоду (Iпрt-2р);</w:t>
            </w:r>
          </w:p>
          <w:p w:rsidR="00CF2AC1" w:rsidRPr="005A615E" w:rsidRDefault="000D13C5" w:rsidP="00CF2AC1">
            <w:pPr>
              <w:ind w:firstLine="315"/>
              <w:jc w:val="both"/>
              <w:rPr>
                <w:rFonts w:ascii="Times New Roman" w:hAnsi="Times New Roman"/>
                <w:b/>
                <w:strike/>
              </w:rPr>
            </w:pP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прt-2</m:t>
                  </m:r>
                </m:sub>
                <m:sup>
                  <m:r>
                    <m:rPr>
                      <m:sty m:val="bi"/>
                    </m:rPr>
                    <w:rPr>
                      <w:rFonts w:ascii="Cambria Math" w:hAnsi="Cambria Math"/>
                      <w:strike/>
                    </w:rPr>
                    <m:t>ф</m:t>
                  </m:r>
                </m:sup>
              </m:sSubSup>
            </m:oMath>
            <w:r w:rsidR="00CF2AC1" w:rsidRPr="005A615E">
              <w:rPr>
                <w:rFonts w:ascii="Times New Roman" w:hAnsi="Times New Roman"/>
                <w:b/>
                <w:strike/>
              </w:rPr>
              <w:t>– фактичний індекс надання послуги зі стандартного приєднання у встановлений строк, де ОСР є стороною відповідальною за надання послуг зі стандартного приєднання у встановлений строк на рівні ≥ 98 %, на рік t-2 визначається за формулою</w:t>
            </w:r>
          </w:p>
          <w:p w:rsidR="00CF2AC1" w:rsidRPr="005A615E" w:rsidRDefault="000D13C5" w:rsidP="00CF2AC1">
            <w:pPr>
              <w:rPr>
                <w:rFonts w:ascii="Times New Roman" w:eastAsiaTheme="minorEastAsia" w:hAnsi="Times New Roman"/>
                <w:b/>
                <w:strike/>
              </w:rPr>
            </w:pP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пр</m:t>
                  </m:r>
                  <m:r>
                    <m:rPr>
                      <m:sty m:val="p"/>
                    </m:rPr>
                    <w:rPr>
                      <w:rFonts w:ascii="Cambria Math" w:hAnsi="Cambria Math"/>
                      <w:strike/>
                    </w:rPr>
                    <w:softHyphen/>
                  </m:r>
                  <m:r>
                    <m:rPr>
                      <m:sty m:val="bi"/>
                    </m:rPr>
                    <w:rPr>
                      <w:rFonts w:ascii="Cambria Math" w:hAnsi="Cambria Math"/>
                      <w:strike/>
                    </w:rPr>
                    <m:t>t-2</m:t>
                  </m:r>
                </m:sub>
                <m:sup>
                  <m:r>
                    <m:rPr>
                      <m:sty m:val="bi"/>
                    </m:rPr>
                    <w:rPr>
                      <w:rFonts w:ascii="Cambria Math" w:hAnsi="Cambria Math"/>
                      <w:strike/>
                    </w:rPr>
                    <m:t>ф</m:t>
                  </m:r>
                </m:sup>
              </m:sSubSup>
              <m:r>
                <m:rPr>
                  <m:sty m:val="bi"/>
                </m:rPr>
                <w:rPr>
                  <w:rFonts w:ascii="Cambria Math" w:hAnsi="Cambria Math"/>
                  <w:strike/>
                  <w:lang w:eastAsia="uk-UA"/>
                </w:rPr>
                <m:t>=1-</m:t>
              </m:r>
              <m:f>
                <m:fPr>
                  <m:ctrlPr>
                    <w:rPr>
                      <w:rFonts w:ascii="Cambria Math" w:hAnsi="Cambria Math"/>
                      <w:b/>
                      <w:strike/>
                      <w:lang w:eastAsia="uk-UA"/>
                    </w:rPr>
                  </m:ctrlPr>
                </m:fPr>
                <m:num>
                  <m:sSubSup>
                    <m:sSubSupPr>
                      <m:ctrlPr>
                        <w:rPr>
                          <w:rFonts w:ascii="Cambria Math" w:hAnsi="Cambria Math"/>
                          <w:b/>
                          <w:i/>
                          <w:strike/>
                        </w:rPr>
                      </m:ctrlPr>
                    </m:sSubSupPr>
                    <m:e>
                      <m:r>
                        <m:rPr>
                          <m:sty m:val="bi"/>
                        </m:rPr>
                        <w:rPr>
                          <w:rFonts w:ascii="Cambria Math" w:hAnsi="Cambria Math"/>
                          <w:strike/>
                        </w:rPr>
                        <m:t>N</m:t>
                      </m:r>
                    </m:e>
                    <m:sub>
                      <m:r>
                        <m:rPr>
                          <m:sty m:val="bi"/>
                        </m:rPr>
                        <w:rPr>
                          <w:rFonts w:ascii="Cambria Math" w:hAnsi="Cambria Math"/>
                          <w:strike/>
                        </w:rPr>
                        <m:t>прt-2</m:t>
                      </m:r>
                    </m:sub>
                    <m:sup>
                      <m:r>
                        <m:rPr>
                          <m:sty m:val="bi"/>
                        </m:rPr>
                        <w:rPr>
                          <w:rFonts w:ascii="Cambria Math" w:hAnsi="Cambria Math"/>
                          <w:strike/>
                        </w:rPr>
                        <m:t>ф_ВЧ</m:t>
                      </m:r>
                    </m:sup>
                  </m:sSubSup>
                  <m:ctrlPr>
                    <w:rPr>
                      <w:rFonts w:ascii="Cambria Math" w:hAnsi="Cambria Math"/>
                      <w:b/>
                      <w:i/>
                      <w:strike/>
                      <w:lang w:eastAsia="uk-UA"/>
                    </w:rPr>
                  </m:ctrlPr>
                </m:num>
                <m:den>
                  <m:sSubSup>
                    <m:sSubSupPr>
                      <m:ctrlPr>
                        <w:rPr>
                          <w:rFonts w:ascii="Cambria Math" w:hAnsi="Cambria Math"/>
                          <w:b/>
                          <w:i/>
                          <w:strike/>
                        </w:rPr>
                      </m:ctrlPr>
                    </m:sSubSupPr>
                    <m:e>
                      <m:r>
                        <m:rPr>
                          <m:sty m:val="bi"/>
                        </m:rPr>
                        <w:rPr>
                          <w:rFonts w:ascii="Cambria Math" w:hAnsi="Cambria Math"/>
                          <w:strike/>
                        </w:rPr>
                        <m:t>N</m:t>
                      </m:r>
                    </m:e>
                    <m:sub>
                      <m:r>
                        <m:rPr>
                          <m:sty m:val="bi"/>
                        </m:rPr>
                        <w:rPr>
                          <w:rFonts w:ascii="Cambria Math" w:hAnsi="Cambria Math"/>
                          <w:strike/>
                        </w:rPr>
                        <m:t>прt-2</m:t>
                      </m:r>
                    </m:sub>
                    <m:sup>
                      <m:r>
                        <m:rPr>
                          <m:sty m:val="bi"/>
                        </m:rPr>
                        <w:rPr>
                          <w:rFonts w:ascii="Cambria Math" w:hAnsi="Cambria Math"/>
                          <w:strike/>
                        </w:rPr>
                        <m:t>ф_заг</m:t>
                      </m:r>
                    </m:sup>
                  </m:sSubSup>
                  <m:ctrlPr>
                    <w:rPr>
                      <w:rFonts w:ascii="Cambria Math" w:hAnsi="Cambria Math"/>
                      <w:b/>
                      <w:i/>
                      <w:strike/>
                      <w:lang w:eastAsia="uk-UA"/>
                    </w:rPr>
                  </m:ctrlPr>
                </m:den>
              </m:f>
              <m:r>
                <m:rPr>
                  <m:sty m:val="bi"/>
                </m:rPr>
                <w:rPr>
                  <w:rFonts w:ascii="Cambria Math" w:hAnsi="Cambria Math"/>
                  <w:strike/>
                  <w:lang w:eastAsia="uk-UA"/>
                </w:rPr>
                <m:t xml:space="preserve">        </m:t>
              </m:r>
            </m:oMath>
            <w:r w:rsidR="00CF2AC1" w:rsidRPr="005A615E">
              <w:rPr>
                <w:rFonts w:ascii="Times New Roman" w:eastAsiaTheme="minorEastAsia" w:hAnsi="Times New Roman"/>
                <w:b/>
                <w:strike/>
                <w:lang w:eastAsia="uk-UA"/>
              </w:rPr>
              <w:t xml:space="preserve">, %          </w:t>
            </w:r>
            <w:r w:rsidR="00CF2AC1" w:rsidRPr="005A615E">
              <w:rPr>
                <w:rFonts w:ascii="Times New Roman" w:eastAsiaTheme="minorEastAsia" w:hAnsi="Times New Roman"/>
                <w:b/>
                <w:strike/>
              </w:rPr>
              <w:t>(40)</w:t>
            </w:r>
          </w:p>
          <w:p w:rsidR="00CF2AC1" w:rsidRPr="005A615E" w:rsidRDefault="00CF2AC1" w:rsidP="00CF2AC1">
            <w:pPr>
              <w:rPr>
                <w:rFonts w:ascii="Times New Roman" w:hAnsi="Times New Roman"/>
                <w:b/>
                <w:strike/>
                <w:sz w:val="12"/>
                <w:szCs w:val="12"/>
                <w:lang w:eastAsia="uk-UA"/>
              </w:rPr>
            </w:pPr>
          </w:p>
          <w:p w:rsidR="00CF2AC1" w:rsidRPr="005A615E" w:rsidRDefault="00CF2AC1" w:rsidP="00CF2AC1">
            <w:pPr>
              <w:ind w:firstLine="173"/>
              <w:contextualSpacing/>
              <w:jc w:val="both"/>
              <w:rPr>
                <w:rFonts w:ascii="Times New Roman" w:hAnsi="Times New Roman"/>
                <w:b/>
                <w:strike/>
              </w:rPr>
            </w:pPr>
            <w:r w:rsidRPr="005A615E">
              <w:rPr>
                <w:rFonts w:ascii="Times New Roman" w:hAnsi="Times New Roman"/>
                <w:b/>
                <w:strike/>
              </w:rPr>
              <w:t xml:space="preserve">де </w:t>
            </w:r>
            <m:oMath>
              <m:sSubSup>
                <m:sSubSupPr>
                  <m:ctrlPr>
                    <w:rPr>
                      <w:rFonts w:ascii="Cambria Math" w:hAnsi="Cambria Math"/>
                      <w:b/>
                      <w:i/>
                      <w:strike/>
                    </w:rPr>
                  </m:ctrlPr>
                </m:sSubSupPr>
                <m:e>
                  <m:r>
                    <m:rPr>
                      <m:sty m:val="bi"/>
                    </m:rPr>
                    <w:rPr>
                      <w:rFonts w:ascii="Cambria Math" w:hAnsi="Cambria Math"/>
                      <w:strike/>
                    </w:rPr>
                    <m:t>N</m:t>
                  </m:r>
                </m:e>
                <m:sub>
                  <m:r>
                    <m:rPr>
                      <m:sty m:val="bi"/>
                    </m:rPr>
                    <w:rPr>
                      <w:rFonts w:ascii="Cambria Math" w:hAnsi="Cambria Math"/>
                      <w:strike/>
                    </w:rPr>
                    <m:t>прt-2</m:t>
                  </m:r>
                </m:sub>
                <m:sup>
                  <m:r>
                    <m:rPr>
                      <m:sty m:val="bi"/>
                    </m:rPr>
                    <w:rPr>
                      <w:rFonts w:ascii="Cambria Math" w:hAnsi="Cambria Math"/>
                      <w:strike/>
                    </w:rPr>
                    <m:t>ф_ВЧ</m:t>
                  </m:r>
                </m:sup>
              </m:sSubSup>
            </m:oMath>
            <w:r w:rsidRPr="005A615E">
              <w:rPr>
                <w:rFonts w:ascii="Times New Roman" w:hAnsi="Times New Roman"/>
                <w:b/>
                <w:strike/>
              </w:rPr>
              <w:t xml:space="preserve"> – кількість послуг зі стандартного приєднання, наданих з порушенням встановленого строку на рік t-2;</w:t>
            </w:r>
          </w:p>
          <w:p w:rsidR="00CF2AC1" w:rsidRPr="005A615E" w:rsidRDefault="000D13C5" w:rsidP="00CF2AC1">
            <w:pPr>
              <w:ind w:firstLine="173"/>
              <w:contextualSpacing/>
              <w:jc w:val="both"/>
              <w:rPr>
                <w:rFonts w:ascii="Times New Roman" w:hAnsi="Times New Roman"/>
                <w:b/>
                <w:strike/>
              </w:rPr>
            </w:pPr>
            <m:oMath>
              <m:sSubSup>
                <m:sSubSupPr>
                  <m:ctrlPr>
                    <w:rPr>
                      <w:rFonts w:ascii="Cambria Math" w:hAnsi="Cambria Math"/>
                      <w:b/>
                      <w:i/>
                      <w:strike/>
                    </w:rPr>
                  </m:ctrlPr>
                </m:sSubSupPr>
                <m:e>
                  <m:r>
                    <m:rPr>
                      <m:sty m:val="bi"/>
                    </m:rPr>
                    <w:rPr>
                      <w:rFonts w:ascii="Cambria Math" w:hAnsi="Cambria Math"/>
                      <w:strike/>
                    </w:rPr>
                    <m:t>N</m:t>
                  </m:r>
                </m:e>
                <m:sub>
                  <m:r>
                    <m:rPr>
                      <m:sty m:val="bi"/>
                    </m:rPr>
                    <w:rPr>
                      <w:rFonts w:ascii="Cambria Math" w:hAnsi="Cambria Math"/>
                      <w:strike/>
                    </w:rPr>
                    <m:t>прt-2</m:t>
                  </m:r>
                </m:sub>
                <m:sup>
                  <m:r>
                    <m:rPr>
                      <m:sty m:val="bi"/>
                    </m:rPr>
                    <w:rPr>
                      <w:rFonts w:ascii="Cambria Math" w:hAnsi="Cambria Math"/>
                      <w:strike/>
                    </w:rPr>
                    <m:t>ф_заг</m:t>
                  </m:r>
                </m:sup>
              </m:sSubSup>
              <m:r>
                <m:rPr>
                  <m:sty m:val="bi"/>
                </m:rPr>
                <w:rPr>
                  <w:rFonts w:ascii="Cambria Math" w:hAnsi="Cambria Math"/>
                  <w:strike/>
                </w:rPr>
                <m:t xml:space="preserve">   </m:t>
              </m:r>
            </m:oMath>
            <w:r w:rsidR="00CF2AC1" w:rsidRPr="005A615E">
              <w:rPr>
                <w:rFonts w:ascii="Times New Roman" w:hAnsi="Times New Roman"/>
                <w:b/>
                <w:strike/>
              </w:rPr>
              <w:t xml:space="preserve"> – загальна кількість наданих послуг зі стандартного приєднання на рік t-2;</w:t>
            </w:r>
          </w:p>
          <w:p w:rsidR="00CF2AC1" w:rsidRPr="005A615E" w:rsidRDefault="00CF2AC1" w:rsidP="00CF2AC1">
            <w:pPr>
              <w:ind w:firstLine="173"/>
              <w:contextualSpacing/>
              <w:jc w:val="both"/>
              <w:rPr>
                <w:rFonts w:ascii="Times New Roman" w:hAnsi="Times New Roman"/>
                <w:b/>
                <w:strike/>
              </w:rPr>
            </w:pPr>
            <w:r w:rsidRPr="005A615E">
              <w:rPr>
                <w:rFonts w:ascii="Times New Roman" w:hAnsi="Times New Roman"/>
                <w:b/>
                <w:strike/>
              </w:rPr>
              <w:t>ПК</w:t>
            </w:r>
            <w:r w:rsidRPr="005A615E">
              <w:rPr>
                <w:rFonts w:ascii="Times New Roman" w:hAnsi="Times New Roman"/>
                <w:b/>
                <w:strike/>
                <w:vertAlign w:val="subscript"/>
              </w:rPr>
              <w:t>пр</w:t>
            </w:r>
            <w:r w:rsidRPr="005A615E">
              <w:rPr>
                <w:rFonts w:ascii="Times New Roman" w:hAnsi="Times New Roman"/>
                <w:b/>
                <w:strike/>
              </w:rPr>
              <w:t xml:space="preserve"> – встановлений НКРЕКП параметр коригування необхідного доходу за недотримання відповідного показника комерційної якості надання послуг (ПК &gt; 1). </w:t>
            </w:r>
          </w:p>
          <w:p w:rsidR="00CF2AC1" w:rsidRPr="005A615E" w:rsidRDefault="00CF2AC1" w:rsidP="00CF2AC1">
            <w:pPr>
              <w:ind w:firstLine="173"/>
              <w:contextualSpacing/>
              <w:jc w:val="both"/>
              <w:rPr>
                <w:rFonts w:ascii="Times New Roman" w:hAnsi="Times New Roman"/>
                <w:b/>
                <w:strike/>
              </w:rPr>
            </w:pPr>
            <w:r w:rsidRPr="005A615E">
              <w:rPr>
                <w:rFonts w:ascii="Times New Roman" w:hAnsi="Times New Roman"/>
                <w:b/>
                <w:strike/>
              </w:rPr>
              <w:t xml:space="preserve">За результатами здійснення заходів контролю за дотриманням Ліцензійних умов показник </w:t>
            </w:r>
            <m:oMath>
              <m:sSub>
                <m:sSubPr>
                  <m:ctrlPr>
                    <w:rPr>
                      <w:rFonts w:ascii="Cambria Math" w:hAnsi="Cambria Math"/>
                      <w:b/>
                      <w:i/>
                      <w:strike/>
                    </w:rPr>
                  </m:ctrlPr>
                </m:sSubPr>
                <m:e>
                  <m:r>
                    <m:rPr>
                      <m:sty m:val="b"/>
                    </m:rPr>
                    <w:rPr>
                      <w:rFonts w:ascii="Cambria Math" w:hAnsi="Cambria Math"/>
                      <w:strike/>
                    </w:rPr>
                    <m:t>КЯ</m:t>
                  </m:r>
                </m:e>
                <m:sub>
                  <m:r>
                    <m:rPr>
                      <m:sty m:val="b"/>
                    </m:rPr>
                    <w:rPr>
                      <w:rFonts w:ascii="Cambria Math" w:hAnsi="Cambria Math"/>
                      <w:strike/>
                    </w:rPr>
                    <m:t>прt</m:t>
                  </m:r>
                </m:sub>
              </m:sSub>
            </m:oMath>
            <w:r w:rsidRPr="005A615E">
              <w:rPr>
                <w:rFonts w:ascii="Times New Roman" w:hAnsi="Times New Roman"/>
                <w:b/>
                <w:strike/>
              </w:rPr>
              <w:t xml:space="preserve"> може бути уточнено;</w:t>
            </w:r>
          </w:p>
          <w:p w:rsidR="00CF2AC1" w:rsidRPr="005A615E" w:rsidRDefault="00CF2AC1" w:rsidP="00CF2AC1">
            <w:pPr>
              <w:ind w:firstLine="173"/>
              <w:contextualSpacing/>
              <w:jc w:val="both"/>
              <w:rPr>
                <w:rFonts w:ascii="Times New Roman" w:hAnsi="Times New Roman"/>
                <w:b/>
                <w:strike/>
                <w:sz w:val="20"/>
                <w:szCs w:val="20"/>
              </w:rPr>
            </w:pPr>
          </w:p>
          <w:p w:rsidR="00CF2AC1" w:rsidRPr="005A615E" w:rsidRDefault="00CF2AC1" w:rsidP="00CF2AC1">
            <w:pPr>
              <w:ind w:firstLine="173"/>
              <w:contextualSpacing/>
              <w:jc w:val="both"/>
              <w:rPr>
                <w:rFonts w:ascii="Times New Roman" w:hAnsi="Times New Roman"/>
              </w:rPr>
            </w:pPr>
            <w:r w:rsidRPr="005A615E">
              <w:rPr>
                <w:rFonts w:ascii="Times New Roman" w:hAnsi="Times New Roman"/>
              </w:rPr>
              <w:t>4) індекс якості даних комерційного обліку, на рік t визначається за формулою</w:t>
            </w:r>
          </w:p>
          <w:p w:rsidR="00CF2AC1" w:rsidRPr="005A615E" w:rsidRDefault="00CF2AC1" w:rsidP="00CF2AC1">
            <w:pPr>
              <w:ind w:firstLine="709"/>
              <w:jc w:val="both"/>
              <w:rPr>
                <w:rFonts w:ascii="Times New Roman" w:hAnsi="Times New Roman"/>
                <w:sz w:val="12"/>
                <w:szCs w:val="12"/>
              </w:rPr>
            </w:pPr>
          </w:p>
          <w:p w:rsidR="00CF2AC1" w:rsidRPr="005A615E" w:rsidRDefault="000D13C5" w:rsidP="00CF2AC1">
            <w:pPr>
              <w:rPr>
                <w:rFonts w:ascii="Times New Roman" w:hAnsi="Times New Roman"/>
              </w:rPr>
            </w:pPr>
            <m:oMath>
              <m:sSubSup>
                <m:sSubSupPr>
                  <m:ctrlPr>
                    <w:rPr>
                      <w:rFonts w:ascii="Cambria Math" w:hAnsi="Cambria Math"/>
                      <w:i/>
                    </w:rPr>
                  </m:ctrlPr>
                </m:sSubSupPr>
                <m:e>
                  <m:r>
                    <w:rPr>
                      <w:rFonts w:ascii="Cambria Math" w:hAnsi="Cambria Math"/>
                    </w:rPr>
                    <m:t>I</m:t>
                  </m:r>
                </m:e>
                <m:sub>
                  <m:r>
                    <w:rPr>
                      <w:rFonts w:ascii="Cambria Math" w:hAnsi="Cambria Math"/>
                    </w:rPr>
                    <m:t>дt-2</m:t>
                  </m:r>
                </m:sub>
                <m:sup>
                  <m:r>
                    <w:rPr>
                      <w:rFonts w:ascii="Cambria Math" w:hAnsi="Cambria Math"/>
                    </w:rPr>
                    <m:t>ф</m:t>
                  </m:r>
                </m:sup>
              </m:sSubSup>
              <m:r>
                <m:rPr>
                  <m:sty m:val="p"/>
                </m:rPr>
                <w:rPr>
                  <w:rFonts w:ascii="Cambria Math" w:hAnsi="Cambria Math"/>
                </w:rPr>
                <m:t xml:space="preserve"> ≥98, то </m:t>
              </m:r>
              <m:sSub>
                <m:sSubPr>
                  <m:ctrlPr>
                    <w:rPr>
                      <w:rFonts w:ascii="Cambria Math" w:hAnsi="Cambria Math"/>
                      <w:i/>
                    </w:rPr>
                  </m:ctrlPr>
                </m:sSubPr>
                <m:e>
                  <m:r>
                    <w:rPr>
                      <w:rFonts w:ascii="Cambria Math" w:hAnsi="Cambria Math"/>
                    </w:rPr>
                    <m:t>КЯ</m:t>
                  </m:r>
                </m:e>
                <m:sub>
                  <m:r>
                    <w:rPr>
                      <w:rFonts w:ascii="Cambria Math" w:hAnsi="Cambria Math"/>
                    </w:rPr>
                    <m:t>дt</m:t>
                  </m:r>
                </m:sub>
              </m:sSub>
              <m:r>
                <m:rPr>
                  <m:sty m:val="p"/>
                </m:rPr>
                <w:rPr>
                  <w:rFonts w:ascii="Cambria Math" w:hAnsi="Cambria Math"/>
                </w:rPr>
                <m:t>=0</m:t>
              </m:r>
            </m:oMath>
            <w:r w:rsidR="00CF2AC1" w:rsidRPr="005A615E">
              <w:rPr>
                <w:rFonts w:ascii="Times New Roman" w:hAnsi="Times New Roman"/>
              </w:rPr>
              <w:t>;              (41)</w:t>
            </w:r>
          </w:p>
          <w:p w:rsidR="00CF2AC1" w:rsidRPr="005A615E" w:rsidRDefault="00CF2AC1" w:rsidP="00CF2AC1">
            <w:pPr>
              <w:rPr>
                <w:rFonts w:ascii="Times New Roman" w:hAnsi="Times New Roman"/>
                <w:sz w:val="12"/>
                <w:szCs w:val="12"/>
              </w:rPr>
            </w:pPr>
          </w:p>
          <w:p w:rsidR="00CF2AC1" w:rsidRPr="005A615E" w:rsidRDefault="000D13C5" w:rsidP="00CF2AC1">
            <w:pPr>
              <w:rPr>
                <w:rFonts w:ascii="Times New Roman" w:eastAsiaTheme="minorEastAsia" w:hAnsi="Times New Roman"/>
                <w:sz w:val="20"/>
                <w:szCs w:val="20"/>
              </w:rPr>
            </w:pPr>
            <m:oMath>
              <m:sSub>
                <m:sSubPr>
                  <m:ctrlPr>
                    <w:rPr>
                      <w:rFonts w:ascii="Cambria Math" w:hAnsi="Cambria Math"/>
                      <w:i/>
                      <w:sz w:val="20"/>
                      <w:szCs w:val="20"/>
                    </w:rPr>
                  </m:ctrlPr>
                </m:sSubPr>
                <m:e>
                  <m:r>
                    <w:rPr>
                      <w:rFonts w:ascii="Cambria Math" w:hAnsi="Cambria Math"/>
                      <w:sz w:val="20"/>
                      <w:szCs w:val="20"/>
                    </w:rPr>
                    <m:t>КЯ</m:t>
                  </m:r>
                </m:e>
                <m:sub>
                  <m:r>
                    <w:rPr>
                      <w:rFonts w:ascii="Cambria Math" w:hAnsi="Cambria Math"/>
                      <w:sz w:val="20"/>
                      <w:szCs w:val="20"/>
                    </w:rPr>
                    <m:t>дt</m:t>
                  </m:r>
                </m:sub>
              </m:sSub>
              <m:r>
                <w:rPr>
                  <w:rFonts w:ascii="Cambria Math" w:hAnsi="Cambria Math"/>
                  <w:sz w:val="20"/>
                  <w:szCs w:val="20"/>
                </w:rPr>
                <m:t>=</m:t>
              </m:r>
              <m:f>
                <m:fPr>
                  <m:ctrlPr>
                    <w:rPr>
                      <w:rFonts w:ascii="Cambria Math" w:hAnsi="Cambria Math"/>
                      <w:i/>
                      <w:sz w:val="20"/>
                      <w:szCs w:val="20"/>
                    </w:rPr>
                  </m:ctrlPr>
                </m:fPr>
                <m:num>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I</m:t>
                          </m:r>
                        </m:e>
                        <m:sub>
                          <m:r>
                            <w:rPr>
                              <w:rFonts w:ascii="Cambria Math" w:hAnsi="Cambria Math"/>
                              <w:sz w:val="20"/>
                              <w:szCs w:val="20"/>
                            </w:rPr>
                            <m:t>дt-2</m:t>
                          </m:r>
                        </m:sub>
                        <m:sup>
                          <m:r>
                            <w:rPr>
                              <w:rFonts w:ascii="Cambria Math" w:hAnsi="Cambria Math"/>
                              <w:sz w:val="20"/>
                              <w:szCs w:val="20"/>
                            </w:rPr>
                            <m:t>р</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I</m:t>
                          </m:r>
                        </m:e>
                        <m:sub>
                          <m:r>
                            <w:rPr>
                              <w:rFonts w:ascii="Cambria Math" w:hAnsi="Cambria Math"/>
                              <w:sz w:val="20"/>
                              <w:szCs w:val="20"/>
                            </w:rPr>
                            <m:t>дt-2</m:t>
                          </m:r>
                        </m:sub>
                        <m:sup>
                          <m:r>
                            <w:rPr>
                              <w:rFonts w:ascii="Cambria Math" w:hAnsi="Cambria Math"/>
                              <w:sz w:val="20"/>
                              <w:szCs w:val="20"/>
                            </w:rPr>
                            <m:t>ф</m:t>
                          </m:r>
                        </m:sup>
                      </m:sSubSup>
                    </m:e>
                  </m:d>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W</m:t>
                      </m:r>
                    </m:e>
                    <m:sub>
                      <m:sSub>
                        <m:sSubPr>
                          <m:ctrlPr>
                            <w:rPr>
                              <w:rFonts w:ascii="Cambria Math" w:hAnsi="Cambria Math"/>
                              <w:i/>
                              <w:sz w:val="20"/>
                              <w:szCs w:val="20"/>
                            </w:rPr>
                          </m:ctrlPr>
                        </m:sSubPr>
                        <m:e>
                          <m:r>
                            <w:rPr>
                              <w:rFonts w:ascii="Cambria Math" w:hAnsi="Cambria Math"/>
                              <w:sz w:val="20"/>
                              <w:szCs w:val="20"/>
                            </w:rPr>
                            <m:t>2</m:t>
                          </m:r>
                        </m:e>
                        <m:sub>
                          <m:r>
                            <w:rPr>
                              <w:rFonts w:ascii="Cambria Math" w:hAnsi="Cambria Math"/>
                              <w:sz w:val="20"/>
                              <w:szCs w:val="20"/>
                            </w:rPr>
                            <m:t>t</m:t>
                          </m:r>
                        </m:sub>
                      </m:sSub>
                      <m:r>
                        <w:rPr>
                          <w:rFonts w:ascii="Cambria Math" w:hAnsi="Cambria Math"/>
                          <w:sz w:val="20"/>
                          <w:szCs w:val="20"/>
                        </w:rPr>
                        <m:t>-2</m:t>
                      </m:r>
                    </m:sub>
                    <m:sup>
                      <m:r>
                        <w:rPr>
                          <w:rFonts w:ascii="Cambria Math" w:hAnsi="Cambria Math"/>
                          <w:sz w:val="20"/>
                          <w:szCs w:val="20"/>
                        </w:rPr>
                        <m:t>м</m:t>
                      </m:r>
                      <m:d>
                        <m:dPr>
                          <m:ctrlPr>
                            <w:rPr>
                              <w:rFonts w:ascii="Cambria Math" w:hAnsi="Cambria Math"/>
                              <w:i/>
                              <w:sz w:val="20"/>
                              <w:szCs w:val="20"/>
                            </w:rPr>
                          </m:ctrlPr>
                        </m:dPr>
                        <m:e>
                          <m:r>
                            <w:rPr>
                              <w:rFonts w:ascii="Cambria Math" w:hAnsi="Cambria Math"/>
                              <w:sz w:val="20"/>
                              <w:szCs w:val="20"/>
                            </w:rPr>
                            <m:t>с</m:t>
                          </m:r>
                        </m:e>
                      </m:d>
                      <m:r>
                        <w:rPr>
                          <w:rFonts w:ascii="Cambria Math" w:hAnsi="Cambria Math"/>
                          <w:sz w:val="20"/>
                          <w:szCs w:val="20"/>
                        </w:rPr>
                        <m:t>ф</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2</m:t>
                              </m:r>
                            </m:e>
                            <m:sub/>
                          </m:sSub>
                        </m:e>
                        <m:sub>
                          <m:r>
                            <w:rPr>
                              <w:rFonts w:ascii="Cambria Math" w:hAnsi="Cambria Math"/>
                              <w:sz w:val="20"/>
                              <w:szCs w:val="20"/>
                            </w:rPr>
                            <m:t>t</m:t>
                          </m:r>
                        </m:sub>
                      </m:sSub>
                      <m:r>
                        <w:rPr>
                          <w:rFonts w:ascii="Cambria Math" w:hAnsi="Cambria Math"/>
                          <w:sz w:val="20"/>
                          <w:szCs w:val="20"/>
                        </w:rPr>
                        <m:t>-2</m:t>
                      </m:r>
                    </m:sub>
                  </m:sSub>
                  <m:r>
                    <w:rPr>
                      <w:rFonts w:ascii="Cambria Math" w:hAnsi="Cambria Math"/>
                      <w:sz w:val="20"/>
                      <w:szCs w:val="20"/>
                    </w:rPr>
                    <m:t>*ПКд</m:t>
                  </m:r>
                </m:num>
                <m:den>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д</m:t>
                      </m:r>
                      <m:r>
                        <w:rPr>
                          <w:rFonts w:ascii="Cambria Math" w:hAnsi="Cambria Math"/>
                          <w:sz w:val="20"/>
                          <w:szCs w:val="20"/>
                        </w:rPr>
                        <m:t>t</m:t>
                      </m:r>
                      <m:r>
                        <m:rPr>
                          <m:sty m:val="p"/>
                        </m:rPr>
                        <w:rPr>
                          <w:rFonts w:ascii="Cambria Math" w:hAnsi="Cambria Math"/>
                          <w:sz w:val="20"/>
                          <w:szCs w:val="20"/>
                        </w:rPr>
                        <m:t>-2</m:t>
                      </m:r>
                    </m:sub>
                    <m:sup>
                      <m:r>
                        <m:rPr>
                          <m:sty m:val="p"/>
                        </m:rPr>
                        <w:rPr>
                          <w:rFonts w:ascii="Cambria Math" w:hAnsi="Cambria Math"/>
                          <w:sz w:val="20"/>
                          <w:szCs w:val="20"/>
                        </w:rPr>
                        <m:t>заг</m:t>
                      </m:r>
                    </m:sup>
                  </m:sSubSup>
                  <m:r>
                    <w:rPr>
                      <w:rFonts w:ascii="Cambria Math" w:hAnsi="Cambria Math"/>
                      <w:sz w:val="20"/>
                      <w:szCs w:val="20"/>
                    </w:rPr>
                    <m:t>* 1000</m:t>
                  </m:r>
                </m:den>
              </m:f>
              <m:r>
                <w:rPr>
                  <w:rFonts w:ascii="Cambria Math" w:hAnsi="Cambria Math"/>
                  <w:sz w:val="20"/>
                  <w:szCs w:val="20"/>
                </w:rPr>
                <m:t>, тис. грн</m:t>
              </m:r>
            </m:oMath>
            <w:r w:rsidR="00CF2AC1" w:rsidRPr="005A615E">
              <w:rPr>
                <w:rFonts w:ascii="Times New Roman" w:eastAsiaTheme="minorEastAsia" w:hAnsi="Times New Roman"/>
                <w:i/>
                <w:sz w:val="20"/>
                <w:szCs w:val="20"/>
              </w:rPr>
              <w:t xml:space="preserve">       </w:t>
            </w:r>
            <w:r w:rsidR="00CF2AC1" w:rsidRPr="005A615E">
              <w:rPr>
                <w:rFonts w:ascii="Times New Roman" w:eastAsiaTheme="minorEastAsia" w:hAnsi="Times New Roman"/>
                <w:sz w:val="20"/>
                <w:szCs w:val="20"/>
              </w:rPr>
              <w:t>(42)</w:t>
            </w:r>
          </w:p>
          <w:p w:rsidR="00CF2AC1" w:rsidRPr="005A615E" w:rsidRDefault="00CF2AC1" w:rsidP="00CF2AC1">
            <w:pPr>
              <w:ind w:firstLine="173"/>
              <w:contextualSpacing/>
              <w:jc w:val="both"/>
              <w:rPr>
                <w:rFonts w:ascii="Times New Roman" w:hAnsi="Times New Roman"/>
              </w:rPr>
            </w:pPr>
            <w:r w:rsidRPr="005A615E">
              <w:rPr>
                <w:rFonts w:ascii="Times New Roman" w:hAnsi="Times New Roman"/>
              </w:rPr>
              <w:t xml:space="preserve">де </w:t>
            </w:r>
            <m:oMath>
              <m:sSubSup>
                <m:sSubSupPr>
                  <m:ctrlPr>
                    <w:rPr>
                      <w:rFonts w:ascii="Cambria Math" w:hAnsi="Cambria Math"/>
                      <w:i/>
                    </w:rPr>
                  </m:ctrlPr>
                </m:sSubSupPr>
                <m:e>
                  <m:r>
                    <w:rPr>
                      <w:rFonts w:ascii="Cambria Math" w:hAnsi="Cambria Math"/>
                    </w:rPr>
                    <m:t>I</m:t>
                  </m:r>
                </m:e>
                <m:sub>
                  <m:r>
                    <w:rPr>
                      <w:rFonts w:ascii="Cambria Math" w:hAnsi="Cambria Math"/>
                    </w:rPr>
                    <m:t>д_ц</m:t>
                  </m:r>
                </m:sub>
                <m:sup>
                  <m:r>
                    <w:rPr>
                      <w:rFonts w:ascii="Cambria Math" w:hAnsi="Cambria Math"/>
                    </w:rPr>
                    <m:t>м</m:t>
                  </m:r>
                  <m:d>
                    <m:dPr>
                      <m:ctrlPr>
                        <w:rPr>
                          <w:rFonts w:ascii="Cambria Math" w:hAnsi="Cambria Math"/>
                          <w:i/>
                        </w:rPr>
                      </m:ctrlPr>
                    </m:dPr>
                    <m:e>
                      <m:r>
                        <w:rPr>
                          <w:rFonts w:ascii="Cambria Math" w:hAnsi="Cambria Math"/>
                        </w:rPr>
                        <m:t>с</m:t>
                      </m:r>
                    </m:e>
                  </m:d>
                </m:sup>
              </m:sSubSup>
            </m:oMath>
            <w:r w:rsidRPr="005A615E">
              <w:rPr>
                <w:rFonts w:ascii="Times New Roman" w:hAnsi="Times New Roman"/>
              </w:rPr>
              <w:t xml:space="preserve"> – встановлений НКРЕКП для міської (сільської) території цільовий індекс якості даних комерційного обліку, на рівні 98 %, який враховується у розрахунку починаючи з третього року другого регуляторного періоду (</w:t>
            </w:r>
            <m:oMath>
              <m:sSubSup>
                <m:sSubSupPr>
                  <m:ctrlPr>
                    <w:rPr>
                      <w:rFonts w:ascii="Cambria Math" w:hAnsi="Cambria Math"/>
                    </w:rPr>
                  </m:ctrlPr>
                </m:sSubSupPr>
                <m:e>
                  <m:r>
                    <w:rPr>
                      <w:rFonts w:ascii="Cambria Math" w:hAnsi="Cambria Math"/>
                    </w:rPr>
                    <m:t>I</m:t>
                  </m:r>
                </m:e>
                <m:sub>
                  <m:r>
                    <m:rPr>
                      <m:sty m:val="p"/>
                    </m:rPr>
                    <w:rPr>
                      <w:rFonts w:ascii="Cambria Math" w:hAnsi="Cambria Math"/>
                    </w:rPr>
                    <m:t>д</m:t>
                  </m:r>
                  <m:r>
                    <w:rPr>
                      <w:rFonts w:ascii="Cambria Math" w:hAnsi="Cambria Math"/>
                    </w:rPr>
                    <m:t>t</m:t>
                  </m:r>
                  <m:r>
                    <m:rPr>
                      <m:sty m:val="p"/>
                    </m:rPr>
                    <w:rPr>
                      <w:rFonts w:ascii="Cambria Math" w:hAnsi="Cambria Math"/>
                    </w:rPr>
                    <m:t>-2</m:t>
                  </m:r>
                </m:sub>
                <m:sup>
                  <m:r>
                    <m:rPr>
                      <m:sty m:val="p"/>
                    </m:rPr>
                    <w:rPr>
                      <w:rFonts w:ascii="Cambria Math" w:hAnsi="Cambria Math"/>
                    </w:rPr>
                    <m:t>р</m:t>
                  </m:r>
                </m:sup>
              </m:sSubSup>
            </m:oMath>
            <w:r w:rsidRPr="005A615E">
              <w:rPr>
                <w:rFonts w:ascii="Times New Roman" w:hAnsi="Times New Roman"/>
              </w:rPr>
              <w:t xml:space="preserve"> );</w:t>
            </w:r>
          </w:p>
          <w:p w:rsidR="00CF2AC1" w:rsidRPr="005A615E" w:rsidRDefault="000D13C5" w:rsidP="00CF2AC1">
            <w:pPr>
              <w:ind w:firstLine="173"/>
              <w:contextualSpacing/>
              <w:jc w:val="both"/>
              <w:rPr>
                <w:rFonts w:ascii="Times New Roman" w:hAnsi="Times New Roman"/>
              </w:rPr>
            </w:pPr>
            <m:oMath>
              <m:sSubSup>
                <m:sSubSupPr>
                  <m:ctrlPr>
                    <w:rPr>
                      <w:rFonts w:ascii="Cambria Math" w:hAnsi="Cambria Math"/>
                      <w:i/>
                    </w:rPr>
                  </m:ctrlPr>
                </m:sSubSupPr>
                <m:e>
                  <m:r>
                    <w:rPr>
                      <w:rFonts w:ascii="Cambria Math" w:hAnsi="Cambria Math"/>
                    </w:rPr>
                    <m:t>I</m:t>
                  </m:r>
                </m:e>
                <m:sub>
                  <m:r>
                    <w:rPr>
                      <w:rFonts w:ascii="Cambria Math" w:hAnsi="Cambria Math"/>
                    </w:rPr>
                    <m:t>дt-2</m:t>
                  </m:r>
                </m:sub>
                <m:sup>
                  <m:r>
                    <w:rPr>
                      <w:rFonts w:ascii="Cambria Math" w:hAnsi="Cambria Math"/>
                    </w:rPr>
                    <m:t>ф</m:t>
                  </m:r>
                </m:sup>
              </m:sSubSup>
            </m:oMath>
            <w:r w:rsidR="00CF2AC1" w:rsidRPr="005A615E">
              <w:rPr>
                <w:rFonts w:ascii="Times New Roman" w:hAnsi="Times New Roman"/>
              </w:rPr>
              <w:t xml:space="preserve"> – фактичний індекс якості даних комерційного обліку для всіх точок комерційного обліку з можливістю погодинного обліку та дистанційного зчитування даних, де ОСР є стороною відповідальною за точку комерційного обліку, на рік t-2 визначається за формулою</w:t>
            </w:r>
          </w:p>
          <w:p w:rsidR="00CF2AC1" w:rsidRPr="005A615E" w:rsidRDefault="000D13C5" w:rsidP="00CF2AC1">
            <w:pPr>
              <w:rPr>
                <w:rFonts w:ascii="Times New Roman" w:eastAsiaTheme="minorEastAsia" w:hAnsi="Times New Roman"/>
              </w:rPr>
            </w:pPr>
            <m:oMath>
              <m:sSubSup>
                <m:sSubSupPr>
                  <m:ctrlPr>
                    <w:rPr>
                      <w:rFonts w:ascii="Cambria Math" w:hAnsi="Cambria Math"/>
                      <w:i/>
                    </w:rPr>
                  </m:ctrlPr>
                </m:sSubSupPr>
                <m:e>
                  <m:r>
                    <w:rPr>
                      <w:rFonts w:ascii="Cambria Math" w:hAnsi="Cambria Math"/>
                    </w:rPr>
                    <m:t>I</m:t>
                  </m:r>
                </m:e>
                <m:sub>
                  <m:r>
                    <w:rPr>
                      <w:rFonts w:ascii="Cambria Math" w:hAnsi="Cambria Math"/>
                    </w:rPr>
                    <m:t>дt-2</m:t>
                  </m:r>
                </m:sub>
                <m:sup>
                  <m:r>
                    <w:rPr>
                      <w:rFonts w:ascii="Cambria Math" w:hAnsi="Cambria Math"/>
                    </w:rPr>
                    <m:t>р</m:t>
                  </m:r>
                </m:sup>
              </m:sSubSup>
              <m:r>
                <w:rPr>
                  <w:rFonts w:ascii="Cambria Math" w:hAnsi="Cambria Math"/>
                  <w:lang w:eastAsia="uk-UA"/>
                </w:rPr>
                <m:t>=1-</m:t>
              </m:r>
              <m:f>
                <m:fPr>
                  <m:ctrlPr>
                    <w:rPr>
                      <w:rFonts w:ascii="Cambria Math" w:hAnsi="Cambria Math"/>
                      <w:lang w:eastAsia="uk-UA"/>
                    </w:rPr>
                  </m:ctrlPr>
                </m:fPr>
                <m:num>
                  <m:nary>
                    <m:naryPr>
                      <m:chr m:val="∑"/>
                      <m:ctrlPr>
                        <w:rPr>
                          <w:rFonts w:ascii="Cambria Math" w:hAnsi="Cambria Math"/>
                          <w:lang w:eastAsia="uk-UA"/>
                        </w:rPr>
                      </m:ctrlPr>
                    </m:naryPr>
                    <m:sub>
                      <m:r>
                        <w:rPr>
                          <w:rFonts w:ascii="Cambria Math" w:hAnsi="Cambria Math"/>
                          <w:lang w:eastAsia="uk-UA"/>
                        </w:rPr>
                        <m:t>m=1</m:t>
                      </m:r>
                      <m:ctrlPr>
                        <w:rPr>
                          <w:rFonts w:ascii="Cambria Math" w:hAnsi="Cambria Math"/>
                          <w:i/>
                          <w:lang w:eastAsia="uk-UA"/>
                        </w:rPr>
                      </m:ctrlPr>
                    </m:sub>
                    <m:sup>
                      <m:r>
                        <w:rPr>
                          <w:rFonts w:ascii="Cambria Math" w:hAnsi="Cambria Math"/>
                          <w:lang w:eastAsia="uk-UA"/>
                        </w:rPr>
                        <m:t>12</m:t>
                      </m:r>
                      <m:ctrlPr>
                        <w:rPr>
                          <w:rFonts w:ascii="Cambria Math" w:hAnsi="Cambria Math"/>
                          <w:i/>
                          <w:lang w:eastAsia="uk-UA"/>
                        </w:rPr>
                      </m:ctrlPr>
                    </m:sup>
                    <m:e>
                      <m:d>
                        <m:dPr>
                          <m:begChr m:val="|"/>
                          <m:endChr m:val="|"/>
                          <m:ctrlPr>
                            <w:rPr>
                              <w:rFonts w:ascii="Cambria Math" w:hAnsi="Cambria Math"/>
                              <w:i/>
                              <w:lang w:eastAsia="uk-UA"/>
                            </w:rPr>
                          </m:ctrlPr>
                        </m:dPr>
                        <m:e>
                          <m:sSubSup>
                            <m:sSubSupPr>
                              <m:ctrlPr>
                                <w:rPr>
                                  <w:rFonts w:ascii="Cambria Math" w:hAnsi="Cambria Math"/>
                                  <w:i/>
                                  <w:lang w:eastAsia="uk-UA"/>
                                </w:rPr>
                              </m:ctrlPr>
                            </m:sSubSupPr>
                            <m:e>
                              <m:r>
                                <w:rPr>
                                  <w:rFonts w:ascii="Cambria Math" w:hAnsi="Cambria Math"/>
                                  <w:lang w:eastAsia="uk-UA"/>
                                </w:rPr>
                                <m:t>V</m:t>
                              </m:r>
                            </m:e>
                            <m:sub>
                              <m:r>
                                <w:rPr>
                                  <w:rFonts w:ascii="Cambria Math" w:hAnsi="Cambria Math"/>
                                  <w:lang w:eastAsia="uk-UA"/>
                                </w:rPr>
                                <m:t>m</m:t>
                              </m:r>
                            </m:sub>
                            <m:sup>
                              <m:r>
                                <w:rPr>
                                  <w:rFonts w:ascii="Cambria Math" w:hAnsi="Cambria Math"/>
                                  <w:lang w:eastAsia="uk-UA"/>
                                </w:rPr>
                                <m:t>р</m:t>
                              </m:r>
                            </m:sup>
                          </m:sSubSup>
                          <m:r>
                            <w:rPr>
                              <w:rFonts w:ascii="Cambria Math" w:hAnsi="Cambria Math"/>
                              <w:lang w:eastAsia="uk-UA"/>
                            </w:rPr>
                            <m:t>-</m:t>
                          </m:r>
                          <m:sSubSup>
                            <m:sSubSupPr>
                              <m:ctrlPr>
                                <w:rPr>
                                  <w:rFonts w:ascii="Cambria Math" w:hAnsi="Cambria Math"/>
                                  <w:i/>
                                  <w:lang w:eastAsia="uk-UA"/>
                                </w:rPr>
                              </m:ctrlPr>
                            </m:sSubSupPr>
                            <m:e>
                              <m:r>
                                <w:rPr>
                                  <w:rFonts w:ascii="Cambria Math" w:hAnsi="Cambria Math"/>
                                  <w:lang w:eastAsia="uk-UA"/>
                                </w:rPr>
                                <m:t>V</m:t>
                              </m:r>
                            </m:e>
                            <m:sub>
                              <m:r>
                                <w:rPr>
                                  <w:rFonts w:ascii="Cambria Math" w:hAnsi="Cambria Math"/>
                                  <w:lang w:eastAsia="uk-UA"/>
                                </w:rPr>
                                <m:t>m</m:t>
                              </m:r>
                            </m:sub>
                            <m:sup>
                              <m:r>
                                <w:rPr>
                                  <w:rFonts w:ascii="Cambria Math" w:hAnsi="Cambria Math"/>
                                  <w:lang w:eastAsia="uk-UA"/>
                                </w:rPr>
                                <m:t>пр</m:t>
                              </m:r>
                            </m:sup>
                          </m:sSubSup>
                        </m:e>
                      </m:d>
                    </m:e>
                  </m:nary>
                  <m:ctrlPr>
                    <w:rPr>
                      <w:rFonts w:ascii="Cambria Math" w:hAnsi="Cambria Math"/>
                      <w:i/>
                      <w:lang w:eastAsia="uk-UA"/>
                    </w:rPr>
                  </m:ctrlPr>
                </m:num>
                <m:den>
                  <m:nary>
                    <m:naryPr>
                      <m:chr m:val="∑"/>
                      <m:ctrlPr>
                        <w:rPr>
                          <w:rFonts w:ascii="Cambria Math" w:hAnsi="Cambria Math"/>
                          <w:lang w:eastAsia="uk-UA"/>
                        </w:rPr>
                      </m:ctrlPr>
                    </m:naryPr>
                    <m:sub>
                      <m:r>
                        <w:rPr>
                          <w:rFonts w:ascii="Cambria Math" w:hAnsi="Cambria Math"/>
                          <w:lang w:eastAsia="uk-UA"/>
                        </w:rPr>
                        <m:t>m=1</m:t>
                      </m:r>
                      <m:ctrlPr>
                        <w:rPr>
                          <w:rFonts w:ascii="Cambria Math" w:hAnsi="Cambria Math"/>
                          <w:i/>
                          <w:lang w:eastAsia="uk-UA"/>
                        </w:rPr>
                      </m:ctrlPr>
                    </m:sub>
                    <m:sup>
                      <m:r>
                        <w:rPr>
                          <w:rFonts w:ascii="Cambria Math" w:hAnsi="Cambria Math"/>
                          <w:lang w:eastAsia="uk-UA"/>
                        </w:rPr>
                        <m:t>12</m:t>
                      </m:r>
                      <m:ctrlPr>
                        <w:rPr>
                          <w:rFonts w:ascii="Cambria Math" w:hAnsi="Cambria Math"/>
                          <w:i/>
                          <w:lang w:eastAsia="uk-UA"/>
                        </w:rPr>
                      </m:ctrlPr>
                    </m:sup>
                    <m:e>
                      <m:sSubSup>
                        <m:sSubSupPr>
                          <m:ctrlPr>
                            <w:rPr>
                              <w:rFonts w:ascii="Cambria Math" w:hAnsi="Cambria Math"/>
                              <w:i/>
                              <w:lang w:eastAsia="uk-UA"/>
                            </w:rPr>
                          </m:ctrlPr>
                        </m:sSubSupPr>
                        <m:e>
                          <m:r>
                            <w:rPr>
                              <w:rFonts w:ascii="Cambria Math" w:hAnsi="Cambria Math"/>
                              <w:lang w:eastAsia="uk-UA"/>
                            </w:rPr>
                            <m:t>V</m:t>
                          </m:r>
                        </m:e>
                        <m:sub>
                          <m:r>
                            <w:rPr>
                              <w:rFonts w:ascii="Cambria Math" w:hAnsi="Cambria Math"/>
                              <w:lang w:eastAsia="uk-UA"/>
                            </w:rPr>
                            <m:t>m</m:t>
                          </m:r>
                        </m:sub>
                        <m:sup>
                          <m:r>
                            <w:rPr>
                              <w:rFonts w:ascii="Cambria Math" w:hAnsi="Cambria Math"/>
                              <w:lang w:eastAsia="uk-UA"/>
                            </w:rPr>
                            <m:t>р</m:t>
                          </m:r>
                        </m:sup>
                      </m:sSubSup>
                      <m:ctrlPr>
                        <w:rPr>
                          <w:rFonts w:ascii="Cambria Math" w:hAnsi="Cambria Math"/>
                          <w:i/>
                          <w:lang w:eastAsia="uk-UA"/>
                        </w:rPr>
                      </m:ctrlPr>
                    </m:e>
                  </m:nary>
                  <m:ctrlPr>
                    <w:rPr>
                      <w:rFonts w:ascii="Cambria Math" w:hAnsi="Cambria Math"/>
                      <w:i/>
                      <w:lang w:eastAsia="uk-UA"/>
                    </w:rPr>
                  </m:ctrlPr>
                </m:den>
              </m:f>
            </m:oMath>
            <w:r w:rsidR="00CF2AC1" w:rsidRPr="005A615E">
              <w:rPr>
                <w:rFonts w:ascii="Times New Roman" w:eastAsiaTheme="minorEastAsia" w:hAnsi="Times New Roman"/>
                <w:lang w:eastAsia="uk-UA"/>
              </w:rPr>
              <w:t xml:space="preserve">        </w:t>
            </w:r>
            <w:r w:rsidR="00CF2AC1" w:rsidRPr="005A615E">
              <w:rPr>
                <w:rFonts w:ascii="Times New Roman" w:eastAsiaTheme="minorEastAsia" w:hAnsi="Times New Roman"/>
              </w:rPr>
              <w:t>(43)</w:t>
            </w:r>
          </w:p>
          <w:p w:rsidR="00CF2AC1" w:rsidRPr="005A615E" w:rsidRDefault="00CF2AC1" w:rsidP="00CF2AC1">
            <w:pPr>
              <w:ind w:firstLine="709"/>
              <w:jc w:val="both"/>
              <w:rPr>
                <w:rFonts w:ascii="Times New Roman" w:hAnsi="Times New Roman"/>
                <w:sz w:val="16"/>
                <w:szCs w:val="16"/>
                <w:lang w:eastAsia="uk-UA"/>
              </w:rPr>
            </w:pPr>
          </w:p>
          <w:p w:rsidR="00CF2AC1" w:rsidRPr="005A615E" w:rsidRDefault="00CF2AC1" w:rsidP="00CF2AC1">
            <w:pPr>
              <w:ind w:firstLine="173"/>
              <w:contextualSpacing/>
              <w:jc w:val="both"/>
              <w:rPr>
                <w:rFonts w:ascii="Times New Roman" w:hAnsi="Times New Roman"/>
              </w:rPr>
            </w:pPr>
            <w:r w:rsidRPr="005A615E">
              <w:rPr>
                <w:rFonts w:ascii="Times New Roman" w:hAnsi="Times New Roman"/>
                <w:lang w:eastAsia="uk-UA"/>
              </w:rPr>
              <w:t xml:space="preserve">де </w:t>
            </w:r>
            <m:oMath>
              <m:sSubSup>
                <m:sSubSupPr>
                  <m:ctrlPr>
                    <w:rPr>
                      <w:rFonts w:ascii="Cambria Math" w:hAnsi="Cambria Math"/>
                    </w:rPr>
                  </m:ctrlPr>
                </m:sSubSupPr>
                <m:e>
                  <m:r>
                    <w:rPr>
                      <w:rFonts w:ascii="Cambria Math" w:hAnsi="Cambria Math"/>
                    </w:rPr>
                    <m:t>V</m:t>
                  </m:r>
                </m:e>
                <m:sub>
                  <m:r>
                    <w:rPr>
                      <w:rFonts w:ascii="Cambria Math" w:hAnsi="Cambria Math"/>
                    </w:rPr>
                    <m:t>m</m:t>
                  </m:r>
                </m:sub>
                <m:sup>
                  <m:r>
                    <m:rPr>
                      <m:sty m:val="p"/>
                    </m:rPr>
                    <w:rPr>
                      <w:rFonts w:ascii="Cambria Math" w:hAnsi="Cambria Math"/>
                    </w:rPr>
                    <m:t>пр</m:t>
                  </m:r>
                </m:sup>
              </m:sSubSup>
            </m:oMath>
            <w:r w:rsidRPr="005A615E">
              <w:rPr>
                <w:rFonts w:ascii="Times New Roman" w:hAnsi="Times New Roman"/>
              </w:rPr>
              <w:t xml:space="preserve"> –</w:t>
            </w:r>
            <w:r w:rsidRPr="005A615E">
              <w:rPr>
                <w:rFonts w:ascii="Times New Roman" w:hAnsi="Times New Roman"/>
                <w:lang w:eastAsia="uk-UA"/>
              </w:rPr>
              <w:t xml:space="preserve"> </w:t>
            </w:r>
            <w:r w:rsidRPr="005A615E">
              <w:rPr>
                <w:rFonts w:ascii="Times New Roman" w:hAnsi="Times New Roman"/>
              </w:rPr>
              <w:t>обсяг відбору/відпуску електричної енергії, сформований за даними комерційного обліку останнього релізу версії 2 за розрахунковий</w:t>
            </w:r>
            <w:r w:rsidRPr="005A615E" w:rsidDel="00704B9E">
              <w:rPr>
                <w:rFonts w:ascii="Times New Roman" w:hAnsi="Times New Roman"/>
              </w:rPr>
              <w:t xml:space="preserve"> </w:t>
            </w:r>
            <w:r w:rsidRPr="005A615E">
              <w:rPr>
                <w:rFonts w:ascii="Times New Roman" w:hAnsi="Times New Roman"/>
              </w:rPr>
              <w:t>місяць m календарного року t-2 ;</w:t>
            </w:r>
          </w:p>
          <w:p w:rsidR="00CF2AC1" w:rsidRPr="005A615E" w:rsidRDefault="000D13C5" w:rsidP="00CF2AC1">
            <w:pPr>
              <w:ind w:firstLine="173"/>
              <w:contextualSpacing/>
              <w:jc w:val="both"/>
              <w:rPr>
                <w:rFonts w:ascii="Times New Roman" w:hAnsi="Times New Roman"/>
              </w:rPr>
            </w:pPr>
            <m:oMath>
              <m:sSubSup>
                <m:sSubSupPr>
                  <m:ctrlPr>
                    <w:rPr>
                      <w:rFonts w:ascii="Cambria Math" w:hAnsi="Cambria Math"/>
                    </w:rPr>
                  </m:ctrlPr>
                </m:sSubSupPr>
                <m:e>
                  <m:r>
                    <w:rPr>
                      <w:rFonts w:ascii="Cambria Math" w:hAnsi="Cambria Math"/>
                    </w:rPr>
                    <m:t>V</m:t>
                  </m:r>
                </m:e>
                <m:sub>
                  <m:r>
                    <w:rPr>
                      <w:rFonts w:ascii="Cambria Math" w:hAnsi="Cambria Math"/>
                    </w:rPr>
                    <m:t>m</m:t>
                  </m:r>
                </m:sub>
                <m:sup>
                  <m:r>
                    <m:rPr>
                      <m:sty m:val="p"/>
                    </m:rPr>
                    <w:rPr>
                      <w:rFonts w:ascii="Cambria Math" w:hAnsi="Cambria Math"/>
                    </w:rPr>
                    <m:t>р</m:t>
                  </m:r>
                </m:sup>
              </m:sSubSup>
            </m:oMath>
            <w:r w:rsidR="00CF2AC1" w:rsidRPr="005A615E">
              <w:rPr>
                <w:rFonts w:ascii="Times New Roman" w:hAnsi="Times New Roman"/>
              </w:rPr>
              <w:t xml:space="preserve"> –</w:t>
            </w:r>
            <w:r w:rsidR="00CF2AC1" w:rsidRPr="005A615E">
              <w:rPr>
                <w:rFonts w:ascii="Times New Roman" w:hAnsi="Times New Roman"/>
                <w:lang w:eastAsia="uk-UA"/>
              </w:rPr>
              <w:t xml:space="preserve"> </w:t>
            </w:r>
            <w:r w:rsidR="00CF2AC1" w:rsidRPr="005A615E">
              <w:rPr>
                <w:rFonts w:ascii="Times New Roman" w:hAnsi="Times New Roman"/>
              </w:rPr>
              <w:t xml:space="preserve">обсяг відбору/відпуску електричної енергії, сформований за даними комерційного обліку останнього релізу останньої версії за розрахунковий місяць m календарного року t-2; </w:t>
            </w:r>
          </w:p>
          <w:p w:rsidR="00CF2AC1" w:rsidRPr="005A615E" w:rsidRDefault="000D13C5" w:rsidP="00CF2AC1">
            <w:pPr>
              <w:ind w:firstLine="173"/>
              <w:contextualSpacing/>
              <w:jc w:val="both"/>
              <w:rPr>
                <w:rFonts w:ascii="Times New Roman" w:hAnsi="Times New Roman"/>
              </w:rPr>
            </w:pPr>
            <m:oMath>
              <m:nary>
                <m:naryPr>
                  <m:chr m:val="∑"/>
                  <m:ctrlPr>
                    <w:rPr>
                      <w:rFonts w:ascii="Cambria Math" w:hAnsi="Cambria Math"/>
                    </w:rPr>
                  </m:ctrlPr>
                </m:naryPr>
                <m:sub>
                  <m:r>
                    <w:rPr>
                      <w:rFonts w:ascii="Cambria Math" w:hAnsi="Cambria Math"/>
                    </w:rPr>
                    <m:t>m</m:t>
                  </m:r>
                  <m:r>
                    <m:rPr>
                      <m:sty m:val="p"/>
                    </m:rPr>
                    <w:rPr>
                      <w:rFonts w:ascii="Cambria Math" w:hAnsi="Cambria Math"/>
                    </w:rPr>
                    <m:t>=1</m:t>
                  </m:r>
                </m:sub>
                <m:sup>
                  <m:r>
                    <m:rPr>
                      <m:sty m:val="p"/>
                    </m:rPr>
                    <w:rPr>
                      <w:rFonts w:ascii="Cambria Math" w:hAnsi="Cambria Math"/>
                    </w:rPr>
                    <m:t>12</m:t>
                  </m:r>
                </m:sup>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V</m:t>
                          </m:r>
                        </m:e>
                        <m:sub>
                          <m:r>
                            <w:rPr>
                              <w:rFonts w:ascii="Cambria Math" w:hAnsi="Cambria Math"/>
                            </w:rPr>
                            <m:t>m</m:t>
                          </m:r>
                        </m:sub>
                        <m:sup>
                          <m:r>
                            <m:rPr>
                              <m:sty m:val="p"/>
                            </m:rPr>
                            <w:rPr>
                              <w:rFonts w:ascii="Cambria Math" w:hAnsi="Cambria Math"/>
                            </w:rPr>
                            <m:t>р</m:t>
                          </m:r>
                        </m:sup>
                      </m:sSubSup>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m</m:t>
                          </m:r>
                        </m:sub>
                        <m:sup>
                          <m:r>
                            <w:rPr>
                              <w:rFonts w:ascii="Cambria Math" w:hAnsi="Cambria Math"/>
                            </w:rPr>
                            <m:t>пр</m:t>
                          </m:r>
                        </m:sup>
                      </m:sSubSup>
                    </m:e>
                  </m:d>
                </m:e>
              </m:nary>
            </m:oMath>
            <w:r w:rsidR="00CF2AC1" w:rsidRPr="005A615E">
              <w:rPr>
                <w:rFonts w:ascii="Times New Roman" w:hAnsi="Times New Roman"/>
              </w:rPr>
              <w:t xml:space="preserve"> — сумарне абсолютне значення обсягу коригувань за рік t-2;</w:t>
            </w:r>
          </w:p>
          <w:p w:rsidR="00CF2AC1" w:rsidRPr="005A615E" w:rsidRDefault="000D13C5" w:rsidP="00CF2AC1">
            <w:pPr>
              <w:ind w:firstLine="173"/>
              <w:contextualSpacing/>
              <w:jc w:val="both"/>
              <w:rPr>
                <w:rFonts w:ascii="Times New Roman" w:hAnsi="Times New Roman"/>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д</m:t>
                  </m:r>
                  <m:r>
                    <w:rPr>
                      <w:rFonts w:ascii="Cambria Math" w:hAnsi="Cambria Math"/>
                    </w:rPr>
                    <m:t>t</m:t>
                  </m:r>
                  <m:r>
                    <m:rPr>
                      <m:sty m:val="p"/>
                    </m:rPr>
                    <w:rPr>
                      <w:rFonts w:ascii="Cambria Math" w:hAnsi="Cambria Math"/>
                    </w:rPr>
                    <m:t>-2</m:t>
                  </m:r>
                </m:sub>
                <m:sup>
                  <m:r>
                    <m:rPr>
                      <m:sty m:val="p"/>
                    </m:rPr>
                    <w:rPr>
                      <w:rFonts w:ascii="Cambria Math" w:hAnsi="Cambria Math"/>
                    </w:rPr>
                    <m:t>заг</m:t>
                  </m:r>
                </m:sup>
              </m:sSubSup>
            </m:oMath>
            <w:r w:rsidR="00CF2AC1" w:rsidRPr="005A615E">
              <w:rPr>
                <w:rFonts w:ascii="Times New Roman" w:hAnsi="Times New Roman"/>
              </w:rPr>
              <w:t xml:space="preserve"> – загальна кількість усіх точок комерційного обліку з можливістю погодинного обліку та дистанційного зчитування даних, де ОСР є стороною відповідальною за точку комерційного обліку;</w:t>
            </w:r>
          </w:p>
          <w:p w:rsidR="00CF2AC1" w:rsidRPr="005A615E" w:rsidRDefault="000D13C5" w:rsidP="00CF2AC1">
            <w:pPr>
              <w:ind w:firstLine="173"/>
              <w:contextualSpacing/>
              <w:jc w:val="both"/>
              <w:rPr>
                <w:rFonts w:ascii="Times New Roman" w:hAnsi="Times New Roman"/>
              </w:rPr>
            </w:pPr>
            <w:hyperlink r:id="rId299" w:tgtFrame="_blank" w:history="1">
              <w:r w:rsidR="00CF2AC1" w:rsidRPr="005A615E">
                <w:rPr>
                  <w:rFonts w:ascii="Times New Roman" w:hAnsi="Times New Roman"/>
                </w:rPr>
                <w:t>ПК</w:t>
              </w:r>
              <w:r w:rsidR="00CF2AC1" w:rsidRPr="005A615E">
                <w:rPr>
                  <w:rFonts w:ascii="Times New Roman" w:hAnsi="Times New Roman"/>
                  <w:vertAlign w:val="subscript"/>
                </w:rPr>
                <w:t>д</w:t>
              </w:r>
              <w:r w:rsidR="00CF2AC1" w:rsidRPr="005A615E">
                <w:rPr>
                  <w:rFonts w:ascii="Times New Roman" w:hAnsi="Times New Roman"/>
                </w:rPr>
                <w:t xml:space="preserve"> – встановлений НКРЕКП параметр коригування необхідного доходу за недотримання відповідного показника комерційної якості надання послуг, який дорівнює 400.</w:t>
              </w:r>
            </w:hyperlink>
          </w:p>
          <w:p w:rsidR="00CF2AC1" w:rsidRPr="005A615E" w:rsidRDefault="000D13C5" w:rsidP="00CF2AC1">
            <w:pPr>
              <w:ind w:firstLine="173"/>
              <w:contextualSpacing/>
              <w:jc w:val="both"/>
              <w:rPr>
                <w:rFonts w:ascii="Times New Roman" w:hAnsi="Times New Roman"/>
              </w:rPr>
            </w:pPr>
            <w:hyperlink r:id="rId300" w:tgtFrame="_blank" w:history="1">
              <w:r w:rsidR="00CF2AC1" w:rsidRPr="005A615E">
                <w:rPr>
                  <w:rFonts w:ascii="Times New Roman" w:hAnsi="Times New Roman"/>
                </w:rPr>
                <w:t xml:space="preserve">За результатами здійснення заходів контролю за дотриманням Ліцензійних умов показник </w:t>
              </w:r>
              <m:oMath>
                <m:sSub>
                  <m:sSubPr>
                    <m:ctrlPr>
                      <w:rPr>
                        <w:rFonts w:ascii="Cambria Math" w:hAnsi="Cambria Math"/>
                        <w:i/>
                      </w:rPr>
                    </m:ctrlPr>
                  </m:sSubPr>
                  <m:e>
                    <m:r>
                      <m:rPr>
                        <m:sty m:val="p"/>
                      </m:rPr>
                      <w:rPr>
                        <w:rFonts w:ascii="Cambria Math" w:hAnsi="Cambria Math"/>
                      </w:rPr>
                      <m:t>КЯ</m:t>
                    </m:r>
                  </m:e>
                  <m:sub>
                    <m:r>
                      <m:rPr>
                        <m:sty m:val="p"/>
                      </m:rPr>
                      <w:rPr>
                        <w:rFonts w:ascii="Cambria Math" w:hAnsi="Cambria Math"/>
                      </w:rPr>
                      <m:t>дt</m:t>
                    </m:r>
                  </m:sub>
                </m:sSub>
              </m:oMath>
              <w:r w:rsidR="00CF2AC1" w:rsidRPr="005A615E">
                <w:rPr>
                  <w:rFonts w:ascii="Times New Roman" w:hAnsi="Times New Roman"/>
                </w:rPr>
                <w:t xml:space="preserve"> може бути уточнено;</w:t>
              </w:r>
            </w:hyperlink>
          </w:p>
          <w:p w:rsidR="00CF2AC1" w:rsidRPr="005A615E" w:rsidRDefault="00CF2AC1" w:rsidP="00CF2AC1">
            <w:pPr>
              <w:ind w:firstLine="173"/>
              <w:contextualSpacing/>
              <w:jc w:val="both"/>
              <w:rPr>
                <w:rFonts w:ascii="Times New Roman" w:hAnsi="Times New Roman"/>
              </w:rPr>
            </w:pPr>
            <w:r w:rsidRPr="005A615E">
              <w:rPr>
                <w:rFonts w:ascii="Times New Roman" w:hAnsi="Times New Roman"/>
              </w:rPr>
              <w:t>5) 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на рік t визначається за формулою</w:t>
            </w:r>
          </w:p>
          <w:p w:rsidR="00CF2AC1" w:rsidRPr="005A615E" w:rsidRDefault="00CF2AC1" w:rsidP="00CF2AC1">
            <w:pPr>
              <w:ind w:firstLine="709"/>
              <w:jc w:val="both"/>
              <w:rPr>
                <w:rFonts w:ascii="Times New Roman" w:hAnsi="Times New Roman"/>
                <w:sz w:val="12"/>
                <w:szCs w:val="12"/>
              </w:rPr>
            </w:pPr>
          </w:p>
          <w:p w:rsidR="00CF2AC1" w:rsidRPr="005A615E" w:rsidRDefault="000D13C5" w:rsidP="00CF2AC1">
            <w:pPr>
              <w:rPr>
                <w:rFonts w:ascii="Times New Roman" w:hAnsi="Times New Roman"/>
              </w:rPr>
            </w:pPr>
            <m:oMath>
              <m:sSubSup>
                <m:sSubSupPr>
                  <m:ctrlPr>
                    <w:rPr>
                      <w:rFonts w:ascii="Cambria Math" w:hAnsi="Cambria Math"/>
                      <w:i/>
                    </w:rPr>
                  </m:ctrlPr>
                </m:sSubSupPr>
                <m:e>
                  <m:r>
                    <w:rPr>
                      <w:rFonts w:ascii="Cambria Math" w:hAnsi="Cambria Math"/>
                    </w:rPr>
                    <m:t>I</m:t>
                  </m:r>
                </m:e>
                <m:sub>
                  <m:r>
                    <w:rPr>
                      <w:rFonts w:ascii="Cambria Math" w:hAnsi="Cambria Math"/>
                    </w:rPr>
                    <m:t>коt-2</m:t>
                  </m:r>
                </m:sub>
                <m:sup>
                  <m:r>
                    <w:rPr>
                      <w:rFonts w:ascii="Cambria Math" w:hAnsi="Cambria Math"/>
                    </w:rPr>
                    <m:t>ф</m:t>
                  </m:r>
                </m:sup>
              </m:sSubSup>
              <m:r>
                <m:rPr>
                  <m:sty m:val="p"/>
                </m:rPr>
                <w:rPr>
                  <w:rFonts w:ascii="Cambria Math" w:hAnsi="Cambria Math"/>
                </w:rPr>
                <m:t xml:space="preserve">≥90, то </m:t>
              </m:r>
              <m:sSub>
                <m:sSubPr>
                  <m:ctrlPr>
                    <w:rPr>
                      <w:rFonts w:ascii="Cambria Math" w:hAnsi="Cambria Math"/>
                      <w:i/>
                    </w:rPr>
                  </m:ctrlPr>
                </m:sSubPr>
                <m:e>
                  <m:r>
                    <w:rPr>
                      <w:rFonts w:ascii="Cambria Math" w:hAnsi="Cambria Math"/>
                    </w:rPr>
                    <m:t>КЯ</m:t>
                  </m:r>
                </m:e>
                <m:sub>
                  <m:r>
                    <w:rPr>
                      <w:rFonts w:ascii="Cambria Math" w:hAnsi="Cambria Math"/>
                    </w:rPr>
                    <m:t>коt</m:t>
                  </m:r>
                </m:sub>
              </m:sSub>
              <m:r>
                <m:rPr>
                  <m:sty m:val="p"/>
                </m:rPr>
                <w:rPr>
                  <w:rFonts w:ascii="Cambria Math" w:hAnsi="Cambria Math"/>
                </w:rPr>
                <m:t>=0</m:t>
              </m:r>
            </m:oMath>
            <w:r w:rsidR="00CF2AC1" w:rsidRPr="005A615E">
              <w:rPr>
                <w:rFonts w:ascii="Times New Roman" w:eastAsiaTheme="minorEastAsia" w:hAnsi="Times New Roman"/>
              </w:rPr>
              <w:t xml:space="preserve">          </w:t>
            </w:r>
            <w:r w:rsidR="00CF2AC1" w:rsidRPr="005A615E">
              <w:rPr>
                <w:rFonts w:ascii="Times New Roman" w:hAnsi="Times New Roman"/>
              </w:rPr>
              <w:t>(44)</w:t>
            </w:r>
          </w:p>
          <w:p w:rsidR="00CF2AC1" w:rsidRPr="005A615E" w:rsidRDefault="00CF2AC1" w:rsidP="00CF2AC1">
            <w:pPr>
              <w:rPr>
                <w:rFonts w:ascii="Times New Roman" w:hAnsi="Times New Roman"/>
                <w:sz w:val="16"/>
                <w:szCs w:val="16"/>
              </w:rPr>
            </w:pPr>
          </w:p>
          <w:p w:rsidR="00CF2AC1" w:rsidRPr="005A615E" w:rsidRDefault="000D13C5" w:rsidP="00CF2AC1">
            <w:pPr>
              <w:ind w:firstLine="36"/>
              <w:rPr>
                <w:rFonts w:ascii="Times New Roman" w:eastAsiaTheme="minorEastAsia" w:hAnsi="Times New Roman"/>
                <w:sz w:val="20"/>
                <w:szCs w:val="20"/>
              </w:rPr>
            </w:pPr>
            <m:oMath>
              <m:sSub>
                <m:sSubPr>
                  <m:ctrlPr>
                    <w:rPr>
                      <w:rFonts w:ascii="Cambria Math" w:hAnsi="Cambria Math"/>
                      <w:i/>
                      <w:sz w:val="20"/>
                      <w:szCs w:val="20"/>
                    </w:rPr>
                  </m:ctrlPr>
                </m:sSubPr>
                <m:e>
                  <m:r>
                    <w:rPr>
                      <w:rFonts w:ascii="Cambria Math" w:hAnsi="Cambria Math"/>
                      <w:sz w:val="20"/>
                      <w:szCs w:val="20"/>
                    </w:rPr>
                    <m:t>КЯ</m:t>
                  </m:r>
                </m:e>
                <m:sub>
                  <m:r>
                    <w:rPr>
                      <w:rFonts w:ascii="Cambria Math" w:hAnsi="Cambria Math"/>
                      <w:sz w:val="20"/>
                      <w:szCs w:val="20"/>
                    </w:rPr>
                    <m:t>коt</m:t>
                  </m:r>
                </m:sub>
              </m:sSub>
              <m:r>
                <w:rPr>
                  <w:rFonts w:ascii="Cambria Math" w:hAnsi="Cambria Math"/>
                  <w:sz w:val="20"/>
                  <w:szCs w:val="20"/>
                </w:rPr>
                <m:t>=</m:t>
              </m:r>
              <m:f>
                <m:fPr>
                  <m:ctrlPr>
                    <w:rPr>
                      <w:rFonts w:ascii="Cambria Math" w:hAnsi="Cambria Math"/>
                      <w:i/>
                      <w:sz w:val="20"/>
                      <w:szCs w:val="20"/>
                    </w:rPr>
                  </m:ctrlPr>
                </m:fPr>
                <m:num>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I</m:t>
                          </m:r>
                        </m:e>
                        <m:sub>
                          <m:r>
                            <w:rPr>
                              <w:rFonts w:ascii="Cambria Math" w:hAnsi="Cambria Math"/>
                              <w:sz w:val="20"/>
                              <w:szCs w:val="20"/>
                            </w:rPr>
                            <m:t>коt-2</m:t>
                          </m:r>
                        </m:sub>
                        <m:sup>
                          <m:r>
                            <w:rPr>
                              <w:rFonts w:ascii="Cambria Math" w:hAnsi="Cambria Math"/>
                              <w:sz w:val="20"/>
                              <w:szCs w:val="20"/>
                            </w:rPr>
                            <m:t>р</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I</m:t>
                          </m:r>
                        </m:e>
                        <m:sub>
                          <m:r>
                            <w:rPr>
                              <w:rFonts w:ascii="Cambria Math" w:hAnsi="Cambria Math"/>
                              <w:sz w:val="20"/>
                              <w:szCs w:val="20"/>
                            </w:rPr>
                            <m:t>коt-2</m:t>
                          </m:r>
                        </m:sub>
                        <m:sup>
                          <m:r>
                            <w:rPr>
                              <w:rFonts w:ascii="Cambria Math" w:hAnsi="Cambria Math"/>
                              <w:sz w:val="20"/>
                              <w:szCs w:val="20"/>
                            </w:rPr>
                            <m:t>ф</m:t>
                          </m:r>
                        </m:sup>
                      </m:sSubSup>
                    </m:e>
                  </m:d>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W</m:t>
                      </m:r>
                    </m:e>
                    <m:sub>
                      <m:sSub>
                        <m:sSubPr>
                          <m:ctrlPr>
                            <w:rPr>
                              <w:rFonts w:ascii="Cambria Math" w:hAnsi="Cambria Math"/>
                              <w:i/>
                              <w:sz w:val="20"/>
                              <w:szCs w:val="20"/>
                            </w:rPr>
                          </m:ctrlPr>
                        </m:sSubPr>
                        <m:e>
                          <m:r>
                            <w:rPr>
                              <w:rFonts w:ascii="Cambria Math" w:hAnsi="Cambria Math"/>
                              <w:sz w:val="20"/>
                              <w:szCs w:val="20"/>
                            </w:rPr>
                            <m:t>2</m:t>
                          </m:r>
                        </m:e>
                        <m:sub>
                          <m:r>
                            <w:rPr>
                              <w:rFonts w:ascii="Cambria Math" w:hAnsi="Cambria Math"/>
                              <w:sz w:val="20"/>
                              <w:szCs w:val="20"/>
                            </w:rPr>
                            <m:t>t</m:t>
                          </m:r>
                        </m:sub>
                      </m:sSub>
                      <m:r>
                        <w:rPr>
                          <w:rFonts w:ascii="Cambria Math" w:hAnsi="Cambria Math"/>
                          <w:sz w:val="20"/>
                          <w:szCs w:val="20"/>
                        </w:rPr>
                        <m:t>-2</m:t>
                      </m:r>
                    </m:sub>
                    <m:sup>
                      <m:r>
                        <w:rPr>
                          <w:rFonts w:ascii="Cambria Math" w:hAnsi="Cambria Math"/>
                          <w:sz w:val="20"/>
                          <w:szCs w:val="20"/>
                        </w:rPr>
                        <m:t>м</m:t>
                      </m:r>
                      <m:d>
                        <m:dPr>
                          <m:ctrlPr>
                            <w:rPr>
                              <w:rFonts w:ascii="Cambria Math" w:hAnsi="Cambria Math"/>
                              <w:i/>
                              <w:sz w:val="20"/>
                              <w:szCs w:val="20"/>
                            </w:rPr>
                          </m:ctrlPr>
                        </m:dPr>
                        <m:e>
                          <m:r>
                            <w:rPr>
                              <w:rFonts w:ascii="Cambria Math" w:hAnsi="Cambria Math"/>
                              <w:sz w:val="20"/>
                              <w:szCs w:val="20"/>
                            </w:rPr>
                            <m:t>с</m:t>
                          </m:r>
                        </m:e>
                      </m:d>
                      <m:r>
                        <w:rPr>
                          <w:rFonts w:ascii="Cambria Math" w:hAnsi="Cambria Math"/>
                          <w:sz w:val="20"/>
                          <w:szCs w:val="20"/>
                        </w:rPr>
                        <m:t>ф</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sSub>
                        <m:sSubPr>
                          <m:ctrlPr>
                            <w:rPr>
                              <w:rFonts w:ascii="Cambria Math" w:hAnsi="Cambria Math"/>
                              <w:i/>
                              <w:sz w:val="20"/>
                              <w:szCs w:val="20"/>
                            </w:rPr>
                          </m:ctrlPr>
                        </m:sSubPr>
                        <m:e>
                          <m:r>
                            <w:rPr>
                              <w:rFonts w:ascii="Cambria Math" w:hAnsi="Cambria Math"/>
                              <w:sz w:val="20"/>
                              <w:szCs w:val="20"/>
                            </w:rPr>
                            <m:t>2</m:t>
                          </m:r>
                        </m:e>
                        <m:sub>
                          <m:r>
                            <w:rPr>
                              <w:rFonts w:ascii="Cambria Math" w:hAnsi="Cambria Math"/>
                              <w:sz w:val="20"/>
                              <w:szCs w:val="20"/>
                            </w:rPr>
                            <m:t>t</m:t>
                          </m:r>
                        </m:sub>
                      </m:sSub>
                      <m:r>
                        <w:rPr>
                          <w:rFonts w:ascii="Cambria Math" w:hAnsi="Cambria Math"/>
                          <w:sz w:val="20"/>
                          <w:szCs w:val="20"/>
                        </w:rPr>
                        <m:t>-2</m:t>
                      </m:r>
                    </m:sub>
                  </m:sSub>
                  <m:r>
                    <w:rPr>
                      <w:rFonts w:ascii="Cambria Math" w:hAnsi="Cambria Math"/>
                      <w:sz w:val="20"/>
                      <w:szCs w:val="20"/>
                    </w:rPr>
                    <m:t>*ПКко</m:t>
                  </m:r>
                </m:num>
                <m:den>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коt-2</m:t>
                      </m:r>
                    </m:sub>
                    <m:sup>
                      <m:r>
                        <w:rPr>
                          <w:rFonts w:ascii="Cambria Math" w:hAnsi="Cambria Math"/>
                          <w:sz w:val="20"/>
                          <w:szCs w:val="20"/>
                        </w:rPr>
                        <m:t>заг</m:t>
                      </m:r>
                    </m:sup>
                  </m:sSubSup>
                  <m:r>
                    <w:rPr>
                      <w:rFonts w:ascii="Cambria Math" w:hAnsi="Cambria Math"/>
                      <w:sz w:val="20"/>
                      <w:szCs w:val="20"/>
                    </w:rPr>
                    <m:t>*1000</m:t>
                  </m:r>
                </m:den>
              </m:f>
              <m:r>
                <w:rPr>
                  <w:rFonts w:ascii="Cambria Math" w:hAnsi="Cambria Math"/>
                  <w:sz w:val="20"/>
                  <w:szCs w:val="20"/>
                </w:rPr>
                <m:t>, тис. грн</m:t>
              </m:r>
            </m:oMath>
            <w:r w:rsidR="00CF2AC1" w:rsidRPr="005A615E">
              <w:rPr>
                <w:rFonts w:ascii="Times New Roman" w:eastAsiaTheme="minorEastAsia" w:hAnsi="Times New Roman"/>
                <w:i/>
                <w:sz w:val="20"/>
                <w:szCs w:val="20"/>
              </w:rPr>
              <w:t xml:space="preserve">      </w:t>
            </w:r>
            <w:r w:rsidR="00CF2AC1" w:rsidRPr="005A615E">
              <w:rPr>
                <w:rFonts w:ascii="Times New Roman" w:eastAsiaTheme="minorEastAsia" w:hAnsi="Times New Roman"/>
                <w:sz w:val="20"/>
                <w:szCs w:val="20"/>
              </w:rPr>
              <w:t>(45)</w:t>
            </w:r>
          </w:p>
          <w:p w:rsidR="00CF2AC1" w:rsidRPr="005A615E" w:rsidRDefault="00CF2AC1" w:rsidP="00CF2AC1">
            <w:pPr>
              <w:ind w:firstLine="315"/>
              <w:contextualSpacing/>
              <w:jc w:val="both"/>
              <w:rPr>
                <w:rFonts w:ascii="Times New Roman" w:hAnsi="Times New Roman"/>
              </w:rPr>
            </w:pPr>
            <w:r w:rsidRPr="005A615E">
              <w:rPr>
                <w:rFonts w:ascii="Times New Roman" w:hAnsi="Times New Roman"/>
              </w:rPr>
              <w:t xml:space="preserve">де </w:t>
            </w:r>
            <m:oMath>
              <m:sSubSup>
                <m:sSubSupPr>
                  <m:ctrlPr>
                    <w:rPr>
                      <w:rFonts w:ascii="Cambria Math" w:hAnsi="Cambria Math"/>
                      <w:i/>
                    </w:rPr>
                  </m:ctrlPr>
                </m:sSubSupPr>
                <m:e>
                  <m:r>
                    <w:rPr>
                      <w:rFonts w:ascii="Cambria Math" w:hAnsi="Cambria Math"/>
                    </w:rPr>
                    <m:t>I</m:t>
                  </m:r>
                </m:e>
                <m:sub>
                  <m:r>
                    <w:rPr>
                      <w:rFonts w:ascii="Cambria Math" w:hAnsi="Cambria Math"/>
                    </w:rPr>
                    <m:t>ко_ц</m:t>
                  </m:r>
                </m:sub>
                <m:sup>
                  <m:r>
                    <w:rPr>
                      <w:rFonts w:ascii="Cambria Math" w:hAnsi="Cambria Math"/>
                    </w:rPr>
                    <m:t>м</m:t>
                  </m:r>
                  <m:d>
                    <m:dPr>
                      <m:ctrlPr>
                        <w:rPr>
                          <w:rFonts w:ascii="Cambria Math" w:hAnsi="Cambria Math"/>
                          <w:i/>
                        </w:rPr>
                      </m:ctrlPr>
                    </m:dPr>
                    <m:e>
                      <m:r>
                        <w:rPr>
                          <w:rFonts w:ascii="Cambria Math" w:hAnsi="Cambria Math"/>
                        </w:rPr>
                        <m:t>с</m:t>
                      </m:r>
                    </m:e>
                  </m:d>
                </m:sup>
              </m:sSubSup>
            </m:oMath>
            <w:r w:rsidRPr="005A615E">
              <w:rPr>
                <w:rFonts w:ascii="Times New Roman" w:hAnsi="Times New Roman"/>
              </w:rPr>
              <w:t xml:space="preserve"> – встановлений НКРЕКП для міської (сільської) </w:t>
            </w:r>
            <w:r w:rsidRPr="005A615E">
              <w:rPr>
                <w:rFonts w:ascii="Times New Roman" w:hAnsi="Times New Roman"/>
              </w:rPr>
              <w:br/>
              <w:t>території цільовий 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який враховується у розрахунку, починаючи з третього року другого регуляторного періоду на рівні 90 %, (</w:t>
            </w:r>
            <m:oMath>
              <m:sSubSup>
                <m:sSubSupPr>
                  <m:ctrlPr>
                    <w:rPr>
                      <w:rFonts w:ascii="Cambria Math" w:hAnsi="Cambria Math"/>
                    </w:rPr>
                  </m:ctrlPr>
                </m:sSubSupPr>
                <m:e>
                  <m:r>
                    <w:rPr>
                      <w:rFonts w:ascii="Cambria Math" w:hAnsi="Cambria Math"/>
                    </w:rPr>
                    <m:t>I</m:t>
                  </m:r>
                </m:e>
                <m:sub>
                  <m:r>
                    <m:rPr>
                      <m:sty m:val="p"/>
                    </m:rPr>
                    <w:rPr>
                      <w:rFonts w:ascii="Cambria Math" w:hAnsi="Cambria Math"/>
                    </w:rPr>
                    <m:t>ко</m:t>
                  </m:r>
                  <m:r>
                    <w:rPr>
                      <w:rFonts w:ascii="Cambria Math" w:hAnsi="Cambria Math"/>
                    </w:rPr>
                    <m:t>t</m:t>
                  </m:r>
                  <m:r>
                    <m:rPr>
                      <m:sty m:val="p"/>
                    </m:rPr>
                    <w:rPr>
                      <w:rFonts w:ascii="Cambria Math" w:hAnsi="Cambria Math"/>
                    </w:rPr>
                    <m:t>-2</m:t>
                  </m:r>
                </m:sub>
                <m:sup>
                  <m:r>
                    <m:rPr>
                      <m:sty m:val="p"/>
                    </m:rPr>
                    <w:rPr>
                      <w:rFonts w:ascii="Cambria Math" w:hAnsi="Cambria Math"/>
                    </w:rPr>
                    <m:t>р</m:t>
                  </m:r>
                </m:sup>
              </m:sSubSup>
            </m:oMath>
            <w:r w:rsidRPr="005A615E">
              <w:rPr>
                <w:rFonts w:ascii="Times New Roman" w:hAnsi="Times New Roman"/>
              </w:rPr>
              <w:t xml:space="preserve"> );</w:t>
            </w:r>
          </w:p>
          <w:p w:rsidR="00CF2AC1" w:rsidRPr="005A615E" w:rsidRDefault="000D13C5" w:rsidP="00CF2AC1">
            <w:pPr>
              <w:ind w:firstLine="315"/>
              <w:jc w:val="both"/>
              <w:rPr>
                <w:rFonts w:ascii="Times New Roman" w:hAnsi="Times New Roman"/>
              </w:rPr>
            </w:pPr>
            <m:oMath>
              <m:sSubSup>
                <m:sSubSupPr>
                  <m:ctrlPr>
                    <w:rPr>
                      <w:rFonts w:ascii="Cambria Math" w:hAnsi="Cambria Math"/>
                      <w:i/>
                    </w:rPr>
                  </m:ctrlPr>
                </m:sSubSupPr>
                <m:e>
                  <m:r>
                    <w:rPr>
                      <w:rFonts w:ascii="Cambria Math" w:hAnsi="Cambria Math"/>
                    </w:rPr>
                    <m:t>I</m:t>
                  </m:r>
                </m:e>
                <m:sub>
                  <m:r>
                    <w:rPr>
                      <w:rFonts w:ascii="Cambria Math" w:hAnsi="Cambria Math"/>
                    </w:rPr>
                    <m:t>коt-2</m:t>
                  </m:r>
                </m:sub>
                <m:sup>
                  <m:r>
                    <w:rPr>
                      <w:rFonts w:ascii="Cambria Math" w:hAnsi="Cambria Math"/>
                    </w:rPr>
                    <m:t>ф</m:t>
                  </m:r>
                </m:sup>
              </m:sSubSup>
            </m:oMath>
            <w:r w:rsidR="00CF2AC1" w:rsidRPr="005A615E">
              <w:rPr>
                <w:rFonts w:ascii="Times New Roman" w:hAnsi="Times New Roman"/>
              </w:rPr>
              <w:t xml:space="preserve"> – фактичний індекс якості проведення контрольних оглядів вузлів обліку електричної енергії, який визначається за формулою</w:t>
            </w:r>
          </w:p>
          <w:p w:rsidR="00CF2AC1" w:rsidRPr="005A615E" w:rsidRDefault="00CF2AC1" w:rsidP="00CF2AC1">
            <w:pPr>
              <w:ind w:firstLine="315"/>
              <w:jc w:val="both"/>
              <w:rPr>
                <w:rFonts w:ascii="Times New Roman" w:hAnsi="Times New Roman"/>
                <w:sz w:val="12"/>
                <w:szCs w:val="12"/>
              </w:rPr>
            </w:pPr>
          </w:p>
          <w:p w:rsidR="00CF2AC1" w:rsidRPr="005A615E" w:rsidRDefault="000D13C5" w:rsidP="00CF2AC1">
            <w:pPr>
              <w:ind w:firstLine="709"/>
              <w:rPr>
                <w:rFonts w:ascii="Times New Roman" w:hAnsi="Times New Roman"/>
              </w:rPr>
            </w:pPr>
            <m:oMath>
              <m:sSubSup>
                <m:sSubSupPr>
                  <m:ctrlPr>
                    <w:rPr>
                      <w:rFonts w:ascii="Cambria Math" w:hAnsi="Cambria Math"/>
                      <w:i/>
                    </w:rPr>
                  </m:ctrlPr>
                </m:sSubSupPr>
                <m:e>
                  <m:r>
                    <w:rPr>
                      <w:rFonts w:ascii="Cambria Math" w:hAnsi="Cambria Math"/>
                    </w:rPr>
                    <m:t>I</m:t>
                  </m:r>
                </m:e>
                <m:sub>
                  <m:r>
                    <w:rPr>
                      <w:rFonts w:ascii="Cambria Math" w:hAnsi="Cambria Math"/>
                    </w:rPr>
                    <m:t>коt-2</m:t>
                  </m:r>
                </m:sub>
                <m:sup>
                  <m:r>
                    <w:rPr>
                      <w:rFonts w:ascii="Cambria Math" w:hAnsi="Cambria Math"/>
                    </w:rPr>
                    <m:t>ф</m:t>
                  </m:r>
                </m:sup>
              </m:sSubSup>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нпt-2</m:t>
                      </m:r>
                    </m:sub>
                    <m:sup>
                      <m:r>
                        <w:rPr>
                          <w:rFonts w:ascii="Cambria Math" w:hAnsi="Cambria Math"/>
                        </w:rPr>
                        <m:t>ф</m:t>
                      </m:r>
                    </m:sup>
                  </m:sSubSup>
                </m:num>
                <m:den>
                  <m:sSubSup>
                    <m:sSubSupPr>
                      <m:ctrlPr>
                        <w:rPr>
                          <w:rFonts w:ascii="Cambria Math" w:hAnsi="Cambria Math"/>
                          <w:i/>
                        </w:rPr>
                      </m:ctrlPr>
                    </m:sSubSupPr>
                    <m:e>
                      <m:r>
                        <w:rPr>
                          <w:rFonts w:ascii="Cambria Math" w:hAnsi="Cambria Math"/>
                        </w:rPr>
                        <m:t>N</m:t>
                      </m:r>
                    </m:e>
                    <m:sub>
                      <m:r>
                        <w:rPr>
                          <w:rFonts w:ascii="Cambria Math" w:hAnsi="Cambria Math"/>
                        </w:rPr>
                        <m:t>нпt-2</m:t>
                      </m:r>
                    </m:sub>
                    <m:sup>
                      <m:r>
                        <w:rPr>
                          <w:rFonts w:ascii="Cambria Math" w:hAnsi="Cambria Math"/>
                        </w:rPr>
                        <m:t>заг</m:t>
                      </m:r>
                    </m:sup>
                  </m:sSubSup>
                </m:den>
              </m:f>
            </m:oMath>
            <w:r w:rsidR="00CF2AC1" w:rsidRPr="005A615E">
              <w:rPr>
                <w:rFonts w:ascii="Times New Roman" w:hAnsi="Times New Roman"/>
              </w:rPr>
              <w:t xml:space="preserve">    (46)</w:t>
            </w:r>
          </w:p>
          <w:p w:rsidR="00CF2AC1" w:rsidRPr="005A615E" w:rsidRDefault="00CF2AC1" w:rsidP="00CF2AC1">
            <w:pPr>
              <w:ind w:firstLine="173"/>
              <w:contextualSpacing/>
              <w:jc w:val="both"/>
              <w:rPr>
                <w:rFonts w:ascii="Times New Roman" w:hAnsi="Times New Roman"/>
              </w:rPr>
            </w:pPr>
            <w:r w:rsidRPr="005A615E">
              <w:rPr>
                <w:rFonts w:ascii="Times New Roman" w:hAnsi="Times New Roman"/>
              </w:rPr>
              <w:t xml:space="preserve">де </w:t>
            </w:r>
            <m:oMath>
              <m:sSubSup>
                <m:sSubSupPr>
                  <m:ctrlPr>
                    <w:rPr>
                      <w:rFonts w:ascii="Cambria Math" w:hAnsi="Cambria Math"/>
                      <w:i/>
                    </w:rPr>
                  </m:ctrlPr>
                </m:sSubSupPr>
                <m:e>
                  <m:r>
                    <w:rPr>
                      <w:rFonts w:ascii="Cambria Math" w:hAnsi="Cambria Math"/>
                    </w:rPr>
                    <m:t>N</m:t>
                  </m:r>
                </m:e>
                <m:sub>
                  <m:r>
                    <w:rPr>
                      <w:rFonts w:ascii="Cambria Math" w:hAnsi="Cambria Math"/>
                    </w:rPr>
                    <m:t>коt-2</m:t>
                  </m:r>
                </m:sub>
                <m:sup>
                  <m:r>
                    <w:rPr>
                      <w:rFonts w:ascii="Cambria Math" w:hAnsi="Cambria Math"/>
                    </w:rPr>
                    <m:t>ф</m:t>
                  </m:r>
                </m:sup>
              </m:sSubSup>
            </m:oMath>
            <w:r w:rsidRPr="005A615E">
              <w:rPr>
                <w:rFonts w:ascii="Times New Roman" w:hAnsi="Times New Roman"/>
              </w:rPr>
              <w:t xml:space="preserve"> – фактична кількість точок комерційного обліку, де проведено контрольні огляди з дотриманням вимог ККОЕЕ, за рік t-2;</w:t>
            </w:r>
          </w:p>
          <w:p w:rsidR="00CF2AC1" w:rsidRPr="005A615E" w:rsidRDefault="000D13C5" w:rsidP="00CF2AC1">
            <w:pPr>
              <w:ind w:firstLine="173"/>
              <w:contextualSpacing/>
              <w:jc w:val="both"/>
              <w:rPr>
                <w:rFonts w:ascii="Times New Roman" w:hAnsi="Times New Roman"/>
              </w:rPr>
            </w:pPr>
            <m:oMath>
              <m:sSubSup>
                <m:sSubSupPr>
                  <m:ctrlPr>
                    <w:rPr>
                      <w:rFonts w:ascii="Cambria Math" w:hAnsi="Cambria Math"/>
                      <w:i/>
                    </w:rPr>
                  </m:ctrlPr>
                </m:sSubSupPr>
                <m:e>
                  <m:r>
                    <w:rPr>
                      <w:rFonts w:ascii="Cambria Math" w:hAnsi="Cambria Math"/>
                    </w:rPr>
                    <m:t>N</m:t>
                  </m:r>
                </m:e>
                <m:sub>
                  <m:r>
                    <w:rPr>
                      <w:rFonts w:ascii="Cambria Math" w:hAnsi="Cambria Math"/>
                    </w:rPr>
                    <m:t>коt-2</m:t>
                  </m:r>
                </m:sub>
                <m:sup>
                  <m:r>
                    <w:rPr>
                      <w:rFonts w:ascii="Cambria Math" w:hAnsi="Cambria Math"/>
                    </w:rPr>
                    <m:t>заг</m:t>
                  </m:r>
                </m:sup>
              </m:sSubSup>
            </m:oMath>
            <w:r w:rsidR="00CF2AC1" w:rsidRPr="005A615E">
              <w:rPr>
                <w:rFonts w:ascii="Times New Roman" w:hAnsi="Times New Roman"/>
              </w:rPr>
              <w:t xml:space="preserve"> – загальна кількість точок комерційного обліку на початок року t-2;</w:t>
            </w:r>
          </w:p>
          <w:p w:rsidR="00CF2AC1" w:rsidRPr="005A615E" w:rsidRDefault="000D13C5" w:rsidP="00CF2AC1">
            <w:pPr>
              <w:ind w:firstLine="173"/>
              <w:contextualSpacing/>
              <w:jc w:val="both"/>
              <w:rPr>
                <w:rFonts w:ascii="Times New Roman" w:hAnsi="Times New Roman"/>
                <w:b/>
              </w:rPr>
            </w:pPr>
            <w:hyperlink r:id="rId301" w:tgtFrame="_blank" w:history="1">
              <w:r w:rsidR="00CF2AC1" w:rsidRPr="005A615E">
                <w:rPr>
                  <w:rFonts w:ascii="Times New Roman" w:hAnsi="Times New Roman"/>
                </w:rPr>
                <w:t>ПК</w:t>
              </w:r>
              <w:r w:rsidR="00CF2AC1" w:rsidRPr="005A615E">
                <w:rPr>
                  <w:rFonts w:ascii="Times New Roman" w:hAnsi="Times New Roman"/>
                  <w:vertAlign w:val="subscript"/>
                </w:rPr>
                <w:t>ко</w:t>
              </w:r>
              <w:r w:rsidR="00CF2AC1" w:rsidRPr="005A615E">
                <w:rPr>
                  <w:rFonts w:ascii="Times New Roman" w:hAnsi="Times New Roman"/>
                </w:rPr>
                <w:t xml:space="preserve"> – встановлений НКРЕКП параметр коригування необхідного доходу за недотримання показника комерційної якості надання послуг з проведення контрольних оглядів вузлів обліку електричної енергії</w:t>
              </w:r>
            </w:hyperlink>
            <w:r w:rsidR="00CF2AC1" w:rsidRPr="005A615E">
              <w:rPr>
                <w:rFonts w:ascii="Times New Roman" w:hAnsi="Times New Roman"/>
              </w:rPr>
              <w:t>, який дорівнює 400;</w:t>
            </w:r>
            <w:r w:rsidR="00CF2AC1" w:rsidRPr="005A615E">
              <w:rPr>
                <w:rFonts w:ascii="Times New Roman" w:hAnsi="Times New Roman"/>
                <w:b/>
              </w:rPr>
              <w:t xml:space="preserve"> </w:t>
            </w:r>
          </w:p>
          <w:p w:rsidR="00CF2AC1" w:rsidRPr="005A615E" w:rsidRDefault="00CF2AC1" w:rsidP="00CF2AC1">
            <w:pPr>
              <w:ind w:firstLine="173"/>
              <w:contextualSpacing/>
              <w:jc w:val="both"/>
              <w:rPr>
                <w:rFonts w:ascii="Times New Roman" w:hAnsi="Times New Roman"/>
                <w:b/>
                <w:sz w:val="20"/>
                <w:szCs w:val="20"/>
              </w:rPr>
            </w:pPr>
          </w:p>
          <w:p w:rsidR="00CF2AC1" w:rsidRPr="005A615E" w:rsidRDefault="00CF2AC1" w:rsidP="00CF2AC1">
            <w:pPr>
              <w:ind w:firstLine="173"/>
              <w:contextualSpacing/>
              <w:jc w:val="both"/>
              <w:rPr>
                <w:rFonts w:ascii="Times New Roman" w:hAnsi="Times New Roman"/>
                <w:b/>
                <w:strike/>
              </w:rPr>
            </w:pPr>
            <w:r w:rsidRPr="005A615E">
              <w:rPr>
                <w:rFonts w:ascii="Times New Roman" w:hAnsi="Times New Roman"/>
                <w:b/>
                <w:strike/>
              </w:rPr>
              <w:t>6) індекс рівня сервісу кол-центру протягом 30 секунд</w:t>
            </w:r>
            <m:oMath>
              <m:r>
                <m:rPr>
                  <m:sty m:val="bi"/>
                </m:rPr>
                <w:rPr>
                  <w:rFonts w:ascii="Cambria Math" w:hAnsi="Cambria Math"/>
                  <w:strike/>
                </w:rPr>
                <m:t xml:space="preserve"> </m:t>
              </m:r>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рсt</m:t>
                  </m:r>
                </m:sub>
              </m:sSub>
            </m:oMath>
            <w:r w:rsidRPr="005A615E">
              <w:rPr>
                <w:rFonts w:ascii="Times New Roman" w:hAnsi="Times New Roman"/>
                <w:b/>
                <w:strike/>
              </w:rPr>
              <w:t>), на рік t-2 визначається за формулою</w:t>
            </w:r>
          </w:p>
          <w:p w:rsidR="00CF2AC1" w:rsidRPr="005A615E" w:rsidRDefault="00CF2AC1" w:rsidP="00CF2AC1">
            <w:pPr>
              <w:ind w:firstLine="709"/>
              <w:jc w:val="both"/>
              <w:rPr>
                <w:rFonts w:ascii="Times New Roman" w:hAnsi="Times New Roman"/>
                <w:b/>
                <w:strike/>
                <w:sz w:val="12"/>
                <w:szCs w:val="12"/>
              </w:rPr>
            </w:pPr>
          </w:p>
          <w:p w:rsidR="00CF2AC1" w:rsidRPr="005A615E" w:rsidRDefault="000D13C5" w:rsidP="00CF2AC1">
            <w:pPr>
              <w:rPr>
                <w:rFonts w:ascii="Times New Roman" w:hAnsi="Times New Roman"/>
                <w:b/>
                <w:strike/>
                <w:sz w:val="20"/>
                <w:szCs w:val="20"/>
              </w:rPr>
            </w:pPr>
            <m:oMath>
              <m:sSub>
                <m:sSubPr>
                  <m:ctrlPr>
                    <w:rPr>
                      <w:rFonts w:ascii="Cambria Math" w:hAnsi="Cambria Math"/>
                      <w:b/>
                      <w:i/>
                      <w:strike/>
                      <w:sz w:val="20"/>
                      <w:szCs w:val="20"/>
                    </w:rPr>
                  </m:ctrlPr>
                </m:sSubPr>
                <m:e>
                  <m:r>
                    <m:rPr>
                      <m:sty m:val="bi"/>
                    </m:rPr>
                    <w:rPr>
                      <w:rFonts w:ascii="Cambria Math" w:hAnsi="Cambria Math"/>
                      <w:strike/>
                      <w:sz w:val="20"/>
                      <w:szCs w:val="20"/>
                    </w:rPr>
                    <m:t>КЯ</m:t>
                  </m:r>
                </m:e>
                <m:sub>
                  <m:r>
                    <m:rPr>
                      <m:sty m:val="bi"/>
                    </m:rPr>
                    <w:rPr>
                      <w:rFonts w:ascii="Cambria Math" w:hAnsi="Cambria Math"/>
                      <w:strike/>
                      <w:sz w:val="20"/>
                      <w:szCs w:val="20"/>
                    </w:rPr>
                    <m:t>рсt</m:t>
                  </m:r>
                </m:sub>
              </m:sSub>
              <m:r>
                <m:rPr>
                  <m:sty m:val="bi"/>
                </m:rPr>
                <w:rPr>
                  <w:rFonts w:ascii="Cambria Math" w:hAnsi="Cambria Math"/>
                  <w:strike/>
                  <w:sz w:val="20"/>
                  <w:szCs w:val="20"/>
                </w:rPr>
                <m:t>=0,0005*</m:t>
              </m:r>
              <m:d>
                <m:dPr>
                  <m:ctrlPr>
                    <w:rPr>
                      <w:rFonts w:ascii="Cambria Math" w:hAnsi="Cambria Math"/>
                      <w:b/>
                      <w:i/>
                      <w:strike/>
                      <w:sz w:val="20"/>
                      <w:szCs w:val="20"/>
                    </w:rPr>
                  </m:ctrlPr>
                </m:dPr>
                <m:e>
                  <m:sSubSup>
                    <m:sSubSupPr>
                      <m:ctrlPr>
                        <w:rPr>
                          <w:rFonts w:ascii="Cambria Math" w:hAnsi="Cambria Math"/>
                          <w:b/>
                          <w:i/>
                          <w:strike/>
                          <w:sz w:val="20"/>
                          <w:szCs w:val="20"/>
                        </w:rPr>
                      </m:ctrlPr>
                    </m:sSubSupPr>
                    <m:e>
                      <m:r>
                        <m:rPr>
                          <m:sty m:val="bi"/>
                        </m:rPr>
                        <w:rPr>
                          <w:rFonts w:ascii="Cambria Math" w:hAnsi="Cambria Math"/>
                          <w:strike/>
                          <w:sz w:val="20"/>
                          <w:szCs w:val="20"/>
                        </w:rPr>
                        <m:t>I</m:t>
                      </m:r>
                    </m:e>
                    <m:sub>
                      <m:r>
                        <m:rPr>
                          <m:sty m:val="bi"/>
                        </m:rPr>
                        <w:rPr>
                          <w:rFonts w:ascii="Cambria Math" w:hAnsi="Cambria Math"/>
                          <w:strike/>
                          <w:sz w:val="20"/>
                          <w:szCs w:val="20"/>
                        </w:rPr>
                        <m:t>рсt-2</m:t>
                      </m:r>
                    </m:sub>
                    <m:sup>
                      <m:r>
                        <m:rPr>
                          <m:sty m:val="bi"/>
                        </m:rPr>
                        <w:rPr>
                          <w:rFonts w:ascii="Cambria Math" w:hAnsi="Cambria Math"/>
                          <w:strike/>
                          <w:sz w:val="20"/>
                          <w:szCs w:val="20"/>
                        </w:rPr>
                        <m:t>ф</m:t>
                      </m:r>
                    </m:sup>
                  </m:sSubSup>
                  <m:r>
                    <m:rPr>
                      <m:sty m:val="bi"/>
                    </m:rPr>
                    <w:rPr>
                      <w:rFonts w:ascii="Cambria Math" w:hAnsi="Cambria Math"/>
                      <w:strike/>
                      <w:sz w:val="20"/>
                      <w:szCs w:val="20"/>
                    </w:rPr>
                    <m:t>-</m:t>
                  </m:r>
                  <m:sSubSup>
                    <m:sSubSupPr>
                      <m:ctrlPr>
                        <w:rPr>
                          <w:rFonts w:ascii="Cambria Math" w:hAnsi="Cambria Math"/>
                          <w:b/>
                          <w:i/>
                          <w:strike/>
                          <w:sz w:val="20"/>
                          <w:szCs w:val="20"/>
                        </w:rPr>
                      </m:ctrlPr>
                    </m:sSubSupPr>
                    <m:e>
                      <m:r>
                        <m:rPr>
                          <m:sty m:val="bi"/>
                        </m:rPr>
                        <w:rPr>
                          <w:rFonts w:ascii="Cambria Math" w:hAnsi="Cambria Math"/>
                          <w:strike/>
                          <w:sz w:val="20"/>
                          <w:szCs w:val="20"/>
                        </w:rPr>
                        <m:t>I</m:t>
                      </m:r>
                    </m:e>
                    <m:sub>
                      <m:r>
                        <m:rPr>
                          <m:sty m:val="bi"/>
                        </m:rPr>
                        <w:rPr>
                          <w:rFonts w:ascii="Cambria Math" w:hAnsi="Cambria Math"/>
                          <w:strike/>
                          <w:sz w:val="20"/>
                          <w:szCs w:val="20"/>
                        </w:rPr>
                        <m:t>рсt-2</m:t>
                      </m:r>
                    </m:sub>
                    <m:sup>
                      <m:r>
                        <m:rPr>
                          <m:sty m:val="bi"/>
                        </m:rPr>
                        <w:rPr>
                          <w:rFonts w:ascii="Cambria Math" w:hAnsi="Cambria Math"/>
                          <w:strike/>
                          <w:sz w:val="20"/>
                          <w:szCs w:val="20"/>
                        </w:rPr>
                        <m:t>ц</m:t>
                      </m:r>
                    </m:sup>
                  </m:sSubSup>
                </m:e>
              </m:d>
              <m:r>
                <m:rPr>
                  <m:sty m:val="bi"/>
                </m:rPr>
                <w:rPr>
                  <w:rFonts w:ascii="Cambria Math" w:hAnsi="Cambria Math"/>
                  <w:strike/>
                  <w:sz w:val="20"/>
                  <w:szCs w:val="20"/>
                </w:rPr>
                <m:t>*</m:t>
              </m:r>
              <m:sSubSup>
                <m:sSubSupPr>
                  <m:ctrlPr>
                    <w:rPr>
                      <w:rFonts w:ascii="Cambria Math" w:hAnsi="Cambria Math"/>
                      <w:b/>
                      <w:i/>
                      <w:strike/>
                      <w:sz w:val="20"/>
                      <w:szCs w:val="20"/>
                    </w:rPr>
                  </m:ctrlPr>
                </m:sSubSupPr>
                <m:e>
                  <m:r>
                    <m:rPr>
                      <m:sty m:val="bi"/>
                    </m:rPr>
                    <w:rPr>
                      <w:rFonts w:ascii="Cambria Math" w:hAnsi="Cambria Math"/>
                      <w:strike/>
                      <w:sz w:val="20"/>
                      <w:szCs w:val="20"/>
                    </w:rPr>
                    <m:t>НД</m:t>
                  </m:r>
                </m:e>
                <m:sub>
                  <m:r>
                    <m:rPr>
                      <m:sty m:val="bi"/>
                    </m:rPr>
                    <w:rPr>
                      <w:rFonts w:ascii="Cambria Math" w:hAnsi="Cambria Math"/>
                      <w:strike/>
                      <w:sz w:val="20"/>
                      <w:szCs w:val="20"/>
                    </w:rPr>
                    <m:t xml:space="preserve">t-2     </m:t>
                  </m:r>
                </m:sub>
                <m:sup>
                  <m:r>
                    <m:rPr>
                      <m:sty m:val="bi"/>
                    </m:rPr>
                    <w:rPr>
                      <w:rFonts w:ascii="Cambria Math" w:hAnsi="Cambria Math"/>
                      <w:strike/>
                      <w:sz w:val="20"/>
                      <w:szCs w:val="20"/>
                    </w:rPr>
                    <m:t>n</m:t>
                  </m:r>
                </m:sup>
              </m:sSubSup>
              <m:r>
                <m:rPr>
                  <m:sty m:val="bi"/>
                </m:rPr>
                <w:rPr>
                  <w:rFonts w:ascii="Cambria Math" w:hAnsi="Cambria Math"/>
                  <w:strike/>
                  <w:sz w:val="20"/>
                  <w:szCs w:val="20"/>
                </w:rPr>
                <m:t xml:space="preserve">, тис. грн     </m:t>
              </m:r>
            </m:oMath>
            <w:r w:rsidR="00CF2AC1" w:rsidRPr="005A615E">
              <w:rPr>
                <w:rFonts w:ascii="Times New Roman" w:hAnsi="Times New Roman"/>
                <w:b/>
                <w:strike/>
                <w:sz w:val="20"/>
                <w:szCs w:val="20"/>
              </w:rPr>
              <w:t>(47)</w:t>
            </w:r>
          </w:p>
          <w:p w:rsidR="00CF2AC1" w:rsidRPr="005A615E" w:rsidRDefault="00CF2AC1" w:rsidP="00CF2AC1">
            <w:pPr>
              <w:rPr>
                <w:rFonts w:ascii="Times New Roman" w:hAnsi="Times New Roman"/>
                <w:b/>
                <w:strike/>
                <w:sz w:val="12"/>
                <w:szCs w:val="12"/>
              </w:rPr>
            </w:pPr>
          </w:p>
          <w:p w:rsidR="00CF2AC1" w:rsidRPr="005A615E" w:rsidRDefault="00CF2AC1" w:rsidP="00CF2AC1">
            <w:pPr>
              <w:ind w:firstLine="315"/>
              <w:contextualSpacing/>
              <w:jc w:val="both"/>
              <w:rPr>
                <w:rFonts w:ascii="Times New Roman" w:hAnsi="Times New Roman"/>
                <w:b/>
                <w:strike/>
              </w:rPr>
            </w:pPr>
            <w:r w:rsidRPr="005A615E">
              <w:rPr>
                <w:rFonts w:ascii="Times New Roman" w:eastAsiaTheme="minorEastAsia" w:hAnsi="Times New Roman"/>
                <w:b/>
                <w:strike/>
              </w:rPr>
              <w:t xml:space="preserve">де </w:t>
            </w: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рсt-2</m:t>
                  </m:r>
                </m:sub>
                <m:sup>
                  <m:r>
                    <m:rPr>
                      <m:sty m:val="bi"/>
                    </m:rPr>
                    <w:rPr>
                      <w:rFonts w:ascii="Cambria Math" w:hAnsi="Cambria Math"/>
                      <w:strike/>
                    </w:rPr>
                    <m:t>ц</m:t>
                  </m:r>
                </m:sup>
              </m:sSubSup>
            </m:oMath>
            <w:r w:rsidRPr="005A615E">
              <w:rPr>
                <w:rFonts w:ascii="Times New Roman" w:hAnsi="Times New Roman"/>
                <w:b/>
                <w:strike/>
              </w:rPr>
              <w:t xml:space="preserve"> – цільовий індекс рівня сервісу кол-центру протягом 30 секунд – не менше </w:t>
            </w:r>
            <w:r w:rsidRPr="005A615E">
              <w:rPr>
                <w:rFonts w:ascii="Times New Roman" w:hAnsi="Times New Roman"/>
                <w:b/>
                <w:strike/>
                <w:shd w:val="clear" w:color="auto" w:fill="FFFFFF"/>
              </w:rPr>
              <w:t xml:space="preserve">75 %; </w:t>
            </w:r>
          </w:p>
          <w:p w:rsidR="00CF2AC1" w:rsidRPr="005A615E" w:rsidRDefault="000D13C5" w:rsidP="00CF2AC1">
            <w:pPr>
              <w:ind w:firstLine="315"/>
              <w:contextualSpacing/>
              <w:jc w:val="both"/>
              <w:rPr>
                <w:rFonts w:ascii="Times New Roman" w:hAnsi="Times New Roman"/>
                <w:b/>
                <w:strike/>
              </w:rPr>
            </w:pP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рсt-2</m:t>
                  </m:r>
                </m:sub>
                <m:sup>
                  <m:r>
                    <m:rPr>
                      <m:sty m:val="bi"/>
                    </m:rPr>
                    <w:rPr>
                      <w:rFonts w:ascii="Cambria Math" w:hAnsi="Cambria Math"/>
                      <w:strike/>
                    </w:rPr>
                    <m:t>ф</m:t>
                  </m:r>
                </m:sup>
              </m:sSubSup>
            </m:oMath>
            <w:r w:rsidR="00CF2AC1" w:rsidRPr="005A615E">
              <w:rPr>
                <w:rFonts w:ascii="Times New Roman" w:hAnsi="Times New Roman"/>
                <w:b/>
                <w:strike/>
              </w:rPr>
              <w:t> – фактичний індекс рівня сервісу кол-центру протягом 30 секунд у році t-2, визначається за даними додатка 4 до Мінімальних вимог до якості обслуговування споживачів електричної енергії кол-центрами, затверджених постановою НКРЕКП від 12 червня 2018 року № 373,</w:t>
            </w:r>
          </w:p>
          <w:p w:rsidR="00CF2AC1" w:rsidRPr="005A615E" w:rsidRDefault="00CF2AC1" w:rsidP="00CF2AC1">
            <w:pPr>
              <w:ind w:firstLine="315"/>
              <w:contextualSpacing/>
              <w:jc w:val="both"/>
              <w:rPr>
                <w:rFonts w:ascii="Times New Roman" w:hAnsi="Times New Roman"/>
                <w:b/>
                <w:strike/>
                <w:sz w:val="12"/>
                <w:szCs w:val="12"/>
              </w:rPr>
            </w:pPr>
          </w:p>
          <w:p w:rsidR="00CF2AC1" w:rsidRPr="005A615E" w:rsidRDefault="00CF2AC1" w:rsidP="00CF2AC1">
            <w:pPr>
              <w:rPr>
                <w:rFonts w:ascii="Times New Roman" w:hAnsi="Times New Roman"/>
                <w:b/>
                <w:strike/>
                <w:sz w:val="20"/>
                <w:szCs w:val="20"/>
              </w:rPr>
            </w:pPr>
            <m:oMath>
              <m:r>
                <m:rPr>
                  <m:sty m:val="bi"/>
                </m:rPr>
                <w:rPr>
                  <w:rFonts w:ascii="Cambria Math" w:hAnsi="Cambria Math"/>
                  <w:strike/>
                  <w:sz w:val="20"/>
                  <w:szCs w:val="20"/>
                </w:rPr>
                <m:t xml:space="preserve">Якщо </m:t>
              </m:r>
              <m:sSubSup>
                <m:sSubSupPr>
                  <m:ctrlPr>
                    <w:rPr>
                      <w:rFonts w:ascii="Cambria Math" w:hAnsi="Cambria Math"/>
                      <w:b/>
                      <w:i/>
                      <w:strike/>
                      <w:sz w:val="20"/>
                      <w:szCs w:val="20"/>
                    </w:rPr>
                  </m:ctrlPr>
                </m:sSubSupPr>
                <m:e>
                  <m:r>
                    <m:rPr>
                      <m:sty m:val="bi"/>
                    </m:rPr>
                    <w:rPr>
                      <w:rFonts w:ascii="Cambria Math" w:hAnsi="Cambria Math"/>
                      <w:strike/>
                      <w:sz w:val="20"/>
                      <w:szCs w:val="20"/>
                    </w:rPr>
                    <m:t>I</m:t>
                  </m:r>
                </m:e>
                <m:sub>
                  <m:r>
                    <m:rPr>
                      <m:sty m:val="bi"/>
                    </m:rPr>
                    <w:rPr>
                      <w:rFonts w:ascii="Cambria Math" w:hAnsi="Cambria Math"/>
                      <w:strike/>
                      <w:sz w:val="20"/>
                      <w:szCs w:val="20"/>
                    </w:rPr>
                    <m:t>рсt-2</m:t>
                  </m:r>
                </m:sub>
                <m:sup>
                  <m:r>
                    <m:rPr>
                      <m:sty m:val="bi"/>
                    </m:rPr>
                    <w:rPr>
                      <w:rFonts w:ascii="Cambria Math" w:hAnsi="Cambria Math"/>
                      <w:strike/>
                      <w:sz w:val="20"/>
                      <w:szCs w:val="20"/>
                    </w:rPr>
                    <m:t>ф</m:t>
                  </m:r>
                </m:sup>
              </m:sSubSup>
              <m:r>
                <m:rPr>
                  <m:sty m:val="bi"/>
                </m:rPr>
                <w:rPr>
                  <w:rFonts w:ascii="Cambria Math" w:hAnsi="Cambria Math"/>
                  <w:strike/>
                  <w:sz w:val="20"/>
                  <w:szCs w:val="20"/>
                </w:rPr>
                <m:t xml:space="preserve">- </m:t>
              </m:r>
              <m:sSubSup>
                <m:sSubSupPr>
                  <m:ctrlPr>
                    <w:rPr>
                      <w:rFonts w:ascii="Cambria Math" w:hAnsi="Cambria Math"/>
                      <w:b/>
                      <w:i/>
                      <w:strike/>
                      <w:sz w:val="20"/>
                      <w:szCs w:val="20"/>
                    </w:rPr>
                  </m:ctrlPr>
                </m:sSubSupPr>
                <m:e>
                  <m:r>
                    <m:rPr>
                      <m:sty m:val="bi"/>
                    </m:rPr>
                    <w:rPr>
                      <w:rFonts w:ascii="Cambria Math" w:hAnsi="Cambria Math"/>
                      <w:strike/>
                      <w:sz w:val="20"/>
                      <w:szCs w:val="20"/>
                    </w:rPr>
                    <m:t>I</m:t>
                  </m:r>
                </m:e>
                <m:sub>
                  <m:r>
                    <m:rPr>
                      <m:sty m:val="bi"/>
                    </m:rPr>
                    <w:rPr>
                      <w:rFonts w:ascii="Cambria Math" w:hAnsi="Cambria Math"/>
                      <w:strike/>
                      <w:sz w:val="20"/>
                      <w:szCs w:val="20"/>
                    </w:rPr>
                    <m:t>рсt-2</m:t>
                  </m:r>
                </m:sub>
                <m:sup>
                  <m:r>
                    <m:rPr>
                      <m:sty m:val="bi"/>
                    </m:rPr>
                    <w:rPr>
                      <w:rFonts w:ascii="Cambria Math" w:hAnsi="Cambria Math"/>
                      <w:strike/>
                      <w:sz w:val="20"/>
                      <w:szCs w:val="20"/>
                    </w:rPr>
                    <m:t>ц</m:t>
                  </m:r>
                </m:sup>
              </m:sSubSup>
              <m:r>
                <m:rPr>
                  <m:sty m:val="bi"/>
                </m:rPr>
                <w:rPr>
                  <w:rFonts w:ascii="Cambria Math" w:hAnsi="Cambria Math"/>
                  <w:strike/>
                  <w:sz w:val="20"/>
                  <w:szCs w:val="20"/>
                </w:rPr>
                <m:t xml:space="preserve">&gt;0, то </m:t>
              </m:r>
              <m:sSub>
                <m:sSubPr>
                  <m:ctrlPr>
                    <w:rPr>
                      <w:rFonts w:ascii="Cambria Math" w:hAnsi="Cambria Math"/>
                      <w:b/>
                      <w:i/>
                      <w:strike/>
                      <w:sz w:val="20"/>
                      <w:szCs w:val="20"/>
                    </w:rPr>
                  </m:ctrlPr>
                </m:sSubPr>
                <m:e>
                  <m:r>
                    <m:rPr>
                      <m:sty m:val="bi"/>
                    </m:rPr>
                    <w:rPr>
                      <w:rFonts w:ascii="Cambria Math" w:hAnsi="Cambria Math"/>
                      <w:strike/>
                      <w:sz w:val="20"/>
                      <w:szCs w:val="20"/>
                    </w:rPr>
                    <m:t>КЯ</m:t>
                  </m:r>
                </m:e>
                <m:sub>
                  <m:r>
                    <m:rPr>
                      <m:sty m:val="bi"/>
                    </m:rPr>
                    <w:rPr>
                      <w:rFonts w:ascii="Cambria Math" w:hAnsi="Cambria Math"/>
                      <w:strike/>
                      <w:sz w:val="20"/>
                      <w:szCs w:val="20"/>
                    </w:rPr>
                    <m:t>рсt</m:t>
                  </m:r>
                </m:sub>
              </m:sSub>
              <m:r>
                <m:rPr>
                  <m:sty m:val="bi"/>
                </m:rPr>
                <w:rPr>
                  <w:rFonts w:ascii="Cambria Math" w:hAnsi="Cambria Math"/>
                  <w:strike/>
                  <w:sz w:val="20"/>
                  <w:szCs w:val="20"/>
                </w:rPr>
                <m:t xml:space="preserve">=0;      </m:t>
              </m:r>
            </m:oMath>
            <w:r w:rsidRPr="005A615E">
              <w:rPr>
                <w:rFonts w:ascii="Times New Roman" w:eastAsiaTheme="minorEastAsia" w:hAnsi="Times New Roman"/>
                <w:b/>
                <w:strike/>
                <w:sz w:val="20"/>
                <w:szCs w:val="20"/>
              </w:rPr>
              <w:t>(48)</w:t>
            </w:r>
          </w:p>
          <w:p w:rsidR="00CF2AC1" w:rsidRPr="005A615E" w:rsidRDefault="00CF2AC1" w:rsidP="00CF2AC1">
            <w:pPr>
              <w:ind w:firstLine="173"/>
              <w:contextualSpacing/>
              <w:jc w:val="both"/>
              <w:rPr>
                <w:rFonts w:ascii="Times New Roman" w:hAnsi="Times New Roman"/>
                <w:b/>
                <w:strike/>
                <w:sz w:val="12"/>
                <w:szCs w:val="12"/>
              </w:rPr>
            </w:pPr>
          </w:p>
          <w:p w:rsidR="00CF2AC1" w:rsidRPr="005A615E" w:rsidRDefault="00CF2AC1" w:rsidP="00CF2AC1">
            <w:pPr>
              <w:ind w:firstLine="173"/>
              <w:contextualSpacing/>
              <w:jc w:val="both"/>
              <w:rPr>
                <w:rFonts w:ascii="Times New Roman" w:hAnsi="Times New Roman"/>
                <w:b/>
                <w:strike/>
              </w:rPr>
            </w:pPr>
            <w:r w:rsidRPr="005A615E">
              <w:rPr>
                <w:rFonts w:ascii="Times New Roman" w:hAnsi="Times New Roman"/>
                <w:b/>
                <w:strike/>
              </w:rPr>
              <w:t xml:space="preserve">7) індекс відсотка втрачених у черзі дзвінків кол-центру </w:t>
            </w:r>
            <m:oMath>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вдзt</m:t>
                  </m:r>
                </m:sub>
              </m:sSub>
            </m:oMath>
            <w:r w:rsidRPr="005A615E">
              <w:rPr>
                <w:rFonts w:ascii="Times New Roman" w:hAnsi="Times New Roman"/>
                <w:b/>
                <w:strike/>
              </w:rPr>
              <w:t>), на рік t визначається за формулою</w:t>
            </w:r>
          </w:p>
          <w:p w:rsidR="00CF2AC1" w:rsidRPr="005A615E" w:rsidRDefault="00CF2AC1" w:rsidP="00CF2AC1">
            <w:pPr>
              <w:ind w:firstLine="709"/>
              <w:jc w:val="both"/>
              <w:rPr>
                <w:rFonts w:ascii="Times New Roman" w:hAnsi="Times New Roman"/>
                <w:b/>
                <w:strike/>
                <w:sz w:val="12"/>
                <w:szCs w:val="12"/>
              </w:rPr>
            </w:pPr>
          </w:p>
          <w:p w:rsidR="00CF2AC1" w:rsidRPr="005A615E" w:rsidRDefault="000D13C5" w:rsidP="00CF2AC1">
            <w:pPr>
              <w:contextualSpacing/>
              <w:rPr>
                <w:rFonts w:ascii="Times New Roman" w:hAnsi="Times New Roman"/>
                <w:strike/>
                <w:sz w:val="20"/>
                <w:szCs w:val="20"/>
              </w:rPr>
            </w:pPr>
            <m:oMath>
              <m:sSub>
                <m:sSubPr>
                  <m:ctrlPr>
                    <w:rPr>
                      <w:rFonts w:ascii="Cambria Math" w:hAnsi="Cambria Math"/>
                      <w:i/>
                      <w:strike/>
                      <w:sz w:val="20"/>
                      <w:szCs w:val="20"/>
                    </w:rPr>
                  </m:ctrlPr>
                </m:sSubPr>
                <m:e>
                  <m:r>
                    <w:rPr>
                      <w:rFonts w:ascii="Cambria Math" w:hAnsi="Cambria Math"/>
                      <w:strike/>
                      <w:sz w:val="20"/>
                      <w:szCs w:val="20"/>
                    </w:rPr>
                    <m:t>КЯ</m:t>
                  </m:r>
                </m:e>
                <m:sub>
                  <m:r>
                    <w:rPr>
                      <w:rFonts w:ascii="Cambria Math" w:hAnsi="Cambria Math"/>
                      <w:strike/>
                      <w:sz w:val="20"/>
                      <w:szCs w:val="20"/>
                    </w:rPr>
                    <m:t>вдз</m:t>
                  </m:r>
                  <m:r>
                    <w:rPr>
                      <w:rFonts w:ascii="Cambria Math" w:hAnsi="Cambria Math"/>
                      <w:strike/>
                      <w:sz w:val="20"/>
                      <w:szCs w:val="20"/>
                      <w:lang w:val="en-US"/>
                    </w:rPr>
                    <m:t>t</m:t>
                  </m:r>
                </m:sub>
              </m:sSub>
              <m:r>
                <w:rPr>
                  <w:rFonts w:ascii="Cambria Math" w:hAnsi="Cambria Math"/>
                  <w:strike/>
                  <w:sz w:val="20"/>
                  <w:szCs w:val="20"/>
                </w:rPr>
                <m:t>=0,0005*</m:t>
              </m:r>
              <m:d>
                <m:dPr>
                  <m:ctrlPr>
                    <w:rPr>
                      <w:rFonts w:ascii="Cambria Math" w:hAnsi="Cambria Math"/>
                      <w:i/>
                      <w:strike/>
                      <w:sz w:val="20"/>
                      <w:szCs w:val="20"/>
                    </w:rPr>
                  </m:ctrlPr>
                </m:dPr>
                <m:e>
                  <m:sSubSup>
                    <m:sSubSupPr>
                      <m:ctrlPr>
                        <w:rPr>
                          <w:rFonts w:ascii="Cambria Math" w:hAnsi="Cambria Math"/>
                          <w:i/>
                          <w:strike/>
                          <w:sz w:val="20"/>
                          <w:szCs w:val="20"/>
                        </w:rPr>
                      </m:ctrlPr>
                    </m:sSubSupPr>
                    <m:e>
                      <m:r>
                        <w:rPr>
                          <w:rFonts w:ascii="Cambria Math" w:hAnsi="Cambria Math"/>
                          <w:strike/>
                          <w:sz w:val="20"/>
                          <w:szCs w:val="20"/>
                          <w:lang w:val="en-US"/>
                        </w:rPr>
                        <m:t>I</m:t>
                      </m:r>
                    </m:e>
                    <m:sub>
                      <m:r>
                        <w:rPr>
                          <w:rFonts w:ascii="Cambria Math" w:hAnsi="Cambria Math"/>
                          <w:strike/>
                          <w:sz w:val="20"/>
                          <w:szCs w:val="20"/>
                        </w:rPr>
                        <m:t>вд</m:t>
                      </m:r>
                      <m:r>
                        <w:rPr>
                          <w:rFonts w:ascii="Cambria Math" w:hAnsi="Cambria Math"/>
                          <w:strike/>
                          <w:sz w:val="20"/>
                          <w:szCs w:val="20"/>
                          <w:lang w:val="en-US"/>
                        </w:rPr>
                        <m:t>t</m:t>
                      </m:r>
                      <m:r>
                        <w:rPr>
                          <w:rFonts w:ascii="Cambria Math" w:hAnsi="Cambria Math"/>
                          <w:strike/>
                          <w:sz w:val="20"/>
                          <w:szCs w:val="20"/>
                        </w:rPr>
                        <m:t>-2</m:t>
                      </m:r>
                    </m:sub>
                    <m:sup>
                      <m:r>
                        <w:rPr>
                          <w:rFonts w:ascii="Cambria Math" w:hAnsi="Cambria Math"/>
                          <w:strike/>
                          <w:sz w:val="20"/>
                          <w:szCs w:val="20"/>
                        </w:rPr>
                        <m:t>ц</m:t>
                      </m:r>
                    </m:sup>
                  </m:sSubSup>
                  <m:r>
                    <w:rPr>
                      <w:rFonts w:ascii="Cambria Math" w:hAnsi="Cambria Math"/>
                      <w:strike/>
                      <w:sz w:val="20"/>
                      <w:szCs w:val="20"/>
                    </w:rPr>
                    <m:t>-</m:t>
                  </m:r>
                  <m:sSubSup>
                    <m:sSubSupPr>
                      <m:ctrlPr>
                        <w:rPr>
                          <w:rFonts w:ascii="Cambria Math" w:hAnsi="Cambria Math"/>
                          <w:i/>
                          <w:strike/>
                          <w:sz w:val="20"/>
                          <w:szCs w:val="20"/>
                        </w:rPr>
                      </m:ctrlPr>
                    </m:sSubSupPr>
                    <m:e>
                      <m:r>
                        <w:rPr>
                          <w:rFonts w:ascii="Cambria Math" w:hAnsi="Cambria Math"/>
                          <w:strike/>
                          <w:sz w:val="20"/>
                          <w:szCs w:val="20"/>
                          <w:lang w:val="en-US"/>
                        </w:rPr>
                        <m:t>I</m:t>
                      </m:r>
                    </m:e>
                    <m:sub>
                      <m:r>
                        <w:rPr>
                          <w:rFonts w:ascii="Cambria Math" w:hAnsi="Cambria Math"/>
                          <w:strike/>
                          <w:sz w:val="20"/>
                          <w:szCs w:val="20"/>
                        </w:rPr>
                        <m:t>вд</m:t>
                      </m:r>
                      <m:r>
                        <w:rPr>
                          <w:rFonts w:ascii="Cambria Math" w:hAnsi="Cambria Math"/>
                          <w:strike/>
                          <w:sz w:val="20"/>
                          <w:szCs w:val="20"/>
                          <w:lang w:val="en-US"/>
                        </w:rPr>
                        <m:t>t</m:t>
                      </m:r>
                      <m:r>
                        <w:rPr>
                          <w:rFonts w:ascii="Cambria Math" w:hAnsi="Cambria Math"/>
                          <w:strike/>
                          <w:sz w:val="20"/>
                          <w:szCs w:val="20"/>
                        </w:rPr>
                        <m:t>-2</m:t>
                      </m:r>
                    </m:sub>
                    <m:sup>
                      <m:r>
                        <w:rPr>
                          <w:rFonts w:ascii="Cambria Math" w:hAnsi="Cambria Math"/>
                          <w:strike/>
                          <w:sz w:val="20"/>
                          <w:szCs w:val="20"/>
                        </w:rPr>
                        <m:t>ф</m:t>
                      </m:r>
                    </m:sup>
                  </m:sSubSup>
                </m:e>
              </m:d>
              <m:r>
                <w:rPr>
                  <w:rFonts w:ascii="Cambria Math" w:hAnsi="Cambria Math"/>
                  <w:strike/>
                  <w:sz w:val="20"/>
                  <w:szCs w:val="20"/>
                </w:rPr>
                <m:t>*</m:t>
              </m:r>
              <m:sSubSup>
                <m:sSubSupPr>
                  <m:ctrlPr>
                    <w:rPr>
                      <w:rFonts w:ascii="Cambria Math" w:hAnsi="Cambria Math"/>
                      <w:i/>
                      <w:strike/>
                      <w:sz w:val="20"/>
                      <w:szCs w:val="20"/>
                    </w:rPr>
                  </m:ctrlPr>
                </m:sSubSupPr>
                <m:e>
                  <m:r>
                    <w:rPr>
                      <w:rFonts w:ascii="Cambria Math" w:hAnsi="Cambria Math"/>
                      <w:strike/>
                      <w:sz w:val="20"/>
                      <w:szCs w:val="20"/>
                    </w:rPr>
                    <m:t>НД</m:t>
                  </m:r>
                </m:e>
                <m:sub>
                  <m:r>
                    <w:rPr>
                      <w:rFonts w:ascii="Cambria Math" w:hAnsi="Cambria Math"/>
                      <w:strike/>
                      <w:sz w:val="20"/>
                      <w:szCs w:val="20"/>
                      <w:lang w:val="en-US"/>
                    </w:rPr>
                    <m:t>t</m:t>
                  </m:r>
                  <m:r>
                    <w:rPr>
                      <w:rFonts w:ascii="Cambria Math" w:hAnsi="Cambria Math"/>
                      <w:strike/>
                      <w:sz w:val="20"/>
                      <w:szCs w:val="20"/>
                    </w:rPr>
                    <m:t>-2</m:t>
                  </m:r>
                </m:sub>
                <m:sup>
                  <m:r>
                    <w:rPr>
                      <w:rFonts w:ascii="Cambria Math" w:hAnsi="Cambria Math"/>
                      <w:strike/>
                      <w:sz w:val="20"/>
                      <w:szCs w:val="20"/>
                      <w:lang w:val="en-US"/>
                    </w:rPr>
                    <m:t>n</m:t>
                  </m:r>
                </m:sup>
              </m:sSubSup>
              <m:r>
                <w:rPr>
                  <w:rFonts w:ascii="Cambria Math" w:hAnsi="Cambria Math"/>
                  <w:strike/>
                  <w:sz w:val="20"/>
                  <w:szCs w:val="20"/>
                </w:rPr>
                <m:t>, тис. грн</m:t>
              </m:r>
            </m:oMath>
            <w:r w:rsidR="00CF2AC1" w:rsidRPr="005A615E">
              <w:rPr>
                <w:rFonts w:ascii="Times New Roman" w:hAnsi="Times New Roman"/>
                <w:strike/>
                <w:sz w:val="20"/>
                <w:szCs w:val="20"/>
              </w:rPr>
              <w:t xml:space="preserve">   (49)</w:t>
            </w:r>
          </w:p>
          <w:p w:rsidR="00CF2AC1" w:rsidRPr="005A615E" w:rsidRDefault="00CF2AC1" w:rsidP="00CF2AC1">
            <w:pPr>
              <w:contextualSpacing/>
              <w:rPr>
                <w:rFonts w:ascii="Times New Roman" w:hAnsi="Times New Roman"/>
                <w:strike/>
                <w:sz w:val="12"/>
                <w:szCs w:val="12"/>
              </w:rPr>
            </w:pPr>
          </w:p>
          <w:p w:rsidR="00CF2AC1" w:rsidRPr="005A615E" w:rsidRDefault="000D13C5" w:rsidP="00CF2AC1">
            <w:pPr>
              <w:contextualSpacing/>
              <w:rPr>
                <w:rFonts w:ascii="Times New Roman" w:hAnsi="Times New Roman"/>
                <w:strike/>
                <w:sz w:val="20"/>
                <w:szCs w:val="20"/>
              </w:rPr>
            </w:pPr>
            <m:oMath>
              <m:sSub>
                <m:sSubPr>
                  <m:ctrlPr>
                    <w:rPr>
                      <w:rFonts w:ascii="Cambria Math" w:hAnsi="Cambria Math"/>
                      <w:i/>
                      <w:strike/>
                      <w:sz w:val="20"/>
                      <w:szCs w:val="20"/>
                    </w:rPr>
                  </m:ctrlPr>
                </m:sSubPr>
                <m:e>
                  <m:r>
                    <w:rPr>
                      <w:rFonts w:ascii="Cambria Math" w:hAnsi="Cambria Math"/>
                      <w:strike/>
                      <w:sz w:val="20"/>
                      <w:szCs w:val="20"/>
                    </w:rPr>
                    <m:t>КЯ</m:t>
                  </m:r>
                </m:e>
                <m:sub>
                  <m:r>
                    <w:rPr>
                      <w:rFonts w:ascii="Cambria Math" w:hAnsi="Cambria Math"/>
                      <w:strike/>
                      <w:sz w:val="20"/>
                      <w:szCs w:val="20"/>
                    </w:rPr>
                    <m:t>вдз</m:t>
                  </m:r>
                  <m:r>
                    <w:rPr>
                      <w:rFonts w:ascii="Cambria Math" w:hAnsi="Cambria Math"/>
                      <w:strike/>
                      <w:sz w:val="20"/>
                      <w:szCs w:val="20"/>
                      <w:lang w:val="en-US"/>
                    </w:rPr>
                    <m:t>t</m:t>
                  </m:r>
                </m:sub>
              </m:sSub>
              <m:r>
                <w:rPr>
                  <w:rFonts w:ascii="Cambria Math" w:hAnsi="Cambria Math"/>
                  <w:strike/>
                  <w:sz w:val="20"/>
                  <w:szCs w:val="20"/>
                </w:rPr>
                <m:t xml:space="preserve">˂-0,005 × </m:t>
              </m:r>
              <m:sSubSup>
                <m:sSubSupPr>
                  <m:ctrlPr>
                    <w:rPr>
                      <w:rFonts w:ascii="Cambria Math" w:hAnsi="Cambria Math"/>
                      <w:i/>
                      <w:strike/>
                      <w:sz w:val="20"/>
                      <w:szCs w:val="20"/>
                    </w:rPr>
                  </m:ctrlPr>
                </m:sSubSupPr>
                <m:e>
                  <m:r>
                    <w:rPr>
                      <w:rFonts w:ascii="Cambria Math" w:hAnsi="Cambria Math"/>
                      <w:strike/>
                      <w:sz w:val="20"/>
                      <w:szCs w:val="20"/>
                    </w:rPr>
                    <m:t>НД</m:t>
                  </m:r>
                </m:e>
                <m:sub>
                  <m:r>
                    <w:rPr>
                      <w:rFonts w:ascii="Cambria Math" w:hAnsi="Cambria Math"/>
                      <w:strike/>
                      <w:sz w:val="20"/>
                      <w:szCs w:val="20"/>
                      <w:lang w:val="en-US"/>
                    </w:rPr>
                    <m:t>t</m:t>
                  </m:r>
                  <m:r>
                    <w:rPr>
                      <w:rFonts w:ascii="Cambria Math" w:hAnsi="Cambria Math"/>
                      <w:strike/>
                      <w:sz w:val="20"/>
                      <w:szCs w:val="20"/>
                    </w:rPr>
                    <m:t>-2</m:t>
                  </m:r>
                </m:sub>
                <m:sup>
                  <m:r>
                    <w:rPr>
                      <w:rFonts w:ascii="Cambria Math" w:hAnsi="Cambria Math"/>
                      <w:strike/>
                      <w:sz w:val="20"/>
                      <w:szCs w:val="20"/>
                      <w:lang w:val="en-US"/>
                    </w:rPr>
                    <m:t>n</m:t>
                  </m:r>
                </m:sup>
              </m:sSubSup>
            </m:oMath>
            <w:r w:rsidR="00CF2AC1" w:rsidRPr="005A615E">
              <w:rPr>
                <w:rFonts w:ascii="Times New Roman" w:hAnsi="Times New Roman"/>
                <w:strike/>
                <w:sz w:val="20"/>
                <w:szCs w:val="20"/>
              </w:rPr>
              <w:t xml:space="preserve"> , то </w:t>
            </w:r>
            <m:oMath>
              <m:sSub>
                <m:sSubPr>
                  <m:ctrlPr>
                    <w:rPr>
                      <w:rFonts w:ascii="Cambria Math" w:hAnsi="Cambria Math"/>
                      <w:i/>
                      <w:strike/>
                      <w:sz w:val="20"/>
                      <w:szCs w:val="20"/>
                    </w:rPr>
                  </m:ctrlPr>
                </m:sSubPr>
                <m:e>
                  <m:r>
                    <w:rPr>
                      <w:rFonts w:ascii="Cambria Math" w:hAnsi="Cambria Math"/>
                      <w:strike/>
                      <w:sz w:val="20"/>
                      <w:szCs w:val="20"/>
                    </w:rPr>
                    <m:t>КЯ</m:t>
                  </m:r>
                </m:e>
                <m:sub>
                  <m:r>
                    <w:rPr>
                      <w:rFonts w:ascii="Cambria Math" w:hAnsi="Cambria Math"/>
                      <w:strike/>
                      <w:sz w:val="20"/>
                      <w:szCs w:val="20"/>
                    </w:rPr>
                    <m:t>вдз</m:t>
                  </m:r>
                  <m:r>
                    <w:rPr>
                      <w:rFonts w:ascii="Cambria Math" w:hAnsi="Cambria Math"/>
                      <w:strike/>
                      <w:sz w:val="20"/>
                      <w:szCs w:val="20"/>
                      <w:lang w:val="en-US"/>
                    </w:rPr>
                    <m:t>t</m:t>
                  </m:r>
                </m:sub>
              </m:sSub>
              <m:r>
                <w:rPr>
                  <w:rFonts w:ascii="Cambria Math" w:hAnsi="Cambria Math"/>
                  <w:strike/>
                  <w:sz w:val="20"/>
                  <w:szCs w:val="20"/>
                </w:rPr>
                <m:t xml:space="preserve">=-0,005 × </m:t>
              </m:r>
              <m:sSubSup>
                <m:sSubSupPr>
                  <m:ctrlPr>
                    <w:rPr>
                      <w:rFonts w:ascii="Cambria Math" w:hAnsi="Cambria Math"/>
                      <w:i/>
                      <w:strike/>
                      <w:sz w:val="20"/>
                      <w:szCs w:val="20"/>
                    </w:rPr>
                  </m:ctrlPr>
                </m:sSubSupPr>
                <m:e>
                  <m:r>
                    <w:rPr>
                      <w:rFonts w:ascii="Cambria Math" w:hAnsi="Cambria Math"/>
                      <w:strike/>
                      <w:sz w:val="20"/>
                      <w:szCs w:val="20"/>
                    </w:rPr>
                    <m:t>НД</m:t>
                  </m:r>
                </m:e>
                <m:sub>
                  <m:r>
                    <w:rPr>
                      <w:rFonts w:ascii="Cambria Math" w:hAnsi="Cambria Math"/>
                      <w:strike/>
                      <w:sz w:val="20"/>
                      <w:szCs w:val="20"/>
                      <w:lang w:val="en-US"/>
                    </w:rPr>
                    <m:t>t</m:t>
                  </m:r>
                  <m:r>
                    <w:rPr>
                      <w:rFonts w:ascii="Cambria Math" w:hAnsi="Cambria Math"/>
                      <w:strike/>
                      <w:sz w:val="20"/>
                      <w:szCs w:val="20"/>
                    </w:rPr>
                    <m:t>-2</m:t>
                  </m:r>
                </m:sub>
                <m:sup>
                  <m:r>
                    <w:rPr>
                      <w:rFonts w:ascii="Cambria Math" w:hAnsi="Cambria Math"/>
                      <w:strike/>
                      <w:sz w:val="20"/>
                      <w:szCs w:val="20"/>
                      <w:lang w:val="en-US"/>
                    </w:rPr>
                    <m:t>n</m:t>
                  </m:r>
                </m:sup>
              </m:sSubSup>
            </m:oMath>
            <w:r w:rsidR="00CF2AC1" w:rsidRPr="005A615E">
              <w:rPr>
                <w:rFonts w:ascii="Times New Roman" w:eastAsiaTheme="minorEastAsia" w:hAnsi="Times New Roman"/>
                <w:strike/>
                <w:sz w:val="20"/>
                <w:szCs w:val="20"/>
              </w:rPr>
              <w:t xml:space="preserve">        (50)</w:t>
            </w:r>
          </w:p>
          <w:p w:rsidR="00CF2AC1" w:rsidRPr="005A615E" w:rsidRDefault="00CF2AC1" w:rsidP="00CF2AC1">
            <w:pPr>
              <w:ind w:firstLine="173"/>
              <w:contextualSpacing/>
              <w:jc w:val="both"/>
              <w:rPr>
                <w:rFonts w:ascii="Times New Roman" w:hAnsi="Times New Roman"/>
                <w:b/>
                <w:strike/>
              </w:rPr>
            </w:pPr>
            <w:r w:rsidRPr="005A615E">
              <w:rPr>
                <w:rFonts w:ascii="Times New Roman" w:eastAsiaTheme="minorEastAsia" w:hAnsi="Times New Roman"/>
                <w:b/>
                <w:strike/>
              </w:rPr>
              <w:t xml:space="preserve">де </w:t>
            </w: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вдt-2</m:t>
                  </m:r>
                </m:sub>
                <m:sup>
                  <m:r>
                    <m:rPr>
                      <m:sty m:val="bi"/>
                    </m:rPr>
                    <w:rPr>
                      <w:rFonts w:ascii="Cambria Math" w:hAnsi="Cambria Math"/>
                      <w:strike/>
                    </w:rPr>
                    <m:t>ц</m:t>
                  </m:r>
                </m:sup>
              </m:sSubSup>
            </m:oMath>
            <w:r w:rsidRPr="005A615E">
              <w:rPr>
                <w:rFonts w:ascii="Times New Roman" w:hAnsi="Times New Roman"/>
                <w:b/>
                <w:strike/>
              </w:rPr>
              <w:t xml:space="preserve"> – цільовий індекс відсотка втрачених у черзі дзвінків кол-центру – </w:t>
            </w:r>
            <w:r w:rsidRPr="005A615E">
              <w:rPr>
                <w:rFonts w:ascii="Times New Roman" w:hAnsi="Times New Roman"/>
                <w:b/>
                <w:strike/>
                <w:shd w:val="clear" w:color="auto" w:fill="FFFFFF"/>
              </w:rPr>
              <w:t>не більше 10 %;</w:t>
            </w:r>
          </w:p>
          <w:p w:rsidR="00CF2AC1" w:rsidRPr="005A615E" w:rsidRDefault="000D13C5" w:rsidP="00CF2AC1">
            <w:pPr>
              <w:ind w:firstLine="173"/>
              <w:contextualSpacing/>
              <w:jc w:val="both"/>
              <w:rPr>
                <w:rFonts w:ascii="Times New Roman" w:hAnsi="Times New Roman"/>
                <w:b/>
                <w:strike/>
              </w:rPr>
            </w:pPr>
            <m:oMath>
              <m:sSubSup>
                <m:sSubSupPr>
                  <m:ctrlPr>
                    <w:rPr>
                      <w:rFonts w:ascii="Cambria Math" w:hAnsi="Cambria Math"/>
                      <w:b/>
                      <w:i/>
                      <w:strike/>
                    </w:rPr>
                  </m:ctrlPr>
                </m:sSubSupPr>
                <m:e>
                  <m:r>
                    <m:rPr>
                      <m:sty m:val="bi"/>
                    </m:rPr>
                    <w:rPr>
                      <w:rFonts w:ascii="Cambria Math" w:hAnsi="Cambria Math"/>
                      <w:strike/>
                    </w:rPr>
                    <m:t>I</m:t>
                  </m:r>
                </m:e>
                <m:sub>
                  <m:r>
                    <m:rPr>
                      <m:sty m:val="bi"/>
                    </m:rPr>
                    <w:rPr>
                      <w:rFonts w:ascii="Cambria Math" w:hAnsi="Cambria Math"/>
                      <w:strike/>
                    </w:rPr>
                    <m:t>вдt-2</m:t>
                  </m:r>
                </m:sub>
                <m:sup>
                  <m:r>
                    <m:rPr>
                      <m:sty m:val="bi"/>
                    </m:rPr>
                    <w:rPr>
                      <w:rFonts w:ascii="Cambria Math" w:hAnsi="Cambria Math"/>
                      <w:strike/>
                    </w:rPr>
                    <m:t>ф</m:t>
                  </m:r>
                </m:sup>
              </m:sSubSup>
            </m:oMath>
            <w:r w:rsidR="00CF2AC1" w:rsidRPr="005A615E">
              <w:rPr>
                <w:rFonts w:ascii="Times New Roman" w:hAnsi="Times New Roman"/>
                <w:b/>
                <w:strike/>
              </w:rPr>
              <w:t> – фактичний індекс відсотка втрачених у черзі дзвінків кол-центру у році t-2, визначається за даними додатка 4 до Мінімальних вимог до якості обслуговування споживачів електричної енергії кол-центрами, затверджених постановою НКРЕКП від 12 червня 2018 року № 373,</w:t>
            </w:r>
          </w:p>
          <w:p w:rsidR="00CF2AC1" w:rsidRPr="005A615E" w:rsidRDefault="00CF2AC1" w:rsidP="00CF2AC1">
            <w:pPr>
              <w:ind w:firstLine="709"/>
              <w:jc w:val="both"/>
              <w:rPr>
                <w:rFonts w:ascii="Times New Roman" w:hAnsi="Times New Roman"/>
                <w:b/>
                <w:strike/>
              </w:rPr>
            </w:pPr>
            <m:oMath>
              <m:r>
                <m:rPr>
                  <m:sty m:val="bi"/>
                </m:rPr>
                <w:rPr>
                  <w:rFonts w:ascii="Cambria Math" w:hAnsi="Cambria Math"/>
                  <w:strike/>
                </w:rPr>
                <m:t xml:space="preserve">Якщо </m:t>
              </m:r>
              <m:sSubSup>
                <m:sSubSupPr>
                  <m:ctrlPr>
                    <w:rPr>
                      <w:rFonts w:ascii="Cambria Math" w:hAnsi="Cambria Math"/>
                      <w:b/>
                      <w:i/>
                      <w:strike/>
                    </w:rPr>
                  </m:ctrlPr>
                </m:sSubSupPr>
                <m:e>
                  <m:r>
                    <m:rPr>
                      <m:sty m:val="bi"/>
                    </m:rPr>
                    <w:rPr>
                      <w:rFonts w:ascii="Cambria Math" w:hAnsi="Cambria Math"/>
                      <w:strike/>
                      <w:lang w:val="en-US"/>
                    </w:rPr>
                    <m:t>I</m:t>
                  </m:r>
                </m:e>
                <m:sub>
                  <m:r>
                    <m:rPr>
                      <m:sty m:val="bi"/>
                    </m:rPr>
                    <w:rPr>
                      <w:rFonts w:ascii="Cambria Math" w:hAnsi="Cambria Math"/>
                      <w:strike/>
                    </w:rPr>
                    <m:t>вд</m:t>
                  </m:r>
                  <m:r>
                    <m:rPr>
                      <m:sty m:val="bi"/>
                    </m:rPr>
                    <w:rPr>
                      <w:rFonts w:ascii="Cambria Math" w:hAnsi="Cambria Math"/>
                      <w:strike/>
                      <w:lang w:val="en-US"/>
                    </w:rPr>
                    <m:t>t</m:t>
                  </m:r>
                  <m:r>
                    <m:rPr>
                      <m:sty m:val="bi"/>
                    </m:rPr>
                    <w:rPr>
                      <w:rFonts w:ascii="Cambria Math" w:hAnsi="Cambria Math"/>
                      <w:strike/>
                    </w:rPr>
                    <m:t>-2</m:t>
                  </m:r>
                </m:sub>
                <m:sup>
                  <m:r>
                    <m:rPr>
                      <m:sty m:val="bi"/>
                    </m:rPr>
                    <w:rPr>
                      <w:rFonts w:ascii="Cambria Math" w:hAnsi="Cambria Math"/>
                      <w:strike/>
                    </w:rPr>
                    <m:t>ц</m:t>
                  </m:r>
                </m:sup>
              </m:sSubSup>
              <m:r>
                <m:rPr>
                  <m:sty m:val="bi"/>
                </m:rPr>
                <w:rPr>
                  <w:rFonts w:ascii="Cambria Math" w:hAnsi="Cambria Math"/>
                  <w:strike/>
                </w:rPr>
                <m:t xml:space="preserve">- </m:t>
              </m:r>
              <m:sSubSup>
                <m:sSubSupPr>
                  <m:ctrlPr>
                    <w:rPr>
                      <w:rFonts w:ascii="Cambria Math" w:hAnsi="Cambria Math"/>
                      <w:b/>
                      <w:i/>
                      <w:strike/>
                    </w:rPr>
                  </m:ctrlPr>
                </m:sSubSupPr>
                <m:e>
                  <m:r>
                    <m:rPr>
                      <m:sty m:val="bi"/>
                    </m:rPr>
                    <w:rPr>
                      <w:rFonts w:ascii="Cambria Math" w:hAnsi="Cambria Math"/>
                      <w:strike/>
                      <w:lang w:val="en-US"/>
                    </w:rPr>
                    <m:t>I</m:t>
                  </m:r>
                </m:e>
                <m:sub>
                  <m:r>
                    <m:rPr>
                      <m:sty m:val="bi"/>
                    </m:rPr>
                    <w:rPr>
                      <w:rFonts w:ascii="Cambria Math" w:hAnsi="Cambria Math"/>
                      <w:strike/>
                    </w:rPr>
                    <m:t>вд</m:t>
                  </m:r>
                  <m:r>
                    <m:rPr>
                      <m:sty m:val="bi"/>
                    </m:rPr>
                    <w:rPr>
                      <w:rFonts w:ascii="Cambria Math" w:hAnsi="Cambria Math"/>
                      <w:strike/>
                      <w:lang w:val="en-US"/>
                    </w:rPr>
                    <m:t>t</m:t>
                  </m:r>
                  <m:r>
                    <m:rPr>
                      <m:sty m:val="bi"/>
                    </m:rPr>
                    <w:rPr>
                      <w:rFonts w:ascii="Cambria Math" w:hAnsi="Cambria Math"/>
                      <w:strike/>
                    </w:rPr>
                    <m:t>-2</m:t>
                  </m:r>
                </m:sub>
                <m:sup>
                  <m:r>
                    <m:rPr>
                      <m:sty m:val="bi"/>
                    </m:rPr>
                    <w:rPr>
                      <w:rFonts w:ascii="Cambria Math" w:hAnsi="Cambria Math"/>
                      <w:strike/>
                    </w:rPr>
                    <m:t>ф</m:t>
                  </m:r>
                </m:sup>
              </m:sSubSup>
              <m:r>
                <m:rPr>
                  <m:sty m:val="bi"/>
                </m:rPr>
                <w:rPr>
                  <w:rFonts w:ascii="Cambria Math" w:hAnsi="Cambria Math"/>
                  <w:strike/>
                </w:rPr>
                <m:t xml:space="preserve">&gt;0, то </m:t>
              </m:r>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вд</m:t>
                  </m:r>
                  <m:r>
                    <m:rPr>
                      <m:sty m:val="bi"/>
                    </m:rPr>
                    <w:rPr>
                      <w:rFonts w:ascii="Cambria Math" w:hAnsi="Cambria Math"/>
                      <w:strike/>
                      <w:lang w:val="en-US"/>
                    </w:rPr>
                    <m:t>t</m:t>
                  </m:r>
                </m:sub>
              </m:sSub>
              <m:r>
                <m:rPr>
                  <m:sty m:val="bi"/>
                </m:rPr>
                <w:rPr>
                  <w:rFonts w:ascii="Cambria Math" w:hAnsi="Cambria Math"/>
                  <w:strike/>
                </w:rPr>
                <m:t>=0</m:t>
              </m:r>
            </m:oMath>
            <w:r w:rsidRPr="005A615E">
              <w:rPr>
                <w:rFonts w:ascii="Times New Roman" w:eastAsiaTheme="minorEastAsia" w:hAnsi="Times New Roman"/>
                <w:b/>
                <w:strike/>
              </w:rPr>
              <w:t xml:space="preserve"> (51)</w:t>
            </w:r>
          </w:p>
          <w:p w:rsidR="00CF2AC1" w:rsidRPr="005A615E" w:rsidRDefault="00CF2AC1" w:rsidP="00CF2AC1">
            <w:pPr>
              <w:jc w:val="both"/>
              <w:rPr>
                <w:rFonts w:ascii="Times New Roman" w:hAnsi="Times New Roman"/>
              </w:rPr>
            </w:pPr>
          </w:p>
          <w:p w:rsidR="00CF2AC1" w:rsidRPr="005A615E" w:rsidRDefault="00CF2AC1" w:rsidP="00CF2AC1">
            <w:pPr>
              <w:rPr>
                <w:rFonts w:ascii="Times New Roman" w:hAnsi="Times New Roman"/>
                <w:b/>
                <w:i/>
                <w:u w:val="single"/>
              </w:rPr>
            </w:pPr>
            <w:r w:rsidRPr="005A615E">
              <w:rPr>
                <w:rFonts w:ascii="Times New Roman" w:hAnsi="Times New Roman"/>
                <w:b/>
                <w:i/>
                <w:u w:val="single"/>
              </w:rPr>
              <w:t>Обгрунтування</w:t>
            </w:r>
          </w:p>
          <w:p w:rsidR="00CF2AC1" w:rsidRPr="005A615E" w:rsidRDefault="00CF2AC1" w:rsidP="00CF2AC1">
            <w:pPr>
              <w:shd w:val="clear" w:color="auto" w:fill="FFFFFF"/>
              <w:tabs>
                <w:tab w:val="num" w:pos="720"/>
              </w:tabs>
              <w:jc w:val="both"/>
              <w:rPr>
                <w:rFonts w:ascii="Times New Roman" w:hAnsi="Times New Roman"/>
                <w:b/>
                <w:bCs/>
                <w:lang w:eastAsia="uk-UA"/>
              </w:rPr>
            </w:pPr>
            <w:r w:rsidRPr="005A615E">
              <w:rPr>
                <w:rFonts w:ascii="Times New Roman" w:hAnsi="Times New Roman"/>
                <w:b/>
                <w:bCs/>
                <w:lang w:eastAsia="uk-UA"/>
              </w:rPr>
              <w:t>До підпункут 1)</w:t>
            </w:r>
          </w:p>
          <w:p w:rsidR="00CF2AC1" w:rsidRPr="005A615E" w:rsidRDefault="00CF2AC1" w:rsidP="00CF2AC1">
            <w:pPr>
              <w:shd w:val="clear" w:color="auto" w:fill="FFFFFF"/>
              <w:tabs>
                <w:tab w:val="num" w:pos="720"/>
              </w:tabs>
              <w:jc w:val="both"/>
              <w:rPr>
                <w:rFonts w:ascii="Times New Roman" w:hAnsi="Times New Roman"/>
                <w:lang w:eastAsia="uk-UA"/>
              </w:rPr>
            </w:pPr>
            <w:r w:rsidRPr="005A615E">
              <w:rPr>
                <w:rFonts w:ascii="Times New Roman" w:hAnsi="Times New Roman"/>
                <w:bCs/>
                <w:lang w:eastAsia="uk-UA"/>
              </w:rPr>
              <w:t>1.</w:t>
            </w:r>
            <w:r w:rsidRPr="005A615E">
              <w:rPr>
                <w:rFonts w:ascii="Times New Roman" w:hAnsi="Times New Roman"/>
                <w:lang w:eastAsia="uk-UA"/>
              </w:rPr>
              <w:t xml:space="preserve"> Зниження норми доходу на «стару» базу активів з 0,03 до 0,015 відносних одиниць та обнулення норми на нову базу активів  для компаній з Додатка 35 позбавляє підприємство мінімально необхідного фінансового ресурсу.  Згідно з проєктом змін, цільові показники якості послуг (SAIDI/SAIFI) для міських (150 хв) та сільських (300 хв) територій залишаються незмінними та жорсткими. Проте стан мереж без системної реконструкції об'єктивно погіршується під впливом природного зносу та зовнішніх факторів. </w:t>
            </w:r>
          </w:p>
          <w:p w:rsidR="00CF2AC1" w:rsidRPr="005A615E" w:rsidRDefault="00CF2AC1" w:rsidP="00CF2AC1">
            <w:pPr>
              <w:shd w:val="clear" w:color="auto" w:fill="FFFFFF"/>
              <w:tabs>
                <w:tab w:val="num" w:pos="720"/>
              </w:tabs>
              <w:jc w:val="both"/>
              <w:rPr>
                <w:rFonts w:ascii="Times New Roman" w:hAnsi="Times New Roman"/>
                <w:lang w:eastAsia="uk-UA"/>
              </w:rPr>
            </w:pPr>
            <w:r w:rsidRPr="005A615E">
              <w:rPr>
                <w:rFonts w:ascii="Times New Roman" w:hAnsi="Times New Roman"/>
                <w:lang w:eastAsia="uk-UA"/>
              </w:rPr>
              <w:t xml:space="preserve">Виходячи з методики наведеної у постанові, компанії наведені у додатку 35 позбавлені фінансових можливостей виконувати реконструкції мереж, для достягнення поставлених Регулятором задач. Оскільки через урізання фінансування реконструкція ліній та підстанцій стає неможливою, показники надійності електропостачання будуть падати незалежно від зусиль компанії. Коригування доходу (як міра штрафної санкції) має застосовуватися за </w:t>
            </w:r>
            <w:r w:rsidRPr="005A615E">
              <w:rPr>
                <w:rFonts w:ascii="Times New Roman" w:hAnsi="Times New Roman"/>
                <w:i/>
                <w:iCs/>
                <w:lang w:eastAsia="uk-UA"/>
              </w:rPr>
              <w:t>необґрунтоване</w:t>
            </w:r>
            <w:r w:rsidRPr="005A615E">
              <w:rPr>
                <w:rFonts w:ascii="Times New Roman" w:hAnsi="Times New Roman"/>
                <w:lang w:eastAsia="uk-UA"/>
              </w:rPr>
              <w:t xml:space="preserve"> невиконання зобов'язань. У цьому ж випадку невиконання є регуляторними обмеженнями у фінансуванні, тому застосування інструментів коригування у п. 5.20 є неправомірним. </w:t>
            </w: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lang w:eastAsia="uk-UA"/>
              </w:rPr>
              <w:t>Подвійне покарання веде до системної аварійності та колапсу розподілу на території ліцензіата.</w:t>
            </w:r>
          </w:p>
          <w:p w:rsidR="00CF2AC1" w:rsidRPr="005A615E" w:rsidRDefault="00CF2AC1" w:rsidP="00CF2AC1">
            <w:pPr>
              <w:shd w:val="clear" w:color="auto" w:fill="FFFFFF"/>
              <w:tabs>
                <w:tab w:val="num" w:pos="1440"/>
              </w:tabs>
              <w:jc w:val="both"/>
              <w:rPr>
                <w:rFonts w:ascii="Times New Roman" w:hAnsi="Times New Roman"/>
                <w:lang w:eastAsia="uk-UA"/>
              </w:rPr>
            </w:pPr>
            <w:r w:rsidRPr="005A615E">
              <w:rPr>
                <w:rFonts w:ascii="Times New Roman" w:hAnsi="Times New Roman"/>
                <w:lang w:eastAsia="uk-UA"/>
              </w:rPr>
              <w:t xml:space="preserve">Також, для компаній з Додатка 35 встановлюється обов'язок спрямовувати в інвестиційну програму </w:t>
            </w:r>
            <w:r w:rsidRPr="005A615E">
              <w:rPr>
                <w:rFonts w:ascii="Times New Roman" w:hAnsi="Times New Roman"/>
                <w:b/>
                <w:bCs/>
                <w:lang w:eastAsia="uk-UA"/>
              </w:rPr>
              <w:t>не менше ніж 100% прибутку</w:t>
            </w:r>
            <w:r w:rsidRPr="005A615E">
              <w:rPr>
                <w:rFonts w:ascii="Times New Roman" w:hAnsi="Times New Roman"/>
                <w:lang w:eastAsia="uk-UA"/>
              </w:rPr>
              <w:t xml:space="preserve"> на регуляторну базу активів. Тобто весь урізаний прибуток (розрахований за ставкою 0,015 замість 0,03) і так повністю мобілізується на розвиток мереж. Якщо до компанії додатково застосувати коригування (зменшення) доходу за п. 5.20: Обсяг фактичного прибутку впаде ще нижче. Інвестиційна програма отримає ще менше реального фінансових можливостей (навіть при 100% реінвестуванні). Мережі деградуватимуть ще швидше, викликаючи нові штрафи у наступних періодах. Це створює замкнене коло, що веде до втрати платоспроможності компанії та загрожує енергетичній безпеці регіону.</w:t>
            </w:r>
          </w:p>
          <w:p w:rsidR="00CF2AC1" w:rsidRPr="005A615E" w:rsidRDefault="00CF2AC1" w:rsidP="00CF2AC1">
            <w:pPr>
              <w:shd w:val="clear" w:color="auto" w:fill="FFFFFF"/>
              <w:tabs>
                <w:tab w:val="num" w:pos="720"/>
              </w:tabs>
              <w:jc w:val="both"/>
              <w:rPr>
                <w:rFonts w:ascii="Times New Roman" w:hAnsi="Times New Roman"/>
                <w:lang w:eastAsia="uk-UA"/>
              </w:rPr>
            </w:pPr>
            <w:r w:rsidRPr="005A615E">
              <w:rPr>
                <w:rFonts w:ascii="Times New Roman" w:hAnsi="Times New Roman"/>
                <w:bCs/>
                <w:lang w:eastAsia="uk-UA"/>
              </w:rPr>
              <w:t xml:space="preserve">4. </w:t>
            </w:r>
            <w:r w:rsidRPr="005A615E">
              <w:rPr>
                <w:rFonts w:ascii="Times New Roman" w:hAnsi="Times New Roman"/>
                <w:lang w:eastAsia="uk-UA"/>
              </w:rPr>
              <w:t xml:space="preserve">Проєкт постанови передбачає Додаток 34 для прифронтових ОСР, до яких </w:t>
            </w:r>
            <w:r w:rsidRPr="005A615E">
              <w:rPr>
                <w:rFonts w:ascii="Times New Roman" w:hAnsi="Times New Roman"/>
                <w:bCs/>
                <w:lang w:eastAsia="uk-UA"/>
              </w:rPr>
              <w:t>не застосовується</w:t>
            </w:r>
            <w:r w:rsidRPr="005A615E">
              <w:rPr>
                <w:rFonts w:ascii="Times New Roman" w:hAnsi="Times New Roman"/>
                <w:lang w:eastAsia="uk-UA"/>
              </w:rPr>
              <w:t xml:space="preserve"> коригування необхідного доходу за якість послуг. Водночас компанії з Додатка 35 (до яких з 2023 року застосовуються особливі дискримінаційні умови здійснення господарської діяльності) отримують найжорсткіший фінансовий удар: їм і урізають норму доходу, і змушують реінвестувати 100% прибутку, і залишають під загрозою штрафних санкцій. Обмеження фінансування автоматично створює для компаній Додатка 35 такі ж критичні умови існування, як і для компаній Додатка 34. З метою дотримання принципу недискримінації, ОСР з Додатка 35 мають бути повністю звільнені від застосування коригувань доходу за недотримання цільових показників на час дії обмеженого фінансування. </w:t>
            </w:r>
          </w:p>
          <w:p w:rsidR="00CF2AC1" w:rsidRPr="005A615E" w:rsidRDefault="00CF2AC1" w:rsidP="00CF2AC1">
            <w:pPr>
              <w:shd w:val="clear" w:color="auto" w:fill="FFFFFF"/>
              <w:jc w:val="both"/>
              <w:rPr>
                <w:rFonts w:ascii="Times New Roman" w:hAnsi="Times New Roman"/>
                <w:b/>
                <w:lang w:eastAsia="uk-UA"/>
              </w:rPr>
            </w:pPr>
            <w:r w:rsidRPr="005A615E">
              <w:rPr>
                <w:rFonts w:ascii="Times New Roman" w:hAnsi="Times New Roman"/>
                <w:b/>
                <w:lang w:eastAsia="uk-UA"/>
              </w:rPr>
              <w:t xml:space="preserve">До підпункту 2): </w:t>
            </w: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lang w:eastAsia="uk-UA"/>
              </w:rPr>
              <w:t>Аргументи наведені у підпункті 1  та застосування до ліцензіатів із Додатка 35 коригування (зменшення) необхідного доходу за невиконання показників якості та усунення скарг (згідно з п. 5.20) є неправомірним. Вимоги Розділу 13 КСР щодо усунення скарг капітального характеру імперативно вимагають їх фінансування через Інвестиційну програму. Водночас НКРЕКП своїм рішенням суттєво обмежує загальний обсяг фінансування ІП для таких ліцензіатів та встановлює тривалу процедуру її коригування, що унеможливлює дотримання строків КСР.</w:t>
            </w: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lang w:eastAsia="uk-UA"/>
              </w:rPr>
              <w:t>ОСР не може нести фінансову відповідальність у вигляді зменшення тарифного доходу за невиконання зобов'язань, технічне та фінансове забезпечення яких заблоковане обмеженнями, які встановив сам Регулятор.</w:t>
            </w: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lang w:eastAsia="uk-UA"/>
              </w:rPr>
              <w:t xml:space="preserve">Відповідно до вимог </w:t>
            </w:r>
            <w:r w:rsidRPr="005A615E">
              <w:rPr>
                <w:rFonts w:ascii="Times New Roman" w:hAnsi="Times New Roman"/>
                <w:bCs/>
                <w:lang w:eastAsia="uk-UA"/>
              </w:rPr>
              <w:t>Розділу 13 Кодексу систем розподілу (КСР)</w:t>
            </w:r>
            <w:r w:rsidRPr="005A615E">
              <w:rPr>
                <w:rFonts w:ascii="Times New Roman" w:hAnsi="Times New Roman"/>
                <w:lang w:eastAsia="uk-UA"/>
              </w:rPr>
              <w:t xml:space="preserve">, у разі надходження скарги споживача на якість електричної енергії (наприклад, низьку напругу), ОСР зобов'язаний усунути причини незадовільної якості у чітко визначені строки: максимкум протягом </w:t>
            </w:r>
            <w:r w:rsidRPr="005A615E">
              <w:rPr>
                <w:rFonts w:ascii="Times New Roman" w:hAnsi="Times New Roman"/>
                <w:bCs/>
                <w:lang w:eastAsia="uk-UA"/>
              </w:rPr>
              <w:t>180 днів</w:t>
            </w:r>
            <w:r w:rsidRPr="005A615E">
              <w:rPr>
                <w:rFonts w:ascii="Times New Roman" w:hAnsi="Times New Roman"/>
                <w:lang w:eastAsia="uk-UA"/>
              </w:rPr>
              <w:t xml:space="preserve">; як такі роботи потребують масштабного будівництва чи реконструкції об'єктів — </w:t>
            </w:r>
            <w:r w:rsidRPr="005A615E">
              <w:rPr>
                <w:rFonts w:ascii="Times New Roman" w:hAnsi="Times New Roman"/>
                <w:bCs/>
                <w:lang w:eastAsia="uk-UA"/>
              </w:rPr>
              <w:t>шляхом обов'язкового включення відповідних робіт до Інвестиційної програми (ІП)</w:t>
            </w:r>
            <w:r w:rsidRPr="005A615E">
              <w:rPr>
                <w:rFonts w:ascii="Times New Roman" w:hAnsi="Times New Roman"/>
                <w:lang w:eastAsia="uk-UA"/>
              </w:rPr>
              <w:t xml:space="preserve"> на наступні періоди.</w:t>
            </w: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lang w:eastAsia="uk-UA"/>
              </w:rPr>
              <w:t>Проте механізм застосування штрафних коригувань за підпунктом 2 пункту 5.20 повністю ігнорує той факт, що виконання цих вимог КСР заблоковано іншими регуляторними обмеженнями: Оскільки для ліцензіатів із Додатка 35 фінансовий ресурс ІП штучно урізається, обсяг коштів на капітальне будівництво суттєво зменшується. ОСР фізично не має ліміту коштів, щоб включити всі заходи щодо усунення скарг за Розділом 13 КСР до своєї ІП. Регулятор сам встановлює фінансові обмеження які не дозволяє виконати законні вимоги споживачів.</w:t>
            </w: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bCs/>
                <w:lang w:eastAsia="uk-UA"/>
              </w:rPr>
              <w:t xml:space="preserve">Також є неузгодженість строків Розділу 13 КСР із процедурою коригування ІП. </w:t>
            </w:r>
            <w:r w:rsidRPr="005A615E">
              <w:rPr>
                <w:rFonts w:ascii="Times New Roman" w:hAnsi="Times New Roman"/>
                <w:lang w:eastAsia="uk-UA"/>
              </w:rPr>
              <w:t xml:space="preserve">Якщо для усунення скарги КСР вимагає включити захід до ІП, ОСР стикається з тривалим регуляторним процесом. Будь-які зміни до ІП (включення нових ліній чи підстанцій для вирішення проблеми конкретних споживачів) проходять довгий шлях: підготовка проєктно-кошторисної документації, подача документів на погодження до Міненерго та НКРЕКП, і нарешті — прийняття постанови Комісії. Ця процедура затвердження змін до ІП об'єктивно триває </w:t>
            </w:r>
            <w:r w:rsidRPr="005A615E">
              <w:rPr>
                <w:rFonts w:ascii="Times New Roman" w:hAnsi="Times New Roman"/>
                <w:bCs/>
                <w:lang w:eastAsia="uk-UA"/>
              </w:rPr>
              <w:t>від 3 до 6 місяців</w:t>
            </w:r>
            <w:r w:rsidRPr="005A615E">
              <w:rPr>
                <w:rFonts w:ascii="Times New Roman" w:hAnsi="Times New Roman"/>
                <w:lang w:eastAsia="uk-UA"/>
              </w:rPr>
              <w:t xml:space="preserve">, що автоматично призводить до порушення строків, встановлених Розділом 13 КСР. </w:t>
            </w:r>
            <w:r w:rsidRPr="005A615E">
              <w:rPr>
                <w:rFonts w:ascii="Times New Roman" w:hAnsi="Times New Roman"/>
                <w:bCs/>
                <w:lang w:eastAsia="uk-UA"/>
              </w:rPr>
              <w:t>Я</w:t>
            </w:r>
            <w:r w:rsidRPr="005A615E">
              <w:rPr>
                <w:rFonts w:ascii="Times New Roman" w:hAnsi="Times New Roman"/>
                <w:lang w:eastAsia="uk-UA"/>
              </w:rPr>
              <w:t xml:space="preserve">кщо ОСР не може виконати роботи в повному обсязі через відсутність схваленого повного фінансування в ІП, то застосування штрафних коригувань доходу за п. 5.20 є покаранням ліцензіата за обставини, які від нього не залежать. </w:t>
            </w:r>
          </w:p>
          <w:p w:rsidR="00CF2AC1" w:rsidRPr="005A615E" w:rsidRDefault="00CF2AC1" w:rsidP="00CF2AC1">
            <w:pPr>
              <w:shd w:val="clear" w:color="auto" w:fill="FFFFFF"/>
              <w:jc w:val="both"/>
              <w:rPr>
                <w:rFonts w:ascii="Times New Roman" w:hAnsi="Times New Roman"/>
                <w:b/>
                <w:lang w:eastAsia="uk-UA"/>
              </w:rPr>
            </w:pPr>
            <w:r w:rsidRPr="005A615E">
              <w:rPr>
                <w:rFonts w:ascii="Times New Roman" w:hAnsi="Times New Roman"/>
                <w:b/>
                <w:lang w:eastAsia="uk-UA"/>
              </w:rPr>
              <w:t xml:space="preserve">До підпункту 3, 6,7: </w:t>
            </w:r>
          </w:p>
          <w:p w:rsidR="00CF2AC1" w:rsidRPr="005A615E" w:rsidRDefault="00CF2AC1" w:rsidP="00CF2AC1">
            <w:pPr>
              <w:shd w:val="clear" w:color="auto" w:fill="FFFFFF"/>
              <w:jc w:val="both"/>
              <w:rPr>
                <w:rFonts w:ascii="Times New Roman" w:hAnsi="Times New Roman"/>
                <w:lang w:eastAsia="uk-UA"/>
              </w:rPr>
            </w:pPr>
            <w:r w:rsidRPr="005A615E">
              <w:rPr>
                <w:rFonts w:ascii="Times New Roman" w:hAnsi="Times New Roman"/>
                <w:lang w:eastAsia="uk-UA"/>
              </w:rPr>
              <w:t xml:space="preserve">Запровадження системи коригування (зменшення) необхідного доходу ОСР за якість послуг через механізми, описані у підпунктах 3, 4 та 6 пункту 5.20, є неприпустимим з огляду на такі критичні причини: </w:t>
            </w:r>
            <w:r w:rsidRPr="005A615E">
              <w:rPr>
                <w:rFonts w:ascii="Times New Roman" w:hAnsi="Times New Roman"/>
                <w:bCs/>
                <w:lang w:eastAsia="uk-UA"/>
              </w:rPr>
              <w:t>Пряме порушення статті 3 Закону України «Про природні монополії».</w:t>
            </w:r>
            <w:r w:rsidRPr="005A615E">
              <w:rPr>
                <w:rFonts w:ascii="Times New Roman" w:hAnsi="Times New Roman"/>
                <w:lang w:eastAsia="uk-UA"/>
              </w:rPr>
              <w:t xml:space="preserve"> Регуляторне рішення суперечить базовому законодавчому акту вищої юридичної сили. Згідно зі </w:t>
            </w:r>
            <w:r w:rsidRPr="005A615E">
              <w:rPr>
                <w:rFonts w:ascii="Times New Roman" w:hAnsi="Times New Roman"/>
                <w:bCs/>
                <w:lang w:eastAsia="uk-UA"/>
              </w:rPr>
              <w:t>статтею 3 Закону України «Про природні монополії»</w:t>
            </w:r>
            <w:r w:rsidRPr="005A615E">
              <w:rPr>
                <w:rFonts w:ascii="Times New Roman" w:hAnsi="Times New Roman"/>
                <w:lang w:eastAsia="uk-UA"/>
              </w:rPr>
              <w:t xml:space="preserve">, одним із ключових принципів регулювання діяльності суб'єктів природних монополій є </w:t>
            </w:r>
            <w:r w:rsidRPr="005A615E">
              <w:rPr>
                <w:rFonts w:ascii="Times New Roman" w:hAnsi="Times New Roman"/>
                <w:bCs/>
                <w:lang w:eastAsia="uk-UA"/>
              </w:rPr>
              <w:t>баланс інтересів суб'єктів природних монополій та споживачів</w:t>
            </w:r>
            <w:r w:rsidRPr="005A615E">
              <w:rPr>
                <w:rFonts w:ascii="Times New Roman" w:hAnsi="Times New Roman"/>
                <w:lang w:eastAsia="uk-UA"/>
              </w:rPr>
              <w:t xml:space="preserve"> їх товарів і послуг. ПрАТ «Кіровоградобленерго» функціонує в умовах хронічного дефіциту коштів, який виник через незалежні від компанії чинників. Цей дефіцит </w:t>
            </w:r>
            <w:r w:rsidRPr="005A615E">
              <w:rPr>
                <w:rFonts w:ascii="Times New Roman" w:hAnsi="Times New Roman"/>
                <w:bCs/>
                <w:lang w:eastAsia="uk-UA"/>
              </w:rPr>
              <w:t>офіційно зафіксований та підтверджений самими актами перевірок НКРЕКП</w:t>
            </w:r>
            <w:r w:rsidRPr="005A615E">
              <w:rPr>
                <w:rFonts w:ascii="Times New Roman" w:hAnsi="Times New Roman"/>
                <w:lang w:eastAsia="uk-UA"/>
              </w:rPr>
              <w:t>. Впровадження штрафних коригувань за якість послуг (КЯ) щодо компанії, яка вже позбавлена достатнього фінансового ресурсу для підтримання мереж, повністю руйнує цей баланс. Регулятор захищає абстрактні паперові індикатори якості, водночас фінансово знекровлюючи підприємство, що забезпечує реальний розподіл енергії.</w:t>
            </w:r>
          </w:p>
          <w:p w:rsidR="00CF2AC1" w:rsidRPr="005A615E" w:rsidRDefault="00CF2AC1" w:rsidP="00CF2AC1">
            <w:pPr>
              <w:shd w:val="clear" w:color="auto" w:fill="FFFFFF"/>
              <w:jc w:val="both"/>
              <w:rPr>
                <w:rFonts w:ascii="Times New Roman" w:hAnsi="Times New Roman"/>
                <w:bCs/>
              </w:rPr>
            </w:pPr>
            <w:r w:rsidRPr="005A615E">
              <w:rPr>
                <w:rFonts w:ascii="Times New Roman" w:hAnsi="Times New Roman"/>
                <w:lang w:eastAsia="uk-UA"/>
              </w:rPr>
              <w:t xml:space="preserve">Також слід заначити, що між періодом переходу на другий регуляторний період та </w:t>
            </w:r>
            <w:r w:rsidRPr="005A615E">
              <w:rPr>
                <w:rFonts w:ascii="Times New Roman" w:hAnsi="Times New Roman"/>
              </w:rPr>
              <w:t>термінами</w:t>
            </w:r>
            <w:r w:rsidRPr="005A615E">
              <w:rPr>
                <w:rFonts w:ascii="Times New Roman" w:hAnsi="Times New Roman"/>
                <w:b/>
                <w:bCs/>
              </w:rPr>
              <w:t xml:space="preserve"> і </w:t>
            </w:r>
            <w:r w:rsidRPr="005A615E">
              <w:rPr>
                <w:rFonts w:ascii="Times New Roman" w:hAnsi="Times New Roman"/>
              </w:rPr>
              <w:t>процедурами планування ПРСР та ІП ОСР</w:t>
            </w:r>
            <w:r w:rsidRPr="005A615E">
              <w:rPr>
                <w:rFonts w:ascii="Times New Roman" w:hAnsi="Times New Roman"/>
                <w:bCs/>
              </w:rPr>
              <w:t xml:space="preserve"> вбачається розсинхронізація строків планування та прийняття змін. Відповідно до чинного регламенту, формування,  громадське обговорення та подання до НКРЕКП Інвестиційної програми на 2027 рік відбувається задовго до початку самого року. На момент прийняття та набрання чинності запропонованих змін до Порядку, ІП на 2027 рік вже буде сформована та подана Регулятору.</w:t>
            </w:r>
          </w:p>
          <w:p w:rsidR="00CF2AC1" w:rsidRPr="005A615E" w:rsidRDefault="00CF2AC1" w:rsidP="00CF2AC1">
            <w:pPr>
              <w:shd w:val="clear" w:color="auto" w:fill="FFFFFF"/>
              <w:jc w:val="both"/>
              <w:rPr>
                <w:rFonts w:ascii="Times New Roman" w:hAnsi="Times New Roman"/>
                <w:bCs/>
              </w:rPr>
            </w:pPr>
            <w:r w:rsidRPr="005A615E">
              <w:rPr>
                <w:rFonts w:ascii="Times New Roman" w:hAnsi="Times New Roman"/>
                <w:bCs/>
              </w:rPr>
              <w:t xml:space="preserve">Відсутність джерел та заходів для виконання нових вимог. Оскільки ІП на 2027 рік формується за чинними на сьогодні правилами, вона об'єктивно не буде (і не може) передбачати жодного фінансового та технічного напрямку для реалізації нових цілей і параметрів саме </w:t>
            </w:r>
            <w:r w:rsidRPr="005A615E">
              <w:rPr>
                <w:rFonts w:ascii="Times New Roman" w:hAnsi="Times New Roman"/>
                <w:bCs/>
                <w:i/>
                <w:iCs/>
              </w:rPr>
              <w:t>другого</w:t>
            </w:r>
            <w:r w:rsidRPr="005A615E">
              <w:rPr>
                <w:rFonts w:ascii="Times New Roman" w:hAnsi="Times New Roman"/>
                <w:bCs/>
              </w:rPr>
              <w:t xml:space="preserve"> регуляторного періоду. Фактично відбудеться штучне скорочення періоду до 4 років. </w:t>
            </w:r>
          </w:p>
          <w:p w:rsidR="00CF2AC1" w:rsidRPr="005A615E" w:rsidRDefault="00CF2AC1" w:rsidP="00CF2AC1">
            <w:pPr>
              <w:shd w:val="clear" w:color="auto" w:fill="FFFFFF"/>
              <w:jc w:val="both"/>
              <w:rPr>
                <w:bCs/>
              </w:rPr>
            </w:pPr>
            <w:r w:rsidRPr="005A615E">
              <w:rPr>
                <w:rFonts w:ascii="Times New Roman" w:hAnsi="Times New Roman"/>
                <w:bCs/>
              </w:rPr>
              <w:t>З огляду на це виконання довгострокових зобов’язань щодо досягнення цільових показників якості та ефективності має бути відстрочено.</w:t>
            </w:r>
            <w:r w:rsidRPr="005A615E">
              <w:rPr>
                <w:bCs/>
              </w:rPr>
              <w:t xml:space="preserve"> </w:t>
            </w:r>
          </w:p>
          <w:p w:rsidR="00CF2AC1" w:rsidRPr="005A615E" w:rsidRDefault="00CF2AC1" w:rsidP="00CF2AC1">
            <w:pPr>
              <w:shd w:val="clear" w:color="auto" w:fill="FFFFFF"/>
              <w:jc w:val="both"/>
              <w:rPr>
                <w:rFonts w:ascii="Times New Roman" w:hAnsi="Times New Roman"/>
                <w:b/>
                <w:sz w:val="24"/>
                <w:u w:val="single"/>
              </w:rPr>
            </w:pPr>
          </w:p>
          <w:p w:rsidR="00CF2AC1" w:rsidRPr="005A615E" w:rsidRDefault="00CF2AC1" w:rsidP="00CF2AC1">
            <w:pPr>
              <w:shd w:val="clear" w:color="auto" w:fill="FFFFFF"/>
              <w:tabs>
                <w:tab w:val="num" w:pos="720"/>
              </w:tabs>
              <w:jc w:val="both"/>
              <w:rPr>
                <w:rFonts w:ascii="Times New Roman" w:hAnsi="Times New Roman"/>
                <w:b/>
                <w:sz w:val="24"/>
                <w:u w:val="single"/>
              </w:rPr>
            </w:pPr>
            <w:r w:rsidRPr="005A615E">
              <w:rPr>
                <w:rFonts w:ascii="Times New Roman" w:hAnsi="Times New Roman"/>
                <w:b/>
                <w:sz w:val="24"/>
                <w:u w:val="single"/>
              </w:rPr>
              <w:t>НЕК «УКРЕНЕРГО» (лист від 24.07.2026  № 01/46416)</w:t>
            </w:r>
          </w:p>
          <w:p w:rsidR="00CF2AC1" w:rsidRPr="005A615E" w:rsidRDefault="00CF2AC1" w:rsidP="00CF2AC1">
            <w:pPr>
              <w:autoSpaceDE w:val="0"/>
              <w:autoSpaceDN w:val="0"/>
              <w:jc w:val="both"/>
              <w:rPr>
                <w:rFonts w:ascii="Times New Roman" w:hAnsi="Times New Roman"/>
                <w:szCs w:val="28"/>
              </w:rPr>
            </w:pPr>
            <w:r w:rsidRPr="005A615E">
              <w:rPr>
                <w:rFonts w:ascii="Times New Roman" w:hAnsi="Times New Roman"/>
                <w:szCs w:val="28"/>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CF2AC1" w:rsidRPr="005A615E" w:rsidRDefault="00CF2AC1" w:rsidP="00CF2AC1">
            <w:pPr>
              <w:autoSpaceDE w:val="0"/>
              <w:autoSpaceDN w:val="0"/>
              <w:jc w:val="both"/>
              <w:rPr>
                <w:rFonts w:ascii="Times New Roman" w:hAnsi="Times New Roman"/>
                <w:szCs w:val="28"/>
              </w:rPr>
            </w:pPr>
            <w:r w:rsidRPr="005A615E">
              <w:rPr>
                <w:rFonts w:ascii="Times New Roman" w:hAnsi="Times New Roman"/>
                <w:szCs w:val="28"/>
              </w:rPr>
              <w:t>…</w:t>
            </w:r>
          </w:p>
          <w:p w:rsidR="00CF2AC1" w:rsidRPr="005A615E" w:rsidRDefault="000D13C5" w:rsidP="00CF2AC1">
            <w:pPr>
              <w:ind w:firstLine="173"/>
              <w:jc w:val="both"/>
              <w:rPr>
                <w:rFonts w:ascii="Times New Roman" w:hAnsi="Times New Roman"/>
                <w:bCs/>
                <w:sz w:val="24"/>
                <w:szCs w:val="24"/>
              </w:rPr>
            </w:pPr>
            <m:oMath>
              <m:sSubSup>
                <m:sSubSupPr>
                  <m:ctrlPr>
                    <w:rPr>
                      <w:rFonts w:ascii="Cambria Math" w:hAnsi="Cambria Math"/>
                      <w:bCs/>
                      <w:i/>
                      <w:sz w:val="24"/>
                      <w:szCs w:val="24"/>
                    </w:rPr>
                  </m:ctrlPr>
                </m:sSubSupPr>
                <m:e>
                  <m:r>
                    <w:rPr>
                      <w:rFonts w:ascii="Cambria Math" w:hAnsi="Cambria Math"/>
                      <w:sz w:val="24"/>
                      <w:szCs w:val="24"/>
                    </w:rPr>
                    <m:t>I</m:t>
                  </m:r>
                </m:e>
                <m:sub>
                  <m:r>
                    <w:rPr>
                      <w:rFonts w:ascii="Cambria Math" w:hAnsi="Cambria Math"/>
                      <w:sz w:val="24"/>
                      <w:szCs w:val="24"/>
                    </w:rPr>
                    <m:t>дt-2</m:t>
                  </m:r>
                </m:sub>
                <m:sup>
                  <m:r>
                    <w:rPr>
                      <w:rFonts w:ascii="Cambria Math" w:hAnsi="Cambria Math"/>
                      <w:sz w:val="24"/>
                      <w:szCs w:val="24"/>
                    </w:rPr>
                    <m:t>ф</m:t>
                  </m:r>
                </m:sup>
              </m:sSubSup>
            </m:oMath>
            <w:r w:rsidR="00CF2AC1" w:rsidRPr="005A615E">
              <w:rPr>
                <w:rFonts w:ascii="Times New Roman" w:hAnsi="Times New Roman"/>
                <w:bCs/>
                <w:sz w:val="24"/>
                <w:szCs w:val="24"/>
              </w:rPr>
              <w:t xml:space="preserve"> – фактичний індекс якості даних комерційного обліку для всіх точок комерційного обліку з можливістю </w:t>
            </w:r>
            <w:r w:rsidR="00CF2AC1" w:rsidRPr="005A615E">
              <w:rPr>
                <w:rFonts w:ascii="Times New Roman" w:hAnsi="Times New Roman"/>
                <w:b/>
                <w:strike/>
                <w:sz w:val="24"/>
                <w:szCs w:val="24"/>
              </w:rPr>
              <w:t>погодинного обліку та</w:t>
            </w:r>
            <w:r w:rsidR="00CF2AC1" w:rsidRPr="005A615E">
              <w:rPr>
                <w:rFonts w:ascii="Times New Roman" w:hAnsi="Times New Roman"/>
                <w:bCs/>
                <w:sz w:val="24"/>
                <w:szCs w:val="24"/>
              </w:rPr>
              <w:t xml:space="preserve"> дистанційного зчитування даних, де ОСР є </w:t>
            </w:r>
            <w:r w:rsidR="00CF2AC1" w:rsidRPr="005A615E">
              <w:rPr>
                <w:rFonts w:ascii="Times New Roman" w:hAnsi="Times New Roman"/>
                <w:b/>
                <w:sz w:val="24"/>
                <w:szCs w:val="24"/>
              </w:rPr>
              <w:t>ОДКО</w:t>
            </w:r>
            <w:r w:rsidR="00CF2AC1" w:rsidRPr="005A615E">
              <w:rPr>
                <w:rFonts w:ascii="Times New Roman" w:hAnsi="Times New Roman"/>
                <w:bCs/>
                <w:sz w:val="24"/>
                <w:szCs w:val="24"/>
              </w:rPr>
              <w:t xml:space="preserve"> </w:t>
            </w:r>
            <w:r w:rsidR="00CF2AC1" w:rsidRPr="005A615E">
              <w:rPr>
                <w:rFonts w:ascii="Times New Roman" w:hAnsi="Times New Roman"/>
                <w:b/>
                <w:strike/>
                <w:sz w:val="24"/>
                <w:szCs w:val="24"/>
              </w:rPr>
              <w:t>стороною відповідальною за точку комерційного обліку,</w:t>
            </w:r>
            <w:r w:rsidR="00CF2AC1" w:rsidRPr="005A615E">
              <w:rPr>
                <w:rFonts w:ascii="Times New Roman" w:hAnsi="Times New Roman"/>
                <w:bCs/>
                <w:sz w:val="24"/>
                <w:szCs w:val="24"/>
              </w:rPr>
              <w:t xml:space="preserve"> на рік t-2 визначається за формулою</w:t>
            </w:r>
          </w:p>
          <w:p w:rsidR="00CF2AC1" w:rsidRPr="005A615E" w:rsidRDefault="00CF2AC1" w:rsidP="00CF2AC1">
            <w:pPr>
              <w:shd w:val="clear" w:color="auto" w:fill="FFFFFF"/>
              <w:jc w:val="both"/>
              <w:rPr>
                <w:rFonts w:ascii="Times New Roman" w:hAnsi="Times New Roman"/>
                <w:sz w:val="24"/>
              </w:rPr>
            </w:pPr>
            <w:r w:rsidRPr="005A615E">
              <w:rPr>
                <w:rFonts w:ascii="Times New Roman" w:hAnsi="Times New Roman"/>
                <w:sz w:val="24"/>
              </w:rPr>
              <w:t>…</w:t>
            </w:r>
          </w:p>
          <w:p w:rsidR="00CF2AC1" w:rsidRPr="005A615E" w:rsidRDefault="000D13C5" w:rsidP="00CF2AC1">
            <w:pPr>
              <w:ind w:firstLine="173"/>
              <w:jc w:val="both"/>
              <w:rPr>
                <w:rFonts w:ascii="Times New Roman" w:hAnsi="Times New Roman"/>
                <w:b/>
                <w:sz w:val="24"/>
                <w:szCs w:val="24"/>
              </w:rPr>
            </w:pPr>
            <m:oMath>
              <m:sSubSup>
                <m:sSubSupPr>
                  <m:ctrlPr>
                    <w:rPr>
                      <w:rFonts w:ascii="Cambria Math" w:hAnsi="Cambria Math"/>
                      <w:sz w:val="24"/>
                      <w:szCs w:val="24"/>
                    </w:rPr>
                  </m:ctrlPr>
                </m:sSubSupPr>
                <m:e>
                  <m:r>
                    <w:rPr>
                      <w:rFonts w:ascii="Cambria Math" w:hAnsi="Cambria Math"/>
                      <w:sz w:val="24"/>
                      <w:szCs w:val="24"/>
                    </w:rPr>
                    <m:t>N</m:t>
                  </m:r>
                </m:e>
                <m:sub>
                  <m:r>
                    <m:rPr>
                      <m:sty m:val="p"/>
                    </m:rPr>
                    <w:rPr>
                      <w:rFonts w:ascii="Cambria Math" w:hAnsi="Cambria Math"/>
                      <w:sz w:val="24"/>
                      <w:szCs w:val="24"/>
                    </w:rPr>
                    <m:t>д</m:t>
                  </m:r>
                  <m:r>
                    <w:rPr>
                      <w:rFonts w:ascii="Cambria Math" w:hAnsi="Cambria Math"/>
                      <w:sz w:val="24"/>
                      <w:szCs w:val="24"/>
                    </w:rPr>
                    <m:t>t</m:t>
                  </m:r>
                  <m:r>
                    <m:rPr>
                      <m:sty m:val="p"/>
                    </m:rPr>
                    <w:rPr>
                      <w:rFonts w:ascii="Cambria Math" w:hAnsi="Cambria Math"/>
                      <w:sz w:val="24"/>
                      <w:szCs w:val="24"/>
                    </w:rPr>
                    <m:t>-2</m:t>
                  </m:r>
                </m:sub>
                <m:sup>
                  <m:r>
                    <m:rPr>
                      <m:sty m:val="p"/>
                    </m:rPr>
                    <w:rPr>
                      <w:rFonts w:ascii="Cambria Math" w:hAnsi="Cambria Math"/>
                      <w:sz w:val="24"/>
                      <w:szCs w:val="24"/>
                    </w:rPr>
                    <m:t>заг</m:t>
                  </m:r>
                </m:sup>
              </m:sSubSup>
            </m:oMath>
            <w:r w:rsidR="00CF2AC1" w:rsidRPr="005A615E">
              <w:rPr>
                <w:rFonts w:ascii="Times New Roman" w:hAnsi="Times New Roman"/>
                <w:sz w:val="24"/>
                <w:szCs w:val="24"/>
              </w:rPr>
              <w:t xml:space="preserve"> – загальна кількість усіх точок комерційного обліку з можливістю</w:t>
            </w:r>
            <w:r w:rsidR="00CF2AC1" w:rsidRPr="005A615E">
              <w:rPr>
                <w:rFonts w:ascii="Times New Roman" w:hAnsi="Times New Roman"/>
                <w:b/>
                <w:sz w:val="24"/>
                <w:szCs w:val="24"/>
              </w:rPr>
              <w:t xml:space="preserve"> </w:t>
            </w:r>
            <w:r w:rsidR="00CF2AC1" w:rsidRPr="005A615E">
              <w:rPr>
                <w:rFonts w:ascii="Times New Roman" w:hAnsi="Times New Roman"/>
                <w:b/>
                <w:strike/>
                <w:sz w:val="24"/>
                <w:szCs w:val="24"/>
              </w:rPr>
              <w:t>погодинного обліку та</w:t>
            </w:r>
            <w:r w:rsidR="00CF2AC1" w:rsidRPr="005A615E">
              <w:rPr>
                <w:rFonts w:ascii="Times New Roman" w:hAnsi="Times New Roman"/>
                <w:b/>
                <w:sz w:val="24"/>
                <w:szCs w:val="24"/>
              </w:rPr>
              <w:t xml:space="preserve"> </w:t>
            </w:r>
            <w:r w:rsidR="00CF2AC1" w:rsidRPr="005A615E">
              <w:rPr>
                <w:rFonts w:ascii="Times New Roman" w:hAnsi="Times New Roman"/>
                <w:sz w:val="24"/>
                <w:szCs w:val="24"/>
              </w:rPr>
              <w:t xml:space="preserve">дистанційного зчитування даних, де ОСР є </w:t>
            </w:r>
            <w:r w:rsidR="00CF2AC1" w:rsidRPr="005A615E">
              <w:rPr>
                <w:rFonts w:ascii="Times New Roman" w:hAnsi="Times New Roman"/>
                <w:b/>
                <w:sz w:val="24"/>
                <w:szCs w:val="24"/>
              </w:rPr>
              <w:t xml:space="preserve">ОДКО </w:t>
            </w:r>
            <w:r w:rsidR="00CF2AC1" w:rsidRPr="005A615E">
              <w:rPr>
                <w:rFonts w:ascii="Times New Roman" w:hAnsi="Times New Roman"/>
                <w:b/>
                <w:strike/>
                <w:sz w:val="24"/>
                <w:szCs w:val="24"/>
              </w:rPr>
              <w:t>стороною відповідальною за точку комерційного обліку</w:t>
            </w:r>
            <w:r w:rsidR="00CF2AC1" w:rsidRPr="005A615E">
              <w:rPr>
                <w:rFonts w:ascii="Times New Roman" w:hAnsi="Times New Roman"/>
                <w:b/>
                <w:sz w:val="24"/>
                <w:szCs w:val="24"/>
              </w:rPr>
              <w:t>;</w:t>
            </w:r>
          </w:p>
          <w:p w:rsidR="00CF2AC1" w:rsidRPr="005A615E" w:rsidRDefault="00CF2AC1" w:rsidP="00CF2AC1">
            <w:pPr>
              <w:ind w:firstLine="173"/>
              <w:jc w:val="both"/>
              <w:rPr>
                <w:rFonts w:ascii="Times New Roman" w:hAnsi="Times New Roman"/>
                <w:b/>
                <w:sz w:val="24"/>
                <w:szCs w:val="24"/>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ППКО (у ролі ОДКО) проводить обробку, перевірку, валідацію виміряних даних з подальшою передачею валідованих даних АКО та іншим заінтересованим сторонам.</w:t>
            </w:r>
          </w:p>
          <w:p w:rsidR="00CF2AC1" w:rsidRPr="005A615E" w:rsidRDefault="00CF2AC1" w:rsidP="00CF2AC1">
            <w:pPr>
              <w:shd w:val="clear" w:color="auto" w:fill="FFFFFF"/>
              <w:jc w:val="both"/>
              <w:rPr>
                <w:rFonts w:ascii="Times New Roman" w:hAnsi="Times New Roman"/>
                <w:b/>
                <w:sz w:val="24"/>
                <w:u w:val="single"/>
              </w:rPr>
            </w:pPr>
          </w:p>
          <w:p w:rsidR="00CF2AC1" w:rsidRPr="005A615E" w:rsidRDefault="00CF2AC1" w:rsidP="00CF2AC1">
            <w:pPr>
              <w:ind w:firstLine="308"/>
              <w:jc w:val="both"/>
              <w:rPr>
                <w:rFonts w:ascii="Times New Roman" w:hAnsi="Times New Roman"/>
                <w:b/>
                <w:sz w:val="24"/>
                <w:szCs w:val="24"/>
              </w:rPr>
            </w:pPr>
            <w:r w:rsidRPr="005A615E">
              <w:rPr>
                <w:rFonts w:ascii="Times New Roman" w:hAnsi="Times New Roman"/>
                <w:b/>
                <w:bCs/>
                <w:sz w:val="24"/>
                <w:szCs w:val="24"/>
                <w:u w:val="single"/>
              </w:rPr>
              <w:t xml:space="preserve">АТ «СУМИОБЛЕНЕРГО» </w:t>
            </w:r>
            <w:r w:rsidRPr="005A615E">
              <w:rPr>
                <w:rFonts w:ascii="Times New Roman" w:hAnsi="Times New Roman"/>
                <w:b/>
                <w:sz w:val="24"/>
                <w:szCs w:val="24"/>
                <w:u w:val="single"/>
              </w:rPr>
              <w:t>(лист від 27.07.2026  № 28/10407)</w:t>
            </w:r>
          </w:p>
          <w:p w:rsidR="00CF2AC1" w:rsidRPr="005A615E" w:rsidRDefault="00CF2AC1" w:rsidP="00CF2AC1">
            <w:pPr>
              <w:autoSpaceDE w:val="0"/>
              <w:autoSpaceDN w:val="0"/>
              <w:ind w:firstLine="709"/>
              <w:jc w:val="both"/>
              <w:rPr>
                <w:rFonts w:ascii="Times New Roman" w:hAnsi="Times New Roman"/>
                <w:szCs w:val="28"/>
              </w:rPr>
            </w:pPr>
            <w:r w:rsidRPr="005A615E">
              <w:rPr>
                <w:rFonts w:ascii="Times New Roman" w:hAnsi="Times New Roman"/>
                <w:szCs w:val="28"/>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CF2AC1" w:rsidRPr="005A615E" w:rsidRDefault="00CF2AC1" w:rsidP="00CF2AC1">
            <w:pPr>
              <w:autoSpaceDE w:val="0"/>
              <w:autoSpaceDN w:val="0"/>
              <w:ind w:firstLine="709"/>
              <w:jc w:val="both"/>
              <w:rPr>
                <w:rFonts w:ascii="Times New Roman" w:hAnsi="Times New Roman"/>
                <w:szCs w:val="28"/>
              </w:rPr>
            </w:pPr>
            <w:r w:rsidRPr="005A615E">
              <w:rPr>
                <w:rFonts w:ascii="Times New Roman" w:hAnsi="Times New Roman"/>
                <w:szCs w:val="28"/>
              </w:rPr>
              <w:t>…</w:t>
            </w:r>
          </w:p>
          <w:p w:rsidR="00CF2AC1" w:rsidRPr="005A615E" w:rsidRDefault="00CF2AC1" w:rsidP="00CF2AC1">
            <w:pPr>
              <w:ind w:firstLine="709"/>
              <w:jc w:val="both"/>
              <w:rPr>
                <w:rFonts w:ascii="Times New Roman" w:hAnsi="Times New Roman"/>
                <w:szCs w:val="28"/>
              </w:rPr>
            </w:pPr>
            <w:r w:rsidRPr="005A615E">
              <w:rPr>
                <w:rFonts w:ascii="Times New Roman" w:hAnsi="Times New Roman"/>
                <w:szCs w:val="28"/>
              </w:rPr>
              <w:t>1) тривалість довгих перерв в електропостачанні, на рік t визначається за формулами</w:t>
            </w:r>
          </w:p>
          <w:p w:rsidR="00CF2AC1" w:rsidRPr="005A615E" w:rsidRDefault="00CF2AC1" w:rsidP="00CF2AC1">
            <w:pPr>
              <w:ind w:firstLine="709"/>
              <w:jc w:val="both"/>
              <w:rPr>
                <w:rFonts w:ascii="Times New Roman" w:hAnsi="Times New Roman"/>
                <w:szCs w:val="28"/>
              </w:rPr>
            </w:pPr>
            <w:r w:rsidRPr="005A615E">
              <w:rPr>
                <w:rFonts w:ascii="Times New Roman" w:hAnsi="Times New Roman"/>
                <w:szCs w:val="28"/>
              </w:rPr>
              <w:t>…</w:t>
            </w:r>
          </w:p>
          <w:p w:rsidR="00CF2AC1" w:rsidRPr="005A615E" w:rsidRDefault="00CF2AC1" w:rsidP="00CF2AC1">
            <w:pPr>
              <w:jc w:val="both"/>
              <w:rPr>
                <w:rFonts w:ascii="Times New Roman" w:hAnsi="Times New Roman"/>
                <w:b/>
                <w:szCs w:val="28"/>
              </w:rPr>
            </w:pPr>
            <w:r w:rsidRPr="005A615E">
              <w:rPr>
                <w:rFonts w:ascii="Times New Roman" w:hAnsi="Times New Roman"/>
                <w:szCs w:val="28"/>
              </w:rPr>
              <w:t xml:space="preserve">Коригування необхідного доходу відповідно до даних виконання цільового завдання щодо досягнення показників якості послуг тривалості довгих перерв </w:t>
            </w:r>
            <w:r w:rsidRPr="005A615E">
              <w:rPr>
                <w:rFonts w:ascii="Times New Roman" w:hAnsi="Times New Roman"/>
                <w:b/>
                <w:szCs w:val="28"/>
              </w:rPr>
              <w:t>не застосовується до ліцензіатів, наведених у додатку 34 до цього Порядку на весь період воєнного стану та впродовж 12 місяців після його припинення або скасування</w:t>
            </w:r>
          </w:p>
          <w:p w:rsidR="00CF2AC1" w:rsidRPr="005A615E" w:rsidRDefault="00CF2AC1" w:rsidP="00CF2AC1">
            <w:pPr>
              <w:rPr>
                <w:b/>
                <w:i/>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b/>
              </w:rPr>
            </w:pPr>
            <w:r w:rsidRPr="005A615E">
              <w:rPr>
                <w:rFonts w:ascii="Times New Roman" w:hAnsi="Times New Roman"/>
              </w:rPr>
              <w:t xml:space="preserve">Не застосовувати до ліцензіатів, наведених у додатку 34 до Порядку встановлення (формування) тарифів на послуги з розподілу електричної енергії, затвердженого постановою Національної комісії, що здійснює державне регулювання у сферах енергетики та комунальних послуг, від 05 жовтня 2018 року № 1175, </w:t>
            </w:r>
            <w:r w:rsidRPr="005A615E">
              <w:rPr>
                <w:rFonts w:ascii="Times New Roman" w:hAnsi="Times New Roman"/>
                <w:b/>
              </w:rPr>
              <w:t xml:space="preserve"> </w:t>
            </w:r>
            <w:r w:rsidRPr="005A615E">
              <w:rPr>
                <w:rFonts w:ascii="Times New Roman" w:hAnsi="Times New Roman"/>
              </w:rPr>
              <w:t>коригування необхідного доходу відповідно до даних виконання цільового завдання щодо досягнення показників якості послуг тривалості довгих перерв</w:t>
            </w:r>
            <w:r w:rsidRPr="005A615E">
              <w:rPr>
                <w:rFonts w:ascii="Times New Roman" w:hAnsi="Times New Roman"/>
                <w:b/>
              </w:rPr>
              <w:t xml:space="preserve"> на весь період воєнного стану та впродовж 12 місяців після його припинення або скасування.</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ПрАТ «Львівобленерго» (лист </w:t>
            </w:r>
            <w:r w:rsidRPr="005A615E">
              <w:rPr>
                <w:rFonts w:ascii="Times New Roman" w:hAnsi="Times New Roman"/>
                <w:b/>
                <w:sz w:val="24"/>
                <w:u w:val="single"/>
              </w:rPr>
              <w:br/>
              <w:t>від 27.07.2026 № 122-07-5357)</w:t>
            </w:r>
          </w:p>
          <w:p w:rsidR="00CF2AC1" w:rsidRPr="005A615E" w:rsidRDefault="00CF2AC1" w:rsidP="00CF2AC1">
            <w:pPr>
              <w:autoSpaceDE w:val="0"/>
              <w:autoSpaceDN w:val="0"/>
              <w:ind w:firstLine="709"/>
              <w:jc w:val="both"/>
              <w:rPr>
                <w:rFonts w:ascii="Times New Roman" w:hAnsi="Times New Roman"/>
              </w:rPr>
            </w:pPr>
            <w:r w:rsidRPr="005A615E">
              <w:rPr>
                <w:rFonts w:ascii="Times New Roman" w:hAnsi="Times New Roman"/>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CF2AC1" w:rsidRPr="005A615E" w:rsidRDefault="00CF2AC1" w:rsidP="00CF2AC1">
            <w:pPr>
              <w:autoSpaceDE w:val="0"/>
              <w:autoSpaceDN w:val="0"/>
              <w:ind w:firstLine="709"/>
              <w:jc w:val="both"/>
              <w:rPr>
                <w:rFonts w:ascii="Times New Roman" w:hAnsi="Times New Roman"/>
              </w:rPr>
            </w:pPr>
          </w:p>
          <w:p w:rsidR="00CF2AC1" w:rsidRPr="005A615E" w:rsidRDefault="000D13C5" w:rsidP="00CF2AC1">
            <w:pPr>
              <w:rPr>
                <w:rFonts w:ascii="Times New Roman" w:eastAsiaTheme="minorEastAsia" w:hAnsi="Times New Roman"/>
                <w:b/>
                <w:strike/>
              </w:rPr>
            </w:pPr>
            <m:oMath>
              <m:sSub>
                <m:sSubPr>
                  <m:ctrlPr>
                    <w:rPr>
                      <w:rFonts w:ascii="Cambria Math" w:eastAsiaTheme="minorEastAsia" w:hAnsi="Cambria Math"/>
                    </w:rPr>
                  </m:ctrlPr>
                </m:sSubPr>
                <m:e>
                  <m:r>
                    <w:rPr>
                      <w:rFonts w:ascii="Cambria Math" w:eastAsiaTheme="minorEastAsia" w:hAnsi="Cambria Math"/>
                    </w:rPr>
                    <m:t>КЯ</m:t>
                  </m:r>
                </m:e>
                <m:sub>
                  <m:r>
                    <w:rPr>
                      <w:rFonts w:ascii="Cambria Math" w:hAnsi="Cambria Math"/>
                    </w:rPr>
                    <m:t xml:space="preserve">t </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КЯ</m:t>
                  </m:r>
                </m:e>
                <m:sub>
                  <m:r>
                    <w:rPr>
                      <w:rFonts w:ascii="Cambria Math" w:hAnsi="Cambria Math"/>
                    </w:rPr>
                    <m:t xml:space="preserve">яt </m:t>
                  </m:r>
                </m:sub>
              </m:sSub>
              <m:r>
                <m:rPr>
                  <m:sty m:val="p"/>
                </m:rPr>
                <w:rPr>
                  <w:rFonts w:ascii="Cambria Math" w:eastAsiaTheme="minorEastAsia" w:hAnsi="Cambria Math"/>
                  <w:strike/>
                </w:rPr>
                <m:t>+</m:t>
              </m:r>
              <m:r>
                <m:rPr>
                  <m:sty m:val="b"/>
                </m:rPr>
                <w:rPr>
                  <w:rFonts w:ascii="Cambria Math" w:eastAsiaTheme="minorEastAsia" w:hAnsi="Cambria Math"/>
                  <w:strike/>
                </w:rPr>
                <m:t xml:space="preserve"> </m:t>
              </m:r>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нпt</m:t>
                  </m:r>
                </m:sub>
              </m:sSub>
              <m:r>
                <m:rPr>
                  <m:sty m:val="b"/>
                </m:rPr>
                <w:rPr>
                  <w:rFonts w:ascii="Cambria Math" w:eastAsiaTheme="minorEastAsia" w:hAnsi="Cambria Math"/>
                  <w:strike/>
                </w:rPr>
                <m:t>+</m:t>
              </m:r>
              <m:r>
                <m:rPr>
                  <m:sty m:val="bi"/>
                </m:rPr>
                <w:rPr>
                  <w:rFonts w:ascii="Cambria Math" w:eastAsiaTheme="minorEastAsia" w:hAnsi="Cambria Math"/>
                  <w:strike/>
                </w:rPr>
                <m:t xml:space="preserve"> </m:t>
              </m:r>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прt</m:t>
                  </m:r>
                </m:sub>
              </m:sSub>
              <m:r>
                <m:rPr>
                  <m:sty m:val="b"/>
                </m:rPr>
                <w:rPr>
                  <w:rFonts w:ascii="Cambria Math" w:eastAsiaTheme="minorEastAsia" w:hAnsi="Cambria Math"/>
                  <w:strike/>
                </w:rPr>
                <m:t>+</m:t>
              </m:r>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дt</m:t>
                  </m:r>
                </m:sub>
              </m:sSub>
              <m:r>
                <m:rPr>
                  <m:sty m:val="bi"/>
                </m:rPr>
                <w:rPr>
                  <w:rFonts w:ascii="Cambria Math" w:hAnsi="Cambria Math"/>
                  <w:strike/>
                </w:rPr>
                <m:t>+</m:t>
              </m:r>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коt</m:t>
                  </m:r>
                </m:sub>
              </m:sSub>
            </m:oMath>
            <w:r w:rsidR="00CF2AC1" w:rsidRPr="005A615E">
              <w:rPr>
                <w:rFonts w:ascii="Times New Roman" w:eastAsiaTheme="minorEastAsia" w:hAnsi="Times New Roman"/>
                <w:b/>
                <w:strike/>
              </w:rPr>
              <w:t xml:space="preserve"> + </w:t>
            </w:r>
            <m:oMath>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рсt</m:t>
                  </m:r>
                </m:sub>
              </m:sSub>
            </m:oMath>
            <w:r w:rsidR="00CF2AC1" w:rsidRPr="005A615E">
              <w:rPr>
                <w:rFonts w:ascii="Times New Roman" w:hAnsi="Times New Roman"/>
                <w:b/>
                <w:strike/>
              </w:rPr>
              <w:t xml:space="preserve"> +</w:t>
            </w:r>
            <m:oMath>
              <m:r>
                <m:rPr>
                  <m:sty m:val="bi"/>
                </m:rPr>
                <w:rPr>
                  <w:rFonts w:ascii="Cambria Math" w:hAnsi="Cambria Math"/>
                  <w:strike/>
                </w:rPr>
                <m:t xml:space="preserve"> </m:t>
              </m:r>
              <m:sSub>
                <m:sSubPr>
                  <m:ctrlPr>
                    <w:rPr>
                      <w:rFonts w:ascii="Cambria Math" w:hAnsi="Cambria Math"/>
                      <w:b/>
                      <w:i/>
                      <w:strike/>
                    </w:rPr>
                  </m:ctrlPr>
                </m:sSubPr>
                <m:e>
                  <m:r>
                    <m:rPr>
                      <m:sty m:val="bi"/>
                    </m:rPr>
                    <w:rPr>
                      <w:rFonts w:ascii="Cambria Math" w:hAnsi="Cambria Math"/>
                      <w:strike/>
                    </w:rPr>
                    <m:t>КЯ</m:t>
                  </m:r>
                </m:e>
                <m:sub>
                  <m:r>
                    <m:rPr>
                      <m:sty m:val="bi"/>
                    </m:rPr>
                    <w:rPr>
                      <w:rFonts w:ascii="Cambria Math" w:hAnsi="Cambria Math"/>
                      <w:strike/>
                    </w:rPr>
                    <m:t>вдзt</m:t>
                  </m:r>
                </m:sub>
              </m:sSub>
            </m:oMath>
            <w:r w:rsidR="00CF2AC1" w:rsidRPr="005A615E">
              <w:rPr>
                <w:rFonts w:ascii="Times New Roman" w:hAnsi="Times New Roman"/>
                <w:b/>
                <w:strike/>
              </w:rPr>
              <w:t xml:space="preserve">, </w:t>
            </w:r>
            <w:r w:rsidR="00CF2AC1" w:rsidRPr="005A615E">
              <w:rPr>
                <w:rFonts w:ascii="Times New Roman" w:eastAsiaTheme="minorEastAsia" w:hAnsi="Times New Roman"/>
                <w:b/>
                <w:strike/>
              </w:rPr>
              <w:t xml:space="preserve">тис. грн,    </w:t>
            </w:r>
            <w:hyperlink r:id="rId302" w:tgtFrame="_blank" w:history="1">
              <w:r w:rsidR="00CF2AC1" w:rsidRPr="005A615E">
                <w:rPr>
                  <w:rFonts w:ascii="Times New Roman" w:eastAsiaTheme="minorEastAsia" w:hAnsi="Times New Roman"/>
                  <w:b/>
                  <w:strike/>
                </w:rPr>
                <w:t>(</w:t>
              </w:r>
            </w:hyperlink>
            <w:hyperlink r:id="rId303" w:tgtFrame="_blank" w:history="1">
              <w:r w:rsidR="00CF2AC1" w:rsidRPr="005A615E">
                <w:rPr>
                  <w:rFonts w:ascii="Times New Roman" w:eastAsiaTheme="minorEastAsia" w:hAnsi="Times New Roman"/>
                  <w:b/>
                  <w:strike/>
                </w:rPr>
                <w:t>32</w:t>
              </w:r>
            </w:hyperlink>
            <w:hyperlink r:id="rId304" w:tgtFrame="_blank" w:history="1">
              <w:r w:rsidR="00CF2AC1" w:rsidRPr="005A615E">
                <w:rPr>
                  <w:rFonts w:ascii="Times New Roman" w:eastAsiaTheme="minorEastAsia" w:hAnsi="Times New Roman"/>
                  <w:b/>
                  <w:strike/>
                </w:rPr>
                <w:t>)</w:t>
              </w:r>
            </w:hyperlink>
          </w:p>
          <w:p w:rsidR="00CF2AC1" w:rsidRPr="005A615E" w:rsidRDefault="000D13C5" w:rsidP="00CF2AC1">
            <w:pPr>
              <w:ind w:firstLine="709"/>
              <w:rPr>
                <w:rFonts w:ascii="Times New Roman" w:hAnsi="Times New Roman"/>
                <w:b/>
                <w:strike/>
              </w:rPr>
            </w:pPr>
            <m:oMath>
              <m:sSub>
                <m:sSubPr>
                  <m:ctrlPr>
                    <w:rPr>
                      <w:rFonts w:ascii="Cambria Math" w:hAnsi="Cambria Math"/>
                      <w:b/>
                      <w:strike/>
                    </w:rPr>
                  </m:ctrlPr>
                </m:sSubPr>
                <m:e>
                  <m:r>
                    <m:rPr>
                      <m:sty m:val="b"/>
                    </m:rPr>
                    <w:rPr>
                      <w:rFonts w:ascii="Cambria Math" w:hAnsi="Cambria Math"/>
                      <w:strike/>
                    </w:rPr>
                    <m:t>КЯ</m:t>
                  </m:r>
                </m:e>
                <m:sub>
                  <m:r>
                    <m:rPr>
                      <m:sty m:val="b"/>
                    </m:rPr>
                    <w:rPr>
                      <w:rFonts w:ascii="Cambria Math" w:hAnsi="Cambria Math"/>
                      <w:strike/>
                    </w:rPr>
                    <m:t>я</m:t>
                  </m:r>
                  <m:r>
                    <m:rPr>
                      <m:sty m:val="bi"/>
                    </m:rPr>
                    <w:rPr>
                      <w:rFonts w:ascii="Cambria Math" w:hAnsi="Cambria Math"/>
                      <w:strike/>
                    </w:rPr>
                    <m:t>t</m:t>
                  </m:r>
                  <m:r>
                    <m:rPr>
                      <m:sty m:val="b"/>
                    </m:rPr>
                    <w:rPr>
                      <w:rFonts w:ascii="Cambria Math" w:hAnsi="Cambria Math"/>
                      <w:strike/>
                    </w:rPr>
                    <m:t xml:space="preserve"> </m:t>
                  </m:r>
                </m:sub>
              </m:sSub>
            </m:oMath>
            <w:r w:rsidR="00CF2AC1" w:rsidRPr="005A615E">
              <w:rPr>
                <w:rFonts w:ascii="Times New Roman" w:hAnsi="Times New Roman"/>
                <w:b/>
                <w:strike/>
              </w:rPr>
              <w:t xml:space="preserve"> </w:t>
            </w:r>
            <m:oMath>
              <m:r>
                <m:rPr>
                  <m:sty m:val="b"/>
                </m:rPr>
                <w:rPr>
                  <w:rFonts w:ascii="Cambria Math" w:hAnsi="Cambria Math"/>
                  <w:strike/>
                </w:rPr>
                <m:t>≤</m:t>
              </m:r>
            </m:oMath>
            <w:r w:rsidR="00CF2AC1" w:rsidRPr="005A615E">
              <w:rPr>
                <w:rFonts w:ascii="Times New Roman" w:hAnsi="Times New Roman"/>
                <w:b/>
                <w:strike/>
              </w:rPr>
              <w:t>0,02</w:t>
            </w:r>
          </w:p>
          <w:p w:rsidR="00CF2AC1" w:rsidRPr="005A615E" w:rsidRDefault="000D13C5" w:rsidP="00CF2AC1">
            <w:pPr>
              <w:ind w:firstLine="709"/>
              <w:rPr>
                <w:rFonts w:ascii="Times New Roman" w:hAnsi="Times New Roman"/>
                <w:b/>
                <w:strike/>
              </w:rPr>
            </w:pPr>
            <m:oMath>
              <m:sSub>
                <m:sSubPr>
                  <m:ctrlPr>
                    <w:rPr>
                      <w:rFonts w:ascii="Cambria Math" w:hAnsi="Cambria Math"/>
                      <w:b/>
                      <w:strike/>
                    </w:rPr>
                  </m:ctrlPr>
                </m:sSubPr>
                <m:e>
                  <m:sSub>
                    <m:sSubPr>
                      <m:ctrlPr>
                        <w:rPr>
                          <w:rFonts w:ascii="Cambria Math" w:hAnsi="Cambria Math"/>
                          <w:b/>
                          <w:strike/>
                        </w:rPr>
                      </m:ctrlPr>
                    </m:sSubPr>
                    <m:e>
                      <m:r>
                        <m:rPr>
                          <m:sty m:val="b"/>
                        </m:rPr>
                        <w:rPr>
                          <w:rFonts w:ascii="Cambria Math" w:hAnsi="Cambria Math"/>
                          <w:strike/>
                        </w:rPr>
                        <m:t>КЯ</m:t>
                      </m:r>
                    </m:e>
                    <m:sub>
                      <m:r>
                        <m:rPr>
                          <m:sty m:val="b"/>
                        </m:rPr>
                        <w:rPr>
                          <w:rFonts w:ascii="Cambria Math" w:hAnsi="Cambria Math"/>
                          <w:strike/>
                        </w:rPr>
                        <m:t>нп</m:t>
                      </m:r>
                      <m:r>
                        <m:rPr>
                          <m:sty m:val="bi"/>
                        </m:rPr>
                        <w:rPr>
                          <w:rFonts w:ascii="Cambria Math" w:hAnsi="Cambria Math"/>
                          <w:strike/>
                        </w:rPr>
                        <m:t>t</m:t>
                      </m:r>
                    </m:sub>
                  </m:sSub>
                  <m:r>
                    <m:rPr>
                      <m:sty m:val="b"/>
                    </m:rPr>
                    <w:rPr>
                      <w:rFonts w:ascii="Cambria Math" w:hAnsi="Cambria Math"/>
                      <w:strike/>
                    </w:rPr>
                    <m:t>; КЯ</m:t>
                  </m:r>
                </m:e>
                <m:sub>
                  <m:r>
                    <m:rPr>
                      <m:sty m:val="b"/>
                    </m:rPr>
                    <w:rPr>
                      <w:rFonts w:ascii="Cambria Math" w:hAnsi="Cambria Math"/>
                      <w:strike/>
                    </w:rPr>
                    <m:t>пр</m:t>
                  </m:r>
                  <m:r>
                    <m:rPr>
                      <m:sty m:val="bi"/>
                    </m:rPr>
                    <w:rPr>
                      <w:rFonts w:ascii="Cambria Math" w:hAnsi="Cambria Math"/>
                      <w:strike/>
                    </w:rPr>
                    <m:t>t</m:t>
                  </m:r>
                </m:sub>
              </m:sSub>
              <m:r>
                <m:rPr>
                  <m:sty m:val="b"/>
                </m:rPr>
                <w:rPr>
                  <w:rFonts w:ascii="Cambria Math" w:hAnsi="Cambria Math"/>
                  <w:strike/>
                </w:rPr>
                <m:t xml:space="preserve">; </m:t>
              </m:r>
              <m:sSub>
                <m:sSubPr>
                  <m:ctrlPr>
                    <w:rPr>
                      <w:rFonts w:ascii="Cambria Math" w:hAnsi="Cambria Math"/>
                      <w:b/>
                      <w:strike/>
                    </w:rPr>
                  </m:ctrlPr>
                </m:sSubPr>
                <m:e>
                  <m:r>
                    <m:rPr>
                      <m:sty m:val="b"/>
                    </m:rPr>
                    <w:rPr>
                      <w:rFonts w:ascii="Cambria Math" w:hAnsi="Cambria Math"/>
                      <w:strike/>
                    </w:rPr>
                    <m:t>КЯ</m:t>
                  </m:r>
                </m:e>
                <m:sub>
                  <m:r>
                    <m:rPr>
                      <m:sty m:val="b"/>
                    </m:rPr>
                    <w:rPr>
                      <w:rFonts w:ascii="Cambria Math" w:hAnsi="Cambria Math"/>
                      <w:strike/>
                    </w:rPr>
                    <m:t>д</m:t>
                  </m:r>
                  <m:r>
                    <m:rPr>
                      <m:sty m:val="bi"/>
                    </m:rPr>
                    <w:rPr>
                      <w:rFonts w:ascii="Cambria Math" w:hAnsi="Cambria Math"/>
                      <w:strike/>
                    </w:rPr>
                    <m:t>t</m:t>
                  </m:r>
                </m:sub>
              </m:sSub>
              <m:r>
                <m:rPr>
                  <m:sty m:val="b"/>
                </m:rPr>
                <w:rPr>
                  <w:rFonts w:ascii="Cambria Math" w:hAnsi="Cambria Math"/>
                  <w:strike/>
                </w:rPr>
                <m:t>;</m:t>
              </m:r>
            </m:oMath>
            <w:r w:rsidR="00CF2AC1" w:rsidRPr="005A615E">
              <w:rPr>
                <w:rFonts w:ascii="Times New Roman" w:hAnsi="Times New Roman"/>
                <w:b/>
                <w:strike/>
              </w:rPr>
              <w:t xml:space="preserve"> </w:t>
            </w:r>
            <m:oMath>
              <m:sSub>
                <m:sSubPr>
                  <m:ctrlPr>
                    <w:rPr>
                      <w:rFonts w:ascii="Cambria Math" w:hAnsi="Cambria Math"/>
                      <w:b/>
                      <w:strike/>
                    </w:rPr>
                  </m:ctrlPr>
                </m:sSubPr>
                <m:e>
                  <m:sSub>
                    <m:sSubPr>
                      <m:ctrlPr>
                        <w:rPr>
                          <w:rFonts w:ascii="Cambria Math" w:hAnsi="Cambria Math"/>
                          <w:b/>
                          <w:strike/>
                        </w:rPr>
                      </m:ctrlPr>
                    </m:sSubPr>
                    <m:e>
                      <m:r>
                        <m:rPr>
                          <m:sty m:val="b"/>
                        </m:rPr>
                        <w:rPr>
                          <w:rFonts w:ascii="Cambria Math" w:hAnsi="Cambria Math"/>
                          <w:strike/>
                        </w:rPr>
                        <m:t>КЯ</m:t>
                      </m:r>
                    </m:e>
                    <m:sub>
                      <m:r>
                        <m:rPr>
                          <m:sty m:val="b"/>
                        </m:rPr>
                        <w:rPr>
                          <w:rFonts w:ascii="Cambria Math" w:hAnsi="Cambria Math"/>
                          <w:strike/>
                        </w:rPr>
                        <m:t>ко</m:t>
                      </m:r>
                      <m:r>
                        <m:rPr>
                          <m:sty m:val="bi"/>
                        </m:rPr>
                        <w:rPr>
                          <w:rFonts w:ascii="Cambria Math" w:hAnsi="Cambria Math"/>
                          <w:strike/>
                        </w:rPr>
                        <m:t>t</m:t>
                      </m:r>
                    </m:sub>
                  </m:sSub>
                  <m:r>
                    <m:rPr>
                      <m:sty m:val="b"/>
                    </m:rPr>
                    <w:rPr>
                      <w:rFonts w:ascii="Cambria Math" w:hAnsi="Cambria Math"/>
                      <w:strike/>
                    </w:rPr>
                    <m:t xml:space="preserve">; </m:t>
                  </m:r>
                  <m:sSub>
                    <m:sSubPr>
                      <m:ctrlPr>
                        <w:rPr>
                          <w:rFonts w:ascii="Cambria Math" w:hAnsi="Cambria Math"/>
                          <w:b/>
                          <w:strike/>
                        </w:rPr>
                      </m:ctrlPr>
                    </m:sSubPr>
                    <m:e>
                      <m:r>
                        <m:rPr>
                          <m:sty m:val="b"/>
                        </m:rPr>
                        <w:rPr>
                          <w:rFonts w:ascii="Cambria Math" w:hAnsi="Cambria Math"/>
                          <w:strike/>
                        </w:rPr>
                        <m:t>КЯ</m:t>
                      </m:r>
                    </m:e>
                    <m:sub>
                      <m:r>
                        <m:rPr>
                          <m:sty m:val="b"/>
                        </m:rPr>
                        <w:rPr>
                          <w:rFonts w:ascii="Cambria Math" w:hAnsi="Cambria Math"/>
                          <w:strike/>
                        </w:rPr>
                        <m:t>рс</m:t>
                      </m:r>
                      <m:r>
                        <m:rPr>
                          <m:sty m:val="bi"/>
                        </m:rPr>
                        <w:rPr>
                          <w:rFonts w:ascii="Cambria Math" w:hAnsi="Cambria Math"/>
                          <w:strike/>
                        </w:rPr>
                        <m:t>t</m:t>
                      </m:r>
                    </m:sub>
                  </m:sSub>
                  <m:r>
                    <m:rPr>
                      <m:sty m:val="b"/>
                    </m:rPr>
                    <w:rPr>
                      <w:rFonts w:ascii="Cambria Math" w:hAnsi="Cambria Math"/>
                      <w:strike/>
                    </w:rPr>
                    <m:t xml:space="preserve"> ;КЯ</m:t>
                  </m:r>
                </m:e>
                <m:sub>
                  <m:r>
                    <m:rPr>
                      <m:sty m:val="b"/>
                    </m:rPr>
                    <w:rPr>
                      <w:rFonts w:ascii="Cambria Math" w:hAnsi="Cambria Math"/>
                      <w:strike/>
                    </w:rPr>
                    <m:t>вдз</m:t>
                  </m:r>
                  <m:r>
                    <m:rPr>
                      <m:sty m:val="bi"/>
                    </m:rPr>
                    <w:rPr>
                      <w:rFonts w:ascii="Cambria Math" w:hAnsi="Cambria Math"/>
                      <w:strike/>
                    </w:rPr>
                    <m:t>t</m:t>
                  </m:r>
                </m:sub>
              </m:sSub>
              <m:r>
                <m:rPr>
                  <m:sty m:val="b"/>
                </m:rPr>
                <w:rPr>
                  <w:rFonts w:ascii="Cambria Math" w:hAnsi="Cambria Math"/>
                  <w:strike/>
                </w:rPr>
                <m:t>≤</m:t>
              </m:r>
            </m:oMath>
            <w:r w:rsidR="00CF2AC1" w:rsidRPr="005A615E">
              <w:rPr>
                <w:rFonts w:ascii="Times New Roman" w:hAnsi="Times New Roman"/>
                <w:b/>
                <w:strike/>
              </w:rPr>
              <w:t>0,005</w:t>
            </w:r>
          </w:p>
          <w:p w:rsidR="00CF2AC1" w:rsidRPr="005A615E" w:rsidRDefault="00CF2AC1" w:rsidP="00CF2AC1">
            <w:pPr>
              <w:ind w:firstLine="709"/>
              <w:rPr>
                <w:rFonts w:ascii="Times New Roman" w:hAnsi="Times New Roman"/>
              </w:rPr>
            </w:pPr>
            <w:r w:rsidRPr="005A615E">
              <w:rPr>
                <w:rFonts w:ascii="Times New Roman" w:hAnsi="Times New Roman"/>
              </w:rPr>
              <w:t>…</w:t>
            </w:r>
          </w:p>
          <w:p w:rsidR="00CF2AC1" w:rsidRPr="005A615E" w:rsidRDefault="00CF2AC1" w:rsidP="00CF2AC1">
            <w:pPr>
              <w:jc w:val="both"/>
              <w:rPr>
                <w:rFonts w:ascii="Times New Roman" w:hAnsi="Times New Roman"/>
                <w:b/>
                <w:lang w:eastAsia="uk-UA"/>
              </w:rPr>
            </w:pPr>
            <w:r w:rsidRPr="005A615E">
              <w:rPr>
                <w:rFonts w:ascii="Times New Roman" w:hAnsi="Times New Roman"/>
                <w:b/>
                <w:lang w:eastAsia="uk-UA"/>
              </w:rPr>
              <w:t>Підпункти 2)-7) - вилучити.</w:t>
            </w:r>
          </w:p>
          <w:p w:rsidR="00CF2AC1" w:rsidRPr="005A615E" w:rsidRDefault="00CF2AC1" w:rsidP="00CF2AC1">
            <w:pPr>
              <w:jc w:val="both"/>
              <w:rPr>
                <w:rFonts w:ascii="Times New Roman" w:hAnsi="Times New Roman"/>
                <w:b/>
                <w:lang w:eastAsia="uk-UA"/>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hd w:val="clear" w:color="auto" w:fill="FFFFFF"/>
              <w:ind w:firstLine="450"/>
              <w:jc w:val="both"/>
              <w:rPr>
                <w:rFonts w:ascii="Times New Roman" w:hAnsi="Times New Roman"/>
                <w:lang w:eastAsia="uk-UA"/>
              </w:rPr>
            </w:pPr>
            <w:r w:rsidRPr="005A615E">
              <w:rPr>
                <w:rFonts w:ascii="Times New Roman" w:hAnsi="Times New Roman"/>
                <w:lang w:eastAsia="uk-UA"/>
              </w:rPr>
              <w:t>Відповідно до заходів державного контролю за невиконання встановлених показників НКРЕКП застосовує штрафні санкції, які розраховуються відповідно до Методики визначення суми штрафів за порушення ліцензійних умов та нормативно-правових актів.</w:t>
            </w:r>
          </w:p>
          <w:p w:rsidR="00CF2AC1" w:rsidRPr="005A615E" w:rsidRDefault="00CF2AC1" w:rsidP="00CF2AC1">
            <w:pPr>
              <w:shd w:val="clear" w:color="auto" w:fill="FFFFFF"/>
              <w:ind w:firstLine="450"/>
              <w:jc w:val="both"/>
              <w:rPr>
                <w:rFonts w:ascii="Times New Roman" w:hAnsi="Times New Roman"/>
                <w:lang w:eastAsia="uk-UA"/>
              </w:rPr>
            </w:pPr>
            <w:r w:rsidRPr="005A615E">
              <w:rPr>
                <w:rFonts w:ascii="Times New Roman" w:hAnsi="Times New Roman"/>
                <w:lang w:eastAsia="uk-UA"/>
              </w:rPr>
              <w:t>Окрім цього для встановлення цих показників повинна бути розроблена методика розрахунку, врахування їх дотримання. Тобто повинні бути встановлені правила і методи встановлення показників а також їх невиконання. Це допоможе правильно встановлювати факт невиконання і виконання показника.</w:t>
            </w:r>
          </w:p>
          <w:p w:rsidR="00CF2AC1" w:rsidRPr="005A615E" w:rsidRDefault="00CF2AC1" w:rsidP="00CF2AC1">
            <w:pPr>
              <w:shd w:val="clear" w:color="auto" w:fill="FFFFFF"/>
              <w:ind w:firstLine="450"/>
              <w:jc w:val="both"/>
              <w:rPr>
                <w:rFonts w:ascii="Times New Roman" w:hAnsi="Times New Roman"/>
                <w:b/>
                <w:sz w:val="24"/>
                <w:u w:val="single"/>
              </w:rPr>
            </w:pPr>
          </w:p>
          <w:p w:rsidR="00CF2AC1" w:rsidRPr="005A615E" w:rsidRDefault="00CF2AC1" w:rsidP="00CF2AC1">
            <w:pPr>
              <w:jc w:val="both"/>
              <w:rPr>
                <w:rFonts w:ascii="Times New Roman" w:hAnsi="Times New Roman"/>
                <w:b/>
                <w:u w:val="single"/>
              </w:rPr>
            </w:pPr>
            <w:r w:rsidRPr="005A615E">
              <w:rPr>
                <w:rFonts w:ascii="Times New Roman" w:hAnsi="Times New Roman"/>
                <w:b/>
                <w:u w:val="single"/>
              </w:rPr>
              <w:t>АТ «ВІННИЦЯОБЛЕНЕРГО» (лист від 27.07.2026  № 03.13-18608)</w:t>
            </w:r>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CF2AC1" w:rsidRPr="005A615E" w:rsidRDefault="000D13C5" w:rsidP="00CF2AC1">
            <w:pPr>
              <w:rPr>
                <w:rFonts w:eastAsiaTheme="minorEastAsia"/>
                <w:b/>
                <w:szCs w:val="28"/>
              </w:rPr>
            </w:pPr>
            <m:oMath>
              <m:sSub>
                <m:sSubPr>
                  <m:ctrlPr>
                    <w:rPr>
                      <w:rFonts w:ascii="Cambria Math" w:eastAsiaTheme="minorEastAsia" w:hAnsi="Cambria Math"/>
                      <w:b/>
                      <w:szCs w:val="28"/>
                    </w:rPr>
                  </m:ctrlPr>
                </m:sSubPr>
                <m:e>
                  <m:r>
                    <m:rPr>
                      <m:sty m:val="bi"/>
                    </m:rPr>
                    <w:rPr>
                      <w:rFonts w:ascii="Cambria Math" w:eastAsiaTheme="minorEastAsia" w:hAnsi="Cambria Math"/>
                      <w:szCs w:val="28"/>
                    </w:rPr>
                    <m:t>КЯ</m:t>
                  </m:r>
                </m:e>
                <m:sub>
                  <m:r>
                    <m:rPr>
                      <m:sty m:val="bi"/>
                    </m:rPr>
                    <w:rPr>
                      <w:rFonts w:ascii="Cambria Math" w:hAnsi="Cambria Math"/>
                      <w:szCs w:val="28"/>
                    </w:rPr>
                    <m:t xml:space="preserve">t </m:t>
                  </m:r>
                </m:sub>
              </m:sSub>
              <m:r>
                <m:rPr>
                  <m:sty m:val="bi"/>
                </m:rPr>
                <w:rPr>
                  <w:rFonts w:ascii="Cambria Math" w:hAnsi="Cambria Math"/>
                  <w:szCs w:val="28"/>
                </w:rPr>
                <m:t>=</m:t>
              </m:r>
              <m:sSub>
                <m:sSubPr>
                  <m:ctrlPr>
                    <w:rPr>
                      <w:rFonts w:ascii="Cambria Math" w:eastAsiaTheme="minorEastAsia" w:hAnsi="Cambria Math"/>
                      <w:b/>
                      <w:szCs w:val="28"/>
                    </w:rPr>
                  </m:ctrlPr>
                </m:sSubPr>
                <m:e>
                  <m:r>
                    <m:rPr>
                      <m:sty m:val="bi"/>
                    </m:rPr>
                    <w:rPr>
                      <w:rFonts w:ascii="Cambria Math" w:eastAsiaTheme="minorEastAsia" w:hAnsi="Cambria Math"/>
                      <w:szCs w:val="28"/>
                    </w:rPr>
                    <m:t>КЯ</m:t>
                  </m:r>
                </m:e>
                <m:sub>
                  <m:r>
                    <m:rPr>
                      <m:sty m:val="bi"/>
                    </m:rPr>
                    <w:rPr>
                      <w:rFonts w:ascii="Cambria Math" w:hAnsi="Cambria Math"/>
                      <w:szCs w:val="28"/>
                    </w:rPr>
                    <m:t xml:space="preserve">яt </m:t>
                  </m:r>
                </m:sub>
              </m:sSub>
              <m:r>
                <m:rPr>
                  <m:sty m:val="b"/>
                </m:rPr>
                <w:rPr>
                  <w:rFonts w:ascii="Cambria Math" w:eastAsiaTheme="minorEastAsia" w:hAnsi="Cambria Math"/>
                  <w:szCs w:val="28"/>
                </w:rPr>
                <m:t xml:space="preserve">+ </m:t>
              </m:r>
              <m:sSub>
                <m:sSubPr>
                  <m:ctrlPr>
                    <w:rPr>
                      <w:rFonts w:ascii="Cambria Math" w:hAnsi="Cambria Math"/>
                      <w:b/>
                      <w:i/>
                      <w:szCs w:val="28"/>
                    </w:rPr>
                  </m:ctrlPr>
                </m:sSubPr>
                <m:e>
                  <m:r>
                    <m:rPr>
                      <m:sty m:val="bi"/>
                    </m:rPr>
                    <w:rPr>
                      <w:rFonts w:ascii="Cambria Math" w:hAnsi="Cambria Math"/>
                      <w:szCs w:val="28"/>
                    </w:rPr>
                    <m:t>КЯ</m:t>
                  </m:r>
                </m:e>
                <m:sub>
                  <m:r>
                    <m:rPr>
                      <m:sty m:val="bi"/>
                    </m:rPr>
                    <w:rPr>
                      <w:rFonts w:ascii="Cambria Math" w:hAnsi="Cambria Math"/>
                      <w:szCs w:val="28"/>
                    </w:rPr>
                    <m:t>нпt</m:t>
                  </m:r>
                </m:sub>
              </m:sSub>
              <m:r>
                <m:rPr>
                  <m:sty m:val="b"/>
                </m:rPr>
                <w:rPr>
                  <w:rFonts w:ascii="Cambria Math" w:eastAsiaTheme="minorEastAsia" w:hAnsi="Cambria Math"/>
                  <w:szCs w:val="28"/>
                </w:rPr>
                <m:t>+</m:t>
              </m:r>
              <m:r>
                <m:rPr>
                  <m:sty m:val="bi"/>
                </m:rPr>
                <w:rPr>
                  <w:rFonts w:ascii="Cambria Math" w:eastAsiaTheme="minorEastAsia" w:hAnsi="Cambria Math"/>
                  <w:szCs w:val="28"/>
                </w:rPr>
                <m:t xml:space="preserve"> </m:t>
              </m:r>
              <m:sSub>
                <m:sSubPr>
                  <m:ctrlPr>
                    <w:rPr>
                      <w:rFonts w:ascii="Cambria Math" w:hAnsi="Cambria Math"/>
                      <w:b/>
                      <w:i/>
                      <w:szCs w:val="28"/>
                    </w:rPr>
                  </m:ctrlPr>
                </m:sSubPr>
                <m:e>
                  <m:r>
                    <m:rPr>
                      <m:sty m:val="bi"/>
                    </m:rPr>
                    <w:rPr>
                      <w:rFonts w:ascii="Cambria Math" w:hAnsi="Cambria Math"/>
                      <w:szCs w:val="28"/>
                    </w:rPr>
                    <m:t>КЯ</m:t>
                  </m:r>
                </m:e>
                <m:sub>
                  <m:r>
                    <m:rPr>
                      <m:sty m:val="bi"/>
                    </m:rPr>
                    <w:rPr>
                      <w:rFonts w:ascii="Cambria Math" w:hAnsi="Cambria Math"/>
                      <w:szCs w:val="28"/>
                    </w:rPr>
                    <m:t>прt</m:t>
                  </m:r>
                </m:sub>
              </m:sSub>
              <m:r>
                <m:rPr>
                  <m:sty m:val="b"/>
                </m:rPr>
                <w:rPr>
                  <w:rFonts w:ascii="Cambria Math" w:eastAsiaTheme="minorEastAsia" w:hAnsi="Cambria Math"/>
                  <w:szCs w:val="28"/>
                </w:rPr>
                <m:t>+</m:t>
              </m:r>
              <m:sSub>
                <m:sSubPr>
                  <m:ctrlPr>
                    <w:rPr>
                      <w:rFonts w:ascii="Cambria Math" w:hAnsi="Cambria Math"/>
                      <w:b/>
                      <w:i/>
                      <w:szCs w:val="28"/>
                    </w:rPr>
                  </m:ctrlPr>
                </m:sSubPr>
                <m:e>
                  <m:r>
                    <m:rPr>
                      <m:sty m:val="bi"/>
                    </m:rPr>
                    <w:rPr>
                      <w:rFonts w:ascii="Cambria Math" w:hAnsi="Cambria Math"/>
                      <w:szCs w:val="28"/>
                    </w:rPr>
                    <m:t>КЯ</m:t>
                  </m:r>
                </m:e>
                <m:sub>
                  <m:r>
                    <m:rPr>
                      <m:sty m:val="bi"/>
                    </m:rPr>
                    <w:rPr>
                      <w:rFonts w:ascii="Cambria Math" w:hAnsi="Cambria Math"/>
                      <w:szCs w:val="28"/>
                    </w:rPr>
                    <m:t>дt</m:t>
                  </m:r>
                </m:sub>
              </m:sSub>
              <m:r>
                <m:rPr>
                  <m:sty m:val="bi"/>
                </m:rPr>
                <w:rPr>
                  <w:rFonts w:ascii="Cambria Math" w:hAnsi="Cambria Math"/>
                  <w:szCs w:val="28"/>
                </w:rPr>
                <m:t>+</m:t>
              </m:r>
              <m:sSub>
                <m:sSubPr>
                  <m:ctrlPr>
                    <w:rPr>
                      <w:rFonts w:ascii="Cambria Math" w:hAnsi="Cambria Math"/>
                      <w:b/>
                      <w:i/>
                      <w:szCs w:val="28"/>
                    </w:rPr>
                  </m:ctrlPr>
                </m:sSubPr>
                <m:e>
                  <m:r>
                    <m:rPr>
                      <m:sty m:val="bi"/>
                    </m:rPr>
                    <w:rPr>
                      <w:rFonts w:ascii="Cambria Math" w:hAnsi="Cambria Math"/>
                      <w:szCs w:val="28"/>
                    </w:rPr>
                    <m:t>КЯ</m:t>
                  </m:r>
                </m:e>
                <m:sub>
                  <m:r>
                    <m:rPr>
                      <m:sty m:val="bi"/>
                    </m:rPr>
                    <w:rPr>
                      <w:rFonts w:ascii="Cambria Math" w:hAnsi="Cambria Math"/>
                      <w:szCs w:val="28"/>
                    </w:rPr>
                    <m:t>коt</m:t>
                  </m:r>
                </m:sub>
              </m:sSub>
            </m:oMath>
            <w:r w:rsidR="00CF2AC1" w:rsidRPr="005A615E">
              <w:rPr>
                <w:rFonts w:eastAsiaTheme="minorEastAsia"/>
                <w:b/>
                <w:szCs w:val="28"/>
              </w:rPr>
              <w:t xml:space="preserve"> + </w:t>
            </w:r>
            <m:oMath>
              <m:sSub>
                <m:sSubPr>
                  <m:ctrlPr>
                    <w:rPr>
                      <w:rFonts w:ascii="Cambria Math" w:hAnsi="Cambria Math"/>
                      <w:b/>
                      <w:i/>
                      <w:szCs w:val="28"/>
                    </w:rPr>
                  </m:ctrlPr>
                </m:sSubPr>
                <m:e>
                  <m:r>
                    <m:rPr>
                      <m:sty m:val="bi"/>
                    </m:rPr>
                    <w:rPr>
                      <w:rFonts w:ascii="Cambria Math" w:hAnsi="Cambria Math"/>
                      <w:szCs w:val="28"/>
                    </w:rPr>
                    <m:t>КЯ</m:t>
                  </m:r>
                </m:e>
                <m:sub>
                  <m:r>
                    <m:rPr>
                      <m:sty m:val="bi"/>
                    </m:rPr>
                    <w:rPr>
                      <w:rFonts w:ascii="Cambria Math" w:hAnsi="Cambria Math"/>
                      <w:szCs w:val="28"/>
                    </w:rPr>
                    <m:t>рсt</m:t>
                  </m:r>
                </m:sub>
              </m:sSub>
            </m:oMath>
            <w:r w:rsidR="00CF2AC1" w:rsidRPr="005A615E">
              <w:rPr>
                <w:b/>
                <w:szCs w:val="28"/>
              </w:rPr>
              <w:t xml:space="preserve"> +</w:t>
            </w:r>
            <m:oMath>
              <m:r>
                <m:rPr>
                  <m:sty m:val="bi"/>
                </m:rPr>
                <w:rPr>
                  <w:rFonts w:ascii="Cambria Math" w:hAnsi="Cambria Math"/>
                  <w:szCs w:val="28"/>
                </w:rPr>
                <m:t xml:space="preserve"> </m:t>
              </m:r>
              <m:sSub>
                <m:sSubPr>
                  <m:ctrlPr>
                    <w:rPr>
                      <w:rFonts w:ascii="Cambria Math" w:hAnsi="Cambria Math"/>
                      <w:b/>
                      <w:i/>
                      <w:szCs w:val="28"/>
                    </w:rPr>
                  </m:ctrlPr>
                </m:sSubPr>
                <m:e>
                  <m:r>
                    <m:rPr>
                      <m:sty m:val="bi"/>
                    </m:rPr>
                    <w:rPr>
                      <w:rFonts w:ascii="Cambria Math" w:hAnsi="Cambria Math"/>
                      <w:szCs w:val="28"/>
                    </w:rPr>
                    <m:t>КЯ</m:t>
                  </m:r>
                </m:e>
                <m:sub>
                  <m:r>
                    <m:rPr>
                      <m:sty m:val="bi"/>
                    </m:rPr>
                    <w:rPr>
                      <w:rFonts w:ascii="Cambria Math" w:hAnsi="Cambria Math"/>
                      <w:szCs w:val="28"/>
                    </w:rPr>
                    <m:t>вдзt</m:t>
                  </m:r>
                </m:sub>
              </m:sSub>
            </m:oMath>
            <w:r w:rsidR="00CF2AC1" w:rsidRPr="005A615E">
              <w:rPr>
                <w:b/>
                <w:szCs w:val="28"/>
              </w:rPr>
              <w:t xml:space="preserve">, </w:t>
            </w:r>
            <w:r w:rsidR="00CF2AC1" w:rsidRPr="005A615E">
              <w:rPr>
                <w:rFonts w:ascii="Times New Roman" w:eastAsiaTheme="minorEastAsia" w:hAnsi="Times New Roman"/>
                <w:b/>
                <w:szCs w:val="28"/>
              </w:rPr>
              <w:t xml:space="preserve">тис. грн,    </w:t>
            </w:r>
            <w:hyperlink r:id="rId305" w:tgtFrame="_blank" w:history="1">
              <w:r w:rsidR="00CF2AC1" w:rsidRPr="005A615E">
                <w:rPr>
                  <w:rStyle w:val="a9"/>
                  <w:rFonts w:ascii="Times New Roman" w:eastAsiaTheme="minorEastAsia" w:hAnsi="Times New Roman"/>
                  <w:b/>
                  <w:color w:val="auto"/>
                  <w:szCs w:val="28"/>
                </w:rPr>
                <w:t>(</w:t>
              </w:r>
            </w:hyperlink>
            <w:hyperlink r:id="rId306" w:tgtFrame="_blank" w:history="1">
              <w:r w:rsidR="00CF2AC1" w:rsidRPr="005A615E">
                <w:rPr>
                  <w:rStyle w:val="a9"/>
                  <w:rFonts w:ascii="Times New Roman" w:eastAsiaTheme="minorEastAsia" w:hAnsi="Times New Roman"/>
                  <w:b/>
                  <w:color w:val="auto"/>
                  <w:szCs w:val="28"/>
                </w:rPr>
                <w:t>32</w:t>
              </w:r>
            </w:hyperlink>
            <w:hyperlink r:id="rId307" w:tgtFrame="_blank" w:history="1">
              <w:r w:rsidR="00CF2AC1" w:rsidRPr="005A615E">
                <w:rPr>
                  <w:rStyle w:val="a9"/>
                  <w:rFonts w:ascii="Times New Roman" w:eastAsiaTheme="minorEastAsia" w:hAnsi="Times New Roman"/>
                  <w:b/>
                  <w:color w:val="auto"/>
                  <w:szCs w:val="28"/>
                </w:rPr>
                <w:t>)</w:t>
              </w:r>
            </w:hyperlink>
          </w:p>
          <w:p w:rsidR="00CF2AC1" w:rsidRPr="005A615E" w:rsidRDefault="00CF2AC1" w:rsidP="00CF2AC1">
            <w:pPr>
              <w:jc w:val="both"/>
              <w:rPr>
                <w:rFonts w:ascii="Times New Roman" w:hAnsi="Times New Roman"/>
                <w:sz w:val="24"/>
                <w:szCs w:val="24"/>
              </w:rPr>
            </w:pPr>
            <w:r w:rsidRPr="005A615E">
              <w:rPr>
                <w:rFonts w:ascii="Times New Roman" w:hAnsi="Times New Roman"/>
                <w:sz w:val="24"/>
                <w:szCs w:val="24"/>
              </w:rPr>
              <w:t>………………………………..</w:t>
            </w:r>
          </w:p>
          <w:p w:rsidR="00CF2AC1" w:rsidRPr="005A615E" w:rsidRDefault="00CF2AC1" w:rsidP="00CF2AC1">
            <w:pPr>
              <w:shd w:val="clear" w:color="auto" w:fill="FFFFFF"/>
              <w:ind w:firstLine="450"/>
              <w:jc w:val="both"/>
            </w:pPr>
            <w:r w:rsidRPr="005A615E">
              <w:rPr>
                <w:rFonts w:ascii="Times New Roman" w:eastAsiaTheme="minorEastAsia" w:hAnsi="Times New Roman"/>
                <w:sz w:val="24"/>
                <w:szCs w:val="24"/>
              </w:rPr>
              <w:t xml:space="preserve">де </w:t>
            </w:r>
            <w:hyperlink r:id="rId308" w:tgtFrame="_blank" w:history="1">
              <m:oMath>
                <m:sSubSup>
                  <m:sSubSupPr>
                    <m:ctrlPr>
                      <w:rPr>
                        <w:rFonts w:ascii="Cambria Math" w:hAnsi="Cambria Math"/>
                        <w:i/>
                        <w:sz w:val="24"/>
                        <w:szCs w:val="24"/>
                      </w:rPr>
                    </m:ctrlPr>
                  </m:sSubSupPr>
                  <m:e>
                    <m:r>
                      <m:rPr>
                        <m:sty m:val="p"/>
                      </m:rPr>
                      <w:rPr>
                        <w:rStyle w:val="a9"/>
                        <w:rFonts w:ascii="Cambria Math" w:hAnsi="Cambria Math"/>
                        <w:color w:val="auto"/>
                        <w:sz w:val="24"/>
                        <w:szCs w:val="24"/>
                        <w:u w:val="none"/>
                      </w:rPr>
                      <m:t>SAIDI</m:t>
                    </m:r>
                  </m:e>
                  <m:sub>
                    <m:r>
                      <m:rPr>
                        <m:sty m:val="p"/>
                      </m:rPr>
                      <w:rPr>
                        <w:rStyle w:val="a9"/>
                        <w:rFonts w:ascii="Cambria Math" w:hAnsi="Cambria Math"/>
                        <w:color w:val="auto"/>
                        <w:sz w:val="24"/>
                        <w:szCs w:val="24"/>
                        <w:u w:val="none"/>
                      </w:rPr>
                      <m:t>t-2</m:t>
                    </m:r>
                  </m:sub>
                  <m:sup>
                    <m:r>
                      <m:rPr>
                        <m:sty m:val="p"/>
                      </m:rPr>
                      <w:rPr>
                        <w:rStyle w:val="a9"/>
                        <w:rFonts w:ascii="Cambria Math" w:hAnsi="Cambria Math"/>
                        <w:color w:val="auto"/>
                        <w:sz w:val="24"/>
                        <w:szCs w:val="24"/>
                        <w:u w:val="none"/>
                      </w:rPr>
                      <m:t>м</m:t>
                    </m:r>
                    <m:d>
                      <m:dPr>
                        <m:ctrlPr>
                          <w:rPr>
                            <w:rFonts w:ascii="Cambria Math" w:hAnsi="Cambria Math"/>
                            <w:i/>
                            <w:sz w:val="24"/>
                            <w:szCs w:val="24"/>
                          </w:rPr>
                        </m:ctrlPr>
                      </m:dPr>
                      <m:e>
                        <m:r>
                          <m:rPr>
                            <m:sty m:val="p"/>
                          </m:rPr>
                          <w:rPr>
                            <w:rStyle w:val="a9"/>
                            <w:rFonts w:ascii="Cambria Math" w:hAnsi="Cambria Math"/>
                            <w:color w:val="auto"/>
                            <w:sz w:val="24"/>
                            <w:szCs w:val="24"/>
                            <w:u w:val="none"/>
                          </w:rPr>
                          <m:t>с</m:t>
                        </m:r>
                      </m:e>
                    </m:d>
                    <m:r>
                      <m:rPr>
                        <m:sty m:val="p"/>
                      </m:rPr>
                      <w:rPr>
                        <w:rStyle w:val="a9"/>
                        <w:rFonts w:ascii="Cambria Math" w:hAnsi="Cambria Math"/>
                        <w:color w:val="auto"/>
                        <w:sz w:val="24"/>
                        <w:szCs w:val="24"/>
                        <w:u w:val="none"/>
                      </w:rPr>
                      <m:t>р</m:t>
                    </m:r>
                  </m:sup>
                </m:sSubSup>
              </m:oMath>
              <w:r w:rsidRPr="005A615E">
                <w:rPr>
                  <w:rStyle w:val="a9"/>
                  <w:rFonts w:ascii="Times New Roman" w:hAnsi="Times New Roman"/>
                  <w:color w:val="auto"/>
                  <w:sz w:val="24"/>
                  <w:szCs w:val="24"/>
                  <w:u w:val="none"/>
                </w:rPr>
                <w:t xml:space="preserve">  з першого року другого </w:t>
              </w:r>
              <w:r w:rsidRPr="005A615E">
                <w:rPr>
                  <w:rStyle w:val="a9"/>
                  <w:rFonts w:ascii="Times New Roman" w:hAnsi="Times New Roman"/>
                  <w:color w:val="auto"/>
                  <w:sz w:val="24"/>
                  <w:szCs w:val="24"/>
                  <w:u w:val="none"/>
                  <w:lang w:eastAsia="uk-UA"/>
                </w:rPr>
                <w:t xml:space="preserve">регуляторного періоду </w:t>
              </w:r>
              <w:r w:rsidRPr="005A615E">
                <w:rPr>
                  <w:rStyle w:val="a9"/>
                  <w:rFonts w:ascii="Times New Roman" w:hAnsi="Times New Roman"/>
                  <w:color w:val="auto"/>
                  <w:sz w:val="24"/>
                  <w:szCs w:val="24"/>
                  <w:u w:val="none"/>
                </w:rPr>
                <w:t xml:space="preserve">продовжує визначатися за формулами 30 та 31 пункту 5.19 цього Порядку </w:t>
              </w:r>
              <w:r w:rsidRPr="005A615E">
                <w:rPr>
                  <w:rStyle w:val="a9"/>
                  <w:rFonts w:ascii="Times New Roman" w:hAnsi="Times New Roman"/>
                  <w:b/>
                  <w:strike/>
                  <w:color w:val="auto"/>
                  <w:sz w:val="24"/>
                  <w:szCs w:val="24"/>
                  <w:u w:val="none"/>
                </w:rPr>
                <w:t>(може бути змінено з другого року другого регуляторного періоду за результатами бенчмаркінгу)</w:t>
              </w:r>
              <w:r w:rsidRPr="005A615E">
                <w:rPr>
                  <w:rStyle w:val="a9"/>
                  <w:rFonts w:ascii="Times New Roman" w:hAnsi="Times New Roman"/>
                  <w:color w:val="auto"/>
                  <w:sz w:val="24"/>
                  <w:szCs w:val="24"/>
                  <w:u w:val="none"/>
                </w:rPr>
                <w:t>;</w:t>
              </w:r>
            </w:hyperlink>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hd w:val="clear" w:color="auto" w:fill="FFFFFF"/>
              <w:ind w:firstLine="450"/>
              <w:jc w:val="both"/>
              <w:rPr>
                <w:rFonts w:ascii="Times New Roman" w:hAnsi="Times New Roman"/>
                <w:b/>
                <w:sz w:val="24"/>
                <w:u w:val="single"/>
              </w:rPr>
            </w:pPr>
            <w:r w:rsidRPr="005A615E">
              <w:rPr>
                <w:rFonts w:ascii="Times New Roman" w:eastAsia="Times New Roman" w:hAnsi="Times New Roman"/>
                <w:lang w:eastAsia="uk-UA"/>
              </w:rPr>
              <w:t xml:space="preserve">Стратегічні цільові показники якості послуг розраховувалися ліцензіатами перед переходом на RAB-регулювання одразу на три періоди наперед і лягли в основу довгострокових інвестиційних планів ОСР. Їхня зміна посеред процесу (особливо в умовах обмеженого фінансування та активних воєнних дій) повністю нівелює передбачуваність регуляторного процесу та суперечить методологічним засадам </w:t>
            </w:r>
            <w:r w:rsidRPr="005A615E">
              <w:rPr>
                <w:rFonts w:ascii="Times New Roman" w:hAnsi="Times New Roman"/>
                <w:bCs/>
                <w:sz w:val="24"/>
                <w:szCs w:val="24"/>
              </w:rPr>
              <w:t>стимулюючого регулювання.</w:t>
            </w:r>
          </w:p>
        </w:tc>
        <w:tc>
          <w:tcPr>
            <w:tcW w:w="3969" w:type="dxa"/>
            <w:gridSpan w:val="2"/>
          </w:tcPr>
          <w:p w:rsidR="0050683E" w:rsidRPr="005A615E" w:rsidRDefault="0050683E" w:rsidP="00CF2AC1">
            <w:pPr>
              <w:rPr>
                <w:rFonts w:ascii="Times New Roman" w:hAnsi="Times New Roman"/>
                <w:b/>
              </w:rPr>
            </w:pPr>
            <w:r w:rsidRPr="005A615E">
              <w:rPr>
                <w:rFonts w:ascii="Times New Roman" w:hAnsi="Times New Roman"/>
                <w:b/>
              </w:rPr>
              <w:t xml:space="preserve">Пропонується редакція </w:t>
            </w:r>
          </w:p>
          <w:p w:rsidR="0050683E" w:rsidRPr="005A615E" w:rsidRDefault="0050683E" w:rsidP="0050683E">
            <w:pPr>
              <w:autoSpaceDE w:val="0"/>
              <w:autoSpaceDN w:val="0"/>
              <w:ind w:firstLine="709"/>
              <w:jc w:val="both"/>
              <w:rPr>
                <w:rFonts w:ascii="Times New Roman" w:hAnsi="Times New Roman" w:cs="Times New Roman"/>
                <w:szCs w:val="28"/>
              </w:rPr>
            </w:pPr>
            <w:r w:rsidRPr="005A615E">
              <w:rPr>
                <w:rFonts w:ascii="Times New Roman" w:hAnsi="Times New Roman" w:cs="Times New Roman"/>
                <w:szCs w:val="28"/>
              </w:rPr>
              <w:t>5.20. 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rsidR="0050683E" w:rsidRPr="005A615E" w:rsidRDefault="0050683E" w:rsidP="0050683E">
            <w:pPr>
              <w:autoSpaceDE w:val="0"/>
              <w:autoSpaceDN w:val="0"/>
              <w:ind w:firstLine="709"/>
              <w:jc w:val="both"/>
              <w:rPr>
                <w:rFonts w:ascii="Times New Roman" w:hAnsi="Times New Roman" w:cs="Times New Roman"/>
                <w:szCs w:val="28"/>
              </w:rPr>
            </w:pPr>
          </w:p>
          <w:p w:rsidR="0050683E" w:rsidRPr="005A615E" w:rsidRDefault="000D13C5" w:rsidP="0050683E">
            <w:pPr>
              <w:rPr>
                <w:rFonts w:ascii="Times New Roman" w:eastAsiaTheme="minorEastAsia" w:hAnsi="Times New Roman" w:cs="Times New Roman"/>
                <w:szCs w:val="28"/>
              </w:rPr>
            </w:pPr>
            <m:oMath>
              <m:sSub>
                <m:sSubPr>
                  <m:ctrlPr>
                    <w:rPr>
                      <w:rFonts w:ascii="Cambria Math" w:eastAsiaTheme="minorEastAsia" w:hAnsi="Cambria Math" w:cs="Times New Roman"/>
                      <w:sz w:val="24"/>
                      <w:szCs w:val="28"/>
                      <w:lang w:eastAsia="ru-RU"/>
                    </w:rPr>
                  </m:ctrlPr>
                </m:sSubPr>
                <m:e>
                  <m:r>
                    <w:rPr>
                      <w:rFonts w:ascii="Cambria Math" w:eastAsiaTheme="minorEastAsia" w:hAnsi="Cambria Math" w:cs="Times New Roman"/>
                      <w:szCs w:val="28"/>
                    </w:rPr>
                    <m:t>КЯ</m:t>
                  </m:r>
                </m:e>
                <m:sub>
                  <m:r>
                    <w:rPr>
                      <w:rFonts w:ascii="Cambria Math" w:hAnsi="Cambria Math" w:cs="Times New Roman"/>
                      <w:szCs w:val="28"/>
                    </w:rPr>
                    <m:t xml:space="preserve">t </m:t>
                  </m:r>
                </m:sub>
              </m:sSub>
              <m:r>
                <w:rPr>
                  <w:rFonts w:ascii="Cambria Math" w:hAnsi="Cambria Math" w:cs="Times New Roman"/>
                  <w:szCs w:val="28"/>
                </w:rPr>
                <m:t>=</m:t>
              </m:r>
              <m:sSub>
                <m:sSubPr>
                  <m:ctrlPr>
                    <w:rPr>
                      <w:rFonts w:ascii="Cambria Math" w:eastAsiaTheme="minorEastAsia" w:hAnsi="Cambria Math" w:cs="Times New Roman"/>
                      <w:sz w:val="24"/>
                      <w:szCs w:val="28"/>
                      <w:lang w:eastAsia="ru-RU"/>
                    </w:rPr>
                  </m:ctrlPr>
                </m:sSubPr>
                <m:e>
                  <m:r>
                    <w:rPr>
                      <w:rFonts w:ascii="Cambria Math" w:eastAsiaTheme="minorEastAsia" w:hAnsi="Cambria Math" w:cs="Times New Roman"/>
                      <w:szCs w:val="28"/>
                    </w:rPr>
                    <m:t>КЯ</m:t>
                  </m:r>
                </m:e>
                <m:sub>
                  <m:r>
                    <w:rPr>
                      <w:rFonts w:ascii="Cambria Math" w:hAnsi="Cambria Math" w:cs="Times New Roman"/>
                      <w:szCs w:val="28"/>
                    </w:rPr>
                    <m:t xml:space="preserve">яt </m:t>
                  </m:r>
                </m:sub>
              </m:sSub>
              <m:r>
                <m:rPr>
                  <m:sty m:val="p"/>
                </m:rPr>
                <w:rPr>
                  <w:rFonts w:ascii="Cambria Math" w:eastAsiaTheme="minorEastAsia" w:hAnsi="Cambria Math" w:cs="Times New Roman"/>
                  <w:szCs w:val="28"/>
                </w:rPr>
                <m:t xml:space="preserve">+ </m:t>
              </m:r>
              <m:sSub>
                <m:sSubPr>
                  <m:ctrlPr>
                    <w:rPr>
                      <w:rFonts w:ascii="Cambria Math" w:eastAsia="Times New Roman" w:hAnsi="Cambria Math" w:cs="Times New Roman"/>
                      <w:i/>
                      <w:sz w:val="24"/>
                      <w:szCs w:val="28"/>
                      <w:lang w:eastAsia="ru-RU"/>
                    </w:rPr>
                  </m:ctrlPr>
                </m:sSubPr>
                <m:e>
                  <m:r>
                    <w:rPr>
                      <w:rFonts w:ascii="Cambria Math" w:hAnsi="Cambria Math" w:cs="Times New Roman"/>
                      <w:szCs w:val="28"/>
                    </w:rPr>
                    <m:t>КЯ</m:t>
                  </m:r>
                </m:e>
                <m:sub>
                  <m:r>
                    <w:rPr>
                      <w:rFonts w:ascii="Cambria Math" w:hAnsi="Cambria Math" w:cs="Times New Roman"/>
                      <w:szCs w:val="28"/>
                    </w:rPr>
                    <m:t>нпt</m:t>
                  </m:r>
                </m:sub>
              </m:sSub>
              <m:r>
                <m:rPr>
                  <m:sty m:val="p"/>
                </m:rPr>
                <w:rPr>
                  <w:rFonts w:ascii="Cambria Math" w:eastAsiaTheme="minorEastAsia" w:hAnsi="Cambria Math" w:cs="Times New Roman"/>
                  <w:szCs w:val="28"/>
                </w:rPr>
                <m:t>+</m:t>
              </m:r>
              <m:r>
                <w:rPr>
                  <w:rFonts w:ascii="Cambria Math" w:eastAsiaTheme="minorEastAsia" w:hAnsi="Cambria Math" w:cs="Times New Roman"/>
                  <w:szCs w:val="28"/>
                </w:rPr>
                <m:t xml:space="preserve"> </m:t>
              </m:r>
              <m:sSub>
                <m:sSubPr>
                  <m:ctrlPr>
                    <w:rPr>
                      <w:rFonts w:ascii="Cambria Math" w:eastAsia="Times New Roman" w:hAnsi="Cambria Math" w:cs="Times New Roman"/>
                      <w:i/>
                      <w:sz w:val="24"/>
                      <w:szCs w:val="28"/>
                      <w:lang w:eastAsia="ru-RU"/>
                    </w:rPr>
                  </m:ctrlPr>
                </m:sSubPr>
                <m:e>
                  <m:r>
                    <w:rPr>
                      <w:rFonts w:ascii="Cambria Math" w:hAnsi="Cambria Math" w:cs="Times New Roman"/>
                      <w:szCs w:val="28"/>
                    </w:rPr>
                    <m:t>КЯ</m:t>
                  </m:r>
                </m:e>
                <m:sub>
                  <m:r>
                    <w:rPr>
                      <w:rFonts w:ascii="Cambria Math" w:hAnsi="Cambria Math" w:cs="Times New Roman"/>
                      <w:szCs w:val="28"/>
                    </w:rPr>
                    <m:t>прt</m:t>
                  </m:r>
                </m:sub>
              </m:sSub>
              <m:r>
                <m:rPr>
                  <m:sty m:val="p"/>
                </m:rPr>
                <w:rPr>
                  <w:rFonts w:ascii="Cambria Math" w:eastAsiaTheme="minorEastAsia" w:hAnsi="Cambria Math" w:cs="Times New Roman"/>
                  <w:szCs w:val="28"/>
                </w:rPr>
                <m:t>+</m:t>
              </m:r>
              <m:sSub>
                <m:sSubPr>
                  <m:ctrlPr>
                    <w:rPr>
                      <w:rFonts w:ascii="Cambria Math" w:eastAsia="Times New Roman" w:hAnsi="Cambria Math" w:cs="Times New Roman"/>
                      <w:i/>
                      <w:sz w:val="24"/>
                      <w:szCs w:val="28"/>
                      <w:lang w:eastAsia="ru-RU"/>
                    </w:rPr>
                  </m:ctrlPr>
                </m:sSubPr>
                <m:e>
                  <m:r>
                    <w:rPr>
                      <w:rFonts w:ascii="Cambria Math" w:hAnsi="Cambria Math" w:cs="Times New Roman"/>
                      <w:szCs w:val="28"/>
                    </w:rPr>
                    <m:t>КЯ</m:t>
                  </m:r>
                </m:e>
                <m:sub>
                  <m:r>
                    <w:rPr>
                      <w:rFonts w:ascii="Cambria Math" w:hAnsi="Cambria Math" w:cs="Times New Roman"/>
                      <w:szCs w:val="28"/>
                    </w:rPr>
                    <m:t>дt</m:t>
                  </m:r>
                </m:sub>
              </m:sSub>
            </m:oMath>
            <w:r w:rsidR="0050683E" w:rsidRPr="005A615E">
              <w:rPr>
                <w:rFonts w:ascii="Times New Roman" w:hAnsi="Times New Roman" w:cs="Times New Roman"/>
                <w:szCs w:val="28"/>
              </w:rPr>
              <w:t xml:space="preserve">, </w:t>
            </w:r>
            <w:r w:rsidR="0050683E" w:rsidRPr="005A615E">
              <w:rPr>
                <w:rFonts w:ascii="Times New Roman" w:eastAsiaTheme="minorEastAsia" w:hAnsi="Times New Roman" w:cs="Times New Roman"/>
                <w:szCs w:val="28"/>
              </w:rPr>
              <w:t xml:space="preserve">тис. грн,    </w:t>
            </w:r>
            <w:hyperlink r:id="rId309" w:tgtFrame="_blank" w:history="1">
              <w:r w:rsidR="0050683E" w:rsidRPr="005A615E">
                <w:rPr>
                  <w:rStyle w:val="a9"/>
                  <w:rFonts w:ascii="Times New Roman" w:eastAsiaTheme="minorEastAsia" w:hAnsi="Times New Roman" w:cs="Times New Roman"/>
                  <w:color w:val="auto"/>
                  <w:szCs w:val="28"/>
                </w:rPr>
                <w:t>(</w:t>
              </w:r>
            </w:hyperlink>
            <w:hyperlink r:id="rId310" w:tgtFrame="_blank" w:history="1">
              <w:r w:rsidR="0050683E" w:rsidRPr="005A615E">
                <w:rPr>
                  <w:rStyle w:val="a9"/>
                  <w:rFonts w:ascii="Times New Roman" w:eastAsiaTheme="minorEastAsia" w:hAnsi="Times New Roman" w:cs="Times New Roman"/>
                  <w:color w:val="auto"/>
                  <w:szCs w:val="28"/>
                </w:rPr>
                <w:t>32</w:t>
              </w:r>
            </w:hyperlink>
            <w:hyperlink r:id="rId311" w:tgtFrame="_blank" w:history="1">
              <w:r w:rsidR="0050683E" w:rsidRPr="005A615E">
                <w:rPr>
                  <w:rStyle w:val="a9"/>
                  <w:rFonts w:ascii="Times New Roman" w:eastAsiaTheme="minorEastAsia" w:hAnsi="Times New Roman" w:cs="Times New Roman"/>
                  <w:color w:val="auto"/>
                  <w:szCs w:val="28"/>
                </w:rPr>
                <w:t>)</w:t>
              </w:r>
            </w:hyperlink>
          </w:p>
          <w:p w:rsidR="0050683E" w:rsidRPr="005A615E" w:rsidRDefault="000D13C5" w:rsidP="0050683E">
            <w:pPr>
              <w:ind w:firstLine="709"/>
              <w:rPr>
                <w:rFonts w:ascii="Times New Roman" w:eastAsia="Times New Roman" w:hAnsi="Times New Roman" w:cs="Times New Roman"/>
                <w:szCs w:val="28"/>
              </w:rPr>
            </w:pPr>
            <m:oMath>
              <m:sSub>
                <m:sSubPr>
                  <m:ctrlPr>
                    <w:rPr>
                      <w:rFonts w:ascii="Cambria Math" w:eastAsia="Times New Roman" w:hAnsi="Cambria Math" w:cs="Times New Roman"/>
                      <w:sz w:val="24"/>
                      <w:szCs w:val="28"/>
                      <w:lang w:eastAsia="ru-RU"/>
                    </w:rPr>
                  </m:ctrlPr>
                </m:sSubPr>
                <m:e>
                  <m:r>
                    <m:rPr>
                      <m:sty m:val="p"/>
                    </m:rPr>
                    <w:rPr>
                      <w:rFonts w:ascii="Cambria Math" w:hAnsi="Cambria Math" w:cs="Times New Roman"/>
                      <w:szCs w:val="28"/>
                    </w:rPr>
                    <m:t>КЯ</m:t>
                  </m:r>
                </m:e>
                <m:sub>
                  <m:r>
                    <m:rPr>
                      <m:sty m:val="p"/>
                    </m:rPr>
                    <w:rPr>
                      <w:rFonts w:ascii="Cambria Math" w:hAnsi="Cambria Math" w:cs="Times New Roman"/>
                      <w:szCs w:val="28"/>
                    </w:rPr>
                    <m:t>я</m:t>
                  </m:r>
                  <m:r>
                    <w:rPr>
                      <w:rFonts w:ascii="Cambria Math" w:hAnsi="Cambria Math" w:cs="Times New Roman"/>
                      <w:szCs w:val="28"/>
                    </w:rPr>
                    <m:t>t</m:t>
                  </m:r>
                  <m:r>
                    <m:rPr>
                      <m:sty m:val="p"/>
                    </m:rPr>
                    <w:rPr>
                      <w:rFonts w:ascii="Cambria Math" w:hAnsi="Cambria Math" w:cs="Times New Roman"/>
                      <w:szCs w:val="28"/>
                    </w:rPr>
                    <m:t xml:space="preserve"> </m:t>
                  </m:r>
                </m:sub>
              </m:sSub>
            </m:oMath>
            <w:r w:rsidR="0050683E" w:rsidRPr="005A615E">
              <w:rPr>
                <w:rFonts w:ascii="Times New Roman" w:hAnsi="Times New Roman" w:cs="Times New Roman"/>
                <w:szCs w:val="28"/>
              </w:rPr>
              <w:t xml:space="preserve"> </w:t>
            </w:r>
            <m:oMath>
              <m:r>
                <m:rPr>
                  <m:sty m:val="p"/>
                </m:rPr>
                <w:rPr>
                  <w:rFonts w:ascii="Cambria Math" w:hAnsi="Cambria Math" w:cs="Times New Roman"/>
                  <w:szCs w:val="28"/>
                </w:rPr>
                <m:t>≤</m:t>
              </m:r>
            </m:oMath>
            <w:r w:rsidR="0050683E" w:rsidRPr="005A615E">
              <w:rPr>
                <w:rFonts w:ascii="Times New Roman" w:hAnsi="Times New Roman" w:cs="Times New Roman"/>
                <w:szCs w:val="28"/>
              </w:rPr>
              <w:t>0,02</w:t>
            </w:r>
          </w:p>
          <w:p w:rsidR="0050683E" w:rsidRPr="005A615E" w:rsidRDefault="000D13C5" w:rsidP="0050683E">
            <w:pPr>
              <w:ind w:firstLine="709"/>
              <w:rPr>
                <w:rFonts w:ascii="Times New Roman" w:hAnsi="Times New Roman" w:cs="Times New Roman"/>
                <w:szCs w:val="28"/>
              </w:rPr>
            </w:pPr>
            <m:oMath>
              <m:sSub>
                <m:sSubPr>
                  <m:ctrlPr>
                    <w:rPr>
                      <w:rFonts w:ascii="Cambria Math" w:eastAsia="Times New Roman" w:hAnsi="Cambria Math" w:cs="Times New Roman"/>
                      <w:sz w:val="24"/>
                      <w:szCs w:val="28"/>
                      <w:lang w:eastAsia="ru-RU"/>
                    </w:rPr>
                  </m:ctrlPr>
                </m:sSubPr>
                <m:e>
                  <m:sSub>
                    <m:sSubPr>
                      <m:ctrlPr>
                        <w:rPr>
                          <w:rFonts w:ascii="Cambria Math" w:eastAsia="Times New Roman" w:hAnsi="Cambria Math" w:cs="Times New Roman"/>
                          <w:sz w:val="24"/>
                          <w:szCs w:val="28"/>
                          <w:lang w:eastAsia="ru-RU"/>
                        </w:rPr>
                      </m:ctrlPr>
                    </m:sSubPr>
                    <m:e>
                      <m:r>
                        <m:rPr>
                          <m:sty m:val="p"/>
                        </m:rPr>
                        <w:rPr>
                          <w:rFonts w:ascii="Cambria Math" w:hAnsi="Cambria Math" w:cs="Times New Roman"/>
                          <w:szCs w:val="28"/>
                        </w:rPr>
                        <m:t>КЯ</m:t>
                      </m:r>
                    </m:e>
                    <m:sub>
                      <m:r>
                        <m:rPr>
                          <m:sty m:val="p"/>
                        </m:rPr>
                        <w:rPr>
                          <w:rFonts w:ascii="Cambria Math" w:hAnsi="Cambria Math" w:cs="Times New Roman"/>
                          <w:szCs w:val="28"/>
                        </w:rPr>
                        <m:t>нп</m:t>
                      </m:r>
                      <m:r>
                        <w:rPr>
                          <w:rFonts w:ascii="Cambria Math" w:hAnsi="Cambria Math" w:cs="Times New Roman"/>
                          <w:szCs w:val="28"/>
                        </w:rPr>
                        <m:t>t</m:t>
                      </m:r>
                    </m:sub>
                  </m:sSub>
                  <m:r>
                    <m:rPr>
                      <m:sty m:val="p"/>
                    </m:rPr>
                    <w:rPr>
                      <w:rFonts w:ascii="Cambria Math" w:hAnsi="Cambria Math" w:cs="Times New Roman"/>
                      <w:szCs w:val="28"/>
                    </w:rPr>
                    <m:t>; КЯ</m:t>
                  </m:r>
                </m:e>
                <m:sub>
                  <m:r>
                    <m:rPr>
                      <m:sty m:val="p"/>
                    </m:rPr>
                    <w:rPr>
                      <w:rFonts w:ascii="Cambria Math" w:hAnsi="Cambria Math" w:cs="Times New Roman"/>
                      <w:szCs w:val="28"/>
                    </w:rPr>
                    <m:t>пр</m:t>
                  </m:r>
                  <m:r>
                    <w:rPr>
                      <w:rFonts w:ascii="Cambria Math" w:hAnsi="Cambria Math" w:cs="Times New Roman"/>
                      <w:szCs w:val="28"/>
                    </w:rPr>
                    <m:t>t</m:t>
                  </m:r>
                </m:sub>
              </m:sSub>
              <m:r>
                <m:rPr>
                  <m:sty m:val="p"/>
                </m:rPr>
                <w:rPr>
                  <w:rFonts w:ascii="Cambria Math" w:hAnsi="Cambria Math" w:cs="Times New Roman"/>
                  <w:szCs w:val="28"/>
                </w:rPr>
                <m:t xml:space="preserve">; </m:t>
              </m:r>
              <m:sSub>
                <m:sSubPr>
                  <m:ctrlPr>
                    <w:rPr>
                      <w:rFonts w:ascii="Cambria Math" w:eastAsia="Times New Roman" w:hAnsi="Cambria Math" w:cs="Times New Roman"/>
                      <w:sz w:val="24"/>
                      <w:szCs w:val="28"/>
                      <w:lang w:eastAsia="ru-RU"/>
                    </w:rPr>
                  </m:ctrlPr>
                </m:sSubPr>
                <m:e>
                  <m:r>
                    <m:rPr>
                      <m:sty m:val="p"/>
                    </m:rPr>
                    <w:rPr>
                      <w:rFonts w:ascii="Cambria Math" w:hAnsi="Cambria Math" w:cs="Times New Roman"/>
                      <w:szCs w:val="28"/>
                    </w:rPr>
                    <m:t>КЯ</m:t>
                  </m:r>
                </m:e>
                <m:sub>
                  <m:r>
                    <m:rPr>
                      <m:sty m:val="p"/>
                    </m:rPr>
                    <w:rPr>
                      <w:rFonts w:ascii="Cambria Math" w:hAnsi="Cambria Math" w:cs="Times New Roman"/>
                      <w:szCs w:val="28"/>
                    </w:rPr>
                    <m:t>д</m:t>
                  </m:r>
                  <m:r>
                    <w:rPr>
                      <w:rFonts w:ascii="Cambria Math" w:hAnsi="Cambria Math" w:cs="Times New Roman"/>
                      <w:szCs w:val="28"/>
                    </w:rPr>
                    <m:t>t</m:t>
                  </m:r>
                </m:sub>
              </m:sSub>
              <m:r>
                <m:rPr>
                  <m:sty m:val="p"/>
                </m:rPr>
                <w:rPr>
                  <w:rFonts w:ascii="Cambria Math" w:hAnsi="Cambria Math" w:cs="Times New Roman"/>
                  <w:szCs w:val="28"/>
                </w:rPr>
                <m:t>≤</m:t>
              </m:r>
            </m:oMath>
            <w:r w:rsidR="0050683E" w:rsidRPr="005A615E">
              <w:rPr>
                <w:rFonts w:ascii="Times New Roman" w:hAnsi="Times New Roman" w:cs="Times New Roman"/>
                <w:szCs w:val="28"/>
              </w:rPr>
              <w:t>0,01</w:t>
            </w:r>
          </w:p>
          <w:tbl>
            <w:tblPr>
              <w:tblW w:w="3819" w:type="dxa"/>
              <w:tblCellSpacing w:w="22" w:type="dxa"/>
              <w:tblLayout w:type="fixed"/>
              <w:tblLook w:val="04A0" w:firstRow="1" w:lastRow="0" w:firstColumn="1" w:lastColumn="0" w:noHBand="0" w:noVBand="1"/>
            </w:tblPr>
            <w:tblGrid>
              <w:gridCol w:w="1580"/>
              <w:gridCol w:w="346"/>
              <w:gridCol w:w="1461"/>
              <w:gridCol w:w="432"/>
            </w:tblGrid>
            <w:tr w:rsidR="0050683E" w:rsidRPr="005A615E" w:rsidTr="0050683E">
              <w:trPr>
                <w:trHeight w:val="382"/>
                <w:tblCellSpacing w:w="22" w:type="dxa"/>
              </w:trPr>
              <w:tc>
                <w:tcPr>
                  <w:tcW w:w="1982" w:type="pct"/>
                  <w:tcMar>
                    <w:top w:w="15" w:type="dxa"/>
                    <w:left w:w="15" w:type="dxa"/>
                    <w:bottom w:w="15" w:type="dxa"/>
                    <w:right w:w="15" w:type="dxa"/>
                  </w:tcMar>
                  <w:vAlign w:val="center"/>
                  <w:hideMark/>
                </w:tcPr>
                <w:p w:rsidR="0050683E" w:rsidRPr="005A615E" w:rsidRDefault="000D13C5" w:rsidP="0050683E">
                  <w:pPr>
                    <w:rPr>
                      <w:rFonts w:ascii="Times New Roman" w:hAnsi="Times New Roman" w:cs="Times New Roman"/>
                      <w:szCs w:val="24"/>
                    </w:rPr>
                  </w:pPr>
                  <m:oMathPara>
                    <m:oMath>
                      <m:sSub>
                        <m:sSubPr>
                          <m:ctrlPr>
                            <w:rPr>
                              <w:rFonts w:ascii="Cambria Math" w:eastAsiaTheme="minorEastAsia" w:hAnsi="Cambria Math" w:cs="Times New Roman"/>
                              <w:lang w:eastAsia="ru-RU"/>
                            </w:rPr>
                          </m:ctrlPr>
                        </m:sSubPr>
                        <m:e>
                          <m:r>
                            <w:rPr>
                              <w:rFonts w:ascii="Cambria Math" w:eastAsiaTheme="minorEastAsia" w:hAnsi="Cambria Math" w:cs="Times New Roman"/>
                            </w:rPr>
                            <m:t>КЯ</m:t>
                          </m:r>
                        </m:e>
                        <m:sub>
                          <m:r>
                            <w:rPr>
                              <w:rFonts w:ascii="Cambria Math" w:hAnsi="Cambria Math" w:cs="Times New Roman"/>
                            </w:rPr>
                            <m:t xml:space="preserve">t </m:t>
                          </m:r>
                        </m:sub>
                      </m:sSub>
                      <m:r>
                        <w:rPr>
                          <w:rFonts w:ascii="Cambria Math" w:hAnsi="Cambria Math" w:cs="Times New Roman"/>
                        </w:rPr>
                        <m:t xml:space="preserve">˂-0,05 × </m:t>
                      </m:r>
                      <m:sSubSup>
                        <m:sSubSupPr>
                          <m:ctrlPr>
                            <w:rPr>
                              <w:rFonts w:ascii="Cambria Math" w:eastAsia="Times New Roman" w:hAnsi="Cambria Math" w:cs="Times New Roman"/>
                              <w:i/>
                              <w:lang w:eastAsia="ru-RU"/>
                            </w:rPr>
                          </m:ctrlPr>
                        </m:sSubSupPr>
                        <m:e>
                          <m:r>
                            <w:rPr>
                              <w:rFonts w:ascii="Cambria Math" w:hAnsi="Cambria Math" w:cs="Times New Roman"/>
                            </w:rPr>
                            <m:t>НД</m:t>
                          </m:r>
                        </m:e>
                        <m:sub>
                          <m:r>
                            <w:rPr>
                              <w:rFonts w:ascii="Cambria Math" w:hAnsi="Cambria Math" w:cs="Times New Roman"/>
                            </w:rPr>
                            <m:t>t-2</m:t>
                          </m:r>
                        </m:sub>
                        <m:sup>
                          <m:r>
                            <w:rPr>
                              <w:rFonts w:ascii="Cambria Math" w:hAnsi="Cambria Math" w:cs="Times New Roman"/>
                            </w:rPr>
                            <m:t>n</m:t>
                          </m:r>
                        </m:sup>
                      </m:sSubSup>
                    </m:oMath>
                  </m:oMathPara>
                </w:p>
              </w:tc>
              <w:tc>
                <w:tcPr>
                  <w:tcW w:w="395" w:type="pct"/>
                  <w:tcMar>
                    <w:top w:w="15" w:type="dxa"/>
                    <w:left w:w="15" w:type="dxa"/>
                    <w:bottom w:w="15" w:type="dxa"/>
                    <w:right w:w="15" w:type="dxa"/>
                  </w:tcMar>
                  <w:vAlign w:val="center"/>
                  <w:hideMark/>
                </w:tcPr>
                <w:p w:rsidR="0050683E" w:rsidRPr="005A615E" w:rsidRDefault="000D13C5" w:rsidP="0050683E">
                  <w:pPr>
                    <w:rPr>
                      <w:rFonts w:ascii="Times New Roman" w:hAnsi="Times New Roman" w:cs="Times New Roman"/>
                      <w:sz w:val="24"/>
                    </w:rPr>
                  </w:pPr>
                  <w:hyperlink r:id="rId312" w:tgtFrame="_blank" w:history="1">
                    <w:r w:rsidR="0050683E" w:rsidRPr="005A615E">
                      <w:rPr>
                        <w:rStyle w:val="a9"/>
                        <w:rFonts w:ascii="Times New Roman" w:hAnsi="Times New Roman" w:cs="Times New Roman"/>
                        <w:color w:val="auto"/>
                      </w:rPr>
                      <w:t>, то</w:t>
                    </w:r>
                  </w:hyperlink>
                </w:p>
              </w:tc>
              <w:tc>
                <w:tcPr>
                  <w:tcW w:w="1854" w:type="pct"/>
                  <w:tcMar>
                    <w:top w:w="15" w:type="dxa"/>
                    <w:left w:w="15" w:type="dxa"/>
                    <w:bottom w:w="15" w:type="dxa"/>
                    <w:right w:w="15" w:type="dxa"/>
                  </w:tcMar>
                  <w:vAlign w:val="center"/>
                  <w:hideMark/>
                </w:tcPr>
                <w:p w:rsidR="0050683E" w:rsidRPr="005A615E" w:rsidRDefault="000D13C5" w:rsidP="0050683E">
                  <w:pPr>
                    <w:rPr>
                      <w:rFonts w:ascii="Times New Roman" w:hAnsi="Times New Roman" w:cs="Times New Roman"/>
                    </w:rPr>
                  </w:pPr>
                  <m:oMath>
                    <m:sSub>
                      <m:sSubPr>
                        <m:ctrlPr>
                          <w:rPr>
                            <w:rFonts w:ascii="Cambria Math" w:eastAsiaTheme="minorEastAsia" w:hAnsi="Cambria Math" w:cs="Times New Roman"/>
                            <w:lang w:eastAsia="ru-RU"/>
                          </w:rPr>
                        </m:ctrlPr>
                      </m:sSubPr>
                      <m:e>
                        <m:r>
                          <w:rPr>
                            <w:rFonts w:ascii="Cambria Math" w:eastAsiaTheme="minorEastAsia" w:hAnsi="Cambria Math" w:cs="Times New Roman"/>
                          </w:rPr>
                          <m:t>КЯ</m:t>
                        </m:r>
                      </m:e>
                      <m:sub>
                        <m:r>
                          <w:rPr>
                            <w:rFonts w:ascii="Cambria Math" w:hAnsi="Cambria Math" w:cs="Times New Roman"/>
                          </w:rPr>
                          <m:t xml:space="preserve">t </m:t>
                        </m:r>
                      </m:sub>
                    </m:sSub>
                    <m:r>
                      <w:rPr>
                        <w:rFonts w:ascii="Cambria Math" w:hAnsi="Cambria Math" w:cs="Times New Roman"/>
                      </w:rPr>
                      <m:t xml:space="preserve">=-0,05 × </m:t>
                    </m:r>
                    <m:sSubSup>
                      <m:sSubSupPr>
                        <m:ctrlPr>
                          <w:rPr>
                            <w:rFonts w:ascii="Cambria Math" w:eastAsia="Times New Roman" w:hAnsi="Cambria Math" w:cs="Times New Roman"/>
                            <w:i/>
                            <w:lang w:eastAsia="ru-RU"/>
                          </w:rPr>
                        </m:ctrlPr>
                      </m:sSubSupPr>
                      <m:e>
                        <m:r>
                          <w:rPr>
                            <w:rFonts w:ascii="Cambria Math" w:hAnsi="Cambria Math" w:cs="Times New Roman"/>
                          </w:rPr>
                          <m:t>НД</m:t>
                        </m:r>
                      </m:e>
                      <m:sub>
                        <m:r>
                          <w:rPr>
                            <w:rFonts w:ascii="Cambria Math" w:hAnsi="Cambria Math" w:cs="Times New Roman"/>
                          </w:rPr>
                          <m:t>t-2</m:t>
                        </m:r>
                      </m:sub>
                      <m:sup>
                        <m:r>
                          <w:rPr>
                            <w:rFonts w:ascii="Cambria Math" w:hAnsi="Cambria Math" w:cs="Times New Roman"/>
                          </w:rPr>
                          <m:t>n</m:t>
                        </m:r>
                      </m:sup>
                    </m:sSubSup>
                  </m:oMath>
                  <w:r w:rsidR="0050683E" w:rsidRPr="005A615E">
                    <w:rPr>
                      <w:rFonts w:ascii="Times New Roman" w:eastAsiaTheme="minorEastAsia" w:hAnsi="Times New Roman" w:cs="Times New Roman"/>
                    </w:rPr>
                    <w:t>,</w:t>
                  </w:r>
                </w:p>
              </w:tc>
              <w:tc>
                <w:tcPr>
                  <w:tcW w:w="480" w:type="pct"/>
                  <w:tcMar>
                    <w:top w:w="15" w:type="dxa"/>
                    <w:left w:w="15" w:type="dxa"/>
                    <w:bottom w:w="15" w:type="dxa"/>
                    <w:right w:w="15" w:type="dxa"/>
                  </w:tcMar>
                  <w:vAlign w:val="center"/>
                  <w:hideMark/>
                </w:tcPr>
                <w:p w:rsidR="0050683E" w:rsidRPr="005A615E" w:rsidRDefault="000D13C5" w:rsidP="0050683E">
                  <w:pPr>
                    <w:rPr>
                      <w:rFonts w:ascii="Times New Roman" w:hAnsi="Times New Roman" w:cs="Times New Roman"/>
                      <w:sz w:val="24"/>
                    </w:rPr>
                  </w:pPr>
                  <w:hyperlink r:id="rId313" w:tgtFrame="_blank" w:history="1">
                    <w:r w:rsidR="0050683E" w:rsidRPr="005A615E">
                      <w:rPr>
                        <w:rStyle w:val="a9"/>
                        <w:rFonts w:ascii="Times New Roman" w:hAnsi="Times New Roman" w:cs="Times New Roman"/>
                        <w:color w:val="auto"/>
                      </w:rPr>
                      <w:t xml:space="preserve"> тис. грн;</w:t>
                    </w:r>
                  </w:hyperlink>
                  <w:r w:rsidR="0050683E" w:rsidRPr="005A615E">
                    <w:rPr>
                      <w:rFonts w:ascii="Times New Roman" w:hAnsi="Times New Roman" w:cs="Times New Roman"/>
                    </w:rPr>
                    <w:t xml:space="preserve">   (33)</w:t>
                  </w:r>
                </w:p>
              </w:tc>
            </w:tr>
          </w:tbl>
          <w:p w:rsidR="0050683E" w:rsidRPr="005A615E" w:rsidRDefault="0050683E" w:rsidP="0050683E">
            <w:pPr>
              <w:ind w:firstLine="709"/>
              <w:jc w:val="both"/>
              <w:rPr>
                <w:rFonts w:ascii="Times New Roman" w:hAnsi="Times New Roman" w:cs="Times New Roman"/>
                <w:szCs w:val="28"/>
              </w:rPr>
            </w:pPr>
            <w:r w:rsidRPr="005A615E">
              <w:rPr>
                <w:rFonts w:ascii="Times New Roman" w:hAnsi="Times New Roman" w:cs="Times New Roman"/>
                <w:szCs w:val="28"/>
              </w:rPr>
              <w:t>1) тривалість довгих перерв в електропостачанні, на рік t визначається за формулами</w:t>
            </w:r>
          </w:p>
          <w:p w:rsidR="0050683E" w:rsidRPr="005A615E" w:rsidRDefault="000D13C5" w:rsidP="0050683E">
            <w:pPr>
              <w:rPr>
                <w:rFonts w:ascii="Times New Roman" w:hAnsi="Times New Roman" w:cs="Times New Roman"/>
                <w:szCs w:val="28"/>
              </w:rPr>
            </w:pPr>
            <m:oMath>
              <m:sSub>
                <m:sSubPr>
                  <m:ctrlPr>
                    <w:rPr>
                      <w:rFonts w:ascii="Cambria Math" w:eastAsiaTheme="minorEastAsia" w:hAnsi="Cambria Math" w:cs="Times New Roman"/>
                      <w:sz w:val="24"/>
                      <w:szCs w:val="28"/>
                      <w:lang w:eastAsia="ru-RU"/>
                    </w:rPr>
                  </m:ctrlPr>
                </m:sSubPr>
                <m:e>
                  <m:r>
                    <w:rPr>
                      <w:rFonts w:ascii="Cambria Math" w:eastAsiaTheme="minorEastAsia" w:hAnsi="Cambria Math" w:cs="Times New Roman"/>
                      <w:szCs w:val="28"/>
                    </w:rPr>
                    <m:t>КЯ</m:t>
                  </m:r>
                </m:e>
                <m:sub>
                  <m:r>
                    <w:rPr>
                      <w:rFonts w:ascii="Cambria Math" w:hAnsi="Cambria Math" w:cs="Times New Roman"/>
                      <w:szCs w:val="28"/>
                    </w:rPr>
                    <m:t xml:space="preserve">яt </m:t>
                  </m:r>
                </m:sub>
              </m:sSub>
              <m:r>
                <w:rPr>
                  <w:rFonts w:ascii="Cambria Math" w:hAnsi="Cambria Math" w:cs="Times New Roman"/>
                  <w:szCs w:val="28"/>
                </w:rPr>
                <m:t>=</m:t>
              </m:r>
              <m:sSubSup>
                <m:sSubSupPr>
                  <m:ctrlPr>
                    <w:rPr>
                      <w:rFonts w:ascii="Cambria Math" w:eastAsia="Times New Roman" w:hAnsi="Cambria Math" w:cs="Times New Roman"/>
                      <w:i/>
                      <w:sz w:val="24"/>
                      <w:szCs w:val="28"/>
                      <w:lang w:eastAsia="ru-RU"/>
                    </w:rPr>
                  </m:ctrlPr>
                </m:sSubSupPr>
                <m:e>
                  <m:r>
                    <w:rPr>
                      <w:rFonts w:ascii="Cambria Math" w:hAnsi="Cambria Math" w:cs="Times New Roman"/>
                      <w:szCs w:val="28"/>
                    </w:rPr>
                    <m:t>КЯ</m:t>
                  </m:r>
                </m:e>
                <m:sub>
                  <m:r>
                    <w:rPr>
                      <w:rFonts w:ascii="Cambria Math" w:hAnsi="Cambria Math" w:cs="Times New Roman"/>
                      <w:szCs w:val="28"/>
                    </w:rPr>
                    <m:t>яt</m:t>
                  </m:r>
                </m:sub>
                <m:sup>
                  <m:r>
                    <w:rPr>
                      <w:rFonts w:ascii="Cambria Math" w:hAnsi="Cambria Math" w:cs="Times New Roman"/>
                      <w:szCs w:val="28"/>
                    </w:rPr>
                    <m:t>м</m:t>
                  </m:r>
                </m:sup>
              </m:sSubSup>
              <m:r>
                <m:rPr>
                  <m:sty m:val="p"/>
                </m:rPr>
                <w:rPr>
                  <w:rFonts w:ascii="Cambria Math" w:eastAsiaTheme="minorEastAsia" w:hAnsi="Cambria Math" w:cs="Times New Roman"/>
                  <w:szCs w:val="28"/>
                </w:rPr>
                <m:t>+</m:t>
              </m:r>
              <m:sSubSup>
                <m:sSubSupPr>
                  <m:ctrlPr>
                    <w:rPr>
                      <w:rFonts w:ascii="Cambria Math" w:eastAsia="Times New Roman" w:hAnsi="Cambria Math" w:cs="Times New Roman"/>
                      <w:i/>
                      <w:sz w:val="24"/>
                      <w:szCs w:val="28"/>
                      <w:lang w:eastAsia="ru-RU"/>
                    </w:rPr>
                  </m:ctrlPr>
                </m:sSubSupPr>
                <m:e>
                  <m:r>
                    <w:rPr>
                      <w:rFonts w:ascii="Cambria Math" w:hAnsi="Cambria Math" w:cs="Times New Roman"/>
                      <w:szCs w:val="28"/>
                    </w:rPr>
                    <m:t>КЯ</m:t>
                  </m:r>
                </m:e>
                <m:sub>
                  <m:r>
                    <w:rPr>
                      <w:rFonts w:ascii="Cambria Math" w:hAnsi="Cambria Math" w:cs="Times New Roman"/>
                      <w:szCs w:val="28"/>
                    </w:rPr>
                    <m:t>яt</m:t>
                  </m:r>
                </m:sub>
                <m:sup>
                  <m:r>
                    <w:rPr>
                      <w:rFonts w:ascii="Cambria Math" w:hAnsi="Cambria Math" w:cs="Times New Roman"/>
                      <w:szCs w:val="28"/>
                    </w:rPr>
                    <m:t>с</m:t>
                  </m:r>
                </m:sup>
              </m:sSubSup>
            </m:oMath>
            <w:r w:rsidR="0050683E" w:rsidRPr="005A615E">
              <w:rPr>
                <w:rFonts w:ascii="Times New Roman" w:hAnsi="Times New Roman" w:cs="Times New Roman"/>
                <w:szCs w:val="28"/>
              </w:rPr>
              <w:t xml:space="preserve"> ,    </w:t>
            </w:r>
            <w:r w:rsidR="0050683E" w:rsidRPr="005A615E">
              <w:rPr>
                <w:rFonts w:ascii="Times New Roman" w:eastAsiaTheme="minorEastAsia" w:hAnsi="Times New Roman" w:cs="Times New Roman"/>
                <w:szCs w:val="28"/>
              </w:rPr>
              <w:t>тис. грн,    (34)</w:t>
            </w:r>
          </w:p>
          <w:p w:rsidR="0050683E" w:rsidRPr="005A615E" w:rsidRDefault="000D13C5" w:rsidP="0050683E">
            <w:pPr>
              <w:ind w:firstLine="709"/>
              <w:jc w:val="both"/>
              <w:rPr>
                <w:rFonts w:ascii="Times New Roman" w:hAnsi="Times New Roman" w:cs="Times New Roman"/>
                <w:szCs w:val="28"/>
              </w:rPr>
            </w:pPr>
            <w:hyperlink r:id="rId314" w:tgtFrame="_blank" w:history="1">
              <w:r w:rsidR="0050683E" w:rsidRPr="005A615E">
                <w:rPr>
                  <w:rStyle w:val="a9"/>
                  <w:rFonts w:ascii="Times New Roman" w:hAnsi="Times New Roman" w:cs="Times New Roman"/>
                  <w:color w:val="auto"/>
                  <w:szCs w:val="28"/>
                </w:rPr>
                <w:t>де  </w:t>
              </w:r>
            </w:hyperlink>
            <m:oMath>
              <m:sSubSup>
                <m:sSubSupPr>
                  <m:ctrlPr>
                    <w:rPr>
                      <w:rFonts w:ascii="Cambria Math" w:eastAsia="Times New Roman" w:hAnsi="Cambria Math" w:cs="Times New Roman"/>
                      <w:i/>
                      <w:sz w:val="24"/>
                      <w:szCs w:val="28"/>
                      <w:lang w:eastAsia="ru-RU"/>
                    </w:rPr>
                  </m:ctrlPr>
                </m:sSubSupPr>
                <m:e>
                  <m:r>
                    <m:rPr>
                      <m:sty m:val="p"/>
                    </m:rPr>
                    <w:rPr>
                      <w:rFonts w:ascii="Cambria Math" w:hAnsi="Cambria Math" w:cs="Times New Roman"/>
                      <w:szCs w:val="28"/>
                    </w:rPr>
                    <m:t>КЯ</m:t>
                  </m:r>
                </m:e>
                <m:sub>
                  <m:r>
                    <m:rPr>
                      <m:sty m:val="p"/>
                    </m:rPr>
                    <w:rPr>
                      <w:rFonts w:ascii="Cambria Math" w:hAnsi="Cambria Math" w:cs="Times New Roman"/>
                      <w:szCs w:val="28"/>
                    </w:rPr>
                    <m:t>яt</m:t>
                  </m:r>
                </m:sub>
                <m:sup>
                  <m:r>
                    <m:rPr>
                      <m:sty m:val="p"/>
                    </m:rPr>
                    <w:rPr>
                      <w:rFonts w:ascii="Cambria Math" w:hAnsi="Cambria Math" w:cs="Times New Roman"/>
                      <w:szCs w:val="28"/>
                    </w:rPr>
                    <m:t>м(с)</m:t>
                  </m:r>
                </m:sup>
              </m:sSubSup>
            </m:oMath>
            <w:r w:rsidR="0050683E" w:rsidRPr="005A615E">
              <w:rPr>
                <w:rFonts w:ascii="Times New Roman" w:hAnsi="Times New Roman" w:cs="Times New Roman"/>
                <w:szCs w:val="28"/>
              </w:rPr>
              <w:t>– складові якості послуг для міської (сільської) території, що розраховуються за формулами</w:t>
            </w:r>
          </w:p>
          <w:p w:rsidR="0050683E" w:rsidRPr="005A615E" w:rsidRDefault="000D13C5" w:rsidP="0050683E">
            <w:pPr>
              <w:ind w:left="507" w:hanging="567"/>
              <w:rPr>
                <w:rFonts w:ascii="Times New Roman" w:eastAsiaTheme="minorEastAsia" w:hAnsi="Times New Roman" w:cs="Times New Roman"/>
                <w:szCs w:val="28"/>
              </w:rPr>
            </w:pPr>
            <m:oMath>
              <m:sSubSup>
                <m:sSubSupPr>
                  <m:ctrlPr>
                    <w:rPr>
                      <w:rFonts w:ascii="Cambria Math" w:eastAsia="Times New Roman" w:hAnsi="Cambria Math" w:cs="Times New Roman"/>
                      <w:i/>
                      <w:lang w:eastAsia="ru-RU"/>
                    </w:rPr>
                  </m:ctrlPr>
                </m:sSubSupPr>
                <m:e>
                  <m:r>
                    <w:rPr>
                      <w:rFonts w:ascii="Cambria Math" w:hAnsi="Cambria Math" w:cs="Times New Roman"/>
                      <w:sz w:val="20"/>
                    </w:rPr>
                    <m:t>КЯ</m:t>
                  </m:r>
                </m:e>
                <m:sub>
                  <m:r>
                    <w:rPr>
                      <w:rFonts w:ascii="Cambria Math" w:hAnsi="Cambria Math" w:cs="Times New Roman"/>
                      <w:sz w:val="20"/>
                    </w:rPr>
                    <m:t>яt</m:t>
                  </m:r>
                </m:sub>
                <m:sup>
                  <m:r>
                    <w:rPr>
                      <w:rFonts w:ascii="Cambria Math" w:hAnsi="Cambria Math" w:cs="Times New Roman"/>
                      <w:sz w:val="20"/>
                    </w:rPr>
                    <m:t>м(с)</m:t>
                  </m:r>
                </m:sup>
              </m:sSubSup>
              <m:r>
                <w:rPr>
                  <w:rFonts w:ascii="Cambria Math" w:hAnsi="Cambria Math" w:cs="Times New Roman"/>
                  <w:sz w:val="20"/>
                </w:rPr>
                <m:t>=</m:t>
              </m:r>
              <m:d>
                <m:dPr>
                  <m:ctrlPr>
                    <w:rPr>
                      <w:rFonts w:ascii="Cambria Math" w:eastAsia="Times New Roman" w:hAnsi="Cambria Math" w:cs="Times New Roman"/>
                      <w:i/>
                      <w:lang w:eastAsia="ru-RU"/>
                    </w:rPr>
                  </m:ctrlPr>
                </m:dPr>
                <m:e>
                  <m:sSubSup>
                    <m:sSubSupPr>
                      <m:ctrlPr>
                        <w:rPr>
                          <w:rFonts w:ascii="Cambria Math" w:eastAsia="Times New Roman" w:hAnsi="Cambria Math" w:cs="Times New Roman"/>
                          <w:i/>
                          <w:lang w:eastAsia="ru-RU"/>
                        </w:rPr>
                      </m:ctrlPr>
                    </m:sSubSupPr>
                    <m:e>
                      <m:r>
                        <w:rPr>
                          <w:rFonts w:ascii="Cambria Math" w:hAnsi="Cambria Math" w:cs="Times New Roman"/>
                          <w:sz w:val="20"/>
                        </w:rPr>
                        <m:t>SAIDI</m:t>
                      </m:r>
                    </m:e>
                    <m:sub>
                      <m:r>
                        <w:rPr>
                          <w:rFonts w:ascii="Cambria Math" w:hAnsi="Cambria Math" w:cs="Times New Roman"/>
                          <w:sz w:val="20"/>
                        </w:rPr>
                        <m:t>t-2</m:t>
                      </m:r>
                    </m:sub>
                    <m:sup>
                      <m:r>
                        <w:rPr>
                          <w:rFonts w:ascii="Cambria Math" w:hAnsi="Cambria Math" w:cs="Times New Roman"/>
                          <w:sz w:val="20"/>
                        </w:rPr>
                        <m:t>м</m:t>
                      </m:r>
                      <m:d>
                        <m:dPr>
                          <m:ctrlPr>
                            <w:rPr>
                              <w:rFonts w:ascii="Cambria Math" w:eastAsia="Times New Roman" w:hAnsi="Cambria Math" w:cs="Times New Roman"/>
                              <w:i/>
                              <w:lang w:eastAsia="ru-RU"/>
                            </w:rPr>
                          </m:ctrlPr>
                        </m:dPr>
                        <m:e>
                          <m:r>
                            <w:rPr>
                              <w:rFonts w:ascii="Cambria Math" w:hAnsi="Cambria Math" w:cs="Times New Roman"/>
                              <w:sz w:val="20"/>
                            </w:rPr>
                            <m:t>с</m:t>
                          </m:r>
                        </m:e>
                      </m:d>
                      <m:r>
                        <w:rPr>
                          <w:rFonts w:ascii="Cambria Math" w:hAnsi="Cambria Math" w:cs="Times New Roman"/>
                          <w:sz w:val="20"/>
                        </w:rPr>
                        <m:t>р</m:t>
                      </m:r>
                    </m:sup>
                  </m:sSubSup>
                  <m:r>
                    <w:rPr>
                      <w:rFonts w:ascii="Cambria Math" w:hAnsi="Cambria Math" w:cs="Times New Roman"/>
                      <w:sz w:val="20"/>
                    </w:rPr>
                    <m:t>-</m:t>
                  </m:r>
                  <m:sSubSup>
                    <m:sSubSupPr>
                      <m:ctrlPr>
                        <w:rPr>
                          <w:rFonts w:ascii="Cambria Math" w:eastAsia="Times New Roman" w:hAnsi="Cambria Math" w:cs="Times New Roman"/>
                          <w:i/>
                          <w:lang w:eastAsia="ru-RU"/>
                        </w:rPr>
                      </m:ctrlPr>
                    </m:sSubSupPr>
                    <m:e>
                      <m:r>
                        <w:rPr>
                          <w:rFonts w:ascii="Cambria Math" w:hAnsi="Cambria Math" w:cs="Times New Roman"/>
                          <w:sz w:val="20"/>
                        </w:rPr>
                        <m:t>SAIDI</m:t>
                      </m:r>
                    </m:e>
                    <m:sub>
                      <m:r>
                        <w:rPr>
                          <w:rFonts w:ascii="Cambria Math" w:hAnsi="Cambria Math" w:cs="Times New Roman"/>
                          <w:sz w:val="20"/>
                        </w:rPr>
                        <m:t>t-2</m:t>
                      </m:r>
                    </m:sub>
                    <m:sup>
                      <m:r>
                        <w:rPr>
                          <w:rFonts w:ascii="Cambria Math" w:hAnsi="Cambria Math" w:cs="Times New Roman"/>
                          <w:sz w:val="20"/>
                        </w:rPr>
                        <m:t>м</m:t>
                      </m:r>
                      <m:d>
                        <m:dPr>
                          <m:ctrlPr>
                            <w:rPr>
                              <w:rFonts w:ascii="Cambria Math" w:eastAsia="Times New Roman" w:hAnsi="Cambria Math" w:cs="Times New Roman"/>
                              <w:i/>
                              <w:lang w:eastAsia="ru-RU"/>
                            </w:rPr>
                          </m:ctrlPr>
                        </m:dPr>
                        <m:e>
                          <m:r>
                            <w:rPr>
                              <w:rFonts w:ascii="Cambria Math" w:hAnsi="Cambria Math" w:cs="Times New Roman"/>
                              <w:sz w:val="20"/>
                            </w:rPr>
                            <m:t>с</m:t>
                          </m:r>
                        </m:e>
                      </m:d>
                      <m:r>
                        <w:rPr>
                          <w:rFonts w:ascii="Cambria Math" w:hAnsi="Cambria Math" w:cs="Times New Roman"/>
                          <w:sz w:val="20"/>
                        </w:rPr>
                        <m:t>ф</m:t>
                      </m:r>
                    </m:sup>
                  </m:sSubSup>
                </m:e>
              </m:d>
              <m:r>
                <w:rPr>
                  <w:rFonts w:ascii="Cambria Math" w:hAnsi="Cambria Math" w:cs="Times New Roman"/>
                  <w:sz w:val="20"/>
                </w:rPr>
                <m:t>×</m:t>
              </m:r>
              <m:f>
                <m:fPr>
                  <m:ctrlPr>
                    <w:rPr>
                      <w:rFonts w:ascii="Cambria Math" w:eastAsiaTheme="minorEastAsia" w:hAnsi="Cambria Math" w:cs="Times New Roman"/>
                      <w:i/>
                      <w:lang w:eastAsia="ru-RU"/>
                    </w:rPr>
                  </m:ctrlPr>
                </m:fPr>
                <m:num>
                  <m:r>
                    <w:rPr>
                      <w:rFonts w:ascii="Cambria Math" w:eastAsiaTheme="minorEastAsia" w:hAnsi="Cambria Math" w:cs="Times New Roman"/>
                      <w:sz w:val="20"/>
                    </w:rPr>
                    <m:t xml:space="preserve">ПКя </m:t>
                  </m:r>
                  <m:r>
                    <w:rPr>
                      <w:rFonts w:ascii="Cambria Math" w:hAnsi="Cambria Math" w:cs="Times New Roman"/>
                      <w:sz w:val="20"/>
                    </w:rPr>
                    <m:t xml:space="preserve">× </m:t>
                  </m:r>
                  <m:sSub>
                    <m:sSubPr>
                      <m:ctrlPr>
                        <w:rPr>
                          <w:rFonts w:ascii="Cambria Math" w:eastAsiaTheme="minorEastAsia" w:hAnsi="Cambria Math" w:cs="Times New Roman"/>
                          <w:i/>
                          <w:lang w:eastAsia="ru-RU"/>
                        </w:rPr>
                      </m:ctrlPr>
                    </m:sSubPr>
                    <m:e>
                      <m:r>
                        <w:rPr>
                          <w:rFonts w:ascii="Cambria Math" w:eastAsiaTheme="minorEastAsia" w:hAnsi="Cambria Math" w:cs="Times New Roman"/>
                          <w:sz w:val="20"/>
                        </w:rPr>
                        <m:t>Ц</m:t>
                      </m:r>
                    </m:e>
                    <m:sub>
                      <m:sSub>
                        <m:sSubPr>
                          <m:ctrlPr>
                            <w:rPr>
                              <w:rFonts w:ascii="Cambria Math" w:eastAsiaTheme="minorEastAsia" w:hAnsi="Cambria Math" w:cs="Times New Roman"/>
                              <w:i/>
                              <w:lang w:eastAsia="ru-RU"/>
                            </w:rPr>
                          </m:ctrlPr>
                        </m:sSubPr>
                        <m:e>
                          <m:r>
                            <w:rPr>
                              <w:rFonts w:ascii="Cambria Math" w:eastAsiaTheme="minorEastAsia" w:hAnsi="Cambria Math" w:cs="Times New Roman"/>
                              <w:sz w:val="20"/>
                            </w:rPr>
                            <m:t>2_</m:t>
                          </m:r>
                        </m:e>
                        <m:sub>
                          <m:r>
                            <w:rPr>
                              <w:rFonts w:ascii="Cambria Math" w:eastAsiaTheme="minorEastAsia" w:hAnsi="Cambria Math" w:cs="Times New Roman"/>
                              <w:sz w:val="20"/>
                            </w:rPr>
                            <m:t>t</m:t>
                          </m:r>
                        </m:sub>
                      </m:sSub>
                      <m:r>
                        <w:rPr>
                          <w:rFonts w:ascii="Cambria Math" w:eastAsiaTheme="minorEastAsia" w:hAnsi="Cambria Math" w:cs="Times New Roman"/>
                          <w:sz w:val="20"/>
                        </w:rPr>
                        <m:t>-2</m:t>
                      </m:r>
                    </m:sub>
                  </m:sSub>
                  <m:r>
                    <w:rPr>
                      <w:rFonts w:ascii="Cambria Math" w:hAnsi="Cambria Math" w:cs="Times New Roman"/>
                      <w:sz w:val="20"/>
                    </w:rPr>
                    <m:t xml:space="preserve"> ×</m:t>
                  </m:r>
                  <m:sSubSup>
                    <m:sSubSupPr>
                      <m:ctrlPr>
                        <w:rPr>
                          <w:rFonts w:ascii="Cambria Math" w:eastAsia="Times New Roman" w:hAnsi="Cambria Math" w:cs="Times New Roman"/>
                          <w:i/>
                          <w:lang w:eastAsia="ru-RU"/>
                        </w:rPr>
                      </m:ctrlPr>
                    </m:sSubSupPr>
                    <m:e>
                      <m:r>
                        <w:rPr>
                          <w:rFonts w:ascii="Cambria Math" w:hAnsi="Cambria Math" w:cs="Times New Roman"/>
                          <w:sz w:val="20"/>
                        </w:rPr>
                        <m:t>W</m:t>
                      </m:r>
                    </m:e>
                    <m:sub>
                      <m:sSub>
                        <m:sSubPr>
                          <m:ctrlPr>
                            <w:rPr>
                              <w:rFonts w:ascii="Cambria Math" w:eastAsiaTheme="minorEastAsia" w:hAnsi="Cambria Math" w:cs="Times New Roman"/>
                              <w:i/>
                              <w:lang w:eastAsia="ru-RU"/>
                            </w:rPr>
                          </m:ctrlPr>
                        </m:sSubPr>
                        <m:e>
                          <m:r>
                            <w:rPr>
                              <w:rFonts w:ascii="Cambria Math" w:eastAsiaTheme="minorEastAsia" w:hAnsi="Cambria Math" w:cs="Times New Roman"/>
                              <w:sz w:val="20"/>
                            </w:rPr>
                            <m:t>2_</m:t>
                          </m:r>
                        </m:e>
                        <m:sub>
                          <m:r>
                            <w:rPr>
                              <w:rFonts w:ascii="Cambria Math" w:eastAsiaTheme="minorEastAsia" w:hAnsi="Cambria Math" w:cs="Times New Roman"/>
                              <w:sz w:val="20"/>
                            </w:rPr>
                            <m:t>t</m:t>
                          </m:r>
                        </m:sub>
                      </m:sSub>
                      <m:r>
                        <w:rPr>
                          <w:rFonts w:ascii="Cambria Math" w:eastAsiaTheme="minorEastAsia" w:hAnsi="Cambria Math" w:cs="Times New Roman"/>
                          <w:sz w:val="20"/>
                        </w:rPr>
                        <m:t>-2</m:t>
                      </m:r>
                    </m:sub>
                    <m:sup>
                      <m:r>
                        <w:rPr>
                          <w:rFonts w:ascii="Cambria Math" w:hAnsi="Cambria Math" w:cs="Times New Roman"/>
                          <w:sz w:val="20"/>
                        </w:rPr>
                        <m:t>м</m:t>
                      </m:r>
                      <m:d>
                        <m:dPr>
                          <m:ctrlPr>
                            <w:rPr>
                              <w:rFonts w:ascii="Cambria Math" w:eastAsia="Times New Roman" w:hAnsi="Cambria Math" w:cs="Times New Roman"/>
                              <w:i/>
                              <w:lang w:eastAsia="ru-RU"/>
                            </w:rPr>
                          </m:ctrlPr>
                        </m:dPr>
                        <m:e>
                          <m:r>
                            <w:rPr>
                              <w:rFonts w:ascii="Cambria Math" w:hAnsi="Cambria Math" w:cs="Times New Roman"/>
                              <w:sz w:val="20"/>
                            </w:rPr>
                            <m:t>с</m:t>
                          </m:r>
                        </m:e>
                      </m:d>
                      <m:r>
                        <w:rPr>
                          <w:rFonts w:ascii="Cambria Math" w:hAnsi="Cambria Math" w:cs="Times New Roman"/>
                          <w:sz w:val="20"/>
                        </w:rPr>
                        <m:t>ф</m:t>
                      </m:r>
                    </m:sup>
                  </m:sSubSup>
                  <m:r>
                    <w:rPr>
                      <w:rFonts w:ascii="Cambria Math" w:eastAsiaTheme="minorEastAsia" w:hAnsi="Cambria Math" w:cs="Times New Roman"/>
                      <w:sz w:val="20"/>
                    </w:rPr>
                    <m:t xml:space="preserve"> </m:t>
                  </m:r>
                </m:num>
                <m:den>
                  <m:r>
                    <w:rPr>
                      <w:rFonts w:ascii="Cambria Math" w:eastAsiaTheme="minorEastAsia" w:hAnsi="Cambria Math" w:cs="Times New Roman"/>
                      <w:sz w:val="20"/>
                    </w:rPr>
                    <m:t xml:space="preserve">(365 </m:t>
                  </m:r>
                  <m:r>
                    <w:rPr>
                      <w:rFonts w:ascii="Cambria Math" w:hAnsi="Cambria Math" w:cs="Times New Roman"/>
                      <w:sz w:val="20"/>
                    </w:rPr>
                    <m:t>×</m:t>
                  </m:r>
                  <m:r>
                    <w:rPr>
                      <w:rFonts w:ascii="Cambria Math" w:eastAsiaTheme="minorEastAsia" w:hAnsi="Cambria Math" w:cs="Times New Roman"/>
                      <w:sz w:val="20"/>
                    </w:rPr>
                    <m:t xml:space="preserve"> 24 </m:t>
                  </m:r>
                  <m:r>
                    <w:rPr>
                      <w:rFonts w:ascii="Cambria Math" w:hAnsi="Cambria Math" w:cs="Times New Roman"/>
                      <w:sz w:val="20"/>
                    </w:rPr>
                    <m:t>×</m:t>
                  </m:r>
                  <m:r>
                    <w:rPr>
                      <w:rFonts w:ascii="Cambria Math" w:eastAsiaTheme="minorEastAsia" w:hAnsi="Cambria Math" w:cs="Times New Roman"/>
                      <w:sz w:val="20"/>
                    </w:rPr>
                    <m:t xml:space="preserve"> 60)</m:t>
                  </m:r>
                </m:den>
              </m:f>
              <m:r>
                <w:rPr>
                  <w:rFonts w:ascii="Cambria Math" w:hAnsi="Cambria Math" w:cs="Times New Roman"/>
                  <w:sz w:val="20"/>
                </w:rPr>
                <m:t xml:space="preserve"> ÷1000</m:t>
              </m:r>
            </m:oMath>
            <w:r w:rsidR="0050683E" w:rsidRPr="005A615E">
              <w:rPr>
                <w:rFonts w:ascii="Times New Roman" w:eastAsiaTheme="minorEastAsia" w:hAnsi="Times New Roman" w:cs="Times New Roman"/>
                <w:szCs w:val="28"/>
              </w:rPr>
              <w:t>, тис. грн   (35),</w:t>
            </w:r>
          </w:p>
          <w:p w:rsidR="0050683E" w:rsidRPr="005A615E" w:rsidRDefault="0050683E" w:rsidP="0050683E">
            <w:pPr>
              <w:ind w:left="507" w:hanging="567"/>
              <w:rPr>
                <w:rFonts w:ascii="Times New Roman" w:eastAsiaTheme="minorEastAsia" w:hAnsi="Times New Roman" w:cs="Times New Roman"/>
                <w:sz w:val="24"/>
                <w:szCs w:val="28"/>
              </w:rPr>
            </w:pPr>
          </w:p>
          <w:tbl>
            <w:tblPr>
              <w:tblW w:w="3833" w:type="dxa"/>
              <w:tblCellSpacing w:w="22" w:type="dxa"/>
              <w:tblLayout w:type="fixed"/>
              <w:tblLook w:val="04A0" w:firstRow="1" w:lastRow="0" w:firstColumn="1" w:lastColumn="0" w:noHBand="0" w:noVBand="1"/>
            </w:tblPr>
            <w:tblGrid>
              <w:gridCol w:w="676"/>
              <w:gridCol w:w="1667"/>
              <w:gridCol w:w="372"/>
              <w:gridCol w:w="1118"/>
            </w:tblGrid>
            <w:tr w:rsidR="0050683E" w:rsidRPr="005A615E" w:rsidTr="0050683E">
              <w:trPr>
                <w:trHeight w:val="733"/>
                <w:tblCellSpacing w:w="22" w:type="dxa"/>
              </w:trPr>
              <w:tc>
                <w:tcPr>
                  <w:tcW w:w="796" w:type="pct"/>
                  <w:tcMar>
                    <w:top w:w="15" w:type="dxa"/>
                    <w:left w:w="15" w:type="dxa"/>
                    <w:bottom w:w="15" w:type="dxa"/>
                    <w:right w:w="15" w:type="dxa"/>
                  </w:tcMar>
                  <w:vAlign w:val="center"/>
                  <w:hideMark/>
                </w:tcPr>
                <w:p w:rsidR="0050683E" w:rsidRPr="005A615E" w:rsidRDefault="0050683E" w:rsidP="0050683E">
                  <w:pPr>
                    <w:rPr>
                      <w:rFonts w:ascii="Times New Roman" w:eastAsia="Times New Roman" w:hAnsi="Times New Roman" w:cs="Times New Roman"/>
                      <w:szCs w:val="28"/>
                    </w:rPr>
                  </w:pPr>
                  <w:r w:rsidRPr="005A615E">
                    <w:rPr>
                      <w:rFonts w:ascii="Times New Roman" w:hAnsi="Times New Roman" w:cs="Times New Roman"/>
                      <w:szCs w:val="28"/>
                    </w:rPr>
                    <w:t xml:space="preserve"> </w:t>
                  </w:r>
                  <w:hyperlink r:id="rId315" w:tgtFrame="_blank" w:history="1">
                    <w:r w:rsidRPr="005A615E">
                      <w:rPr>
                        <w:rStyle w:val="a9"/>
                        <w:rFonts w:ascii="Times New Roman" w:hAnsi="Times New Roman" w:cs="Times New Roman"/>
                        <w:color w:val="auto"/>
                        <w:szCs w:val="28"/>
                      </w:rPr>
                      <w:t>якщо</w:t>
                    </w:r>
                  </w:hyperlink>
                </w:p>
              </w:tc>
              <w:tc>
                <w:tcPr>
                  <w:tcW w:w="2117" w:type="pct"/>
                  <w:tcMar>
                    <w:top w:w="15" w:type="dxa"/>
                    <w:left w:w="15" w:type="dxa"/>
                    <w:bottom w:w="15" w:type="dxa"/>
                    <w:right w:w="15" w:type="dxa"/>
                  </w:tcMar>
                  <w:vAlign w:val="center"/>
                  <w:hideMark/>
                </w:tcPr>
                <w:p w:rsidR="0050683E" w:rsidRPr="005A615E" w:rsidRDefault="0050683E" w:rsidP="0050683E">
                  <w:pPr>
                    <w:rPr>
                      <w:rFonts w:ascii="Times New Roman" w:hAnsi="Times New Roman" w:cs="Times New Roman"/>
                      <w:szCs w:val="28"/>
                    </w:rPr>
                  </w:pPr>
                  <w:r w:rsidRPr="005A615E">
                    <w:rPr>
                      <w:rFonts w:ascii="Times New Roman" w:hAnsi="Times New Roman" w:cs="Times New Roman"/>
                      <w:noProof/>
                      <w:szCs w:val="28"/>
                    </w:rPr>
                    <w:drawing>
                      <wp:inline distT="0" distB="0" distL="0" distR="0" wp14:anchorId="2579372B" wp14:editId="364624E5">
                        <wp:extent cx="1514475" cy="190500"/>
                        <wp:effectExtent l="0" t="0" r="9525" b="0"/>
                        <wp:docPr id="271230482" name="Рисунок 271230482" descr="https://zakon-pro.ligazakon.net/l_flib1.nsf/LookupFiles/GK40721_IMG_299.GIF/$file/GK40721_IMG_2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27" descr="https://zakon-pro.ligazakon.net/l_flib1.nsf/LookupFiles/GK40721_IMG_299.GIF/$file/GK40721_IMG_299.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1514475" cy="190500"/>
                                </a:xfrm>
                                <a:prstGeom prst="rect">
                                  <a:avLst/>
                                </a:prstGeom>
                                <a:noFill/>
                                <a:ln>
                                  <a:noFill/>
                                </a:ln>
                              </pic:spPr>
                            </pic:pic>
                          </a:graphicData>
                        </a:graphic>
                      </wp:inline>
                    </w:drawing>
                  </w:r>
                </w:p>
              </w:tc>
              <w:tc>
                <w:tcPr>
                  <w:tcW w:w="428" w:type="pct"/>
                  <w:tcMar>
                    <w:top w:w="15" w:type="dxa"/>
                    <w:left w:w="15" w:type="dxa"/>
                    <w:bottom w:w="15" w:type="dxa"/>
                    <w:right w:w="15" w:type="dxa"/>
                  </w:tcMar>
                  <w:vAlign w:val="center"/>
                  <w:hideMark/>
                </w:tcPr>
                <w:p w:rsidR="0050683E" w:rsidRPr="005A615E" w:rsidRDefault="000D13C5" w:rsidP="0050683E">
                  <w:pPr>
                    <w:rPr>
                      <w:rFonts w:ascii="Times New Roman" w:hAnsi="Times New Roman" w:cs="Times New Roman"/>
                      <w:szCs w:val="28"/>
                    </w:rPr>
                  </w:pPr>
                  <w:hyperlink r:id="rId316" w:tgtFrame="_blank" w:history="1">
                    <w:r w:rsidR="0050683E" w:rsidRPr="005A615E">
                      <w:rPr>
                        <w:rStyle w:val="a9"/>
                        <w:rFonts w:ascii="Times New Roman" w:hAnsi="Times New Roman" w:cs="Times New Roman"/>
                        <w:color w:val="auto"/>
                        <w:szCs w:val="28"/>
                      </w:rPr>
                      <w:t>, то</w:t>
                    </w:r>
                  </w:hyperlink>
                </w:p>
              </w:tc>
              <w:tc>
                <w:tcPr>
                  <w:tcW w:w="1372" w:type="pct"/>
                  <w:tcMar>
                    <w:top w:w="15" w:type="dxa"/>
                    <w:left w:w="15" w:type="dxa"/>
                    <w:bottom w:w="15" w:type="dxa"/>
                    <w:right w:w="15" w:type="dxa"/>
                  </w:tcMar>
                  <w:vAlign w:val="center"/>
                  <w:hideMark/>
                </w:tcPr>
                <w:p w:rsidR="0050683E" w:rsidRPr="005A615E" w:rsidRDefault="000D13C5" w:rsidP="0050683E">
                  <w:pPr>
                    <w:rPr>
                      <w:rFonts w:ascii="Times New Roman" w:hAnsi="Times New Roman" w:cs="Times New Roman"/>
                      <w:szCs w:val="28"/>
                    </w:rPr>
                  </w:pPr>
                  <m:oMath>
                    <m:sSubSup>
                      <m:sSubSupPr>
                        <m:ctrlPr>
                          <w:rPr>
                            <w:rFonts w:ascii="Cambria Math" w:eastAsia="Times New Roman" w:hAnsi="Cambria Math" w:cs="Times New Roman"/>
                            <w:i/>
                            <w:sz w:val="24"/>
                            <w:szCs w:val="28"/>
                            <w:lang w:eastAsia="ru-RU"/>
                          </w:rPr>
                        </m:ctrlPr>
                      </m:sSubSupPr>
                      <m:e>
                        <m:r>
                          <w:rPr>
                            <w:rFonts w:ascii="Cambria Math" w:hAnsi="Cambria Math" w:cs="Times New Roman"/>
                            <w:szCs w:val="28"/>
                          </w:rPr>
                          <m:t>КЯ</m:t>
                        </m:r>
                      </m:e>
                      <m:sub>
                        <m:r>
                          <w:rPr>
                            <w:rFonts w:ascii="Cambria Math" w:hAnsi="Cambria Math" w:cs="Times New Roman"/>
                            <w:szCs w:val="28"/>
                          </w:rPr>
                          <m:t>яt</m:t>
                        </m:r>
                      </m:sub>
                      <m:sup>
                        <m:r>
                          <w:rPr>
                            <w:rFonts w:ascii="Cambria Math" w:hAnsi="Cambria Math" w:cs="Times New Roman"/>
                            <w:szCs w:val="28"/>
                          </w:rPr>
                          <m:t>м(с)</m:t>
                        </m:r>
                      </m:sup>
                    </m:sSubSup>
                  </m:oMath>
                  <w:r w:rsidR="0050683E" w:rsidRPr="005A615E">
                    <w:rPr>
                      <w:rFonts w:ascii="Times New Roman" w:hAnsi="Times New Roman" w:cs="Times New Roman"/>
                      <w:szCs w:val="28"/>
                    </w:rPr>
                    <w:t>= 0   (36)</w:t>
                  </w:r>
                </w:p>
              </w:tc>
            </w:tr>
          </w:tbl>
          <w:p w:rsidR="0050683E" w:rsidRPr="005A615E" w:rsidRDefault="0050683E" w:rsidP="0050683E">
            <w:pPr>
              <w:ind w:firstLine="315"/>
              <w:jc w:val="both"/>
              <w:rPr>
                <w:rFonts w:ascii="Times New Roman" w:eastAsia="Times New Roman" w:hAnsi="Times New Roman" w:cs="Times New Roman"/>
                <w:szCs w:val="24"/>
                <w:lang w:eastAsia="ru-RU"/>
              </w:rPr>
            </w:pPr>
            <w:r w:rsidRPr="005A615E">
              <w:rPr>
                <w:rFonts w:ascii="Times New Roman" w:eastAsiaTheme="minorEastAsia" w:hAnsi="Times New Roman" w:cs="Times New Roman"/>
              </w:rPr>
              <w:t xml:space="preserve">де </w:t>
            </w:r>
            <m:oMath>
              <m:sSubSup>
                <m:sSubSupPr>
                  <m:ctrlPr>
                    <w:rPr>
                      <w:rFonts w:ascii="Cambria Math" w:eastAsia="Times New Roman" w:hAnsi="Cambria Math" w:cs="Times New Roman"/>
                      <w:i/>
                      <w:sz w:val="24"/>
                      <w:szCs w:val="24"/>
                      <w:lang w:eastAsia="ru-RU"/>
                    </w:rPr>
                  </m:ctrlPr>
                </m:sSubSupPr>
                <m:e>
                  <m:r>
                    <m:rPr>
                      <m:sty m:val="p"/>
                    </m:rPr>
                    <w:rPr>
                      <w:rFonts w:ascii="Cambria Math" w:hAnsi="Cambria Math" w:cs="Times New Roman"/>
                    </w:rPr>
                    <m:t>SAIDI</m:t>
                  </m:r>
                </m:e>
                <m:sub>
                  <m:r>
                    <m:rPr>
                      <m:sty m:val="p"/>
                    </m:rPr>
                    <w:rPr>
                      <w:rFonts w:ascii="Cambria Math" w:hAnsi="Cambria Math" w:cs="Times New Roman"/>
                    </w:rPr>
                    <m:t>t-2</m:t>
                  </m:r>
                </m:sub>
                <m:sup>
                  <m:r>
                    <m:rPr>
                      <m:sty m:val="p"/>
                    </m:rPr>
                    <w:rPr>
                      <w:rFonts w:ascii="Cambria Math" w:hAnsi="Cambria Math" w:cs="Times New Roman"/>
                    </w:rPr>
                    <m:t>м</m:t>
                  </m:r>
                  <m:d>
                    <m:dPr>
                      <m:ctrlPr>
                        <w:rPr>
                          <w:rFonts w:ascii="Cambria Math" w:eastAsia="Times New Roman" w:hAnsi="Cambria Math" w:cs="Times New Roman"/>
                          <w:i/>
                          <w:sz w:val="24"/>
                          <w:szCs w:val="24"/>
                          <w:lang w:eastAsia="ru-RU"/>
                        </w:rPr>
                      </m:ctrlPr>
                    </m:dPr>
                    <m:e>
                      <m:r>
                        <m:rPr>
                          <m:sty m:val="p"/>
                        </m:rPr>
                        <w:rPr>
                          <w:rFonts w:ascii="Cambria Math" w:hAnsi="Cambria Math" w:cs="Times New Roman"/>
                        </w:rPr>
                        <m:t>с</m:t>
                      </m:r>
                    </m:e>
                  </m:d>
                  <m:r>
                    <m:rPr>
                      <m:sty m:val="p"/>
                    </m:rPr>
                    <w:rPr>
                      <w:rFonts w:ascii="Cambria Math" w:hAnsi="Cambria Math" w:cs="Times New Roman"/>
                    </w:rPr>
                    <m:t>р</m:t>
                  </m:r>
                </m:sup>
              </m:sSubSup>
            </m:oMath>
            <w:r w:rsidRPr="005A615E">
              <w:rPr>
                <w:rFonts w:ascii="Times New Roman" w:hAnsi="Times New Roman" w:cs="Times New Roman"/>
              </w:rPr>
              <w:t xml:space="preserve">  з першого року другого </w:t>
            </w:r>
            <w:r w:rsidRPr="005A615E">
              <w:rPr>
                <w:rFonts w:ascii="Times New Roman" w:hAnsi="Times New Roman" w:cs="Times New Roman"/>
                <w:lang w:eastAsia="uk-UA"/>
              </w:rPr>
              <w:t xml:space="preserve">регуляторного періоду </w:t>
            </w:r>
            <w:r w:rsidRPr="005A615E">
              <w:rPr>
                <w:rFonts w:ascii="Times New Roman" w:hAnsi="Times New Roman" w:cs="Times New Roman"/>
              </w:rPr>
              <w:t>продовжує визначатися за формулами 30 та 31 пункту 5.19 цього Порядку (може бути змінено з другого року другого регуляторного періоду за результатами бенчмаркінгу);</w:t>
            </w:r>
          </w:p>
          <w:p w:rsidR="0050683E" w:rsidRPr="005A615E" w:rsidRDefault="000D13C5" w:rsidP="0050683E">
            <w:pPr>
              <w:ind w:firstLine="315"/>
              <w:jc w:val="both"/>
              <w:rPr>
                <w:rFonts w:ascii="Times New Roman" w:hAnsi="Times New Roman" w:cs="Times New Roman"/>
              </w:rPr>
            </w:pPr>
            <w:hyperlink r:id="rId317" w:tgtFrame="_blank" w:history="1">
              <w:r w:rsidR="0050683E" w:rsidRPr="005A615E">
                <w:rPr>
                  <w:rStyle w:val="a9"/>
                  <w:rFonts w:ascii="Times New Roman" w:hAnsi="Times New Roman" w:cs="Times New Roman"/>
                  <w:color w:val="auto"/>
                </w:rPr>
                <w:t>ПКя – встановлений НКРЕКП параметр коригування необхідного доходу за недотримання показників якості послуг для відповідних територій (ПК &gt; 1).</w:t>
              </w:r>
            </w:hyperlink>
          </w:p>
          <w:p w:rsidR="0050683E" w:rsidRPr="005A615E" w:rsidRDefault="000D13C5" w:rsidP="0050683E">
            <w:pPr>
              <w:ind w:firstLine="315"/>
              <w:jc w:val="both"/>
              <w:rPr>
                <w:rFonts w:ascii="Times New Roman" w:hAnsi="Times New Roman" w:cs="Times New Roman"/>
              </w:rPr>
            </w:pPr>
            <w:hyperlink r:id="rId318" w:tgtFrame="_blank" w:history="1">
              <w:r w:rsidR="0050683E" w:rsidRPr="005A615E">
                <w:rPr>
                  <w:rStyle w:val="a9"/>
                  <w:rFonts w:ascii="Times New Roman" w:hAnsi="Times New Roman" w:cs="Times New Roman"/>
                  <w:color w:val="auto"/>
                </w:rPr>
                <w:t>За результатами здійснення заходів контролю за дотриманням Ліцензійних умов показник КЯя може бути уточнено.</w:t>
              </w:r>
            </w:hyperlink>
          </w:p>
          <w:p w:rsidR="0050683E" w:rsidRPr="005A615E" w:rsidRDefault="000D13C5" w:rsidP="0050683E">
            <w:pPr>
              <w:widowControl w:val="0"/>
              <w:ind w:firstLine="315"/>
              <w:jc w:val="both"/>
              <w:rPr>
                <w:rFonts w:ascii="Times New Roman" w:hAnsi="Times New Roman" w:cs="Times New Roman"/>
              </w:rPr>
            </w:pPr>
            <w:hyperlink r:id="rId319" w:tgtFrame="_blank" w:history="1">
              <w:r w:rsidR="0050683E" w:rsidRPr="005A615E">
                <w:rPr>
                  <w:rStyle w:val="a9"/>
                  <w:rFonts w:ascii="Times New Roman" w:hAnsi="Times New Roman" w:cs="Times New Roman"/>
                  <w:color w:val="auto"/>
                </w:rPr>
                <w:t>Коригування необхідного доходу відповідно до даних виконання цільового завдання щодо досягнення показників якості послуг тривалості довгих перерв за 2027</w:t>
              </w:r>
            </w:hyperlink>
            <w:r w:rsidR="0050683E" w:rsidRPr="005A615E">
              <w:rPr>
                <w:rFonts w:ascii="Times New Roman" w:hAnsi="Times New Roman" w:cs="Times New Roman"/>
              </w:rPr>
              <w:t> рік</w:t>
            </w:r>
            <w:hyperlink r:id="rId320" w:tgtFrame="_blank" w:history="1">
              <w:r w:rsidR="0050683E" w:rsidRPr="005A615E">
                <w:rPr>
                  <w:rStyle w:val="a9"/>
                  <w:rFonts w:ascii="Times New Roman" w:hAnsi="Times New Roman" w:cs="Times New Roman"/>
                  <w:color w:val="auto"/>
                </w:rPr>
                <w:t xml:space="preserve"> не застосовується до ліцензіатів, наведених у додатку 34 до цього Порядку</w:t>
              </w:r>
            </w:hyperlink>
            <w:hyperlink r:id="rId321" w:tgtFrame="_blank" w:history="1">
              <w:r w:rsidR="0050683E" w:rsidRPr="005A615E">
                <w:rPr>
                  <w:rStyle w:val="a9"/>
                  <w:rFonts w:ascii="Times New Roman" w:hAnsi="Times New Roman" w:cs="Times New Roman"/>
                  <w:color w:val="auto"/>
                </w:rPr>
                <w:t>;</w:t>
              </w:r>
            </w:hyperlink>
            <w:r w:rsidR="0050683E" w:rsidRPr="005A615E">
              <w:rPr>
                <w:rFonts w:ascii="Times New Roman" w:hAnsi="Times New Roman" w:cs="Times New Roman"/>
              </w:rPr>
              <w:t xml:space="preserve"> </w:t>
            </w:r>
          </w:p>
          <w:p w:rsidR="0050683E" w:rsidRPr="005A615E" w:rsidRDefault="0050683E" w:rsidP="0050683E">
            <w:pPr>
              <w:widowControl w:val="0"/>
              <w:ind w:firstLine="315"/>
              <w:jc w:val="both"/>
              <w:rPr>
                <w:rFonts w:ascii="Times New Roman" w:hAnsi="Times New Roman" w:cs="Times New Roman"/>
              </w:rPr>
            </w:pPr>
            <w:r w:rsidRPr="005A615E">
              <w:rPr>
                <w:rFonts w:ascii="Times New Roman" w:hAnsi="Times New Roman" w:cs="Times New Roman"/>
              </w:rPr>
              <w:t>2) Індекс якості (достовірності) даних відключень в електричних мережах 6 - 150 кВ, на рік t визначається за формулою</w:t>
            </w:r>
          </w:p>
          <w:p w:rsidR="0050683E" w:rsidRPr="005A615E" w:rsidRDefault="000D13C5" w:rsidP="0050683E">
            <w:pPr>
              <w:widowControl w:val="0"/>
              <w:ind w:firstLine="315"/>
              <w:jc w:val="both"/>
              <w:rPr>
                <w:rFonts w:ascii="Times New Roman" w:hAnsi="Times New Roman" w:cs="Times New Roman"/>
              </w:rPr>
            </w:pPr>
            <m:oMath>
              <m:sSub>
                <m:sSubPr>
                  <m:ctrlPr>
                    <w:rPr>
                      <w:rFonts w:ascii="Cambria Math" w:eastAsia="Times New Roman" w:hAnsi="Cambria Math" w:cs="Times New Roman"/>
                      <w:i/>
                      <w:sz w:val="24"/>
                      <w:szCs w:val="24"/>
                      <w:lang w:eastAsia="ru-RU"/>
                    </w:rPr>
                  </m:ctrlPr>
                </m:sSubPr>
                <m:e>
                  <m:r>
                    <w:rPr>
                      <w:rFonts w:ascii="Cambria Math" w:hAnsi="Cambria Math" w:cs="Times New Roman"/>
                    </w:rPr>
                    <m:t>КЯ</m:t>
                  </m:r>
                </m:e>
                <m:sub>
                  <m:r>
                    <w:rPr>
                      <w:rFonts w:ascii="Cambria Math" w:hAnsi="Cambria Math" w:cs="Times New Roman"/>
                    </w:rPr>
                    <m:t>двt</m:t>
                  </m:r>
                </m:sub>
              </m:sSub>
              <m:r>
                <w:rPr>
                  <w:rFonts w:ascii="Cambria Math" w:hAnsi="Cambria Math" w:cs="Times New Roman"/>
                </w:rPr>
                <m:t>=</m:t>
              </m:r>
              <m:f>
                <m:fPr>
                  <m:ctrlPr>
                    <w:rPr>
                      <w:rFonts w:ascii="Cambria Math" w:hAnsi="Cambria Math" w:cs="Times New Roman"/>
                      <w:i/>
                    </w:rPr>
                  </m:ctrlPr>
                </m:fPr>
                <m:num>
                  <m:d>
                    <m:dPr>
                      <m:ctrlPr>
                        <w:rPr>
                          <w:rFonts w:ascii="Cambria Math" w:eastAsia="Times New Roman" w:hAnsi="Cambria Math" w:cs="Times New Roman"/>
                          <w:i/>
                          <w:sz w:val="24"/>
                          <w:szCs w:val="24"/>
                          <w:lang w:eastAsia="ru-RU"/>
                        </w:rPr>
                      </m:ctrlPr>
                    </m:dPr>
                    <m:e>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двt-2</m:t>
                          </m:r>
                        </m:sub>
                        <m:sup>
                          <m:r>
                            <w:rPr>
                              <w:rFonts w:ascii="Cambria Math" w:hAnsi="Cambria Math" w:cs="Times New Roman"/>
                            </w:rPr>
                            <m:t>ф</m:t>
                          </m:r>
                        </m:sup>
                      </m:sSubSup>
                      <m:r>
                        <w:rPr>
                          <w:rFonts w:ascii="Cambria Math" w:hAnsi="Cambria Math" w:cs="Times New Roman"/>
                        </w:rPr>
                        <m:t>-</m:t>
                      </m:r>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двt-2</m:t>
                          </m:r>
                        </m:sub>
                        <m:sup>
                          <m:r>
                            <w:rPr>
                              <w:rFonts w:ascii="Cambria Math" w:eastAsia="Times New Roman" w:hAnsi="Cambria Math" w:cs="Times New Roman"/>
                              <w:sz w:val="24"/>
                              <w:szCs w:val="24"/>
                              <w:lang w:eastAsia="ru-RU"/>
                            </w:rPr>
                            <m:t>р</m:t>
                          </m:r>
                        </m:sup>
                      </m:sSubSup>
                    </m:e>
                  </m:d>
                </m:num>
                <m:den>
                  <m:r>
                    <w:rPr>
                      <w:rFonts w:ascii="Cambria Math" w:hAnsi="Cambria Math" w:cs="Times New Roman"/>
                    </w:rPr>
                    <m:t>100</m:t>
                  </m:r>
                </m:den>
              </m:f>
              <m:r>
                <w:rPr>
                  <w:rFonts w:ascii="Cambria Math" w:eastAsiaTheme="minorEastAsia"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ПК</m:t>
                  </m:r>
                </m:e>
                <m:sub>
                  <m:r>
                    <w:rPr>
                      <w:rFonts w:ascii="Cambria Math" w:eastAsia="Times New Roman" w:hAnsi="Cambria Math" w:cs="Times New Roman"/>
                      <w:sz w:val="24"/>
                      <w:szCs w:val="24"/>
                      <w:lang w:eastAsia="ru-RU"/>
                    </w:rPr>
                    <m:t>дв</m:t>
                  </m:r>
                </m:sub>
              </m:sSub>
              <m:r>
                <w:rPr>
                  <w:rFonts w:ascii="Cambria Math" w:eastAsia="Times New Roman" w:hAnsi="Cambria Math" w:cs="Times New Roman"/>
                  <w:sz w:val="24"/>
                  <w:szCs w:val="24"/>
                  <w:lang w:eastAsia="ru-RU"/>
                </w:rPr>
                <m:t xml:space="preserve">×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ФД</m:t>
                  </m:r>
                </m:e>
                <m:sub>
                  <m:r>
                    <w:rPr>
                      <w:rFonts w:ascii="Cambria Math" w:eastAsia="Times New Roman" w:hAnsi="Cambria Math" w:cs="Times New Roman"/>
                      <w:sz w:val="24"/>
                      <w:szCs w:val="24"/>
                      <w:lang w:val="en-US" w:eastAsia="ru-RU"/>
                    </w:rPr>
                    <m:t>t</m:t>
                  </m:r>
                  <m:r>
                    <w:rPr>
                      <w:rFonts w:ascii="Cambria Math" w:eastAsia="Times New Roman" w:hAnsi="Cambria Math" w:cs="Times New Roman"/>
                      <w:sz w:val="24"/>
                      <w:szCs w:val="24"/>
                      <w:lang w:eastAsia="ru-RU"/>
                    </w:rPr>
                    <m:t>-2</m:t>
                  </m:r>
                </m:sub>
              </m:sSub>
              <m:r>
                <w:rPr>
                  <w:rFonts w:ascii="Cambria Math" w:hAnsi="Cambria Math" w:cs="Times New Roman"/>
                </w:rPr>
                <m:t xml:space="preserve">, тис. грн </m:t>
              </m:r>
            </m:oMath>
            <w:r w:rsidR="0050683E" w:rsidRPr="005A615E">
              <w:rPr>
                <w:rFonts w:ascii="Times New Roman" w:eastAsiaTheme="minorEastAsia" w:hAnsi="Times New Roman" w:cs="Times New Roman"/>
                <w:szCs w:val="28"/>
                <w:lang w:eastAsia="uk-UA"/>
              </w:rPr>
              <w:t>(37</w:t>
            </w:r>
            <w:r w:rsidR="0050683E" w:rsidRPr="005A615E">
              <w:rPr>
                <w:rFonts w:ascii="Times New Roman" w:eastAsiaTheme="minorEastAsia" w:hAnsi="Times New Roman" w:cs="Times New Roman"/>
                <w:szCs w:val="28"/>
              </w:rPr>
              <w:t>)</w:t>
            </w:r>
            <w:r w:rsidR="0050683E" w:rsidRPr="005A615E">
              <w:rPr>
                <w:rFonts w:ascii="Times New Roman" w:hAnsi="Times New Roman" w:cs="Times New Roman"/>
                <w:szCs w:val="28"/>
              </w:rPr>
              <w:t xml:space="preserve">  </w:t>
            </w:r>
            <w:r w:rsidR="0050683E" w:rsidRPr="005A615E">
              <w:rPr>
                <w:rFonts w:ascii="Times New Roman" w:eastAsiaTheme="minorEastAsia" w:hAnsi="Times New Roman" w:cs="Times New Roman"/>
                <w:szCs w:val="28"/>
                <w:lang w:eastAsia="uk-UA"/>
              </w:rPr>
              <w:t xml:space="preserve">  </w:t>
            </w:r>
          </w:p>
          <w:p w:rsidR="0050683E" w:rsidRPr="005A615E" w:rsidRDefault="0050683E" w:rsidP="0050683E">
            <w:pPr>
              <w:ind w:firstLine="315"/>
              <w:jc w:val="both"/>
              <w:rPr>
                <w:rFonts w:ascii="Times New Roman" w:hAnsi="Times New Roman" w:cs="Times New Roman"/>
                <w:lang w:val="ru-RU"/>
              </w:rPr>
            </w:pPr>
            <w:r w:rsidRPr="005A615E">
              <w:rPr>
                <w:rFonts w:ascii="Times New Roman" w:hAnsi="Times New Roman" w:cs="Times New Roman"/>
              </w:rPr>
              <w:t>де</w:t>
            </w:r>
            <w:r w:rsidRPr="005A615E">
              <w:rPr>
                <w:rFonts w:ascii="Times New Roman" w:hAnsi="Times New Roman" w:cs="Times New Roman"/>
                <w:lang w:val="ru-RU"/>
              </w:rPr>
              <w:t xml:space="preserve"> </w:t>
            </w:r>
            <m:oMath>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прt-2</m:t>
                  </m:r>
                </m:sub>
                <m:sup>
                  <m:r>
                    <w:rPr>
                      <w:rFonts w:ascii="Cambria Math" w:hAnsi="Cambria Math" w:cs="Times New Roman"/>
                    </w:rPr>
                    <m:t>ф</m:t>
                  </m:r>
                </m:sup>
              </m:sSubSup>
              <m:r>
                <w:rPr>
                  <w:rFonts w:ascii="Cambria Math" w:eastAsia="Times New Roman" w:hAnsi="Cambria Math" w:cs="Times New Roman"/>
                  <w:sz w:val="24"/>
                  <w:szCs w:val="24"/>
                  <w:lang w:eastAsia="ru-RU"/>
                </w:rPr>
                <m:t xml:space="preserve"> </m:t>
              </m:r>
            </m:oMath>
            <w:r w:rsidRPr="005A615E">
              <w:rPr>
                <w:rFonts w:ascii="Times New Roman" w:hAnsi="Times New Roman" w:cs="Times New Roman"/>
              </w:rPr>
              <w:t xml:space="preserve"> – </w:t>
            </w:r>
            <w:r w:rsidR="00641736" w:rsidRPr="005A615E">
              <w:rPr>
                <w:rFonts w:ascii="Times New Roman" w:hAnsi="Times New Roman"/>
                <w:lang w:val="ru-RU"/>
              </w:rPr>
              <w:t>фактичний</w:t>
            </w:r>
            <w:r w:rsidR="00641736" w:rsidRPr="005A615E">
              <w:rPr>
                <w:rFonts w:ascii="Times New Roman" w:hAnsi="Times New Roman"/>
              </w:rPr>
              <w:t xml:space="preserve"> </w:t>
            </w:r>
            <w:r w:rsidRPr="005A615E">
              <w:rPr>
                <w:rFonts w:ascii="Times New Roman" w:hAnsi="Times New Roman" w:cs="Times New Roman"/>
              </w:rPr>
              <w:t xml:space="preserve">індекс </w:t>
            </w:r>
            <w:r w:rsidRPr="005A615E">
              <w:rPr>
                <w:rFonts w:ascii="Times New Roman" w:eastAsia="Times New Roman" w:hAnsi="Times New Roman" w:cs="Times New Roman"/>
                <w:bCs/>
                <w:sz w:val="24"/>
                <w:szCs w:val="24"/>
                <w:lang w:eastAsia="uk-UA"/>
              </w:rPr>
              <w:t>якості (достовірності) даних відключень в електричних мережах 6 - 150 кВ</w:t>
            </w:r>
            <w:r w:rsidRPr="005A615E">
              <w:rPr>
                <w:rFonts w:ascii="Times New Roman" w:hAnsi="Times New Roman" w:cs="Times New Roman"/>
              </w:rPr>
              <w:t>, на рік t-2 визначається за формулою</w:t>
            </w:r>
          </w:p>
          <w:p w:rsidR="0050683E" w:rsidRPr="005A615E" w:rsidRDefault="000D13C5" w:rsidP="0050683E">
            <w:pPr>
              <w:rPr>
                <w:rFonts w:ascii="Times New Roman" w:eastAsiaTheme="minorEastAsia" w:hAnsi="Times New Roman" w:cs="Times New Roman"/>
              </w:rPr>
            </w:pPr>
            <m:oMath>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пр</m:t>
                  </m:r>
                  <m:r>
                    <m:rPr>
                      <m:sty m:val="p"/>
                    </m:rPr>
                    <w:rPr>
                      <w:rFonts w:ascii="Cambria Math" w:hAnsi="Cambria Math" w:cs="Times New Roman"/>
                    </w:rPr>
                    <w:softHyphen/>
                  </m:r>
                  <m:r>
                    <w:rPr>
                      <w:rFonts w:ascii="Cambria Math" w:hAnsi="Cambria Math" w:cs="Times New Roman"/>
                    </w:rPr>
                    <m:t>t-2</m:t>
                  </m:r>
                </m:sub>
                <m:sup>
                  <m:r>
                    <w:rPr>
                      <w:rFonts w:ascii="Cambria Math" w:hAnsi="Cambria Math" w:cs="Times New Roman"/>
                    </w:rPr>
                    <m:t>ф</m:t>
                  </m:r>
                </m:sup>
              </m:sSubSup>
              <m:r>
                <w:rPr>
                  <w:rFonts w:ascii="Cambria Math" w:hAnsi="Cambria Math" w:cs="Times New Roman"/>
                  <w:lang w:eastAsia="uk-UA"/>
                </w:rPr>
                <m:t>=</m:t>
              </m:r>
              <m:f>
                <m:fPr>
                  <m:ctrlPr>
                    <w:rPr>
                      <w:rFonts w:ascii="Cambria Math" w:hAnsi="Cambria Math" w:cs="Times New Roman"/>
                      <w:i/>
                      <w:lang w:eastAsia="uk-UA"/>
                    </w:rPr>
                  </m:ctrlPr>
                </m:fPr>
                <m:num>
                  <m:r>
                    <w:rPr>
                      <w:rFonts w:ascii="Cambria Math" w:hAnsi="Cambria Math" w:cs="Times New Roman"/>
                      <w:lang w:val="en-US" w:eastAsia="uk-UA"/>
                    </w:rPr>
                    <m:t>N</m:t>
                  </m:r>
                  <m:r>
                    <w:rPr>
                      <w:rFonts w:ascii="Cambria Math" w:hAnsi="Cambria Math" w:cs="Times New Roman"/>
                      <w:lang w:eastAsia="uk-UA"/>
                    </w:rPr>
                    <m:t>авт</m:t>
                  </m:r>
                </m:num>
                <m:den>
                  <m:r>
                    <w:rPr>
                      <w:rFonts w:ascii="Cambria Math" w:hAnsi="Cambria Math" w:cs="Times New Roman"/>
                      <w:lang w:val="en-US" w:eastAsia="uk-UA"/>
                    </w:rPr>
                    <m:t>N</m:t>
                  </m:r>
                  <m:r>
                    <w:rPr>
                      <w:rFonts w:ascii="Cambria Math" w:hAnsi="Cambria Math" w:cs="Times New Roman"/>
                      <w:lang w:eastAsia="uk-UA"/>
                    </w:rPr>
                    <m:t>заг</m:t>
                  </m:r>
                </m:den>
              </m:f>
              <m:r>
                <w:rPr>
                  <w:rFonts w:ascii="Cambria Math" w:eastAsiaTheme="minorEastAsia" w:hAnsi="Cambria Math" w:cs="Times New Roman"/>
                  <w:sz w:val="24"/>
                  <w:szCs w:val="24"/>
                  <w:lang w:eastAsia="ru-RU"/>
                </w:rPr>
                <m:t>×</m:t>
              </m:r>
              <m:r>
                <w:rPr>
                  <w:rFonts w:ascii="Cambria Math" w:hAnsi="Cambria Math" w:cs="Times New Roman"/>
                  <w:lang w:eastAsia="uk-UA"/>
                </w:rPr>
                <m:t xml:space="preserve">100 </m:t>
              </m:r>
            </m:oMath>
            <w:r w:rsidR="0050683E" w:rsidRPr="005A615E">
              <w:rPr>
                <w:rFonts w:ascii="Times New Roman" w:eastAsiaTheme="minorEastAsia" w:hAnsi="Times New Roman" w:cs="Times New Roman"/>
                <w:lang w:eastAsia="uk-UA"/>
              </w:rPr>
              <w:t xml:space="preserve">, %          </w:t>
            </w:r>
            <w:r w:rsidR="0050683E" w:rsidRPr="005A615E">
              <w:rPr>
                <w:rFonts w:ascii="Times New Roman" w:eastAsiaTheme="minorEastAsia" w:hAnsi="Times New Roman" w:cs="Times New Roman"/>
              </w:rPr>
              <w:t>(38)</w:t>
            </w:r>
          </w:p>
          <w:p w:rsidR="0050683E" w:rsidRPr="005A615E" w:rsidRDefault="0050683E" w:rsidP="0050683E">
            <w:pPr>
              <w:ind w:firstLine="173"/>
              <w:jc w:val="both"/>
              <w:rPr>
                <w:rFonts w:ascii="Times New Roman" w:hAnsi="Times New Roman" w:cs="Times New Roman"/>
                <w:lang w:eastAsia="ru-RU"/>
              </w:rPr>
            </w:pPr>
            <w:r w:rsidRPr="005A615E">
              <w:rPr>
                <w:rFonts w:ascii="Times New Roman" w:hAnsi="Times New Roman" w:cs="Times New Roman"/>
              </w:rPr>
              <w:t>де</w:t>
            </w:r>
            <w:r w:rsidRPr="005A615E">
              <w:rPr>
                <w:rFonts w:ascii="Times New Roman" w:hAnsi="Times New Roman" w:cs="Times New Roman"/>
                <w:lang w:val="ru-RU"/>
              </w:rPr>
              <w:t xml:space="preserve"> </w:t>
            </w:r>
            <m:oMath>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rPr>
                    <m:t>авт</m:t>
                  </m:r>
                </m:sub>
              </m:sSub>
            </m:oMath>
            <w:r w:rsidRPr="005A615E">
              <w:rPr>
                <w:rFonts w:ascii="Times New Roman" w:hAnsi="Times New Roman" w:cs="Times New Roman"/>
              </w:rPr>
              <w:t xml:space="preserve">– </w:t>
            </w:r>
            <w:r w:rsidRPr="005A615E">
              <w:rPr>
                <w:rFonts w:ascii="Times New Roman" w:eastAsia="Times New Roman" w:hAnsi="Times New Roman" w:cs="Times New Roman"/>
                <w:sz w:val="24"/>
                <w:szCs w:val="24"/>
                <w:lang w:eastAsia="uk-UA"/>
              </w:rPr>
              <w:t xml:space="preserve">кількість записів (відключень) на рівні напруги 6-150 кВ, включених до звіту НКРЕКП, що сформовані автоматично на підставі даних автоматизованої системи реєстрації відключень без ручного втручання, </w:t>
            </w:r>
            <w:r w:rsidRPr="005A615E">
              <w:rPr>
                <w:rFonts w:ascii="Times New Roman" w:hAnsi="Times New Roman" w:cs="Times New Roman"/>
              </w:rPr>
              <w:t>у році t-2;</w:t>
            </w:r>
          </w:p>
          <w:p w:rsidR="0050683E" w:rsidRPr="005A615E" w:rsidRDefault="000D13C5" w:rsidP="0050683E">
            <w:pPr>
              <w:jc w:val="both"/>
              <w:rPr>
                <w:rFonts w:ascii="Times New Roman" w:hAnsi="Times New Roman" w:cs="Times New Roman"/>
              </w:rPr>
            </w:pPr>
            <m:oMath>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rPr>
                    <m:t>заг</m:t>
                  </m:r>
                </m:sub>
              </m:sSub>
            </m:oMath>
            <w:r w:rsidR="0050683E" w:rsidRPr="005A615E">
              <w:rPr>
                <w:rFonts w:ascii="Times New Roman" w:eastAsiaTheme="minorEastAsia" w:hAnsi="Times New Roman" w:cs="Times New Roman"/>
              </w:rPr>
              <w:t xml:space="preserve"> </w:t>
            </w:r>
            <w:r w:rsidR="0050683E" w:rsidRPr="005A615E">
              <w:rPr>
                <w:rFonts w:ascii="Times New Roman" w:hAnsi="Times New Roman" w:cs="Times New Roman"/>
              </w:rPr>
              <w:t xml:space="preserve">– </w:t>
            </w:r>
            <w:r w:rsidR="0050683E" w:rsidRPr="005A615E">
              <w:rPr>
                <w:rFonts w:ascii="Times New Roman" w:eastAsia="Times New Roman" w:hAnsi="Times New Roman" w:cs="Times New Roman"/>
                <w:sz w:val="24"/>
                <w:szCs w:val="24"/>
                <w:lang w:eastAsia="uk-UA"/>
              </w:rPr>
              <w:t>загальна кількість записів (відключень), включених до звіту НКРЕКП,</w:t>
            </w:r>
            <w:r w:rsidR="0050683E" w:rsidRPr="005A615E">
              <w:rPr>
                <w:rFonts w:ascii="Times New Roman" w:hAnsi="Times New Roman" w:cs="Times New Roman"/>
              </w:rPr>
              <w:t xml:space="preserve"> у році t-2;</w:t>
            </w:r>
          </w:p>
          <w:p w:rsidR="0050683E" w:rsidRPr="005A615E" w:rsidRDefault="000D13C5" w:rsidP="0050683E">
            <w:pPr>
              <w:jc w:val="both"/>
              <w:rPr>
                <w:rFonts w:ascii="Times New Roman" w:hAnsi="Times New Roman" w:cs="Times New Roman"/>
              </w:rPr>
            </w:pPr>
            <m:oMath>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двt-2</m:t>
                  </m:r>
                </m:sub>
                <m:sup>
                  <m:r>
                    <w:rPr>
                      <w:rFonts w:ascii="Cambria Math" w:eastAsia="Times New Roman" w:hAnsi="Cambria Math" w:cs="Times New Roman"/>
                      <w:sz w:val="24"/>
                      <w:szCs w:val="24"/>
                      <w:lang w:eastAsia="ru-RU"/>
                    </w:rPr>
                    <m:t>р</m:t>
                  </m:r>
                </m:sup>
              </m:sSubSup>
            </m:oMath>
            <w:r w:rsidR="0050683E" w:rsidRPr="005A615E">
              <w:rPr>
                <w:rFonts w:ascii="Times New Roman" w:hAnsi="Times New Roman" w:cs="Times New Roman"/>
              </w:rPr>
              <w:t xml:space="preserve"> – встановлений НКРЕКП цільовий індекс </w:t>
            </w:r>
            <w:r w:rsidR="0050683E" w:rsidRPr="005A615E">
              <w:rPr>
                <w:rFonts w:ascii="Times New Roman" w:eastAsia="Times New Roman" w:hAnsi="Times New Roman" w:cs="Times New Roman"/>
                <w:bCs/>
                <w:sz w:val="24"/>
                <w:szCs w:val="24"/>
                <w:lang w:eastAsia="uk-UA"/>
              </w:rPr>
              <w:t xml:space="preserve">якості (достовірності) даних відключень в електричних мережах 6 - 150 кВ, </w:t>
            </w:r>
            <w:r w:rsidR="0050683E" w:rsidRPr="005A615E">
              <w:rPr>
                <w:rFonts w:ascii="Times New Roman" w:eastAsia="Times New Roman" w:hAnsi="Times New Roman" w:cs="Times New Roman"/>
                <w:sz w:val="24"/>
                <w:szCs w:val="24"/>
                <w:lang w:eastAsia="uk-UA"/>
              </w:rPr>
              <w:t>на рівні ≥ 98 %.</w:t>
            </w:r>
            <w:r w:rsidR="0050683E" w:rsidRPr="005A615E">
              <w:rPr>
                <w:rFonts w:ascii="Times New Roman" w:hAnsi="Times New Roman" w:cs="Times New Roman"/>
              </w:rPr>
              <w:t>;</w:t>
            </w:r>
          </w:p>
          <w:p w:rsidR="0050683E" w:rsidRPr="005A615E" w:rsidRDefault="000D13C5" w:rsidP="0050683E">
            <w:pPr>
              <w:ind w:firstLine="173"/>
              <w:jc w:val="both"/>
              <w:rPr>
                <w:rFonts w:ascii="Times New Roman" w:hAnsi="Times New Roman" w:cs="Times New Roman"/>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ПК</m:t>
                  </m:r>
                </m:e>
                <m:sub>
                  <m:r>
                    <w:rPr>
                      <w:rFonts w:ascii="Cambria Math" w:eastAsia="Times New Roman" w:hAnsi="Cambria Math" w:cs="Times New Roman"/>
                      <w:sz w:val="24"/>
                      <w:szCs w:val="24"/>
                      <w:lang w:val="ru-RU" w:eastAsia="ru-RU"/>
                    </w:rPr>
                    <m:t>дв</m:t>
                  </m:r>
                </m:sub>
              </m:sSub>
            </m:oMath>
            <w:r w:rsidR="0050683E" w:rsidRPr="005A615E">
              <w:rPr>
                <w:rFonts w:ascii="Times New Roman" w:hAnsi="Times New Roman" w:cs="Times New Roman"/>
              </w:rPr>
              <w:t xml:space="preserve"> – параметр коригування необхідного доходу за недотримання цільового індексу якості (достовірності) даних відключень в електричних мережах 6 - 150 кВ;</w:t>
            </w:r>
          </w:p>
          <w:p w:rsidR="0050683E" w:rsidRPr="005A615E" w:rsidRDefault="000D13C5" w:rsidP="0050683E">
            <w:pPr>
              <w:ind w:firstLine="173"/>
              <w:jc w:val="both"/>
              <w:rPr>
                <w:rFonts w:ascii="Times New Roman" w:hAnsi="Times New Roman" w:cs="Times New Roman"/>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ФД</m:t>
                  </m:r>
                </m:e>
                <m:sub>
                  <m:r>
                    <w:rPr>
                      <w:rFonts w:ascii="Cambria Math" w:eastAsia="Times New Roman" w:hAnsi="Cambria Math" w:cs="Times New Roman"/>
                      <w:sz w:val="24"/>
                      <w:szCs w:val="24"/>
                      <w:lang w:val="en-US" w:eastAsia="ru-RU"/>
                    </w:rPr>
                    <m:t>t</m:t>
                  </m:r>
                  <m:r>
                    <w:rPr>
                      <w:rFonts w:ascii="Cambria Math" w:eastAsia="Times New Roman" w:hAnsi="Cambria Math" w:cs="Times New Roman"/>
                      <w:sz w:val="24"/>
                      <w:szCs w:val="24"/>
                      <w:lang w:eastAsia="ru-RU"/>
                    </w:rPr>
                    <m:t>-2</m:t>
                  </m:r>
                </m:sub>
              </m:sSub>
            </m:oMath>
            <w:r w:rsidR="0050683E" w:rsidRPr="005A615E">
              <w:rPr>
                <w:rFonts w:ascii="Times New Roman" w:hAnsi="Times New Roman" w:cs="Times New Roman"/>
              </w:rPr>
              <w:t xml:space="preserve"> – фактичний дохід, розрахований як добуток фактичних помісячних обсягів розподілу електричної енергії і тарифів, що діяли у відповідному періоді року </w:t>
            </w:r>
            <w:r w:rsidR="0050683E" w:rsidRPr="005A615E">
              <w:rPr>
                <w:rFonts w:ascii="Times New Roman" w:hAnsi="Times New Roman" w:cs="Times New Roman"/>
                <w:lang w:val="en-US"/>
              </w:rPr>
              <w:t>t</w:t>
            </w:r>
            <w:r w:rsidR="0050683E" w:rsidRPr="005A615E">
              <w:rPr>
                <w:rFonts w:ascii="Times New Roman" w:hAnsi="Times New Roman" w:cs="Times New Roman"/>
              </w:rPr>
              <w:t>-2, тис. грн;</w:t>
            </w:r>
          </w:p>
          <w:p w:rsidR="0050683E" w:rsidRPr="005A615E" w:rsidRDefault="0050683E" w:rsidP="0050683E">
            <w:pPr>
              <w:ind w:firstLine="173"/>
              <w:jc w:val="both"/>
              <w:rPr>
                <w:rFonts w:ascii="Times New Roman" w:eastAsiaTheme="minorEastAsia" w:hAnsi="Times New Roman" w:cs="Times New Roman"/>
                <w:szCs w:val="28"/>
              </w:rPr>
            </w:pPr>
            <m:oMathPara>
              <m:oMathParaPr>
                <m:jc m:val="left"/>
              </m:oMathParaPr>
              <m:oMath>
                <m:r>
                  <w:rPr>
                    <w:rFonts w:ascii="Cambria Math" w:hAnsi="Cambria Math" w:cs="Times New Roman"/>
                    <w:szCs w:val="28"/>
                  </w:rPr>
                  <m:t xml:space="preserve">Якщо </m:t>
                </m:r>
                <m:sSubSup>
                  <m:sSubSupPr>
                    <m:ctrlPr>
                      <w:rPr>
                        <w:rFonts w:ascii="Cambria Math" w:eastAsia="Times New Roman" w:hAnsi="Cambria Math" w:cs="Times New Roman"/>
                        <w:i/>
                        <w:sz w:val="24"/>
                        <w:szCs w:val="28"/>
                        <w:lang w:eastAsia="ru-RU"/>
                      </w:rPr>
                    </m:ctrlPr>
                  </m:sSubSupPr>
                  <m:e>
                    <m:r>
                      <w:rPr>
                        <w:rFonts w:ascii="Cambria Math" w:hAnsi="Cambria Math" w:cs="Times New Roman"/>
                        <w:szCs w:val="28"/>
                      </w:rPr>
                      <m:t>I</m:t>
                    </m:r>
                  </m:e>
                  <m:sub>
                    <m:r>
                      <w:rPr>
                        <w:rFonts w:ascii="Cambria Math" w:hAnsi="Cambria Math" w:cs="Times New Roman"/>
                        <w:szCs w:val="28"/>
                      </w:rPr>
                      <m:t>двt-2</m:t>
                    </m:r>
                  </m:sub>
                  <m:sup>
                    <m:r>
                      <w:rPr>
                        <w:rFonts w:ascii="Cambria Math" w:hAnsi="Cambria Math" w:cs="Times New Roman"/>
                        <w:szCs w:val="28"/>
                      </w:rPr>
                      <m:t>ф</m:t>
                    </m:r>
                  </m:sup>
                </m:sSubSup>
                <m:r>
                  <w:rPr>
                    <w:rFonts w:ascii="Cambria Math" w:hAnsi="Cambria Math" w:cs="Times New Roman"/>
                    <w:szCs w:val="28"/>
                  </w:rPr>
                  <m:t xml:space="preserve">- </m:t>
                </m:r>
                <m:sSubSup>
                  <m:sSubSupPr>
                    <m:ctrlPr>
                      <w:rPr>
                        <w:rFonts w:ascii="Cambria Math" w:eastAsia="Times New Roman" w:hAnsi="Cambria Math" w:cs="Times New Roman"/>
                        <w:i/>
                        <w:sz w:val="24"/>
                        <w:szCs w:val="28"/>
                        <w:lang w:eastAsia="ru-RU"/>
                      </w:rPr>
                    </m:ctrlPr>
                  </m:sSubSupPr>
                  <m:e>
                    <m:r>
                      <w:rPr>
                        <w:rFonts w:ascii="Cambria Math" w:hAnsi="Cambria Math" w:cs="Times New Roman"/>
                        <w:szCs w:val="28"/>
                      </w:rPr>
                      <m:t>I</m:t>
                    </m:r>
                  </m:e>
                  <m:sub>
                    <m:r>
                      <w:rPr>
                        <w:rFonts w:ascii="Cambria Math" w:hAnsi="Cambria Math" w:cs="Times New Roman"/>
                        <w:szCs w:val="28"/>
                      </w:rPr>
                      <m:t>двt-2</m:t>
                    </m:r>
                  </m:sub>
                  <m:sup>
                    <m:r>
                      <w:rPr>
                        <w:rFonts w:ascii="Cambria Math" w:hAnsi="Cambria Math" w:cs="Times New Roman"/>
                        <w:szCs w:val="28"/>
                      </w:rPr>
                      <m:t>р</m:t>
                    </m:r>
                  </m:sup>
                </m:sSubSup>
                <m:r>
                  <m:rPr>
                    <m:sty m:val="p"/>
                  </m:rPr>
                  <w:rPr>
                    <w:rFonts w:ascii="Cambria Math" w:eastAsia="Times New Roman" w:hAnsi="Cambria Math" w:cs="Times New Roman"/>
                    <w:sz w:val="24"/>
                    <w:szCs w:val="24"/>
                    <w:lang w:eastAsia="uk-UA"/>
                  </w:rPr>
                  <m:t>≥</m:t>
                </m:r>
                <m:r>
                  <w:rPr>
                    <w:rFonts w:ascii="Cambria Math" w:hAnsi="Cambria Math" w:cs="Times New Roman"/>
                    <w:szCs w:val="28"/>
                  </w:rPr>
                  <m:t xml:space="preserve">0, то </m:t>
                </m:r>
                <m:sSub>
                  <m:sSubPr>
                    <m:ctrlPr>
                      <w:rPr>
                        <w:rFonts w:ascii="Cambria Math" w:eastAsia="Times New Roman" w:hAnsi="Cambria Math" w:cs="Times New Roman"/>
                        <w:i/>
                        <w:sz w:val="24"/>
                        <w:szCs w:val="28"/>
                        <w:lang w:eastAsia="ru-RU"/>
                      </w:rPr>
                    </m:ctrlPr>
                  </m:sSubPr>
                  <m:e>
                    <m:r>
                      <w:rPr>
                        <w:rFonts w:ascii="Cambria Math" w:hAnsi="Cambria Math" w:cs="Times New Roman"/>
                        <w:szCs w:val="28"/>
                      </w:rPr>
                      <m:t>КЯ</m:t>
                    </m:r>
                  </m:e>
                  <m:sub>
                    <m:r>
                      <w:rPr>
                        <w:rFonts w:ascii="Cambria Math" w:hAnsi="Cambria Math" w:cs="Times New Roman"/>
                        <w:szCs w:val="28"/>
                      </w:rPr>
                      <m:t>двt</m:t>
                    </m:r>
                  </m:sub>
                </m:sSub>
                <m:r>
                  <w:rPr>
                    <w:rFonts w:ascii="Cambria Math" w:hAnsi="Cambria Math" w:cs="Times New Roman"/>
                    <w:szCs w:val="28"/>
                  </w:rPr>
                  <m:t>=0;</m:t>
                </m:r>
              </m:oMath>
            </m:oMathPara>
          </w:p>
          <w:p w:rsidR="0050683E" w:rsidRPr="005A615E" w:rsidRDefault="000D13C5" w:rsidP="0050683E">
            <w:pPr>
              <w:ind w:firstLine="173"/>
              <w:jc w:val="both"/>
              <w:rPr>
                <w:rFonts w:ascii="Times New Roman" w:hAnsi="Times New Roman" w:cs="Times New Roman"/>
              </w:rPr>
            </w:pPr>
            <m:oMath>
              <m:sSub>
                <m:sSubPr>
                  <m:ctrlPr>
                    <w:rPr>
                      <w:rFonts w:ascii="Cambria Math" w:eastAsia="Times New Roman" w:hAnsi="Cambria Math" w:cs="Times New Roman"/>
                      <w:i/>
                      <w:sz w:val="24"/>
                      <w:szCs w:val="24"/>
                      <w:lang w:eastAsia="ru-RU"/>
                    </w:rPr>
                  </m:ctrlPr>
                </m:sSubPr>
                <m:e>
                  <m:r>
                    <w:rPr>
                      <w:rFonts w:ascii="Cambria Math" w:hAnsi="Cambria Math" w:cs="Times New Roman"/>
                      <w:szCs w:val="28"/>
                    </w:rPr>
                    <m:t xml:space="preserve">Якщо </m:t>
                  </m:r>
                  <m:r>
                    <w:rPr>
                      <w:rFonts w:ascii="Cambria Math" w:hAnsi="Cambria Math" w:cs="Times New Roman"/>
                    </w:rPr>
                    <m:t>КЯ</m:t>
                  </m:r>
                </m:e>
                <m:sub>
                  <m:r>
                    <w:rPr>
                      <w:rFonts w:ascii="Cambria Math" w:hAnsi="Cambria Math" w:cs="Times New Roman"/>
                    </w:rPr>
                    <m:t>дв</m:t>
                  </m:r>
                  <m:r>
                    <w:rPr>
                      <w:rFonts w:ascii="Cambria Math" w:hAnsi="Cambria Math" w:cs="Times New Roman"/>
                      <w:lang w:val="en-US"/>
                    </w:rPr>
                    <m:t>t</m:t>
                  </m:r>
                </m:sub>
              </m:sSub>
              <m:r>
                <w:rPr>
                  <w:rFonts w:ascii="Cambria Math" w:hAnsi="Cambria Math" w:cs="Times New Roman"/>
                </w:rPr>
                <m:t xml:space="preserve">˂-0,01 × </m:t>
              </m:r>
              <m:sSubSup>
                <m:sSubSupPr>
                  <m:ctrlPr>
                    <w:rPr>
                      <w:rFonts w:ascii="Cambria Math" w:eastAsia="Times New Roman" w:hAnsi="Cambria Math" w:cs="Times New Roman"/>
                      <w:i/>
                      <w:sz w:val="24"/>
                      <w:szCs w:val="24"/>
                      <w:lang w:eastAsia="ru-RU"/>
                    </w:rPr>
                  </m:ctrlPr>
                </m:sSubSupPr>
                <m:e>
                  <m:r>
                    <w:rPr>
                      <w:rFonts w:ascii="Cambria Math" w:hAnsi="Cambria Math" w:cs="Times New Roman"/>
                    </w:rPr>
                    <m:t>НД</m:t>
                  </m:r>
                </m:e>
                <m:sub>
                  <m:r>
                    <w:rPr>
                      <w:rFonts w:ascii="Cambria Math" w:hAnsi="Cambria Math" w:cs="Times New Roman"/>
                      <w:lang w:val="en-US"/>
                    </w:rPr>
                    <m:t>t</m:t>
                  </m:r>
                  <m:r>
                    <w:rPr>
                      <w:rFonts w:ascii="Cambria Math" w:hAnsi="Cambria Math" w:cs="Times New Roman"/>
                    </w:rPr>
                    <m:t>-2</m:t>
                  </m:r>
                </m:sub>
                <m:sup>
                  <m:r>
                    <w:rPr>
                      <w:rFonts w:ascii="Cambria Math" w:hAnsi="Cambria Math" w:cs="Times New Roman"/>
                      <w:lang w:val="ru-RU"/>
                    </w:rPr>
                    <m:t>ф</m:t>
                  </m:r>
                </m:sup>
              </m:sSubSup>
            </m:oMath>
            <w:r w:rsidR="0050683E" w:rsidRPr="005A615E">
              <w:rPr>
                <w:rFonts w:ascii="Times New Roman" w:hAnsi="Times New Roman" w:cs="Times New Roman"/>
              </w:rPr>
              <w:t xml:space="preserve"> , то </w:t>
            </w:r>
            <m:oMath>
              <m:sSub>
                <m:sSubPr>
                  <m:ctrlPr>
                    <w:rPr>
                      <w:rFonts w:ascii="Cambria Math" w:eastAsia="Times New Roman" w:hAnsi="Cambria Math" w:cs="Times New Roman"/>
                      <w:i/>
                      <w:sz w:val="24"/>
                      <w:szCs w:val="24"/>
                      <w:lang w:eastAsia="ru-RU"/>
                    </w:rPr>
                  </m:ctrlPr>
                </m:sSubPr>
                <m:e>
                  <m:r>
                    <w:rPr>
                      <w:rFonts w:ascii="Cambria Math" w:hAnsi="Cambria Math" w:cs="Times New Roman"/>
                    </w:rPr>
                    <m:t>КЯ</m:t>
                  </m:r>
                </m:e>
                <m:sub>
                  <m:r>
                    <w:rPr>
                      <w:rFonts w:ascii="Cambria Math" w:hAnsi="Cambria Math" w:cs="Times New Roman"/>
                    </w:rPr>
                    <m:t>пр</m:t>
                  </m:r>
                  <m:r>
                    <w:rPr>
                      <w:rFonts w:ascii="Cambria Math" w:hAnsi="Cambria Math" w:cs="Times New Roman"/>
                      <w:lang w:val="en-US"/>
                    </w:rPr>
                    <m:t>t</m:t>
                  </m:r>
                </m:sub>
              </m:sSub>
              <m:r>
                <w:rPr>
                  <w:rFonts w:ascii="Cambria Math" w:hAnsi="Cambria Math" w:cs="Times New Roman"/>
                </w:rPr>
                <m:t xml:space="preserve">=-0,01 × </m:t>
              </m:r>
              <m:sSubSup>
                <m:sSubSupPr>
                  <m:ctrlPr>
                    <w:rPr>
                      <w:rFonts w:ascii="Cambria Math" w:eastAsia="Times New Roman" w:hAnsi="Cambria Math" w:cs="Times New Roman"/>
                      <w:i/>
                      <w:sz w:val="24"/>
                      <w:szCs w:val="24"/>
                      <w:lang w:eastAsia="ru-RU"/>
                    </w:rPr>
                  </m:ctrlPr>
                </m:sSubSupPr>
                <m:e>
                  <m:r>
                    <w:rPr>
                      <w:rFonts w:ascii="Cambria Math" w:hAnsi="Cambria Math" w:cs="Times New Roman"/>
                    </w:rPr>
                    <m:t>НД</m:t>
                  </m:r>
                </m:e>
                <m:sub>
                  <m:r>
                    <w:rPr>
                      <w:rFonts w:ascii="Cambria Math" w:hAnsi="Cambria Math" w:cs="Times New Roman"/>
                      <w:lang w:val="en-US"/>
                    </w:rPr>
                    <m:t>t</m:t>
                  </m:r>
                  <m:r>
                    <w:rPr>
                      <w:rFonts w:ascii="Cambria Math" w:hAnsi="Cambria Math" w:cs="Times New Roman"/>
                    </w:rPr>
                    <m:t>-2</m:t>
                  </m:r>
                </m:sub>
                <m:sup>
                  <m:r>
                    <w:rPr>
                      <w:rFonts w:ascii="Cambria Math" w:hAnsi="Cambria Math" w:cs="Times New Roman"/>
                      <w:lang w:val="ru-RU"/>
                    </w:rPr>
                    <m:t>ф</m:t>
                  </m:r>
                </m:sup>
              </m:sSubSup>
            </m:oMath>
            <w:r w:rsidR="0050683E" w:rsidRPr="005A615E">
              <w:rPr>
                <w:rFonts w:ascii="Times New Roman" w:eastAsiaTheme="minorEastAsia" w:hAnsi="Times New Roman" w:cs="Times New Roman"/>
              </w:rPr>
              <w:t xml:space="preserve">  </w:t>
            </w:r>
          </w:p>
          <w:p w:rsidR="00524FF1" w:rsidRPr="005A615E" w:rsidRDefault="0050683E" w:rsidP="00524FF1">
            <w:pPr>
              <w:widowControl w:val="0"/>
              <w:ind w:firstLine="315"/>
              <w:jc w:val="both"/>
              <w:rPr>
                <w:rFonts w:ascii="Times New Roman" w:hAnsi="Times New Roman"/>
              </w:rPr>
            </w:pPr>
            <w:r w:rsidRPr="005A615E">
              <w:rPr>
                <w:rFonts w:ascii="Times New Roman" w:hAnsi="Times New Roman" w:cs="Times New Roman"/>
              </w:rPr>
              <w:t xml:space="preserve">За результатами здійснення заходів контролю за дотриманням Ліцензійних умов показник </w:t>
            </w:r>
            <m:oMath>
              <m:sSub>
                <m:sSubPr>
                  <m:ctrlPr>
                    <w:rPr>
                      <w:rFonts w:ascii="Cambria Math" w:eastAsia="Times New Roman" w:hAnsi="Cambria Math" w:cs="Times New Roman"/>
                      <w:i/>
                      <w:sz w:val="24"/>
                      <w:szCs w:val="24"/>
                      <w:lang w:eastAsia="ru-RU"/>
                    </w:rPr>
                  </m:ctrlPr>
                </m:sSubPr>
                <m:e>
                  <m:r>
                    <m:rPr>
                      <m:sty m:val="p"/>
                    </m:rPr>
                    <w:rPr>
                      <w:rFonts w:ascii="Cambria Math" w:hAnsi="Cambria Math" w:cs="Times New Roman"/>
                    </w:rPr>
                    <m:t>КЯ</m:t>
                  </m:r>
                </m:e>
                <m:sub>
                  <m:r>
                    <m:rPr>
                      <m:sty m:val="p"/>
                    </m:rPr>
                    <w:rPr>
                      <w:rFonts w:ascii="Cambria Math" w:hAnsi="Cambria Math" w:cs="Times New Roman"/>
                    </w:rPr>
                    <m:t>двt</m:t>
                  </m:r>
                </m:sub>
              </m:sSub>
            </m:oMath>
            <w:r w:rsidRPr="005A615E">
              <w:rPr>
                <w:rFonts w:ascii="Times New Roman" w:hAnsi="Times New Roman" w:cs="Times New Roman"/>
              </w:rPr>
              <w:t xml:space="preserve"> може бути уточнено;</w:t>
            </w:r>
            <w:r w:rsidR="00524FF1" w:rsidRPr="005A615E">
              <w:rPr>
                <w:rFonts w:ascii="Times New Roman" w:hAnsi="Times New Roman"/>
              </w:rPr>
              <w:t xml:space="preserve"> </w:t>
            </w:r>
          </w:p>
          <w:p w:rsidR="00524FF1" w:rsidRPr="005A615E" w:rsidRDefault="00524FF1" w:rsidP="00524FF1">
            <w:pPr>
              <w:widowControl w:val="0"/>
              <w:ind w:firstLine="315"/>
              <w:jc w:val="both"/>
              <w:rPr>
                <w:rFonts w:ascii="Times New Roman" w:hAnsi="Times New Roman"/>
              </w:rPr>
            </w:pPr>
            <w:r w:rsidRPr="005A615E">
              <w:rPr>
                <w:rFonts w:ascii="Times New Roman" w:hAnsi="Times New Roman"/>
              </w:rPr>
              <w:t>Коригування необхідного доходу відповідно до даних виконання цільового завдання щодо досягнення показників якості (достовірності) даних відключень в електричних мережах 6 - 150 кВ за 2027 рік</w:t>
            </w:r>
            <w:hyperlink r:id="rId322" w:tgtFrame="_blank" w:history="1">
              <w:r w:rsidRPr="005A615E">
                <w:rPr>
                  <w:rStyle w:val="a9"/>
                  <w:rFonts w:ascii="Times New Roman" w:hAnsi="Times New Roman"/>
                  <w:color w:val="auto"/>
                </w:rPr>
                <w:t xml:space="preserve"> не застосовується до ліцензіатів, наведених у додатку 34 до цього Порядку</w:t>
              </w:r>
            </w:hyperlink>
            <w:hyperlink r:id="rId323" w:tgtFrame="_blank" w:history="1">
              <w:r w:rsidRPr="005A615E">
                <w:rPr>
                  <w:rStyle w:val="a9"/>
                  <w:rFonts w:ascii="Times New Roman" w:hAnsi="Times New Roman"/>
                  <w:color w:val="auto"/>
                </w:rPr>
                <w:t>;</w:t>
              </w:r>
            </w:hyperlink>
            <w:r w:rsidRPr="005A615E">
              <w:rPr>
                <w:rFonts w:ascii="Times New Roman" w:hAnsi="Times New Roman"/>
              </w:rPr>
              <w:t xml:space="preserve"> </w:t>
            </w:r>
          </w:p>
          <w:p w:rsidR="00524FF1" w:rsidRPr="005A615E" w:rsidRDefault="00524FF1" w:rsidP="00524FF1">
            <w:pPr>
              <w:ind w:firstLine="315"/>
              <w:jc w:val="both"/>
              <w:rPr>
                <w:rFonts w:ascii="Times New Roman" w:hAnsi="Times New Roman"/>
              </w:rPr>
            </w:pPr>
            <w:r w:rsidRPr="005A615E">
              <w:rPr>
                <w:rFonts w:ascii="Times New Roman" w:hAnsi="Times New Roman"/>
              </w:rPr>
              <w:t>3) індекс якості надання послуги зі стандартного приєднання у встановлений строк, на рік t визначається за формулою</w:t>
            </w:r>
          </w:p>
          <w:p w:rsidR="0050683E" w:rsidRPr="005A615E" w:rsidRDefault="00524FF1" w:rsidP="00524FF1">
            <w:pPr>
              <w:rPr>
                <w:rFonts w:ascii="Times New Roman" w:eastAsiaTheme="minorEastAsia" w:hAnsi="Times New Roman" w:cs="Times New Roman"/>
              </w:rPr>
            </w:pPr>
            <m:oMath>
              <m:r>
                <w:rPr>
                  <w:rFonts w:ascii="Cambria Math" w:eastAsia="Times New Roman" w:hAnsi="Cambria Math" w:cs="Times New Roman"/>
                  <w:sz w:val="24"/>
                  <w:szCs w:val="24"/>
                  <w:lang w:eastAsia="ru-RU"/>
                </w:rPr>
                <m:t xml:space="preserve"> </m:t>
              </m:r>
              <m:sSub>
                <m:sSubPr>
                  <m:ctrlPr>
                    <w:rPr>
                      <w:rFonts w:ascii="Cambria Math" w:eastAsia="Times New Roman" w:hAnsi="Cambria Math" w:cs="Times New Roman"/>
                      <w:i/>
                      <w:sz w:val="24"/>
                      <w:szCs w:val="24"/>
                      <w:lang w:eastAsia="ru-RU"/>
                    </w:rPr>
                  </m:ctrlPr>
                </m:sSubPr>
                <m:e>
                  <m:r>
                    <w:rPr>
                      <w:rFonts w:ascii="Cambria Math" w:hAnsi="Cambria Math" w:cs="Times New Roman"/>
                    </w:rPr>
                    <m:t>КЯ</m:t>
                  </m:r>
                </m:e>
                <m:sub>
                  <m:r>
                    <w:rPr>
                      <w:rFonts w:ascii="Cambria Math" w:hAnsi="Cambria Math" w:cs="Times New Roman"/>
                    </w:rPr>
                    <m:t>прt</m:t>
                  </m:r>
                </m:sub>
              </m:sSub>
              <m:r>
                <w:rPr>
                  <w:rFonts w:ascii="Cambria Math" w:hAnsi="Cambria Math" w:cs="Times New Roman"/>
                </w:rPr>
                <m:t>=</m:t>
              </m:r>
              <m:f>
                <m:fPr>
                  <m:ctrlPr>
                    <w:rPr>
                      <w:rFonts w:ascii="Cambria Math" w:hAnsi="Cambria Math" w:cs="Times New Roman"/>
                      <w:i/>
                    </w:rPr>
                  </m:ctrlPr>
                </m:fPr>
                <m:num>
                  <m:d>
                    <m:dPr>
                      <m:ctrlPr>
                        <w:rPr>
                          <w:rFonts w:ascii="Cambria Math" w:eastAsia="Times New Roman" w:hAnsi="Cambria Math" w:cs="Times New Roman"/>
                          <w:i/>
                          <w:sz w:val="24"/>
                          <w:szCs w:val="24"/>
                          <w:lang w:eastAsia="ru-RU"/>
                        </w:rPr>
                      </m:ctrlPr>
                    </m:dPr>
                    <m:e>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прt-2</m:t>
                          </m:r>
                        </m:sub>
                        <m:sup>
                          <m:r>
                            <w:rPr>
                              <w:rFonts w:ascii="Cambria Math" w:hAnsi="Cambria Math" w:cs="Times New Roman"/>
                            </w:rPr>
                            <m:t>ф</m:t>
                          </m:r>
                        </m:sup>
                      </m:sSubSup>
                      <m:r>
                        <w:rPr>
                          <w:rFonts w:ascii="Cambria Math" w:hAnsi="Cambria Math" w:cs="Times New Roman"/>
                        </w:rPr>
                        <m:t>-</m:t>
                      </m:r>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прt-2</m:t>
                          </m:r>
                        </m:sub>
                        <m:sup>
                          <m:r>
                            <w:rPr>
                              <w:rFonts w:ascii="Cambria Math" w:eastAsia="Times New Roman" w:hAnsi="Cambria Math" w:cs="Times New Roman"/>
                              <w:sz w:val="24"/>
                              <w:szCs w:val="24"/>
                              <w:lang w:eastAsia="ru-RU"/>
                            </w:rPr>
                            <m:t>ц</m:t>
                          </m:r>
                        </m:sup>
                      </m:sSubSup>
                    </m:e>
                  </m:d>
                </m:num>
                <m:den>
                  <m:r>
                    <w:rPr>
                      <w:rFonts w:ascii="Cambria Math" w:hAnsi="Cambria Math" w:cs="Times New Roman"/>
                    </w:rPr>
                    <m:t>100</m:t>
                  </m:r>
                </m:den>
              </m:f>
              <m:r>
                <w:rPr>
                  <w:rFonts w:ascii="Cambria Math" w:eastAsiaTheme="minorEastAsia"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ПК</m:t>
                  </m:r>
                </m:e>
                <m:sub>
                  <m:r>
                    <w:rPr>
                      <w:rFonts w:ascii="Cambria Math" w:eastAsia="Times New Roman" w:hAnsi="Cambria Math" w:cs="Times New Roman"/>
                      <w:sz w:val="24"/>
                      <w:szCs w:val="24"/>
                      <w:lang w:eastAsia="ru-RU"/>
                    </w:rPr>
                    <m:t>пр</m:t>
                  </m:r>
                </m:sub>
              </m:sSub>
              <m:r>
                <w:rPr>
                  <w:rFonts w:ascii="Cambria Math" w:eastAsia="Times New Roman" w:hAnsi="Cambria Math" w:cs="Times New Roman"/>
                  <w:sz w:val="24"/>
                  <w:szCs w:val="24"/>
                  <w:lang w:eastAsia="ru-RU"/>
                </w:rPr>
                <m:t xml:space="preserve">×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ФД</m:t>
                  </m:r>
                </m:e>
                <m:sub>
                  <m:r>
                    <w:rPr>
                      <w:rFonts w:ascii="Cambria Math" w:eastAsia="Times New Roman" w:hAnsi="Cambria Math" w:cs="Times New Roman"/>
                      <w:sz w:val="24"/>
                      <w:szCs w:val="24"/>
                      <w:lang w:val="en-US" w:eastAsia="ru-RU"/>
                    </w:rPr>
                    <m:t>t</m:t>
                  </m:r>
                  <m:r>
                    <w:rPr>
                      <w:rFonts w:ascii="Cambria Math" w:eastAsia="Times New Roman" w:hAnsi="Cambria Math" w:cs="Times New Roman"/>
                      <w:sz w:val="24"/>
                      <w:szCs w:val="24"/>
                      <w:lang w:eastAsia="ru-RU"/>
                    </w:rPr>
                    <m:t>-2</m:t>
                  </m:r>
                </m:sub>
              </m:sSub>
              <m:r>
                <w:rPr>
                  <w:rFonts w:ascii="Cambria Math" w:hAnsi="Cambria Math" w:cs="Times New Roman"/>
                </w:rPr>
                <m:t>, тис. грн</m:t>
              </m:r>
            </m:oMath>
            <w:r w:rsidR="0050683E" w:rsidRPr="005A615E">
              <w:rPr>
                <w:rFonts w:ascii="Times New Roman" w:eastAsiaTheme="minorEastAsia" w:hAnsi="Times New Roman" w:cs="Times New Roman"/>
                <w:i/>
              </w:rPr>
              <w:t xml:space="preserve">  </w:t>
            </w:r>
            <w:r w:rsidR="0050683E" w:rsidRPr="005A615E">
              <w:rPr>
                <w:rFonts w:ascii="Times New Roman" w:eastAsiaTheme="minorEastAsia" w:hAnsi="Times New Roman" w:cs="Times New Roman"/>
              </w:rPr>
              <w:t>(39)</w:t>
            </w:r>
          </w:p>
          <w:p w:rsidR="0050683E" w:rsidRPr="005A615E" w:rsidRDefault="0050683E" w:rsidP="0050683E">
            <w:pPr>
              <w:rPr>
                <w:rFonts w:ascii="Times New Roman" w:eastAsia="Times New Roman" w:hAnsi="Times New Roman" w:cs="Times New Roman"/>
              </w:rPr>
            </w:pPr>
          </w:p>
          <w:p w:rsidR="0050683E" w:rsidRPr="005A615E" w:rsidRDefault="0050683E" w:rsidP="0050683E">
            <w:pPr>
              <w:ind w:firstLine="315"/>
              <w:jc w:val="both"/>
              <w:rPr>
                <w:rFonts w:ascii="Times New Roman" w:hAnsi="Times New Roman" w:cs="Times New Roman"/>
                <w:lang w:val="ru-RU"/>
              </w:rPr>
            </w:pPr>
            <w:r w:rsidRPr="005A615E">
              <w:rPr>
                <w:rFonts w:ascii="Times New Roman" w:hAnsi="Times New Roman" w:cs="Times New Roman"/>
              </w:rPr>
              <w:t>де</w:t>
            </w:r>
            <w:r w:rsidRPr="005A615E">
              <w:rPr>
                <w:rFonts w:ascii="Times New Roman" w:hAnsi="Times New Roman" w:cs="Times New Roman"/>
                <w:lang w:val="ru-RU"/>
              </w:rPr>
              <w:t xml:space="preserve"> </w:t>
            </w:r>
            <m:oMath>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прt-2</m:t>
                  </m:r>
                </m:sub>
                <m:sup>
                  <m:r>
                    <w:rPr>
                      <w:rFonts w:ascii="Cambria Math" w:hAnsi="Cambria Math" w:cs="Times New Roman"/>
                    </w:rPr>
                    <m:t>ф</m:t>
                  </m:r>
                </m:sup>
              </m:sSubSup>
              <m:r>
                <w:rPr>
                  <w:rFonts w:ascii="Cambria Math" w:eastAsia="Times New Roman" w:hAnsi="Cambria Math" w:cs="Times New Roman"/>
                  <w:sz w:val="24"/>
                  <w:szCs w:val="24"/>
                  <w:lang w:eastAsia="ru-RU"/>
                </w:rPr>
                <m:t xml:space="preserve"> </m:t>
              </m:r>
            </m:oMath>
            <w:r w:rsidRPr="005A615E">
              <w:rPr>
                <w:rFonts w:ascii="Times New Roman" w:hAnsi="Times New Roman" w:cs="Times New Roman"/>
              </w:rPr>
              <w:t xml:space="preserve"> – фактичний індекс </w:t>
            </w:r>
            <w:r w:rsidR="00641736" w:rsidRPr="005A615E">
              <w:rPr>
                <w:rFonts w:ascii="Times New Roman" w:hAnsi="Times New Roman" w:cs="Times New Roman"/>
              </w:rPr>
              <w:t xml:space="preserve">якості </w:t>
            </w:r>
            <w:r w:rsidRPr="005A615E">
              <w:rPr>
                <w:rFonts w:ascii="Times New Roman" w:hAnsi="Times New Roman" w:cs="Times New Roman"/>
              </w:rPr>
              <w:t>надання послуги зі стандартного приєднання у встановлений строк, визначений Кодексом систем розподілу, на рік t-2 визначається за формулою</w:t>
            </w:r>
          </w:p>
          <w:p w:rsidR="0050683E" w:rsidRPr="005A615E" w:rsidRDefault="000D13C5" w:rsidP="0050683E">
            <w:pPr>
              <w:rPr>
                <w:rFonts w:ascii="Times New Roman" w:eastAsiaTheme="minorEastAsia" w:hAnsi="Times New Roman" w:cs="Times New Roman"/>
              </w:rPr>
            </w:pPr>
            <m:oMath>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пр</m:t>
                  </m:r>
                  <m:r>
                    <m:rPr>
                      <m:sty m:val="p"/>
                    </m:rPr>
                    <w:rPr>
                      <w:rFonts w:ascii="Cambria Math" w:hAnsi="Cambria Math" w:cs="Times New Roman"/>
                    </w:rPr>
                    <w:softHyphen/>
                  </m:r>
                  <m:r>
                    <w:rPr>
                      <w:rFonts w:ascii="Cambria Math" w:hAnsi="Cambria Math" w:cs="Times New Roman"/>
                    </w:rPr>
                    <m:t>t-2</m:t>
                  </m:r>
                </m:sub>
                <m:sup>
                  <m:r>
                    <w:rPr>
                      <w:rFonts w:ascii="Cambria Math" w:hAnsi="Cambria Math" w:cs="Times New Roman"/>
                    </w:rPr>
                    <m:t>ф</m:t>
                  </m:r>
                </m:sup>
              </m:sSubSup>
              <m:r>
                <w:rPr>
                  <w:rFonts w:ascii="Cambria Math" w:hAnsi="Cambria Math" w:cs="Times New Roman"/>
                  <w:lang w:eastAsia="uk-UA"/>
                </w:rPr>
                <m:t>=</m:t>
              </m:r>
              <m:f>
                <m:fPr>
                  <m:ctrlPr>
                    <w:rPr>
                      <w:rFonts w:ascii="Cambria Math" w:eastAsia="Times New Roman" w:hAnsi="Cambria Math" w:cs="Times New Roman"/>
                      <w:sz w:val="24"/>
                      <w:szCs w:val="24"/>
                    </w:rPr>
                  </m:ctrlPr>
                </m:fPr>
                <m:num>
                  <m:sSubSup>
                    <m:sSubSupPr>
                      <m:ctrlPr>
                        <w:rPr>
                          <w:rFonts w:ascii="Cambria Math" w:eastAsia="Times New Roman" w:hAnsi="Cambria Math" w:cs="Times New Roman"/>
                          <w:i/>
                          <w:sz w:val="24"/>
                          <w:szCs w:val="24"/>
                          <w:lang w:eastAsia="ru-RU"/>
                        </w:rPr>
                      </m:ctrlPr>
                    </m:sSubSupPr>
                    <m:e>
                      <m:r>
                        <w:rPr>
                          <w:rFonts w:ascii="Cambria Math" w:hAnsi="Cambria Math" w:cs="Times New Roman"/>
                        </w:rPr>
                        <m:t>N</m:t>
                      </m:r>
                    </m:e>
                    <m:sub>
                      <m:r>
                        <w:rPr>
                          <w:rFonts w:ascii="Cambria Math" w:hAnsi="Cambria Math" w:cs="Times New Roman"/>
                        </w:rPr>
                        <m:t>прt-2</m:t>
                      </m:r>
                    </m:sub>
                    <m:sup>
                      <m:r>
                        <w:rPr>
                          <w:rFonts w:ascii="Cambria Math" w:hAnsi="Cambria Math" w:cs="Times New Roman"/>
                        </w:rPr>
                        <m:t>ф_ВЧ</m:t>
                      </m:r>
                    </m:sup>
                  </m:sSubSup>
                  <m:ctrlPr>
                    <w:rPr>
                      <w:rFonts w:ascii="Cambria Math" w:eastAsia="Times New Roman" w:hAnsi="Cambria Math" w:cs="Times New Roman"/>
                      <w:i/>
                      <w:sz w:val="24"/>
                      <w:szCs w:val="24"/>
                    </w:rPr>
                  </m:ctrlPr>
                </m:num>
                <m:den>
                  <m:sSubSup>
                    <m:sSubSupPr>
                      <m:ctrlPr>
                        <w:rPr>
                          <w:rFonts w:ascii="Cambria Math" w:eastAsia="Times New Roman" w:hAnsi="Cambria Math" w:cs="Times New Roman"/>
                          <w:i/>
                          <w:sz w:val="24"/>
                          <w:szCs w:val="24"/>
                          <w:lang w:eastAsia="ru-RU"/>
                        </w:rPr>
                      </m:ctrlPr>
                    </m:sSubSupPr>
                    <m:e>
                      <m:r>
                        <w:rPr>
                          <w:rFonts w:ascii="Cambria Math" w:hAnsi="Cambria Math" w:cs="Times New Roman"/>
                        </w:rPr>
                        <m:t>N</m:t>
                      </m:r>
                    </m:e>
                    <m:sub>
                      <m:r>
                        <w:rPr>
                          <w:rFonts w:ascii="Cambria Math" w:hAnsi="Cambria Math" w:cs="Times New Roman"/>
                        </w:rPr>
                        <m:t>прt-2</m:t>
                      </m:r>
                    </m:sub>
                    <m:sup>
                      <m:r>
                        <w:rPr>
                          <w:rFonts w:ascii="Cambria Math" w:hAnsi="Cambria Math" w:cs="Times New Roman"/>
                        </w:rPr>
                        <m:t>ф_заг</m:t>
                      </m:r>
                    </m:sup>
                  </m:sSubSup>
                  <m:ctrlPr>
                    <w:rPr>
                      <w:rFonts w:ascii="Cambria Math" w:eastAsia="Times New Roman" w:hAnsi="Cambria Math" w:cs="Times New Roman"/>
                      <w:i/>
                      <w:sz w:val="24"/>
                      <w:szCs w:val="24"/>
                    </w:rPr>
                  </m:ctrlPr>
                </m:den>
              </m:f>
              <m:r>
                <w:rPr>
                  <w:rFonts w:ascii="Cambria Math" w:eastAsiaTheme="minorEastAsia" w:hAnsi="Cambria Math" w:cs="Times New Roman"/>
                  <w:sz w:val="24"/>
                  <w:szCs w:val="24"/>
                  <w:lang w:eastAsia="ru-RU"/>
                </w:rPr>
                <m:t>×</m:t>
              </m:r>
              <m:r>
                <w:rPr>
                  <w:rFonts w:ascii="Cambria Math" w:hAnsi="Cambria Math" w:cs="Times New Roman"/>
                  <w:lang w:eastAsia="uk-UA"/>
                </w:rPr>
                <m:t xml:space="preserve">100 </m:t>
              </m:r>
            </m:oMath>
            <w:r w:rsidR="0050683E" w:rsidRPr="005A615E">
              <w:rPr>
                <w:rFonts w:ascii="Times New Roman" w:eastAsiaTheme="minorEastAsia" w:hAnsi="Times New Roman" w:cs="Times New Roman"/>
                <w:lang w:eastAsia="uk-UA"/>
              </w:rPr>
              <w:t xml:space="preserve">, %          </w:t>
            </w:r>
            <w:r w:rsidR="0050683E" w:rsidRPr="005A615E">
              <w:rPr>
                <w:rFonts w:ascii="Times New Roman" w:eastAsiaTheme="minorEastAsia" w:hAnsi="Times New Roman" w:cs="Times New Roman"/>
              </w:rPr>
              <w:t>(40)</w:t>
            </w:r>
          </w:p>
          <w:p w:rsidR="0050683E" w:rsidRPr="005A615E" w:rsidRDefault="0050683E" w:rsidP="0050683E">
            <w:pPr>
              <w:ind w:firstLine="173"/>
              <w:jc w:val="both"/>
              <w:rPr>
                <w:rFonts w:ascii="Times New Roman" w:hAnsi="Times New Roman" w:cs="Times New Roman"/>
                <w:lang w:eastAsia="ru-RU"/>
              </w:rPr>
            </w:pPr>
            <w:r w:rsidRPr="005A615E">
              <w:rPr>
                <w:rFonts w:ascii="Times New Roman" w:hAnsi="Times New Roman" w:cs="Times New Roman"/>
              </w:rPr>
              <w:t xml:space="preserve">де </w:t>
            </w:r>
            <m:oMath>
              <m:sSubSup>
                <m:sSubSupPr>
                  <m:ctrlPr>
                    <w:rPr>
                      <w:rFonts w:ascii="Cambria Math" w:eastAsia="Times New Roman" w:hAnsi="Cambria Math" w:cs="Times New Roman"/>
                      <w:i/>
                      <w:sz w:val="24"/>
                      <w:szCs w:val="24"/>
                      <w:lang w:eastAsia="ru-RU"/>
                    </w:rPr>
                  </m:ctrlPr>
                </m:sSubSupPr>
                <m:e>
                  <m:r>
                    <w:rPr>
                      <w:rFonts w:ascii="Cambria Math" w:hAnsi="Cambria Math" w:cs="Times New Roman"/>
                    </w:rPr>
                    <m:t>N</m:t>
                  </m:r>
                </m:e>
                <m:sub>
                  <m:r>
                    <w:rPr>
                      <w:rFonts w:ascii="Cambria Math" w:hAnsi="Cambria Math" w:cs="Times New Roman"/>
                    </w:rPr>
                    <m:t>прt-2</m:t>
                  </m:r>
                </m:sub>
                <m:sup>
                  <m:r>
                    <w:rPr>
                      <w:rFonts w:ascii="Cambria Math" w:hAnsi="Cambria Math" w:cs="Times New Roman"/>
                    </w:rPr>
                    <m:t>ф_ВЧ</m:t>
                  </m:r>
                </m:sup>
              </m:sSubSup>
            </m:oMath>
            <w:r w:rsidRPr="005A615E">
              <w:rPr>
                <w:rFonts w:ascii="Times New Roman" w:hAnsi="Times New Roman" w:cs="Times New Roman"/>
              </w:rPr>
              <w:t xml:space="preserve"> – кількість послуг зі стандартного приєднання, наданих без порушення встановленого строку у році t-2;</w:t>
            </w:r>
          </w:p>
          <w:p w:rsidR="0050683E" w:rsidRPr="005A615E" w:rsidRDefault="000D13C5" w:rsidP="0050683E">
            <w:pPr>
              <w:ind w:firstLine="173"/>
              <w:jc w:val="both"/>
              <w:rPr>
                <w:rFonts w:ascii="Times New Roman" w:hAnsi="Times New Roman" w:cs="Times New Roman"/>
              </w:rPr>
            </w:pPr>
            <m:oMath>
              <m:sSubSup>
                <m:sSubSupPr>
                  <m:ctrlPr>
                    <w:rPr>
                      <w:rFonts w:ascii="Cambria Math" w:eastAsia="Times New Roman" w:hAnsi="Cambria Math" w:cs="Times New Roman"/>
                      <w:i/>
                      <w:sz w:val="24"/>
                      <w:szCs w:val="24"/>
                      <w:lang w:eastAsia="ru-RU"/>
                    </w:rPr>
                  </m:ctrlPr>
                </m:sSubSupPr>
                <m:e>
                  <m:r>
                    <w:rPr>
                      <w:rFonts w:ascii="Cambria Math" w:hAnsi="Cambria Math" w:cs="Times New Roman"/>
                    </w:rPr>
                    <m:t>N</m:t>
                  </m:r>
                </m:e>
                <m:sub>
                  <m:r>
                    <w:rPr>
                      <w:rFonts w:ascii="Cambria Math" w:hAnsi="Cambria Math" w:cs="Times New Roman"/>
                    </w:rPr>
                    <m:t>прt-2</m:t>
                  </m:r>
                </m:sub>
                <m:sup>
                  <m:r>
                    <w:rPr>
                      <w:rFonts w:ascii="Cambria Math" w:hAnsi="Cambria Math" w:cs="Times New Roman"/>
                    </w:rPr>
                    <m:t>ф_заг</m:t>
                  </m:r>
                </m:sup>
              </m:sSubSup>
              <m:r>
                <w:rPr>
                  <w:rFonts w:ascii="Cambria Math" w:hAnsi="Cambria Math" w:cs="Times New Roman"/>
                </w:rPr>
                <m:t xml:space="preserve">   </m:t>
              </m:r>
            </m:oMath>
            <w:r w:rsidR="0050683E" w:rsidRPr="005A615E">
              <w:rPr>
                <w:rFonts w:ascii="Times New Roman" w:hAnsi="Times New Roman" w:cs="Times New Roman"/>
              </w:rPr>
              <w:t xml:space="preserve"> – загальна кількість наданих послуг зі стандартного приєднання у році t-2;</w:t>
            </w:r>
          </w:p>
          <w:p w:rsidR="0050683E" w:rsidRPr="005A615E" w:rsidRDefault="000D13C5" w:rsidP="0050683E">
            <w:pPr>
              <w:ind w:firstLine="315"/>
              <w:jc w:val="both"/>
              <w:rPr>
                <w:rFonts w:ascii="Times New Roman" w:hAnsi="Times New Roman" w:cs="Times New Roman"/>
              </w:rPr>
            </w:pPr>
            <m:oMath>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прt-2</m:t>
                  </m:r>
                </m:sub>
                <m:sup>
                  <m:r>
                    <w:rPr>
                      <w:rFonts w:ascii="Cambria Math" w:eastAsia="Times New Roman" w:hAnsi="Cambria Math" w:cs="Times New Roman"/>
                      <w:sz w:val="24"/>
                      <w:szCs w:val="24"/>
                      <w:lang w:eastAsia="ru-RU"/>
                    </w:rPr>
                    <m:t>ц</m:t>
                  </m:r>
                </m:sup>
              </m:sSubSup>
            </m:oMath>
            <w:r w:rsidR="0050683E" w:rsidRPr="005A615E">
              <w:rPr>
                <w:rFonts w:ascii="Times New Roman" w:hAnsi="Times New Roman" w:cs="Times New Roman"/>
              </w:rPr>
              <w:t xml:space="preserve"> – встановлений НКРЕКП цільовий індекс </w:t>
            </w:r>
            <w:r w:rsidR="00641736" w:rsidRPr="005A615E">
              <w:rPr>
                <w:rFonts w:ascii="Times New Roman" w:hAnsi="Times New Roman" w:cs="Times New Roman"/>
                <w:lang w:val="ru-RU"/>
              </w:rPr>
              <w:t xml:space="preserve">якості </w:t>
            </w:r>
            <w:r w:rsidR="0050683E" w:rsidRPr="005A615E">
              <w:rPr>
                <w:rFonts w:ascii="Times New Roman" w:hAnsi="Times New Roman" w:cs="Times New Roman"/>
              </w:rPr>
              <w:t>надання послуги зі стандартного приєднання у встановлений строк, на рівні ≥ 98 %, який враховується у розрахунку, починаючи з третього року другого регуляторного періоду (Iпрt-2);</w:t>
            </w:r>
          </w:p>
          <w:p w:rsidR="0050683E" w:rsidRPr="005A615E" w:rsidRDefault="000D13C5" w:rsidP="0050683E">
            <w:pPr>
              <w:ind w:firstLine="173"/>
              <w:jc w:val="both"/>
              <w:rPr>
                <w:rFonts w:ascii="Times New Roman" w:hAnsi="Times New Roman" w:cs="Times New Roman"/>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ПК</m:t>
                  </m:r>
                </m:e>
                <m:sub>
                  <m:r>
                    <w:rPr>
                      <w:rFonts w:ascii="Cambria Math" w:eastAsia="Times New Roman" w:hAnsi="Cambria Math" w:cs="Times New Roman"/>
                      <w:sz w:val="24"/>
                      <w:szCs w:val="24"/>
                      <w:lang w:val="ru-RU" w:eastAsia="ru-RU"/>
                    </w:rPr>
                    <m:t>пр</m:t>
                  </m:r>
                </m:sub>
              </m:sSub>
            </m:oMath>
            <w:r w:rsidR="0050683E" w:rsidRPr="005A615E">
              <w:rPr>
                <w:rFonts w:ascii="Times New Roman" w:hAnsi="Times New Roman" w:cs="Times New Roman"/>
              </w:rPr>
              <w:t xml:space="preserve"> – параметр коригування необхідного доходу за недотримання цільового індексу </w:t>
            </w:r>
            <w:r w:rsidR="00641736" w:rsidRPr="005A615E">
              <w:rPr>
                <w:rFonts w:ascii="Times New Roman" w:hAnsi="Times New Roman" w:cs="Times New Roman"/>
              </w:rPr>
              <w:t xml:space="preserve">якості </w:t>
            </w:r>
            <w:r w:rsidR="0050683E" w:rsidRPr="005A615E">
              <w:rPr>
                <w:rFonts w:ascii="Times New Roman" w:hAnsi="Times New Roman" w:cs="Times New Roman"/>
              </w:rPr>
              <w:t>надання послуг зі стандартного приєднання;</w:t>
            </w:r>
          </w:p>
          <w:p w:rsidR="0050683E" w:rsidRPr="005A615E" w:rsidRDefault="000D13C5" w:rsidP="0050683E">
            <w:pPr>
              <w:ind w:firstLine="173"/>
              <w:jc w:val="both"/>
              <w:rPr>
                <w:rFonts w:ascii="Times New Roman" w:hAnsi="Times New Roman" w:cs="Times New Roman"/>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ФД</m:t>
                  </m:r>
                </m:e>
                <m:sub>
                  <m:r>
                    <w:rPr>
                      <w:rFonts w:ascii="Cambria Math" w:eastAsia="Times New Roman" w:hAnsi="Cambria Math" w:cs="Times New Roman"/>
                      <w:sz w:val="24"/>
                      <w:szCs w:val="24"/>
                      <w:lang w:val="en-US" w:eastAsia="ru-RU"/>
                    </w:rPr>
                    <m:t>t</m:t>
                  </m:r>
                  <m:r>
                    <w:rPr>
                      <w:rFonts w:ascii="Cambria Math" w:eastAsia="Times New Roman" w:hAnsi="Cambria Math" w:cs="Times New Roman"/>
                      <w:sz w:val="24"/>
                      <w:szCs w:val="24"/>
                      <w:lang w:eastAsia="ru-RU"/>
                    </w:rPr>
                    <m:t>-2</m:t>
                  </m:r>
                </m:sub>
              </m:sSub>
            </m:oMath>
            <w:r w:rsidR="0050683E" w:rsidRPr="005A615E">
              <w:rPr>
                <w:rFonts w:ascii="Times New Roman" w:hAnsi="Times New Roman" w:cs="Times New Roman"/>
              </w:rPr>
              <w:t xml:space="preserve"> – фактичний дохід, розрахований як добуток фактичних помісячних обсягів розподілу електричної енергії і тарифів, що діяли у відповідному періоді року </w:t>
            </w:r>
            <w:r w:rsidR="0050683E" w:rsidRPr="005A615E">
              <w:rPr>
                <w:rFonts w:ascii="Times New Roman" w:hAnsi="Times New Roman" w:cs="Times New Roman"/>
                <w:lang w:val="en-US"/>
              </w:rPr>
              <w:t>t</w:t>
            </w:r>
            <w:r w:rsidR="0050683E" w:rsidRPr="005A615E">
              <w:rPr>
                <w:rFonts w:ascii="Times New Roman" w:hAnsi="Times New Roman" w:cs="Times New Roman"/>
              </w:rPr>
              <w:t>-2, тис. грн;</w:t>
            </w:r>
          </w:p>
          <w:p w:rsidR="0050683E" w:rsidRPr="005A615E" w:rsidRDefault="0050683E" w:rsidP="0050683E">
            <w:pPr>
              <w:ind w:firstLine="173"/>
              <w:jc w:val="both"/>
              <w:rPr>
                <w:rFonts w:ascii="Times New Roman" w:eastAsiaTheme="minorEastAsia" w:hAnsi="Times New Roman" w:cs="Times New Roman"/>
                <w:szCs w:val="28"/>
              </w:rPr>
            </w:pPr>
            <m:oMathPara>
              <m:oMathParaPr>
                <m:jc m:val="left"/>
              </m:oMathParaPr>
              <m:oMath>
                <m:r>
                  <w:rPr>
                    <w:rFonts w:ascii="Cambria Math" w:hAnsi="Cambria Math" w:cs="Times New Roman"/>
                    <w:szCs w:val="28"/>
                  </w:rPr>
                  <m:t xml:space="preserve">Якщо </m:t>
                </m:r>
                <m:sSubSup>
                  <m:sSubSupPr>
                    <m:ctrlPr>
                      <w:rPr>
                        <w:rFonts w:ascii="Cambria Math" w:eastAsia="Times New Roman" w:hAnsi="Cambria Math" w:cs="Times New Roman"/>
                        <w:i/>
                        <w:sz w:val="24"/>
                        <w:szCs w:val="28"/>
                        <w:lang w:eastAsia="ru-RU"/>
                      </w:rPr>
                    </m:ctrlPr>
                  </m:sSubSupPr>
                  <m:e>
                    <m:r>
                      <w:rPr>
                        <w:rFonts w:ascii="Cambria Math" w:hAnsi="Cambria Math" w:cs="Times New Roman"/>
                        <w:szCs w:val="28"/>
                      </w:rPr>
                      <m:t>I</m:t>
                    </m:r>
                  </m:e>
                  <m:sub>
                    <m:r>
                      <w:rPr>
                        <w:rFonts w:ascii="Cambria Math" w:hAnsi="Cambria Math" w:cs="Times New Roman"/>
                        <w:szCs w:val="28"/>
                      </w:rPr>
                      <m:t>прt-2</m:t>
                    </m:r>
                  </m:sub>
                  <m:sup>
                    <m:r>
                      <w:rPr>
                        <w:rFonts w:ascii="Cambria Math" w:hAnsi="Cambria Math" w:cs="Times New Roman"/>
                        <w:szCs w:val="28"/>
                      </w:rPr>
                      <m:t>ф</m:t>
                    </m:r>
                  </m:sup>
                </m:sSubSup>
                <m:r>
                  <w:rPr>
                    <w:rFonts w:ascii="Cambria Math" w:hAnsi="Cambria Math" w:cs="Times New Roman"/>
                    <w:szCs w:val="28"/>
                  </w:rPr>
                  <m:t xml:space="preserve">- </m:t>
                </m:r>
                <m:sSubSup>
                  <m:sSubSupPr>
                    <m:ctrlPr>
                      <w:rPr>
                        <w:rFonts w:ascii="Cambria Math" w:eastAsia="Times New Roman" w:hAnsi="Cambria Math" w:cs="Times New Roman"/>
                        <w:i/>
                        <w:sz w:val="24"/>
                        <w:szCs w:val="28"/>
                        <w:lang w:eastAsia="ru-RU"/>
                      </w:rPr>
                    </m:ctrlPr>
                  </m:sSubSupPr>
                  <m:e>
                    <m:r>
                      <w:rPr>
                        <w:rFonts w:ascii="Cambria Math" w:hAnsi="Cambria Math" w:cs="Times New Roman"/>
                        <w:szCs w:val="28"/>
                      </w:rPr>
                      <m:t>I</m:t>
                    </m:r>
                  </m:e>
                  <m:sub>
                    <m:r>
                      <w:rPr>
                        <w:rFonts w:ascii="Cambria Math" w:hAnsi="Cambria Math" w:cs="Times New Roman"/>
                        <w:szCs w:val="28"/>
                      </w:rPr>
                      <m:t>прt-2</m:t>
                    </m:r>
                  </m:sub>
                  <m:sup>
                    <m:r>
                      <w:rPr>
                        <w:rFonts w:ascii="Cambria Math" w:hAnsi="Cambria Math" w:cs="Times New Roman"/>
                        <w:szCs w:val="28"/>
                      </w:rPr>
                      <m:t>ц</m:t>
                    </m:r>
                  </m:sup>
                </m:sSubSup>
                <m:r>
                  <w:rPr>
                    <w:rFonts w:ascii="Cambria Math" w:hAnsi="Cambria Math" w:cs="Times New Roman"/>
                    <w:szCs w:val="28"/>
                  </w:rPr>
                  <m:t xml:space="preserve">&gt;0, то </m:t>
                </m:r>
                <m:sSub>
                  <m:sSubPr>
                    <m:ctrlPr>
                      <w:rPr>
                        <w:rFonts w:ascii="Cambria Math" w:eastAsia="Times New Roman" w:hAnsi="Cambria Math" w:cs="Times New Roman"/>
                        <w:i/>
                        <w:sz w:val="24"/>
                        <w:szCs w:val="28"/>
                        <w:lang w:eastAsia="ru-RU"/>
                      </w:rPr>
                    </m:ctrlPr>
                  </m:sSubPr>
                  <m:e>
                    <m:r>
                      <w:rPr>
                        <w:rFonts w:ascii="Cambria Math" w:hAnsi="Cambria Math" w:cs="Times New Roman"/>
                        <w:szCs w:val="28"/>
                      </w:rPr>
                      <m:t>КЯ</m:t>
                    </m:r>
                  </m:e>
                  <m:sub>
                    <m:r>
                      <w:rPr>
                        <w:rFonts w:ascii="Cambria Math" w:hAnsi="Cambria Math" w:cs="Times New Roman"/>
                        <w:szCs w:val="28"/>
                      </w:rPr>
                      <m:t>птt</m:t>
                    </m:r>
                  </m:sub>
                </m:sSub>
                <m:r>
                  <w:rPr>
                    <w:rFonts w:ascii="Cambria Math" w:hAnsi="Cambria Math" w:cs="Times New Roman"/>
                    <w:szCs w:val="28"/>
                  </w:rPr>
                  <m:t>=0;</m:t>
                </m:r>
              </m:oMath>
            </m:oMathPara>
          </w:p>
          <w:p w:rsidR="0050683E" w:rsidRPr="005A615E" w:rsidRDefault="000D13C5" w:rsidP="0050683E">
            <w:pPr>
              <w:ind w:firstLine="173"/>
              <w:jc w:val="both"/>
              <w:rPr>
                <w:rFonts w:ascii="Times New Roman" w:hAnsi="Times New Roman" w:cs="Times New Roman"/>
              </w:rPr>
            </w:pPr>
            <m:oMath>
              <m:sSub>
                <m:sSubPr>
                  <m:ctrlPr>
                    <w:rPr>
                      <w:rFonts w:ascii="Cambria Math" w:eastAsia="Times New Roman" w:hAnsi="Cambria Math" w:cs="Times New Roman"/>
                      <w:i/>
                      <w:sz w:val="24"/>
                      <w:szCs w:val="24"/>
                      <w:lang w:eastAsia="ru-RU"/>
                    </w:rPr>
                  </m:ctrlPr>
                </m:sSubPr>
                <m:e>
                  <m:r>
                    <w:rPr>
                      <w:rFonts w:ascii="Cambria Math" w:hAnsi="Cambria Math" w:cs="Times New Roman"/>
                      <w:szCs w:val="28"/>
                    </w:rPr>
                    <m:t xml:space="preserve">Якщо </m:t>
                  </m:r>
                  <m:r>
                    <w:rPr>
                      <w:rFonts w:ascii="Cambria Math" w:hAnsi="Cambria Math" w:cs="Times New Roman"/>
                    </w:rPr>
                    <m:t>КЯ</m:t>
                  </m:r>
                </m:e>
                <m:sub>
                  <m:r>
                    <w:rPr>
                      <w:rFonts w:ascii="Cambria Math" w:hAnsi="Cambria Math" w:cs="Times New Roman"/>
                    </w:rPr>
                    <m:t>пр</m:t>
                  </m:r>
                  <m:r>
                    <w:rPr>
                      <w:rFonts w:ascii="Cambria Math" w:hAnsi="Cambria Math" w:cs="Times New Roman"/>
                      <w:lang w:val="en-US"/>
                    </w:rPr>
                    <m:t>t</m:t>
                  </m:r>
                </m:sub>
              </m:sSub>
              <m:r>
                <w:rPr>
                  <w:rFonts w:ascii="Cambria Math" w:hAnsi="Cambria Math" w:cs="Times New Roman"/>
                </w:rPr>
                <m:t xml:space="preserve">˂-0,01 × </m:t>
              </m:r>
              <m:sSubSup>
                <m:sSubSupPr>
                  <m:ctrlPr>
                    <w:rPr>
                      <w:rFonts w:ascii="Cambria Math" w:eastAsia="Times New Roman" w:hAnsi="Cambria Math" w:cs="Times New Roman"/>
                      <w:i/>
                      <w:sz w:val="24"/>
                      <w:szCs w:val="24"/>
                      <w:lang w:eastAsia="ru-RU"/>
                    </w:rPr>
                  </m:ctrlPr>
                </m:sSubSupPr>
                <m:e>
                  <m:r>
                    <w:rPr>
                      <w:rFonts w:ascii="Cambria Math" w:hAnsi="Cambria Math" w:cs="Times New Roman"/>
                    </w:rPr>
                    <m:t>НД</m:t>
                  </m:r>
                </m:e>
                <m:sub>
                  <m:r>
                    <w:rPr>
                      <w:rFonts w:ascii="Cambria Math" w:hAnsi="Cambria Math" w:cs="Times New Roman"/>
                      <w:lang w:val="en-US"/>
                    </w:rPr>
                    <m:t>t</m:t>
                  </m:r>
                  <m:r>
                    <w:rPr>
                      <w:rFonts w:ascii="Cambria Math" w:hAnsi="Cambria Math" w:cs="Times New Roman"/>
                    </w:rPr>
                    <m:t>-2</m:t>
                  </m:r>
                </m:sub>
                <m:sup>
                  <m:r>
                    <w:rPr>
                      <w:rFonts w:ascii="Cambria Math" w:hAnsi="Cambria Math" w:cs="Times New Roman"/>
                      <w:lang w:val="ru-RU"/>
                    </w:rPr>
                    <m:t>ф</m:t>
                  </m:r>
                </m:sup>
              </m:sSubSup>
            </m:oMath>
            <w:r w:rsidR="0050683E" w:rsidRPr="005A615E">
              <w:rPr>
                <w:rFonts w:ascii="Times New Roman" w:hAnsi="Times New Roman" w:cs="Times New Roman"/>
              </w:rPr>
              <w:t xml:space="preserve"> , то </w:t>
            </w:r>
            <m:oMath>
              <m:sSub>
                <m:sSubPr>
                  <m:ctrlPr>
                    <w:rPr>
                      <w:rFonts w:ascii="Cambria Math" w:eastAsia="Times New Roman" w:hAnsi="Cambria Math" w:cs="Times New Roman"/>
                      <w:i/>
                      <w:sz w:val="24"/>
                      <w:szCs w:val="24"/>
                      <w:lang w:eastAsia="ru-RU"/>
                    </w:rPr>
                  </m:ctrlPr>
                </m:sSubPr>
                <m:e>
                  <m:r>
                    <w:rPr>
                      <w:rFonts w:ascii="Cambria Math" w:hAnsi="Cambria Math" w:cs="Times New Roman"/>
                    </w:rPr>
                    <m:t>КЯ</m:t>
                  </m:r>
                </m:e>
                <m:sub>
                  <m:r>
                    <w:rPr>
                      <w:rFonts w:ascii="Cambria Math" w:hAnsi="Cambria Math" w:cs="Times New Roman"/>
                    </w:rPr>
                    <m:t>пр</m:t>
                  </m:r>
                  <m:r>
                    <w:rPr>
                      <w:rFonts w:ascii="Cambria Math" w:hAnsi="Cambria Math" w:cs="Times New Roman"/>
                      <w:lang w:val="en-US"/>
                    </w:rPr>
                    <m:t>t</m:t>
                  </m:r>
                </m:sub>
              </m:sSub>
              <m:r>
                <w:rPr>
                  <w:rFonts w:ascii="Cambria Math" w:hAnsi="Cambria Math" w:cs="Times New Roman"/>
                </w:rPr>
                <m:t xml:space="preserve">=-0,01 × </m:t>
              </m:r>
              <m:sSubSup>
                <m:sSubSupPr>
                  <m:ctrlPr>
                    <w:rPr>
                      <w:rFonts w:ascii="Cambria Math" w:eastAsia="Times New Roman" w:hAnsi="Cambria Math" w:cs="Times New Roman"/>
                      <w:i/>
                      <w:sz w:val="24"/>
                      <w:szCs w:val="24"/>
                      <w:lang w:eastAsia="ru-RU"/>
                    </w:rPr>
                  </m:ctrlPr>
                </m:sSubSupPr>
                <m:e>
                  <m:r>
                    <w:rPr>
                      <w:rFonts w:ascii="Cambria Math" w:hAnsi="Cambria Math" w:cs="Times New Roman"/>
                    </w:rPr>
                    <m:t>НД</m:t>
                  </m:r>
                </m:e>
                <m:sub>
                  <m:r>
                    <w:rPr>
                      <w:rFonts w:ascii="Cambria Math" w:hAnsi="Cambria Math" w:cs="Times New Roman"/>
                      <w:lang w:val="en-US"/>
                    </w:rPr>
                    <m:t>t</m:t>
                  </m:r>
                  <m:r>
                    <w:rPr>
                      <w:rFonts w:ascii="Cambria Math" w:hAnsi="Cambria Math" w:cs="Times New Roman"/>
                    </w:rPr>
                    <m:t>-2</m:t>
                  </m:r>
                </m:sub>
                <m:sup>
                  <m:r>
                    <w:rPr>
                      <w:rFonts w:ascii="Cambria Math" w:hAnsi="Cambria Math" w:cs="Times New Roman"/>
                      <w:lang w:val="ru-RU"/>
                    </w:rPr>
                    <m:t>ф</m:t>
                  </m:r>
                </m:sup>
              </m:sSubSup>
            </m:oMath>
            <w:r w:rsidR="0050683E" w:rsidRPr="005A615E">
              <w:rPr>
                <w:rFonts w:ascii="Times New Roman" w:eastAsiaTheme="minorEastAsia" w:hAnsi="Times New Roman" w:cs="Times New Roman"/>
              </w:rPr>
              <w:t xml:space="preserve">  </w:t>
            </w:r>
          </w:p>
          <w:p w:rsidR="0050683E" w:rsidRPr="005A615E" w:rsidRDefault="0050683E" w:rsidP="0050683E">
            <w:pPr>
              <w:ind w:firstLine="173"/>
              <w:jc w:val="both"/>
              <w:rPr>
                <w:rFonts w:ascii="Times New Roman" w:hAnsi="Times New Roman" w:cs="Times New Roman"/>
              </w:rPr>
            </w:pPr>
            <w:r w:rsidRPr="005A615E">
              <w:rPr>
                <w:rFonts w:ascii="Times New Roman" w:hAnsi="Times New Roman" w:cs="Times New Roman"/>
              </w:rPr>
              <w:t xml:space="preserve">За результатами здійснення заходів контролю за дотриманням Ліцензійних умов показник </w:t>
            </w:r>
            <m:oMath>
              <m:sSub>
                <m:sSubPr>
                  <m:ctrlPr>
                    <w:rPr>
                      <w:rFonts w:ascii="Cambria Math" w:eastAsia="Times New Roman" w:hAnsi="Cambria Math" w:cs="Times New Roman"/>
                      <w:i/>
                      <w:sz w:val="24"/>
                      <w:szCs w:val="24"/>
                      <w:lang w:eastAsia="ru-RU"/>
                    </w:rPr>
                  </m:ctrlPr>
                </m:sSubPr>
                <m:e>
                  <m:r>
                    <m:rPr>
                      <m:sty m:val="p"/>
                    </m:rPr>
                    <w:rPr>
                      <w:rFonts w:ascii="Cambria Math" w:hAnsi="Cambria Math" w:cs="Times New Roman"/>
                    </w:rPr>
                    <m:t>КЯ</m:t>
                  </m:r>
                </m:e>
                <m:sub>
                  <m:r>
                    <m:rPr>
                      <m:sty m:val="p"/>
                    </m:rPr>
                    <w:rPr>
                      <w:rFonts w:ascii="Cambria Math" w:hAnsi="Cambria Math" w:cs="Times New Roman"/>
                    </w:rPr>
                    <m:t>прt</m:t>
                  </m:r>
                </m:sub>
              </m:sSub>
            </m:oMath>
            <w:r w:rsidRPr="005A615E">
              <w:rPr>
                <w:rFonts w:ascii="Times New Roman" w:hAnsi="Times New Roman" w:cs="Times New Roman"/>
              </w:rPr>
              <w:t xml:space="preserve"> може бути уточнено;</w:t>
            </w:r>
          </w:p>
          <w:p w:rsidR="00524FF1" w:rsidRPr="005A615E" w:rsidRDefault="00524FF1" w:rsidP="00524FF1">
            <w:pPr>
              <w:widowControl w:val="0"/>
              <w:ind w:firstLine="315"/>
              <w:jc w:val="both"/>
              <w:rPr>
                <w:rFonts w:ascii="Times New Roman" w:hAnsi="Times New Roman"/>
              </w:rPr>
            </w:pPr>
            <w:r w:rsidRPr="005A615E">
              <w:rPr>
                <w:rFonts w:ascii="Times New Roman" w:hAnsi="Times New Roman"/>
              </w:rPr>
              <w:t>Коригування необхідного доходу відповідно до даних виконання цільового завдання щодо досягнення показників якості надання послуги зі стандартного приєднання у встановлений строк за 2027 рік</w:t>
            </w:r>
            <w:hyperlink r:id="rId324" w:tgtFrame="_blank" w:history="1">
              <w:r w:rsidRPr="005A615E">
                <w:rPr>
                  <w:rStyle w:val="a9"/>
                  <w:rFonts w:ascii="Times New Roman" w:hAnsi="Times New Roman"/>
                  <w:color w:val="auto"/>
                </w:rPr>
                <w:t xml:space="preserve"> не застосовується до ліцензіатів, наведених у додатку 34 до цього Порядку</w:t>
              </w:r>
            </w:hyperlink>
            <w:hyperlink r:id="rId325" w:tgtFrame="_blank" w:history="1">
              <w:r w:rsidRPr="005A615E">
                <w:rPr>
                  <w:rStyle w:val="a9"/>
                  <w:rFonts w:ascii="Times New Roman" w:hAnsi="Times New Roman"/>
                  <w:color w:val="auto"/>
                </w:rPr>
                <w:t>;</w:t>
              </w:r>
            </w:hyperlink>
            <w:r w:rsidRPr="005A615E">
              <w:rPr>
                <w:rFonts w:ascii="Times New Roman" w:hAnsi="Times New Roman"/>
              </w:rPr>
              <w:t xml:space="preserve"> </w:t>
            </w:r>
          </w:p>
          <w:p w:rsidR="0050683E" w:rsidRPr="005A615E" w:rsidRDefault="0050683E" w:rsidP="0050683E">
            <w:pPr>
              <w:ind w:firstLine="315"/>
              <w:jc w:val="both"/>
              <w:rPr>
                <w:rFonts w:ascii="Times New Roman" w:hAnsi="Times New Roman" w:cs="Times New Roman"/>
              </w:rPr>
            </w:pPr>
            <w:r w:rsidRPr="005A615E">
              <w:rPr>
                <w:rFonts w:ascii="Times New Roman" w:hAnsi="Times New Roman" w:cs="Times New Roman"/>
              </w:rPr>
              <w:t xml:space="preserve"> </w:t>
            </w:r>
          </w:p>
          <w:p w:rsidR="0050683E" w:rsidRPr="005A615E" w:rsidRDefault="0050683E" w:rsidP="0050683E">
            <w:pPr>
              <w:ind w:firstLine="173"/>
              <w:jc w:val="both"/>
              <w:rPr>
                <w:rFonts w:ascii="Times New Roman" w:hAnsi="Times New Roman" w:cs="Times New Roman"/>
              </w:rPr>
            </w:pPr>
            <w:r w:rsidRPr="005A615E">
              <w:rPr>
                <w:rFonts w:ascii="Times New Roman" w:hAnsi="Times New Roman" w:cs="Times New Roman"/>
              </w:rPr>
              <w:t>4) індекс якості даних комерційного обліку, на рік t визначається за формулою</w:t>
            </w:r>
          </w:p>
          <w:p w:rsidR="0050683E" w:rsidRPr="005A615E" w:rsidRDefault="000D13C5" w:rsidP="0050683E">
            <w:pPr>
              <w:rPr>
                <w:rFonts w:ascii="Times New Roman" w:eastAsiaTheme="minorEastAsia" w:hAnsi="Times New Roman" w:cs="Times New Roman"/>
              </w:rPr>
            </w:pPr>
            <m:oMath>
              <m:sSub>
                <m:sSubPr>
                  <m:ctrlPr>
                    <w:rPr>
                      <w:rFonts w:ascii="Cambria Math" w:eastAsia="Times New Roman" w:hAnsi="Cambria Math" w:cs="Times New Roman"/>
                      <w:i/>
                      <w:sz w:val="24"/>
                      <w:szCs w:val="24"/>
                      <w:lang w:eastAsia="ru-RU"/>
                    </w:rPr>
                  </m:ctrlPr>
                </m:sSubPr>
                <m:e>
                  <m:r>
                    <w:rPr>
                      <w:rFonts w:ascii="Cambria Math" w:hAnsi="Cambria Math" w:cs="Times New Roman"/>
                    </w:rPr>
                    <m:t>КЯ</m:t>
                  </m:r>
                </m:e>
                <m:sub>
                  <m:r>
                    <w:rPr>
                      <w:rFonts w:ascii="Cambria Math" w:hAnsi="Cambria Math" w:cs="Times New Roman"/>
                    </w:rPr>
                    <m:t>дt</m:t>
                  </m:r>
                </m:sub>
              </m:sSub>
              <m:r>
                <w:rPr>
                  <w:rFonts w:ascii="Cambria Math" w:hAnsi="Cambria Math" w:cs="Times New Roman"/>
                </w:rPr>
                <m:t>=</m:t>
              </m:r>
              <m:f>
                <m:fPr>
                  <m:ctrlPr>
                    <w:rPr>
                      <w:rFonts w:ascii="Cambria Math" w:hAnsi="Cambria Math" w:cs="Times New Roman"/>
                      <w:i/>
                    </w:rPr>
                  </m:ctrlPr>
                </m:fPr>
                <m:num>
                  <m:d>
                    <m:dPr>
                      <m:ctrlPr>
                        <w:rPr>
                          <w:rFonts w:ascii="Cambria Math" w:eastAsia="Times New Roman" w:hAnsi="Cambria Math" w:cs="Times New Roman"/>
                          <w:i/>
                          <w:sz w:val="24"/>
                          <w:szCs w:val="24"/>
                          <w:lang w:eastAsia="ru-RU"/>
                        </w:rPr>
                      </m:ctrlPr>
                    </m:dPr>
                    <m:e>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дt-2</m:t>
                          </m:r>
                        </m:sub>
                        <m:sup>
                          <m:r>
                            <w:rPr>
                              <w:rFonts w:ascii="Cambria Math" w:hAnsi="Cambria Math" w:cs="Times New Roman"/>
                            </w:rPr>
                            <m:t>ф</m:t>
                          </m:r>
                        </m:sup>
                      </m:sSubSup>
                      <m:r>
                        <w:rPr>
                          <w:rFonts w:ascii="Cambria Math" w:hAnsi="Cambria Math" w:cs="Times New Roman"/>
                        </w:rPr>
                        <m:t>-</m:t>
                      </m:r>
                      <m:sSubSup>
                        <m:sSubSupPr>
                          <m:ctrlPr>
                            <w:rPr>
                              <w:rFonts w:ascii="Cambria Math" w:eastAsia="Times New Roman" w:hAnsi="Cambria Math" w:cs="Times New Roman"/>
                              <w:i/>
                              <w:sz w:val="24"/>
                              <w:szCs w:val="24"/>
                              <w:lang w:eastAsia="ru-RU"/>
                            </w:rPr>
                          </m:ctrlPr>
                        </m:sSubSupPr>
                        <m:e>
                          <m:r>
                            <w:rPr>
                              <w:rFonts w:ascii="Cambria Math" w:hAnsi="Cambria Math" w:cs="Times New Roman"/>
                            </w:rPr>
                            <m:t>I</m:t>
                          </m:r>
                        </m:e>
                        <m:sub>
                          <m:r>
                            <w:rPr>
                              <w:rFonts w:ascii="Cambria Math" w:hAnsi="Cambria Math" w:cs="Times New Roman"/>
                            </w:rPr>
                            <m:t>дt-2</m:t>
                          </m:r>
                        </m:sub>
                        <m:sup>
                          <m:r>
                            <w:rPr>
                              <w:rFonts w:ascii="Cambria Math" w:eastAsia="Times New Roman" w:hAnsi="Cambria Math" w:cs="Times New Roman"/>
                              <w:sz w:val="24"/>
                              <w:szCs w:val="24"/>
                              <w:lang w:eastAsia="ru-RU"/>
                            </w:rPr>
                            <m:t>р</m:t>
                          </m:r>
                        </m:sup>
                      </m:sSubSup>
                    </m:e>
                  </m:d>
                </m:num>
                <m:den>
                  <m:r>
                    <w:rPr>
                      <w:rFonts w:ascii="Cambria Math" w:hAnsi="Cambria Math" w:cs="Times New Roman"/>
                    </w:rPr>
                    <m:t>100</m:t>
                  </m:r>
                </m:den>
              </m:f>
              <m:r>
                <w:rPr>
                  <w:rFonts w:ascii="Cambria Math" w:eastAsia="Times New Roman" w:hAnsi="Cambria Math" w:cs="Times New Roman"/>
                  <w:sz w:val="24"/>
                  <w:szCs w:val="24"/>
                  <w:lang w:eastAsia="ru-RU"/>
                </w:rPr>
                <m:t>х</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ПК</m:t>
                  </m:r>
                </m:e>
                <m:sub>
                  <m:r>
                    <w:rPr>
                      <w:rFonts w:ascii="Cambria Math" w:eastAsia="Times New Roman" w:hAnsi="Cambria Math" w:cs="Times New Roman"/>
                      <w:sz w:val="24"/>
                      <w:szCs w:val="24"/>
                      <w:lang w:eastAsia="ru-RU"/>
                    </w:rPr>
                    <m:t>д</m:t>
                  </m:r>
                </m:sub>
              </m:sSub>
              <m:r>
                <w:rPr>
                  <w:rFonts w:ascii="Cambria Math" w:eastAsia="Times New Roman" w:hAnsi="Cambria Math" w:cs="Times New Roman"/>
                  <w:sz w:val="24"/>
                  <w:szCs w:val="24"/>
                  <w:lang w:eastAsia="ru-RU"/>
                </w:rPr>
                <m:t xml:space="preserve">х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ФД</m:t>
                  </m:r>
                </m:e>
                <m:sub>
                  <m:r>
                    <w:rPr>
                      <w:rFonts w:ascii="Cambria Math" w:eastAsia="Times New Roman" w:hAnsi="Cambria Math" w:cs="Times New Roman"/>
                      <w:sz w:val="24"/>
                      <w:szCs w:val="24"/>
                      <w:lang w:val="en-US" w:eastAsia="ru-RU"/>
                    </w:rPr>
                    <m:t>t</m:t>
                  </m:r>
                  <m:r>
                    <w:rPr>
                      <w:rFonts w:ascii="Cambria Math" w:eastAsia="Times New Roman" w:hAnsi="Cambria Math" w:cs="Times New Roman"/>
                      <w:sz w:val="24"/>
                      <w:szCs w:val="24"/>
                      <w:lang w:eastAsia="ru-RU"/>
                    </w:rPr>
                    <m:t>-2</m:t>
                  </m:r>
                </m:sub>
              </m:sSub>
              <m:r>
                <w:rPr>
                  <w:rFonts w:ascii="Cambria Math" w:hAnsi="Cambria Math" w:cs="Times New Roman"/>
                </w:rPr>
                <m:t>, тис. грн</m:t>
              </m:r>
            </m:oMath>
            <w:r w:rsidR="0050683E" w:rsidRPr="005A615E">
              <w:rPr>
                <w:rFonts w:ascii="Times New Roman" w:eastAsiaTheme="minorEastAsia" w:hAnsi="Times New Roman" w:cs="Times New Roman"/>
              </w:rPr>
              <w:t xml:space="preserve"> (41)</w:t>
            </w:r>
          </w:p>
          <w:p w:rsidR="0050683E" w:rsidRPr="005A615E" w:rsidRDefault="0050683E" w:rsidP="0050683E">
            <w:pPr>
              <w:jc w:val="both"/>
              <w:rPr>
                <w:rFonts w:ascii="Times New Roman" w:hAnsi="Times New Roman" w:cs="Times New Roman"/>
              </w:rPr>
            </w:pPr>
            <w:r w:rsidRPr="005A615E">
              <w:rPr>
                <w:rFonts w:ascii="Times New Roman" w:eastAsiaTheme="minorEastAsia" w:hAnsi="Times New Roman" w:cs="Times New Roman"/>
              </w:rPr>
              <w:t xml:space="preserve">де </w:t>
            </w:r>
            <m:oMath>
              <m:sSubSup>
                <m:sSubSupPr>
                  <m:ctrlPr>
                    <w:rPr>
                      <w:rFonts w:ascii="Cambria Math" w:hAnsi="Cambria Math" w:cs="Times New Roman"/>
                      <w:i/>
                    </w:rPr>
                  </m:ctrlPr>
                </m:sSubSupPr>
                <m:e>
                  <m:r>
                    <w:rPr>
                      <w:rFonts w:ascii="Cambria Math" w:hAnsi="Cambria Math" w:cs="Times New Roman"/>
                      <w:lang w:val="en-US"/>
                    </w:rPr>
                    <m:t>I</m:t>
                  </m:r>
                </m:e>
                <m:sub>
                  <m:r>
                    <w:rPr>
                      <w:rFonts w:ascii="Cambria Math" w:hAnsi="Cambria Math" w:cs="Times New Roman"/>
                    </w:rPr>
                    <m:t>д</m:t>
                  </m:r>
                  <m:r>
                    <w:rPr>
                      <w:rFonts w:ascii="Cambria Math" w:hAnsi="Cambria Math" w:cs="Times New Roman"/>
                      <w:lang w:val="en-US"/>
                    </w:rPr>
                    <m:t>t</m:t>
                  </m:r>
                  <m:r>
                    <w:rPr>
                      <w:rFonts w:ascii="Cambria Math" w:hAnsi="Cambria Math" w:cs="Times New Roman"/>
                    </w:rPr>
                    <m:t>-2</m:t>
                  </m:r>
                </m:sub>
                <m:sup>
                  <m:r>
                    <w:rPr>
                      <w:rFonts w:ascii="Cambria Math" w:hAnsi="Cambria Math" w:cs="Times New Roman"/>
                    </w:rPr>
                    <m:t>ф</m:t>
                  </m:r>
                </m:sup>
              </m:sSubSup>
            </m:oMath>
            <w:r w:rsidRPr="005A615E">
              <w:rPr>
                <w:rFonts w:ascii="Times New Roman" w:hAnsi="Times New Roman" w:cs="Times New Roman"/>
              </w:rPr>
              <w:t xml:space="preserve"> – фактичний індекс якості даних комерційного обліку, для всіх точок комерційного обліку з можливістю дистанційного зчитування даних, де ОСР є стороною відповідальною за точку комерційного обліку, на рік t-2 визначається за формулою</w:t>
            </w:r>
          </w:p>
          <w:p w:rsidR="0050683E" w:rsidRPr="005A615E" w:rsidRDefault="000D13C5" w:rsidP="0050683E">
            <w:pPr>
              <w:rPr>
                <w:rFonts w:ascii="Times New Roman" w:eastAsiaTheme="minorEastAsia" w:hAnsi="Times New Roman" w:cs="Times New Roman"/>
              </w:rPr>
            </w:pPr>
            <m:oMath>
              <m:sSubSup>
                <m:sSubSupPr>
                  <m:ctrlPr>
                    <w:rPr>
                      <w:rFonts w:ascii="Cambria Math" w:hAnsi="Cambria Math" w:cs="Times New Roman"/>
                      <w:i/>
                    </w:rPr>
                  </m:ctrlPr>
                </m:sSubSupPr>
                <m:e>
                  <m:r>
                    <w:rPr>
                      <w:rFonts w:ascii="Cambria Math" w:hAnsi="Cambria Math" w:cs="Times New Roman"/>
                      <w:lang w:val="en-US"/>
                    </w:rPr>
                    <m:t>I</m:t>
                  </m:r>
                </m:e>
                <m:sub>
                  <m:r>
                    <w:rPr>
                      <w:rFonts w:ascii="Cambria Math" w:hAnsi="Cambria Math" w:cs="Times New Roman"/>
                    </w:rPr>
                    <m:t>д</m:t>
                  </m:r>
                  <m:r>
                    <w:rPr>
                      <w:rFonts w:ascii="Cambria Math" w:hAnsi="Cambria Math" w:cs="Times New Roman"/>
                      <w:lang w:val="en-US"/>
                    </w:rPr>
                    <m:t>t</m:t>
                  </m:r>
                  <m:r>
                    <w:rPr>
                      <w:rFonts w:ascii="Cambria Math" w:hAnsi="Cambria Math" w:cs="Times New Roman"/>
                    </w:rPr>
                    <m:t>-2</m:t>
                  </m:r>
                </m:sub>
                <m:sup>
                  <m:r>
                    <w:rPr>
                      <w:rFonts w:ascii="Cambria Math" w:hAnsi="Cambria Math" w:cs="Times New Roman"/>
                    </w:rPr>
                    <m:t>ф</m:t>
                  </m:r>
                </m:sup>
              </m:sSubSup>
              <m:r>
                <w:rPr>
                  <w:rFonts w:ascii="Cambria Math" w:hAnsi="Cambria Math" w:cs="Times New Roman"/>
                  <w:lang w:eastAsia="uk-UA"/>
                </w:rPr>
                <m:t>=</m:t>
              </m:r>
              <m:d>
                <m:dPr>
                  <m:ctrlPr>
                    <w:rPr>
                      <w:rFonts w:ascii="Cambria Math" w:hAnsi="Cambria Math" w:cs="Times New Roman"/>
                      <w:i/>
                      <w:lang w:eastAsia="uk-UA"/>
                    </w:rPr>
                  </m:ctrlPr>
                </m:dPr>
                <m:e>
                  <m:r>
                    <w:rPr>
                      <w:rFonts w:ascii="Cambria Math" w:hAnsi="Cambria Math" w:cs="Times New Roman"/>
                      <w:lang w:eastAsia="uk-UA"/>
                    </w:rPr>
                    <m:t>1-</m:t>
                  </m:r>
                  <m:f>
                    <m:fPr>
                      <m:ctrlPr>
                        <w:rPr>
                          <w:rFonts w:ascii="Cambria Math" w:hAnsi="Cambria Math" w:cs="Times New Roman"/>
                          <w:lang w:eastAsia="uk-UA"/>
                        </w:rPr>
                      </m:ctrlPr>
                    </m:fPr>
                    <m:num>
                      <m:nary>
                        <m:naryPr>
                          <m:chr m:val="∑"/>
                          <m:ctrlPr>
                            <w:rPr>
                              <w:rFonts w:ascii="Cambria Math" w:hAnsi="Cambria Math" w:cs="Times New Roman"/>
                              <w:lang w:eastAsia="uk-UA"/>
                            </w:rPr>
                          </m:ctrlPr>
                        </m:naryPr>
                        <m:sub>
                          <m:r>
                            <w:rPr>
                              <w:rFonts w:ascii="Cambria Math" w:hAnsi="Cambria Math" w:cs="Times New Roman"/>
                              <w:lang w:eastAsia="uk-UA"/>
                            </w:rPr>
                            <m:t>m=1</m:t>
                          </m:r>
                          <m:ctrlPr>
                            <w:rPr>
                              <w:rFonts w:ascii="Cambria Math" w:hAnsi="Cambria Math" w:cs="Times New Roman"/>
                              <w:i/>
                              <w:lang w:eastAsia="uk-UA"/>
                            </w:rPr>
                          </m:ctrlPr>
                        </m:sub>
                        <m:sup>
                          <m:r>
                            <w:rPr>
                              <w:rFonts w:ascii="Cambria Math" w:hAnsi="Cambria Math" w:cs="Times New Roman"/>
                              <w:lang w:eastAsia="uk-UA"/>
                            </w:rPr>
                            <m:t>12</m:t>
                          </m:r>
                          <m:ctrlPr>
                            <w:rPr>
                              <w:rFonts w:ascii="Cambria Math" w:hAnsi="Cambria Math" w:cs="Times New Roman"/>
                              <w:i/>
                              <w:lang w:eastAsia="uk-UA"/>
                            </w:rPr>
                          </m:ctrlPr>
                        </m:sup>
                        <m:e>
                          <m:d>
                            <m:dPr>
                              <m:begChr m:val="|"/>
                              <m:endChr m:val="|"/>
                              <m:ctrlPr>
                                <w:rPr>
                                  <w:rFonts w:ascii="Cambria Math" w:hAnsi="Cambria Math" w:cs="Times New Roman"/>
                                  <w:i/>
                                  <w:lang w:eastAsia="uk-UA"/>
                                </w:rPr>
                              </m:ctrlPr>
                            </m:dPr>
                            <m:e>
                              <m:sSubSup>
                                <m:sSubSupPr>
                                  <m:ctrlPr>
                                    <w:rPr>
                                      <w:rFonts w:ascii="Cambria Math" w:hAnsi="Cambria Math" w:cs="Times New Roman"/>
                                      <w:i/>
                                      <w:lang w:eastAsia="uk-UA"/>
                                    </w:rPr>
                                  </m:ctrlPr>
                                </m:sSubSupPr>
                                <m:e>
                                  <m:r>
                                    <w:rPr>
                                      <w:rFonts w:ascii="Cambria Math" w:hAnsi="Cambria Math" w:cs="Times New Roman"/>
                                      <w:lang w:eastAsia="uk-UA"/>
                                    </w:rPr>
                                    <m:t>V</m:t>
                                  </m:r>
                                </m:e>
                                <m:sub>
                                  <m:r>
                                    <w:rPr>
                                      <w:rFonts w:ascii="Cambria Math" w:hAnsi="Cambria Math" w:cs="Times New Roman"/>
                                      <w:lang w:eastAsia="uk-UA"/>
                                    </w:rPr>
                                    <m:t>m</m:t>
                                  </m:r>
                                </m:sub>
                                <m:sup>
                                  <m:r>
                                    <w:rPr>
                                      <w:rFonts w:ascii="Cambria Math" w:hAnsi="Cambria Math" w:cs="Times New Roman"/>
                                      <w:lang w:eastAsia="uk-UA"/>
                                    </w:rPr>
                                    <m:t>р</m:t>
                                  </m:r>
                                </m:sup>
                              </m:sSubSup>
                              <m:r>
                                <w:rPr>
                                  <w:rFonts w:ascii="Cambria Math" w:hAnsi="Cambria Math" w:cs="Times New Roman"/>
                                  <w:lang w:eastAsia="uk-UA"/>
                                </w:rPr>
                                <m:t>-</m:t>
                              </m:r>
                              <m:sSubSup>
                                <m:sSubSupPr>
                                  <m:ctrlPr>
                                    <w:rPr>
                                      <w:rFonts w:ascii="Cambria Math" w:hAnsi="Cambria Math" w:cs="Times New Roman"/>
                                      <w:i/>
                                      <w:lang w:eastAsia="uk-UA"/>
                                    </w:rPr>
                                  </m:ctrlPr>
                                </m:sSubSupPr>
                                <m:e>
                                  <m:r>
                                    <w:rPr>
                                      <w:rFonts w:ascii="Cambria Math" w:hAnsi="Cambria Math" w:cs="Times New Roman"/>
                                      <w:lang w:eastAsia="uk-UA"/>
                                    </w:rPr>
                                    <m:t>V</m:t>
                                  </m:r>
                                </m:e>
                                <m:sub>
                                  <m:r>
                                    <w:rPr>
                                      <w:rFonts w:ascii="Cambria Math" w:hAnsi="Cambria Math" w:cs="Times New Roman"/>
                                      <w:lang w:eastAsia="uk-UA"/>
                                    </w:rPr>
                                    <m:t>m</m:t>
                                  </m:r>
                                </m:sub>
                                <m:sup>
                                  <m:r>
                                    <w:rPr>
                                      <w:rFonts w:ascii="Cambria Math" w:hAnsi="Cambria Math" w:cs="Times New Roman"/>
                                      <w:lang w:eastAsia="uk-UA"/>
                                    </w:rPr>
                                    <m:t>пр</m:t>
                                  </m:r>
                                </m:sup>
                              </m:sSubSup>
                            </m:e>
                          </m:d>
                        </m:e>
                      </m:nary>
                      <m:ctrlPr>
                        <w:rPr>
                          <w:rFonts w:ascii="Cambria Math" w:hAnsi="Cambria Math" w:cs="Times New Roman"/>
                          <w:i/>
                          <w:lang w:eastAsia="uk-UA"/>
                        </w:rPr>
                      </m:ctrlPr>
                    </m:num>
                    <m:den>
                      <m:nary>
                        <m:naryPr>
                          <m:chr m:val="∑"/>
                          <m:ctrlPr>
                            <w:rPr>
                              <w:rFonts w:ascii="Cambria Math" w:hAnsi="Cambria Math" w:cs="Times New Roman"/>
                              <w:lang w:eastAsia="uk-UA"/>
                            </w:rPr>
                          </m:ctrlPr>
                        </m:naryPr>
                        <m:sub>
                          <m:r>
                            <w:rPr>
                              <w:rFonts w:ascii="Cambria Math" w:hAnsi="Cambria Math" w:cs="Times New Roman"/>
                              <w:lang w:eastAsia="uk-UA"/>
                            </w:rPr>
                            <m:t>m=1</m:t>
                          </m:r>
                          <m:ctrlPr>
                            <w:rPr>
                              <w:rFonts w:ascii="Cambria Math" w:hAnsi="Cambria Math" w:cs="Times New Roman"/>
                              <w:i/>
                              <w:lang w:eastAsia="uk-UA"/>
                            </w:rPr>
                          </m:ctrlPr>
                        </m:sub>
                        <m:sup>
                          <m:r>
                            <w:rPr>
                              <w:rFonts w:ascii="Cambria Math" w:hAnsi="Cambria Math" w:cs="Times New Roman"/>
                              <w:lang w:eastAsia="uk-UA"/>
                            </w:rPr>
                            <m:t>12</m:t>
                          </m:r>
                          <m:ctrlPr>
                            <w:rPr>
                              <w:rFonts w:ascii="Cambria Math" w:hAnsi="Cambria Math" w:cs="Times New Roman"/>
                              <w:i/>
                              <w:lang w:eastAsia="uk-UA"/>
                            </w:rPr>
                          </m:ctrlPr>
                        </m:sup>
                        <m:e>
                          <m:sSubSup>
                            <m:sSubSupPr>
                              <m:ctrlPr>
                                <w:rPr>
                                  <w:rFonts w:ascii="Cambria Math" w:hAnsi="Cambria Math" w:cs="Times New Roman"/>
                                  <w:i/>
                                  <w:lang w:eastAsia="uk-UA"/>
                                </w:rPr>
                              </m:ctrlPr>
                            </m:sSubSupPr>
                            <m:e>
                              <m:r>
                                <w:rPr>
                                  <w:rFonts w:ascii="Cambria Math" w:hAnsi="Cambria Math" w:cs="Times New Roman"/>
                                  <w:lang w:eastAsia="uk-UA"/>
                                </w:rPr>
                                <m:t>V</m:t>
                              </m:r>
                            </m:e>
                            <m:sub>
                              <m:r>
                                <w:rPr>
                                  <w:rFonts w:ascii="Cambria Math" w:hAnsi="Cambria Math" w:cs="Times New Roman"/>
                                  <w:lang w:eastAsia="uk-UA"/>
                                </w:rPr>
                                <m:t>m</m:t>
                              </m:r>
                            </m:sub>
                            <m:sup>
                              <m:r>
                                <w:rPr>
                                  <w:rFonts w:ascii="Cambria Math" w:hAnsi="Cambria Math" w:cs="Times New Roman"/>
                                  <w:lang w:eastAsia="uk-UA"/>
                                </w:rPr>
                                <m:t>р</m:t>
                              </m:r>
                            </m:sup>
                          </m:sSubSup>
                          <m:ctrlPr>
                            <w:rPr>
                              <w:rFonts w:ascii="Cambria Math" w:hAnsi="Cambria Math" w:cs="Times New Roman"/>
                              <w:i/>
                              <w:lang w:eastAsia="uk-UA"/>
                            </w:rPr>
                          </m:ctrlPr>
                        </m:e>
                      </m:nary>
                      <m:ctrlPr>
                        <w:rPr>
                          <w:rFonts w:ascii="Cambria Math" w:hAnsi="Cambria Math" w:cs="Times New Roman"/>
                          <w:i/>
                          <w:lang w:eastAsia="uk-UA"/>
                        </w:rPr>
                      </m:ctrlPr>
                    </m:den>
                  </m:f>
                </m:e>
              </m:d>
              <m:r>
                <w:rPr>
                  <w:rFonts w:ascii="Cambria Math" w:hAnsi="Cambria Math" w:cs="Times New Roman"/>
                  <w:lang w:eastAsia="uk-UA"/>
                </w:rPr>
                <m:t>*100, %</m:t>
              </m:r>
            </m:oMath>
            <w:r w:rsidR="0050683E" w:rsidRPr="005A615E">
              <w:rPr>
                <w:rFonts w:ascii="Times New Roman" w:eastAsiaTheme="minorEastAsia" w:hAnsi="Times New Roman" w:cs="Times New Roman"/>
                <w:lang w:eastAsia="uk-UA"/>
              </w:rPr>
              <w:t xml:space="preserve">  </w:t>
            </w:r>
            <w:r w:rsidR="0050683E" w:rsidRPr="005A615E">
              <w:rPr>
                <w:rFonts w:ascii="Times New Roman" w:eastAsiaTheme="minorEastAsia" w:hAnsi="Times New Roman" w:cs="Times New Roman"/>
              </w:rPr>
              <w:t>(42)</w:t>
            </w:r>
          </w:p>
          <w:p w:rsidR="0050683E" w:rsidRPr="005A615E" w:rsidRDefault="0050683E" w:rsidP="0050683E">
            <w:pPr>
              <w:rPr>
                <w:rFonts w:ascii="Times New Roman" w:hAnsi="Times New Roman" w:cs="Times New Roman"/>
                <w:lang w:eastAsia="uk-UA"/>
              </w:rPr>
            </w:pPr>
            <w:r w:rsidRPr="005A615E">
              <w:rPr>
                <w:rFonts w:ascii="Times New Roman" w:hAnsi="Times New Roman" w:cs="Times New Roman"/>
                <w:lang w:eastAsia="uk-UA"/>
              </w:rPr>
              <w:t>де:</w:t>
            </w:r>
          </w:p>
          <w:p w:rsidR="0050683E" w:rsidRPr="005A615E" w:rsidRDefault="000D13C5" w:rsidP="0050683E">
            <w:pPr>
              <w:ind w:firstLine="720"/>
              <w:jc w:val="both"/>
              <w:rPr>
                <w:rFonts w:ascii="Times New Roman" w:hAnsi="Times New Roman" w:cs="Times New Roman"/>
              </w:rPr>
            </w:pPr>
            <m:oMath>
              <m:sSubSup>
                <m:sSubSupPr>
                  <m:ctrlPr>
                    <w:rPr>
                      <w:rFonts w:ascii="Cambria Math" w:hAnsi="Cambria Math" w:cs="Times New Roman"/>
                    </w:rPr>
                  </m:ctrlPr>
                </m:sSubSupPr>
                <m:e>
                  <m:r>
                    <w:rPr>
                      <w:rFonts w:ascii="Cambria Math" w:hAnsi="Cambria Math" w:cs="Times New Roman"/>
                    </w:rPr>
                    <m:t>V</m:t>
                  </m:r>
                </m:e>
                <m:sub>
                  <m:r>
                    <w:rPr>
                      <w:rFonts w:ascii="Cambria Math" w:hAnsi="Cambria Math" w:cs="Times New Roman"/>
                    </w:rPr>
                    <m:t>m</m:t>
                  </m:r>
                </m:sub>
                <m:sup>
                  <m:r>
                    <m:rPr>
                      <m:sty m:val="p"/>
                    </m:rPr>
                    <w:rPr>
                      <w:rFonts w:ascii="Cambria Math" w:hAnsi="Cambria Math" w:cs="Times New Roman"/>
                    </w:rPr>
                    <m:t>пр</m:t>
                  </m:r>
                </m:sup>
              </m:sSubSup>
            </m:oMath>
            <w:r w:rsidR="0050683E" w:rsidRPr="005A615E">
              <w:rPr>
                <w:rFonts w:ascii="Times New Roman" w:hAnsi="Times New Roman" w:cs="Times New Roman"/>
              </w:rPr>
              <w:t xml:space="preserve"> —</w:t>
            </w:r>
            <w:r w:rsidR="0050683E" w:rsidRPr="005A615E">
              <w:rPr>
                <w:rFonts w:ascii="Times New Roman" w:hAnsi="Times New Roman" w:cs="Times New Roman"/>
                <w:lang w:eastAsia="uk-UA"/>
              </w:rPr>
              <w:t xml:space="preserve"> </w:t>
            </w:r>
            <w:r w:rsidR="0050683E" w:rsidRPr="005A615E">
              <w:rPr>
                <w:rFonts w:ascii="Times New Roman" w:hAnsi="Times New Roman" w:cs="Times New Roman"/>
              </w:rPr>
              <w:t>обсяг відбору/відпуску електричної енергії сформований за даними комерційного обліку останнього релізу версії 2 за розрахунковий</w:t>
            </w:r>
            <w:r w:rsidR="0050683E" w:rsidRPr="005A615E" w:rsidDel="00704B9E">
              <w:rPr>
                <w:rFonts w:ascii="Times New Roman" w:hAnsi="Times New Roman" w:cs="Times New Roman"/>
              </w:rPr>
              <w:t xml:space="preserve"> </w:t>
            </w:r>
            <w:r w:rsidR="0050683E" w:rsidRPr="005A615E">
              <w:rPr>
                <w:rFonts w:ascii="Times New Roman" w:hAnsi="Times New Roman" w:cs="Times New Roman"/>
              </w:rPr>
              <w:t>місяць m календарного року t-2 ;</w:t>
            </w:r>
          </w:p>
          <w:p w:rsidR="0050683E" w:rsidRPr="005A615E" w:rsidRDefault="000D13C5" w:rsidP="0050683E">
            <w:pPr>
              <w:ind w:firstLine="720"/>
              <w:jc w:val="both"/>
              <w:rPr>
                <w:rFonts w:ascii="Times New Roman" w:hAnsi="Times New Roman" w:cs="Times New Roman"/>
              </w:rPr>
            </w:pPr>
            <m:oMath>
              <m:sSubSup>
                <m:sSubSupPr>
                  <m:ctrlPr>
                    <w:rPr>
                      <w:rFonts w:ascii="Cambria Math" w:hAnsi="Cambria Math" w:cs="Times New Roman"/>
                    </w:rPr>
                  </m:ctrlPr>
                </m:sSubSupPr>
                <m:e>
                  <m:r>
                    <w:rPr>
                      <w:rFonts w:ascii="Cambria Math" w:hAnsi="Cambria Math" w:cs="Times New Roman"/>
                    </w:rPr>
                    <m:t>V</m:t>
                  </m:r>
                </m:e>
                <m:sub>
                  <m:r>
                    <w:rPr>
                      <w:rFonts w:ascii="Cambria Math" w:hAnsi="Cambria Math" w:cs="Times New Roman"/>
                    </w:rPr>
                    <m:t>m</m:t>
                  </m:r>
                </m:sub>
                <m:sup>
                  <m:r>
                    <m:rPr>
                      <m:sty m:val="p"/>
                    </m:rPr>
                    <w:rPr>
                      <w:rFonts w:ascii="Cambria Math" w:hAnsi="Cambria Math" w:cs="Times New Roman"/>
                    </w:rPr>
                    <m:t>р</m:t>
                  </m:r>
                </m:sup>
              </m:sSubSup>
            </m:oMath>
            <w:r w:rsidR="0050683E" w:rsidRPr="005A615E">
              <w:rPr>
                <w:rFonts w:ascii="Times New Roman" w:hAnsi="Times New Roman" w:cs="Times New Roman"/>
              </w:rPr>
              <w:t xml:space="preserve"> — </w:t>
            </w:r>
            <w:r w:rsidR="0050683E" w:rsidRPr="005A615E">
              <w:rPr>
                <w:rFonts w:ascii="Times New Roman" w:hAnsi="Times New Roman" w:cs="Times New Roman"/>
                <w:lang w:eastAsia="uk-UA"/>
              </w:rPr>
              <w:t xml:space="preserve"> </w:t>
            </w:r>
            <w:r w:rsidR="0050683E" w:rsidRPr="005A615E">
              <w:rPr>
                <w:rFonts w:ascii="Times New Roman" w:hAnsi="Times New Roman" w:cs="Times New Roman"/>
              </w:rPr>
              <w:t xml:space="preserve">обсяг відбору/відпуску електричної енергії сформований за даними комерційного обліку останнього релізу останньої версії за розрахунковий місяць m календарного року t-2; </w:t>
            </w:r>
          </w:p>
          <w:p w:rsidR="0050683E" w:rsidRPr="005A615E" w:rsidRDefault="000D13C5" w:rsidP="0050683E">
            <w:pPr>
              <w:ind w:firstLine="720"/>
              <w:jc w:val="both"/>
              <w:rPr>
                <w:rFonts w:ascii="Times New Roman" w:hAnsi="Times New Roman" w:cs="Times New Roman"/>
              </w:rPr>
            </w:pPr>
            <m:oMath>
              <m:nary>
                <m:naryPr>
                  <m:chr m:val="∑"/>
                  <m:ctrlPr>
                    <w:rPr>
                      <w:rFonts w:ascii="Cambria Math" w:hAnsi="Cambria Math" w:cs="Times New Roman"/>
                    </w:rPr>
                  </m:ctrlPr>
                </m:naryPr>
                <m:sub>
                  <m:r>
                    <w:rPr>
                      <w:rFonts w:ascii="Cambria Math" w:hAnsi="Cambria Math" w:cs="Times New Roman"/>
                    </w:rPr>
                    <m:t>m</m:t>
                  </m:r>
                  <m:r>
                    <m:rPr>
                      <m:sty m:val="p"/>
                    </m:rPr>
                    <w:rPr>
                      <w:rFonts w:ascii="Cambria Math" w:hAnsi="Cambria Math" w:cs="Times New Roman"/>
                    </w:rPr>
                    <m:t>=1</m:t>
                  </m:r>
                </m:sub>
                <m:sup>
                  <m:r>
                    <m:rPr>
                      <m:sty m:val="p"/>
                    </m:rPr>
                    <w:rPr>
                      <w:rFonts w:ascii="Cambria Math" w:hAnsi="Cambria Math" w:cs="Times New Roman"/>
                    </w:rPr>
                    <m:t>12</m:t>
                  </m:r>
                </m:sup>
                <m:e>
                  <m:d>
                    <m:dPr>
                      <m:begChr m:val="|"/>
                      <m:endChr m:val="|"/>
                      <m:ctrlPr>
                        <w:rPr>
                          <w:rFonts w:ascii="Cambria Math" w:hAnsi="Cambria Math" w:cs="Times New Roman"/>
                        </w:rPr>
                      </m:ctrlPr>
                    </m:dPr>
                    <m:e>
                      <m:sSubSup>
                        <m:sSubSupPr>
                          <m:ctrlPr>
                            <w:rPr>
                              <w:rFonts w:ascii="Cambria Math" w:hAnsi="Cambria Math" w:cs="Times New Roman"/>
                            </w:rPr>
                          </m:ctrlPr>
                        </m:sSubSupPr>
                        <m:e>
                          <m:r>
                            <w:rPr>
                              <w:rFonts w:ascii="Cambria Math" w:hAnsi="Cambria Math" w:cs="Times New Roman"/>
                            </w:rPr>
                            <m:t>V</m:t>
                          </m:r>
                        </m:e>
                        <m:sub>
                          <m:r>
                            <w:rPr>
                              <w:rFonts w:ascii="Cambria Math" w:hAnsi="Cambria Math" w:cs="Times New Roman"/>
                            </w:rPr>
                            <m:t>m</m:t>
                          </m:r>
                        </m:sub>
                        <m:sup>
                          <m:r>
                            <m:rPr>
                              <m:sty m:val="p"/>
                            </m:rPr>
                            <w:rPr>
                              <w:rFonts w:ascii="Cambria Math" w:hAnsi="Cambria Math" w:cs="Times New Roman"/>
                            </w:rPr>
                            <m:t>р</m:t>
                          </m:r>
                        </m:sup>
                      </m:sSubSup>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V</m:t>
                          </m:r>
                        </m:e>
                        <m:sub>
                          <m:r>
                            <w:rPr>
                              <w:rFonts w:ascii="Cambria Math" w:hAnsi="Cambria Math" w:cs="Times New Roman"/>
                            </w:rPr>
                            <m:t>m</m:t>
                          </m:r>
                        </m:sub>
                        <m:sup>
                          <m:r>
                            <w:rPr>
                              <w:rFonts w:ascii="Cambria Math" w:hAnsi="Cambria Math" w:cs="Times New Roman"/>
                            </w:rPr>
                            <m:t>пр</m:t>
                          </m:r>
                        </m:sup>
                      </m:sSubSup>
                    </m:e>
                  </m:d>
                </m:e>
              </m:nary>
            </m:oMath>
            <w:r w:rsidR="0050683E" w:rsidRPr="005A615E">
              <w:rPr>
                <w:rFonts w:ascii="Times New Roman" w:hAnsi="Times New Roman" w:cs="Times New Roman"/>
              </w:rPr>
              <w:t xml:space="preserve"> — сумарне абсолютне значення обсягу коригувань за  рік  t-2.</w:t>
            </w:r>
          </w:p>
          <w:p w:rsidR="0050683E" w:rsidRPr="005A615E" w:rsidRDefault="000D13C5" w:rsidP="0050683E">
            <w:pPr>
              <w:jc w:val="both"/>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lang w:val="en-US"/>
                    </w:rPr>
                    <m:t>I</m:t>
                  </m:r>
                </m:e>
                <m:sub>
                  <m:r>
                    <w:rPr>
                      <w:rFonts w:ascii="Cambria Math" w:hAnsi="Cambria Math" w:cs="Times New Roman"/>
                    </w:rPr>
                    <m:t>д</m:t>
                  </m:r>
                  <m:r>
                    <w:rPr>
                      <w:rFonts w:ascii="Cambria Math" w:hAnsi="Cambria Math" w:cs="Times New Roman"/>
                      <w:lang w:val="en-US"/>
                    </w:rPr>
                    <m:t>t</m:t>
                  </m:r>
                  <m:r>
                    <w:rPr>
                      <w:rFonts w:ascii="Cambria Math" w:hAnsi="Cambria Math" w:cs="Times New Roman"/>
                    </w:rPr>
                    <m:t>-2</m:t>
                  </m:r>
                </m:sub>
                <m:sup>
                  <m:r>
                    <w:rPr>
                      <w:rFonts w:ascii="Cambria Math" w:hAnsi="Cambria Math" w:cs="Times New Roman"/>
                    </w:rPr>
                    <m:t>р</m:t>
                  </m:r>
                </m:sup>
              </m:sSubSup>
            </m:oMath>
            <w:r w:rsidR="0050683E" w:rsidRPr="005A615E">
              <w:rPr>
                <w:rFonts w:ascii="Times New Roman" w:hAnsi="Times New Roman" w:cs="Times New Roman"/>
              </w:rPr>
              <w:t xml:space="preserve"> – встановлений НКРЕКП, цільовий індекс якості даних комерційного обліку, на рівні ≥ 98 %, який враховується у розрахунку починаючи з третього року другого регуляторного періоду (</w:t>
            </w:r>
            <m:oMath>
              <m:sSubSup>
                <m:sSubSupPr>
                  <m:ctrlPr>
                    <w:rPr>
                      <w:rFonts w:ascii="Cambria Math" w:hAnsi="Cambria Math" w:cs="Times New Roman"/>
                    </w:rPr>
                  </m:ctrlPr>
                </m:sSubSupPr>
                <m:e>
                  <m:r>
                    <w:rPr>
                      <w:rFonts w:ascii="Cambria Math" w:hAnsi="Cambria Math" w:cs="Times New Roman"/>
                    </w:rPr>
                    <m:t>I</m:t>
                  </m:r>
                </m:e>
                <m:sub>
                  <m:r>
                    <m:rPr>
                      <m:sty m:val="p"/>
                    </m:rPr>
                    <w:rPr>
                      <w:rFonts w:ascii="Cambria Math" w:hAnsi="Cambria Math" w:cs="Times New Roman"/>
                    </w:rPr>
                    <m:t>д</m:t>
                  </m:r>
                  <m:r>
                    <w:rPr>
                      <w:rFonts w:ascii="Cambria Math" w:hAnsi="Cambria Math" w:cs="Times New Roman"/>
                    </w:rPr>
                    <m:t>t</m:t>
                  </m:r>
                  <m:r>
                    <m:rPr>
                      <m:sty m:val="p"/>
                    </m:rPr>
                    <w:rPr>
                      <w:rFonts w:ascii="Cambria Math" w:hAnsi="Cambria Math" w:cs="Times New Roman"/>
                    </w:rPr>
                    <m:t>-2</m:t>
                  </m:r>
                </m:sub>
                <m:sup>
                  <m:r>
                    <m:rPr>
                      <m:sty m:val="p"/>
                    </m:rPr>
                    <w:rPr>
                      <w:rFonts w:ascii="Cambria Math" w:hAnsi="Cambria Math" w:cs="Times New Roman"/>
                    </w:rPr>
                    <m:t>р</m:t>
                  </m:r>
                </m:sup>
              </m:sSubSup>
            </m:oMath>
            <w:r w:rsidR="0050683E" w:rsidRPr="005A615E">
              <w:rPr>
                <w:rFonts w:ascii="Times New Roman" w:hAnsi="Times New Roman" w:cs="Times New Roman"/>
              </w:rPr>
              <w:t xml:space="preserve"> );</w:t>
            </w:r>
          </w:p>
          <w:p w:rsidR="0050683E" w:rsidRPr="005A615E" w:rsidRDefault="0050683E" w:rsidP="0050683E">
            <w:pPr>
              <w:rPr>
                <w:rFonts w:ascii="Times New Roman" w:hAnsi="Times New Roman" w:cs="Times New Roman"/>
              </w:rPr>
            </w:pPr>
            <w:r w:rsidRPr="005A615E">
              <w:rPr>
                <w:rFonts w:ascii="Times New Roman" w:hAnsi="Times New Roman" w:cs="Times New Roman"/>
              </w:rPr>
              <w:t>ПКд - встановлений НКРЕКП параметр коригування необхідного доходу за недотримання цільового індексу якості даних комерційного обліку.</w:t>
            </w:r>
          </w:p>
          <w:p w:rsidR="0050683E" w:rsidRPr="005A615E" w:rsidRDefault="0050683E" w:rsidP="0050683E">
            <w:pPr>
              <w:rPr>
                <w:rFonts w:ascii="Times New Roman" w:eastAsiaTheme="minorEastAsia" w:hAnsi="Times New Roman" w:cs="Times New Roman"/>
              </w:rPr>
            </w:pPr>
            <m:oMathPara>
              <m:oMathParaPr>
                <m:jc m:val="left"/>
              </m:oMathParaPr>
              <m:oMath>
                <m:r>
                  <w:rPr>
                    <w:rFonts w:ascii="Cambria Math" w:hAnsi="Cambria Math" w:cs="Times New Roman"/>
                    <w:szCs w:val="28"/>
                  </w:rPr>
                  <m:t xml:space="preserve">Якщо </m:t>
                </m:r>
                <m:sSubSup>
                  <m:sSubSupPr>
                    <m:ctrlPr>
                      <w:rPr>
                        <w:rFonts w:ascii="Cambria Math" w:eastAsia="Times New Roman" w:hAnsi="Cambria Math" w:cs="Times New Roman"/>
                        <w:i/>
                        <w:sz w:val="24"/>
                        <w:szCs w:val="28"/>
                        <w:lang w:eastAsia="ru-RU"/>
                      </w:rPr>
                    </m:ctrlPr>
                  </m:sSubSupPr>
                  <m:e>
                    <m:r>
                      <w:rPr>
                        <w:rFonts w:ascii="Cambria Math" w:hAnsi="Cambria Math" w:cs="Times New Roman"/>
                        <w:szCs w:val="28"/>
                      </w:rPr>
                      <m:t>I</m:t>
                    </m:r>
                  </m:e>
                  <m:sub>
                    <m:r>
                      <w:rPr>
                        <w:rFonts w:ascii="Cambria Math" w:hAnsi="Cambria Math" w:cs="Times New Roman"/>
                        <w:szCs w:val="28"/>
                      </w:rPr>
                      <m:t>дt-2</m:t>
                    </m:r>
                  </m:sub>
                  <m:sup>
                    <m:r>
                      <w:rPr>
                        <w:rFonts w:ascii="Cambria Math" w:hAnsi="Cambria Math" w:cs="Times New Roman"/>
                        <w:szCs w:val="28"/>
                      </w:rPr>
                      <m:t>ф</m:t>
                    </m:r>
                  </m:sup>
                </m:sSubSup>
                <m:r>
                  <w:rPr>
                    <w:rFonts w:ascii="Cambria Math" w:hAnsi="Cambria Math" w:cs="Times New Roman"/>
                    <w:szCs w:val="28"/>
                  </w:rPr>
                  <m:t xml:space="preserve">- </m:t>
                </m:r>
                <m:sSubSup>
                  <m:sSubSupPr>
                    <m:ctrlPr>
                      <w:rPr>
                        <w:rFonts w:ascii="Cambria Math" w:eastAsia="Times New Roman" w:hAnsi="Cambria Math" w:cs="Times New Roman"/>
                        <w:i/>
                        <w:sz w:val="24"/>
                        <w:szCs w:val="28"/>
                        <w:lang w:eastAsia="ru-RU"/>
                      </w:rPr>
                    </m:ctrlPr>
                  </m:sSubSupPr>
                  <m:e>
                    <m:r>
                      <w:rPr>
                        <w:rFonts w:ascii="Cambria Math" w:hAnsi="Cambria Math" w:cs="Times New Roman"/>
                        <w:szCs w:val="28"/>
                      </w:rPr>
                      <m:t>I</m:t>
                    </m:r>
                  </m:e>
                  <m:sub>
                    <m:r>
                      <w:rPr>
                        <w:rFonts w:ascii="Cambria Math" w:hAnsi="Cambria Math" w:cs="Times New Roman"/>
                        <w:szCs w:val="28"/>
                      </w:rPr>
                      <m:t>дt-2</m:t>
                    </m:r>
                  </m:sub>
                  <m:sup>
                    <m:r>
                      <w:rPr>
                        <w:rFonts w:ascii="Cambria Math" w:hAnsi="Cambria Math" w:cs="Times New Roman"/>
                        <w:szCs w:val="28"/>
                      </w:rPr>
                      <m:t>ц</m:t>
                    </m:r>
                  </m:sup>
                </m:sSubSup>
                <m:r>
                  <w:rPr>
                    <w:rFonts w:ascii="Cambria Math" w:eastAsiaTheme="minorEastAsia" w:hAnsi="Cambria Math" w:cs="Times New Roman"/>
                    <w:szCs w:val="28"/>
                  </w:rPr>
                  <m:t>≥</m:t>
                </m:r>
                <m:r>
                  <w:rPr>
                    <w:rFonts w:ascii="Cambria Math" w:hAnsi="Cambria Math" w:cs="Times New Roman"/>
                    <w:szCs w:val="28"/>
                  </w:rPr>
                  <m:t xml:space="preserve">0, то </m:t>
                </m:r>
                <m:sSub>
                  <m:sSubPr>
                    <m:ctrlPr>
                      <w:rPr>
                        <w:rFonts w:ascii="Cambria Math" w:eastAsia="Times New Roman" w:hAnsi="Cambria Math" w:cs="Times New Roman"/>
                        <w:i/>
                        <w:sz w:val="24"/>
                        <w:szCs w:val="28"/>
                        <w:lang w:eastAsia="ru-RU"/>
                      </w:rPr>
                    </m:ctrlPr>
                  </m:sSubPr>
                  <m:e>
                    <m:r>
                      <w:rPr>
                        <w:rFonts w:ascii="Cambria Math" w:hAnsi="Cambria Math" w:cs="Times New Roman"/>
                        <w:szCs w:val="28"/>
                      </w:rPr>
                      <m:t>КЯ</m:t>
                    </m:r>
                  </m:e>
                  <m:sub>
                    <m:r>
                      <w:rPr>
                        <w:rFonts w:ascii="Cambria Math" w:hAnsi="Cambria Math" w:cs="Times New Roman"/>
                        <w:szCs w:val="28"/>
                      </w:rPr>
                      <m:t>дt</m:t>
                    </m:r>
                  </m:sub>
                </m:sSub>
                <m:r>
                  <w:rPr>
                    <w:rFonts w:ascii="Cambria Math" w:hAnsi="Cambria Math" w:cs="Times New Roman"/>
                    <w:szCs w:val="28"/>
                  </w:rPr>
                  <m:t>=0;</m:t>
                </m:r>
              </m:oMath>
            </m:oMathPara>
          </w:p>
          <w:p w:rsidR="0050683E" w:rsidRPr="005A615E" w:rsidRDefault="000D13C5" w:rsidP="0050683E">
            <w:pPr>
              <w:jc w:val="both"/>
              <w:rPr>
                <w:rFonts w:ascii="Times New Roman" w:hAnsi="Times New Roman" w:cs="Times New Roman"/>
              </w:rPr>
            </w:pPr>
            <m:oMath>
              <m:sSub>
                <m:sSubPr>
                  <m:ctrlPr>
                    <w:rPr>
                      <w:rFonts w:ascii="Cambria Math" w:eastAsia="Times New Roman" w:hAnsi="Cambria Math" w:cs="Times New Roman"/>
                      <w:i/>
                      <w:sz w:val="24"/>
                      <w:szCs w:val="24"/>
                      <w:lang w:eastAsia="ru-RU"/>
                    </w:rPr>
                  </m:ctrlPr>
                </m:sSubPr>
                <m:e>
                  <m:r>
                    <w:rPr>
                      <w:rFonts w:ascii="Cambria Math" w:hAnsi="Cambria Math" w:cs="Times New Roman"/>
                      <w:szCs w:val="28"/>
                    </w:rPr>
                    <m:t xml:space="preserve">Якщо </m:t>
                  </m:r>
                  <m:r>
                    <w:rPr>
                      <w:rFonts w:ascii="Cambria Math" w:hAnsi="Cambria Math" w:cs="Times New Roman"/>
                    </w:rPr>
                    <m:t>КЯ</m:t>
                  </m:r>
                </m:e>
                <m:sub>
                  <m:r>
                    <w:rPr>
                      <w:rFonts w:ascii="Cambria Math" w:hAnsi="Cambria Math" w:cs="Times New Roman"/>
                    </w:rPr>
                    <m:t>д</m:t>
                  </m:r>
                  <m:r>
                    <w:rPr>
                      <w:rFonts w:ascii="Cambria Math" w:hAnsi="Cambria Math" w:cs="Times New Roman"/>
                      <w:lang w:val="en-US"/>
                    </w:rPr>
                    <m:t>t</m:t>
                  </m:r>
                </m:sub>
              </m:sSub>
              <m:r>
                <w:rPr>
                  <w:rFonts w:ascii="Cambria Math" w:hAnsi="Cambria Math" w:cs="Times New Roman"/>
                </w:rPr>
                <m:t xml:space="preserve">˂-0,01 × </m:t>
              </m:r>
              <m:sSubSup>
                <m:sSubSupPr>
                  <m:ctrlPr>
                    <w:rPr>
                      <w:rFonts w:ascii="Cambria Math" w:eastAsia="Times New Roman" w:hAnsi="Cambria Math" w:cs="Times New Roman"/>
                      <w:i/>
                      <w:sz w:val="24"/>
                      <w:szCs w:val="24"/>
                      <w:lang w:eastAsia="ru-RU"/>
                    </w:rPr>
                  </m:ctrlPr>
                </m:sSubSupPr>
                <m:e>
                  <m:r>
                    <w:rPr>
                      <w:rFonts w:ascii="Cambria Math" w:hAnsi="Cambria Math" w:cs="Times New Roman"/>
                    </w:rPr>
                    <m:t>НД</m:t>
                  </m:r>
                </m:e>
                <m:sub>
                  <m:r>
                    <w:rPr>
                      <w:rFonts w:ascii="Cambria Math" w:hAnsi="Cambria Math" w:cs="Times New Roman"/>
                      <w:lang w:val="en-US"/>
                    </w:rPr>
                    <m:t>t</m:t>
                  </m:r>
                  <m:r>
                    <w:rPr>
                      <w:rFonts w:ascii="Cambria Math" w:hAnsi="Cambria Math" w:cs="Times New Roman"/>
                    </w:rPr>
                    <m:t>-2</m:t>
                  </m:r>
                </m:sub>
                <m:sup>
                  <m:r>
                    <w:rPr>
                      <w:rFonts w:ascii="Cambria Math" w:hAnsi="Cambria Math" w:cs="Times New Roman"/>
                      <w:lang w:val="ru-RU"/>
                    </w:rPr>
                    <m:t>ф</m:t>
                  </m:r>
                </m:sup>
              </m:sSubSup>
            </m:oMath>
            <w:r w:rsidR="0050683E" w:rsidRPr="005A615E">
              <w:rPr>
                <w:rFonts w:ascii="Times New Roman" w:hAnsi="Times New Roman" w:cs="Times New Roman"/>
              </w:rPr>
              <w:t xml:space="preserve"> , то </w:t>
            </w:r>
            <m:oMath>
              <m:sSub>
                <m:sSubPr>
                  <m:ctrlPr>
                    <w:rPr>
                      <w:rFonts w:ascii="Cambria Math" w:eastAsia="Times New Roman" w:hAnsi="Cambria Math" w:cs="Times New Roman"/>
                      <w:i/>
                      <w:sz w:val="24"/>
                      <w:szCs w:val="24"/>
                      <w:lang w:eastAsia="ru-RU"/>
                    </w:rPr>
                  </m:ctrlPr>
                </m:sSubPr>
                <m:e>
                  <m:r>
                    <w:rPr>
                      <w:rFonts w:ascii="Cambria Math" w:hAnsi="Cambria Math" w:cs="Times New Roman"/>
                    </w:rPr>
                    <m:t>КЯ</m:t>
                  </m:r>
                </m:e>
                <m:sub>
                  <m:r>
                    <w:rPr>
                      <w:rFonts w:ascii="Cambria Math" w:hAnsi="Cambria Math" w:cs="Times New Roman"/>
                    </w:rPr>
                    <m:t>д</m:t>
                  </m:r>
                  <m:r>
                    <w:rPr>
                      <w:rFonts w:ascii="Cambria Math" w:hAnsi="Cambria Math" w:cs="Times New Roman"/>
                      <w:lang w:val="en-US"/>
                    </w:rPr>
                    <m:t>t</m:t>
                  </m:r>
                </m:sub>
              </m:sSub>
              <m:r>
                <w:rPr>
                  <w:rFonts w:ascii="Cambria Math" w:hAnsi="Cambria Math" w:cs="Times New Roman"/>
                </w:rPr>
                <m:t xml:space="preserve">=-0,01 × </m:t>
              </m:r>
              <m:sSubSup>
                <m:sSubSupPr>
                  <m:ctrlPr>
                    <w:rPr>
                      <w:rFonts w:ascii="Cambria Math" w:eastAsia="Times New Roman" w:hAnsi="Cambria Math" w:cs="Times New Roman"/>
                      <w:i/>
                      <w:sz w:val="24"/>
                      <w:szCs w:val="24"/>
                      <w:lang w:eastAsia="ru-RU"/>
                    </w:rPr>
                  </m:ctrlPr>
                </m:sSubSupPr>
                <m:e>
                  <m:r>
                    <w:rPr>
                      <w:rFonts w:ascii="Cambria Math" w:hAnsi="Cambria Math" w:cs="Times New Roman"/>
                    </w:rPr>
                    <m:t>НД</m:t>
                  </m:r>
                </m:e>
                <m:sub>
                  <m:r>
                    <w:rPr>
                      <w:rFonts w:ascii="Cambria Math" w:hAnsi="Cambria Math" w:cs="Times New Roman"/>
                      <w:lang w:val="en-US"/>
                    </w:rPr>
                    <m:t>t</m:t>
                  </m:r>
                  <m:r>
                    <w:rPr>
                      <w:rFonts w:ascii="Cambria Math" w:hAnsi="Cambria Math" w:cs="Times New Roman"/>
                    </w:rPr>
                    <m:t>-2</m:t>
                  </m:r>
                </m:sub>
                <m:sup>
                  <m:r>
                    <w:rPr>
                      <w:rFonts w:ascii="Cambria Math" w:hAnsi="Cambria Math" w:cs="Times New Roman"/>
                      <w:lang w:val="ru-RU"/>
                    </w:rPr>
                    <m:t>ф</m:t>
                  </m:r>
                </m:sup>
              </m:sSubSup>
            </m:oMath>
            <w:r w:rsidR="0050683E" w:rsidRPr="005A615E">
              <w:rPr>
                <w:rFonts w:ascii="Times New Roman" w:eastAsiaTheme="minorEastAsia" w:hAnsi="Times New Roman" w:cs="Times New Roman"/>
              </w:rPr>
              <w:t>.</w:t>
            </w:r>
          </w:p>
          <w:p w:rsidR="0050683E" w:rsidRPr="005A615E" w:rsidRDefault="000D13C5" w:rsidP="0050683E">
            <w:pPr>
              <w:jc w:val="both"/>
              <w:rPr>
                <w:rFonts w:ascii="Times New Roman" w:hAnsi="Times New Roman" w:cs="Times New Roman"/>
              </w:rPr>
            </w:pPr>
            <w:hyperlink r:id="rId326" w:tgtFrame="_blank" w:history="1">
              <w:r w:rsidR="0050683E" w:rsidRPr="005A615E">
                <w:rPr>
                  <w:rFonts w:ascii="Times New Roman" w:hAnsi="Times New Roman" w:cs="Times New Roman"/>
                </w:rPr>
                <w:t xml:space="preserve">За результатами здійснення заходів контролю за дотриманням Ліцензійних умов показник </w:t>
              </w:r>
              <m:oMath>
                <m:sSub>
                  <m:sSubPr>
                    <m:ctrlPr>
                      <w:rPr>
                        <w:rFonts w:ascii="Cambria Math" w:hAnsi="Cambria Math" w:cs="Times New Roman"/>
                        <w:i/>
                      </w:rPr>
                    </m:ctrlPr>
                  </m:sSubPr>
                  <m:e>
                    <m:r>
                      <w:rPr>
                        <w:rFonts w:ascii="Cambria Math" w:hAnsi="Cambria Math" w:cs="Times New Roman"/>
                      </w:rPr>
                      <m:t>КЯ</m:t>
                    </m:r>
                  </m:e>
                  <m:sub>
                    <m:r>
                      <w:rPr>
                        <w:rFonts w:ascii="Cambria Math" w:hAnsi="Cambria Math" w:cs="Times New Roman"/>
                      </w:rPr>
                      <m:t>д</m:t>
                    </m:r>
                    <m:r>
                      <w:rPr>
                        <w:rFonts w:ascii="Cambria Math" w:hAnsi="Cambria Math" w:cs="Times New Roman"/>
                        <w:lang w:val="en-US"/>
                      </w:rPr>
                      <m:t>t</m:t>
                    </m:r>
                  </m:sub>
                </m:sSub>
              </m:oMath>
              <w:r w:rsidR="0050683E" w:rsidRPr="005A615E">
                <w:rPr>
                  <w:rFonts w:ascii="Times New Roman" w:hAnsi="Times New Roman" w:cs="Times New Roman"/>
                </w:rPr>
                <w:t xml:space="preserve"> може бути уточнено.</w:t>
              </w:r>
            </w:hyperlink>
          </w:p>
          <w:p w:rsidR="00524FF1" w:rsidRPr="005A615E" w:rsidRDefault="00524FF1" w:rsidP="0050683E">
            <w:pPr>
              <w:jc w:val="both"/>
              <w:rPr>
                <w:rFonts w:ascii="Times New Roman" w:hAnsi="Times New Roman" w:cs="Times New Roman"/>
              </w:rPr>
            </w:pPr>
            <w:r w:rsidRPr="005A615E">
              <w:rPr>
                <w:rFonts w:ascii="Times New Roman" w:hAnsi="Times New Roman" w:cs="Times New Roman"/>
              </w:rPr>
              <w:t>Коригування необхідного доходу відповідно до даних виконання цільового завдання щодо досягнення показників якості даних комерційного обліку за 2027 рік не застосовується до ліцензіатів, наведених у додатку 34 до цього Порядку.</w:t>
            </w:r>
          </w:p>
          <w:p w:rsidR="00523D6C" w:rsidRPr="005A615E" w:rsidRDefault="00523D6C" w:rsidP="00CF2AC1">
            <w:pPr>
              <w:rPr>
                <w:rFonts w:ascii="Times New Roman" w:hAnsi="Times New Roman"/>
                <w:b/>
                <w:sz w:val="28"/>
              </w:rPr>
            </w:pPr>
          </w:p>
        </w:tc>
      </w:tr>
      <w:tr w:rsidR="00CF2AC1" w:rsidRPr="005A615E" w:rsidTr="00A56FEE">
        <w:tc>
          <w:tcPr>
            <w:tcW w:w="6232" w:type="dxa"/>
          </w:tcPr>
          <w:p w:rsidR="00CF2AC1" w:rsidRPr="005A615E" w:rsidRDefault="00CF2AC1" w:rsidP="00CF2AC1">
            <w:pPr>
              <w:shd w:val="clear" w:color="auto" w:fill="FFFFFF"/>
              <w:suppressAutoHyphens/>
              <w:spacing w:after="150"/>
              <w:ind w:firstLine="450"/>
              <w:rPr>
                <w:rFonts w:ascii="Times New Roman" w:hAnsi="Times New Roman"/>
                <w:b/>
                <w:i/>
                <w:lang w:eastAsia="uk-UA"/>
              </w:rPr>
            </w:pPr>
            <w:r w:rsidRPr="005A615E">
              <w:rPr>
                <w:rFonts w:ascii="Times New Roman" w:hAnsi="Times New Roman"/>
                <w:b/>
                <w:i/>
                <w:lang w:eastAsia="uk-UA"/>
              </w:rPr>
              <w:t>Пункт відсутній</w:t>
            </w: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 АТ «ЖИТОМИРОБЛЕНЕРГО» (лист від 27.07.2026  № 05/24560)</w:t>
            </w:r>
          </w:p>
          <w:p w:rsidR="00CF2AC1" w:rsidRPr="005A615E" w:rsidRDefault="00CF2AC1" w:rsidP="00CF2AC1">
            <w:pPr>
              <w:jc w:val="both"/>
              <w:rPr>
                <w:rFonts w:ascii="Times New Roman" w:hAnsi="Times New Roman"/>
                <w:b/>
                <w:sz w:val="24"/>
                <w:u w:val="single"/>
              </w:rPr>
            </w:pPr>
          </w:p>
          <w:p w:rsidR="00CF2AC1" w:rsidRPr="005A615E" w:rsidRDefault="00CF2AC1" w:rsidP="00CF2AC1">
            <w:pPr>
              <w:suppressAutoHyphens/>
              <w:jc w:val="both"/>
              <w:rPr>
                <w:rFonts w:ascii="Times New Roman" w:hAnsi="Times New Roman"/>
                <w:lang w:eastAsia="uk-UA"/>
              </w:rPr>
            </w:pPr>
            <w:r w:rsidRPr="005A615E">
              <w:rPr>
                <w:rFonts w:ascii="Times New Roman" w:hAnsi="Times New Roman"/>
                <w:b/>
                <w:lang w:eastAsia="uk-UA"/>
              </w:rPr>
              <w:t xml:space="preserve">5.21 Для ОСР, перелік яких наведено у додатку 35, </w:t>
            </w:r>
            <w:r w:rsidRPr="005A615E">
              <w:rPr>
                <w:rFonts w:ascii="Times New Roman" w:hAnsi="Times New Roman"/>
                <w:b/>
                <w:bCs/>
                <w:lang w:eastAsia="uk-UA"/>
              </w:rPr>
              <w:t>протягом другого регуляторного періоду до показника КД</w:t>
            </w:r>
            <w:r w:rsidRPr="005A615E">
              <w:rPr>
                <w:rFonts w:ascii="Times New Roman" w:hAnsi="Times New Roman"/>
                <w:b/>
                <w:bCs/>
                <w:lang w:val="en-US" w:eastAsia="uk-UA"/>
              </w:rPr>
              <w:t>t</w:t>
            </w:r>
            <w:r w:rsidRPr="005A615E">
              <w:rPr>
                <w:rFonts w:ascii="Times New Roman" w:hAnsi="Times New Roman"/>
                <w:b/>
                <w:bCs/>
                <w:lang w:eastAsia="uk-UA"/>
              </w:rPr>
              <w:t xml:space="preserve"> (коригування необхідного доходу) включати щорічно 1/5 частину від загальної суми недовиконання ІП протягом першого регуляторного періоду (зафіксованих за  результатами заходів контролю) та недоотриманим такими ОСР рівнем прибутку на РБА0, який мав би бути джерелом фінансування ІП протягом 2024-2026 роках. Зазначені кошти визначити додатковим джерелом фінансування ІП для кожного року другого регуляторного періоду.</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Зазначена пропозиція необхідна для забезпечення довиконання ОСР, наведеними у додатку 35, невиконаних обсягів інвестиційних програм першого регуляторного періоду та забезпечення «вирівнювання» ОСР України.</w:t>
            </w:r>
          </w:p>
          <w:p w:rsidR="00CF2AC1" w:rsidRPr="005A615E" w:rsidRDefault="00CF2AC1" w:rsidP="00CF2AC1">
            <w:pPr>
              <w:shd w:val="clear" w:color="auto" w:fill="FFFFFF"/>
              <w:suppressAutoHyphens/>
              <w:spacing w:after="150"/>
              <w:ind w:firstLine="450"/>
              <w:jc w:val="both"/>
              <w:rPr>
                <w:lang w:eastAsia="uk-UA"/>
              </w:rPr>
            </w:pPr>
          </w:p>
        </w:tc>
        <w:tc>
          <w:tcPr>
            <w:tcW w:w="3969" w:type="dxa"/>
            <w:gridSpan w:val="2"/>
          </w:tcPr>
          <w:p w:rsidR="00CF2AC1" w:rsidRPr="005A615E" w:rsidRDefault="00CF2AC1" w:rsidP="00CF2AC1">
            <w:pPr>
              <w:rPr>
                <w:rFonts w:ascii="Times New Roman" w:hAnsi="Times New Roman"/>
                <w:b/>
                <w:sz w:val="28"/>
              </w:rPr>
            </w:pPr>
          </w:p>
        </w:tc>
      </w:tr>
      <w:tr w:rsidR="00CF2AC1" w:rsidRPr="005A615E" w:rsidTr="00A56FEE">
        <w:tc>
          <w:tcPr>
            <w:tcW w:w="6232" w:type="dxa"/>
          </w:tcPr>
          <w:p w:rsidR="00CF2AC1" w:rsidRPr="005A615E" w:rsidRDefault="00CF2AC1" w:rsidP="00CF2AC1">
            <w:pPr>
              <w:shd w:val="clear" w:color="auto" w:fill="FFFFFF"/>
              <w:spacing w:after="150"/>
              <w:ind w:firstLine="450"/>
              <w:rPr>
                <w:rFonts w:ascii="Times New Roman" w:hAnsi="Times New Roman"/>
                <w:lang w:eastAsia="uk-UA"/>
              </w:rPr>
            </w:pPr>
            <w:r w:rsidRPr="005A615E">
              <w:rPr>
                <w:rFonts w:ascii="Times New Roman" w:hAnsi="Times New Roman"/>
                <w:lang w:eastAsia="uk-UA"/>
              </w:rPr>
              <w:t>7. Вимоги до оформлення заяви, порядок та строки розгляду заяви, підстави для встановлення тарифів, механізм формування прогнозованих витрат (прогнозованого необхідного доходу) ліцензіата на перехідний період</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7.22. Розрахунок операційних витрат:</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1) операційні витрати для забезпечення діяльності з розподілу електричної енергії визначаються за такими економічними елементами та їх окремими складовими і розраховуються за формулою</w:t>
            </w:r>
          </w:p>
          <w:tbl>
            <w:tblPr>
              <w:tblW w:w="5000" w:type="pct"/>
              <w:tblLayout w:type="fixed"/>
              <w:tblCellMar>
                <w:left w:w="0" w:type="dxa"/>
                <w:right w:w="0" w:type="dxa"/>
              </w:tblCellMar>
              <w:tblLook w:val="04A0" w:firstRow="1" w:lastRow="0" w:firstColumn="1" w:lastColumn="0" w:noHBand="0" w:noVBand="1"/>
            </w:tblPr>
            <w:tblGrid>
              <w:gridCol w:w="299"/>
              <w:gridCol w:w="466"/>
              <w:gridCol w:w="143"/>
              <w:gridCol w:w="3164"/>
              <w:gridCol w:w="1797"/>
              <w:gridCol w:w="141"/>
            </w:tblGrid>
            <w:tr w:rsidR="00CF2AC1" w:rsidRPr="005A615E" w:rsidTr="00EA56E1">
              <w:tc>
                <w:tcPr>
                  <w:tcW w:w="5033" w:type="dxa"/>
                  <w:gridSpan w:val="4"/>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noProof/>
                      <w:lang w:eastAsia="uk-UA"/>
                    </w:rPr>
                    <w:drawing>
                      <wp:inline distT="0" distB="0" distL="0" distR="0" wp14:anchorId="3875E188" wp14:editId="1D5A00F0">
                        <wp:extent cx="2752725" cy="285750"/>
                        <wp:effectExtent l="0" t="0" r="9525" b="0"/>
                        <wp:docPr id="1993780100" name="Рисунок 1993780100" descr="https://zakon.rada.gov.ua/laws/file/imgs/129/p478167n366v3-1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1" descr="https://zakon.rada.gov.ua/laws/file/imgs/129/p478167n366v3-137.jpg"/>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2752725" cy="285750"/>
                                </a:xfrm>
                                <a:prstGeom prst="rect">
                                  <a:avLst/>
                                </a:prstGeom>
                                <a:noFill/>
                                <a:ln>
                                  <a:noFill/>
                                </a:ln>
                              </pic:spPr>
                            </pic:pic>
                          </a:graphicData>
                        </a:graphic>
                      </wp:inline>
                    </w:drawing>
                  </w:r>
                </w:p>
              </w:tc>
              <w:tc>
                <w:tcPr>
                  <w:tcW w:w="2399"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(33)</w:t>
                  </w:r>
                </w:p>
              </w:tc>
            </w:tr>
            <w:tr w:rsidR="00CF2AC1" w:rsidRPr="005A615E" w:rsidTr="00EA56E1">
              <w:trPr>
                <w:gridAfter w:val="1"/>
                <w:wAfter w:w="174" w:type="dxa"/>
              </w:trPr>
              <w:tc>
                <w:tcPr>
                  <w:tcW w:w="364" w:type="dxa"/>
                  <w:vMerge w:val="restart"/>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де</w:t>
                  </w:r>
                </w:p>
              </w:tc>
              <w:tc>
                <w:tcPr>
                  <w:tcW w:w="572"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20E2CB8F" wp14:editId="37A7F4A8">
                        <wp:extent cx="361950" cy="238125"/>
                        <wp:effectExtent l="0" t="0" r="0" b="9525"/>
                        <wp:docPr id="1993780099" name="Рисунок 1993780099" descr="https://zakon.rada.gov.ua/laws/file/imgs/129/p478167n270-138.gif">
                          <a:hlinkClick xmlns:a="http://schemas.openxmlformats.org/drawingml/2006/main" r:id="rId3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2" descr="https://zakon.rada.gov.ua/laws/file/imgs/129/p478167n270-138.gif">
                                  <a:hlinkClick r:id="rId328"/>
                                </pic:cNvPr>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p>
              </w:tc>
              <w:tc>
                <w:tcPr>
                  <w:tcW w:w="172"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615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матеріальні витрати на провадження діяльності з розподілу електричної енергії на прогнозний рік, тис. грн;</w:t>
                  </w:r>
                </w:p>
              </w:tc>
            </w:tr>
            <w:tr w:rsidR="00CF2AC1" w:rsidRPr="005A615E" w:rsidTr="00EA56E1">
              <w:trPr>
                <w:gridAfter w:val="1"/>
                <w:wAfter w:w="174" w:type="dxa"/>
              </w:trPr>
              <w:tc>
                <w:tcPr>
                  <w:tcW w:w="5033" w:type="dxa"/>
                  <w:vMerge/>
                  <w:tcBorders>
                    <w:top w:val="single" w:sz="2" w:space="0" w:color="auto"/>
                    <w:left w:val="single" w:sz="2" w:space="0" w:color="auto"/>
                    <w:bottom w:val="single" w:sz="2" w:space="0" w:color="auto"/>
                    <w:right w:val="single" w:sz="2" w:space="0" w:color="auto"/>
                  </w:tcBorders>
                  <w:vAlign w:val="center"/>
                  <w:hideMark/>
                </w:tcPr>
                <w:p w:rsidR="00CF2AC1" w:rsidRPr="005A615E" w:rsidRDefault="00CF2AC1" w:rsidP="00CF2AC1">
                  <w:pPr>
                    <w:rPr>
                      <w:rFonts w:ascii="Times New Roman" w:eastAsia="Times New Roman" w:hAnsi="Times New Roman"/>
                      <w:sz w:val="24"/>
                      <w:szCs w:val="24"/>
                      <w:lang w:eastAsia="uk-UA"/>
                    </w:rPr>
                  </w:pPr>
                </w:p>
              </w:tc>
              <w:tc>
                <w:tcPr>
                  <w:tcW w:w="572"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4161A45A" wp14:editId="59EAE9EF">
                        <wp:extent cx="352425" cy="238125"/>
                        <wp:effectExtent l="0" t="0" r="9525" b="9525"/>
                        <wp:docPr id="1993780098" name="Рисунок 1993780098" descr="https://zakon.rada.gov.ua/laws/file/imgs/129/p478167n270-139.gif">
                          <a:hlinkClick xmlns:a="http://schemas.openxmlformats.org/drawingml/2006/main" r:id="rId3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3" descr="https://zakon.rada.gov.ua/laws/file/imgs/129/p478167n270-139.gif">
                                  <a:hlinkClick r:id="rId330"/>
                                </pic:cNvPr>
                                <pic:cNvPicPr>
                                  <a:picLocks noChangeAspect="1" noChangeArrowheads="1"/>
                                </pic:cNvPicPr>
                              </pic:nvPicPr>
                              <pic:blipFill>
                                <a:blip r:embed="rId331">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tc>
              <w:tc>
                <w:tcPr>
                  <w:tcW w:w="172"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615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w:t>
                  </w:r>
                  <w:r w:rsidRPr="005A615E">
                    <w:rPr>
                      <w:rFonts w:ascii="Times New Roman" w:hAnsi="Times New Roman"/>
                      <w:i/>
                      <w:iCs/>
                      <w:lang w:eastAsia="uk-UA"/>
                    </w:rPr>
                    <w:t>t</w:t>
                  </w:r>
                  <w:r w:rsidRPr="005A615E">
                    <w:rPr>
                      <w:rFonts w:ascii="Times New Roman" w:hAnsi="Times New Roman"/>
                      <w:lang w:eastAsia="uk-UA"/>
                    </w:rPr>
                    <w:t>, що визначаються за формулою</w:t>
                  </w:r>
                </w:p>
              </w:tc>
            </w:tr>
          </w:tbl>
          <w:p w:rsidR="00CF2AC1" w:rsidRPr="005A615E" w:rsidRDefault="00CF2AC1" w:rsidP="00CF2AC1">
            <w:pPr>
              <w:shd w:val="clear" w:color="auto" w:fill="FFFFFF"/>
              <w:ind w:firstLine="450"/>
              <w:jc w:val="both"/>
              <w:rPr>
                <w:rFonts w:ascii="Times New Roman" w:eastAsia="Times New Roman" w:hAnsi="Times New Roman"/>
                <w:vanish/>
                <w:lang w:eastAsia="uk-UA"/>
              </w:rPr>
            </w:pPr>
          </w:p>
          <w:tbl>
            <w:tblPr>
              <w:tblW w:w="5000" w:type="pct"/>
              <w:tblLayout w:type="fixed"/>
              <w:tblCellMar>
                <w:left w:w="0" w:type="dxa"/>
                <w:right w:w="0" w:type="dxa"/>
              </w:tblCellMar>
              <w:tblLook w:val="04A0" w:firstRow="1" w:lastRow="0" w:firstColumn="1" w:lastColumn="0" w:noHBand="0" w:noVBand="1"/>
            </w:tblPr>
            <w:tblGrid>
              <w:gridCol w:w="408"/>
              <w:gridCol w:w="1160"/>
              <w:gridCol w:w="180"/>
              <w:gridCol w:w="3701"/>
              <w:gridCol w:w="549"/>
              <w:gridCol w:w="12"/>
            </w:tblGrid>
            <w:tr w:rsidR="00CF2AC1" w:rsidRPr="005A615E" w:rsidTr="00EA56E1">
              <w:tc>
                <w:tcPr>
                  <w:tcW w:w="8550" w:type="dxa"/>
                  <w:gridSpan w:val="4"/>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241D5C7A" wp14:editId="15718851">
                        <wp:extent cx="2152650" cy="228600"/>
                        <wp:effectExtent l="0" t="0" r="0" b="0"/>
                        <wp:docPr id="1993780097" name="Рисунок 1993780097" descr="https://zakon.rada.gov.ua/laws/file/imgs/129/p478167n271v3-140.gif">
                          <a:hlinkClick xmlns:a="http://schemas.openxmlformats.org/drawingml/2006/main" r:id="rId3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4" descr="https://zakon.rada.gov.ua/laws/file/imgs/129/p478167n271v3-140.gif">
                                  <a:hlinkClick r:id="rId332"/>
                                </pic:cNvPr>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bwMode="auto">
                                <a:xfrm>
                                  <a:off x="0" y="0"/>
                                  <a:ext cx="2152650" cy="228600"/>
                                </a:xfrm>
                                <a:prstGeom prst="rect">
                                  <a:avLst/>
                                </a:prstGeom>
                                <a:noFill/>
                                <a:ln>
                                  <a:noFill/>
                                </a:ln>
                              </pic:spPr>
                            </pic:pic>
                          </a:graphicData>
                        </a:graphic>
                      </wp:inline>
                    </w:drawing>
                  </w:r>
                </w:p>
              </w:tc>
              <w:tc>
                <w:tcPr>
                  <w:tcW w:w="87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(34)</w:t>
                  </w:r>
                </w:p>
              </w:tc>
            </w:tr>
            <w:tr w:rsidR="00CF2AC1" w:rsidRPr="005A615E" w:rsidTr="00EA56E1">
              <w:trPr>
                <w:gridAfter w:val="1"/>
                <w:wAfter w:w="15" w:type="dxa"/>
              </w:trPr>
              <w:tc>
                <w:tcPr>
                  <w:tcW w:w="63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де</w:t>
                  </w:r>
                </w:p>
              </w:tc>
              <w:tc>
                <w:tcPr>
                  <w:tcW w:w="1815"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3F8756A7" wp14:editId="46142C98">
                        <wp:extent cx="400050" cy="238125"/>
                        <wp:effectExtent l="0" t="0" r="0" b="9525"/>
                        <wp:docPr id="63" name="Рисунок 63" descr="https://zakon.rada.gov.ua/laws/file/imgs/129/p478167n272-141.gif">
                          <a:hlinkClick xmlns:a="http://schemas.openxmlformats.org/drawingml/2006/main" r:id="rId3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5" descr="https://zakon.rada.gov.ua/laws/file/imgs/129/p478167n272-141.gif">
                                  <a:hlinkClick r:id="rId334"/>
                                </pic:cNvPr>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5A615E">
                    <w:rPr>
                      <w:rFonts w:ascii="Times New Roman" w:hAnsi="Times New Roman"/>
                      <w:lang w:eastAsia="uk-UA"/>
                    </w:rPr>
                    <w:t>,</w:t>
                  </w:r>
                  <w:r w:rsidRPr="005A615E">
                    <w:rPr>
                      <w:rFonts w:ascii="Times New Roman" w:hAnsi="Times New Roman"/>
                      <w:noProof/>
                      <w:lang w:eastAsia="uk-UA"/>
                    </w:rPr>
                    <w:drawing>
                      <wp:inline distT="0" distB="0" distL="0" distR="0" wp14:anchorId="0EFF9A97" wp14:editId="7EDA3E63">
                        <wp:extent cx="419100" cy="238125"/>
                        <wp:effectExtent l="0" t="0" r="0" b="9525"/>
                        <wp:docPr id="62" name="Рисунок 62" descr="https://zakon.rada.gov.ua/laws/file/imgs/129/p478167n272-142.gif">
                          <a:hlinkClick xmlns:a="http://schemas.openxmlformats.org/drawingml/2006/main" r:id="rId3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6" descr="https://zakon.rada.gov.ua/laws/file/imgs/129/p478167n272-142.gif">
                                  <a:hlinkClick r:id="rId336"/>
                                </pic:cNvPr>
                                <pic:cNvPicPr>
                                  <a:picLocks noChangeAspect="1" noChangeArrowheads="1"/>
                                </pic:cNvPicPr>
                              </pic:nvPicPr>
                              <pic:blipFill>
                                <a:blip r:embed="rId337">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p>
              </w:tc>
              <w:tc>
                <w:tcPr>
                  <w:tcW w:w="27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669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1 та 2 класі напруги відповідно, на рік </w:t>
                  </w:r>
                  <w:r w:rsidRPr="005A615E">
                    <w:rPr>
                      <w:rFonts w:ascii="Times New Roman" w:hAnsi="Times New Roman"/>
                      <w:i/>
                      <w:iCs/>
                      <w:lang w:eastAsia="uk-UA"/>
                    </w:rPr>
                    <w:t>t</w:t>
                  </w:r>
                  <w:r w:rsidRPr="005A615E">
                    <w:rPr>
                      <w:rFonts w:ascii="Times New Roman" w:hAnsi="Times New Roman"/>
                      <w:lang w:eastAsia="uk-UA"/>
                    </w:rPr>
                    <w:t>, що визначається за формулами</w:t>
                  </w:r>
                </w:p>
              </w:tc>
            </w:tr>
          </w:tbl>
          <w:p w:rsidR="00CF2AC1" w:rsidRPr="005A615E" w:rsidRDefault="00CF2AC1" w:rsidP="00CF2AC1">
            <w:pPr>
              <w:shd w:val="clear" w:color="auto" w:fill="FFFFFF"/>
              <w:ind w:firstLine="450"/>
              <w:jc w:val="both"/>
              <w:rPr>
                <w:rFonts w:ascii="Times New Roman" w:eastAsia="Times New Roman" w:hAnsi="Times New Roman"/>
                <w:vanish/>
                <w:lang w:eastAsia="uk-UA"/>
              </w:rPr>
            </w:pPr>
          </w:p>
          <w:tbl>
            <w:tblPr>
              <w:tblW w:w="5000" w:type="pct"/>
              <w:tblLayout w:type="fixed"/>
              <w:tblCellMar>
                <w:left w:w="0" w:type="dxa"/>
                <w:right w:w="0" w:type="dxa"/>
              </w:tblCellMar>
              <w:tblLook w:val="04A0" w:firstRow="1" w:lastRow="0" w:firstColumn="1" w:lastColumn="0" w:noHBand="0" w:noVBand="1"/>
            </w:tblPr>
            <w:tblGrid>
              <w:gridCol w:w="5427"/>
              <w:gridCol w:w="11"/>
              <w:gridCol w:w="572"/>
            </w:tblGrid>
            <w:tr w:rsidR="00CF2AC1" w:rsidRPr="005A615E" w:rsidTr="00EA56E1">
              <w:tc>
                <w:tcPr>
                  <w:tcW w:w="8535"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15984A43" wp14:editId="0E65AE35">
                        <wp:extent cx="1905000" cy="266700"/>
                        <wp:effectExtent l="0" t="0" r="0" b="0"/>
                        <wp:docPr id="61" name="Рисунок 61" descr="https://zakon.rada.gov.ua/laws/file/imgs/129/p478167n273v3-143.gif">
                          <a:hlinkClick xmlns:a="http://schemas.openxmlformats.org/drawingml/2006/main" r:id="rId3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7" descr="https://zakon.rada.gov.ua/laws/file/imgs/129/p478167n273v3-143.gif">
                                  <a:hlinkClick r:id="rId338"/>
                                </pic:cNvPr>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1905000" cy="266700"/>
                                </a:xfrm>
                                <a:prstGeom prst="rect">
                                  <a:avLst/>
                                </a:prstGeom>
                                <a:noFill/>
                                <a:ln>
                                  <a:noFill/>
                                </a:ln>
                              </pic:spPr>
                            </pic:pic>
                          </a:graphicData>
                        </a:graphic>
                      </wp:inline>
                    </w:drawing>
                  </w:r>
                </w:p>
              </w:tc>
              <w:tc>
                <w:tcPr>
                  <w:tcW w:w="885"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(35)</w:t>
                  </w:r>
                </w:p>
              </w:tc>
            </w:tr>
            <w:tr w:rsidR="00CF2AC1" w:rsidRPr="005A615E" w:rsidTr="00EA56E1">
              <w:tc>
                <w:tcPr>
                  <w:tcW w:w="8520"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6DD8CDC4" wp14:editId="315ABFFB">
                        <wp:extent cx="1743075" cy="285750"/>
                        <wp:effectExtent l="0" t="0" r="9525" b="0"/>
                        <wp:docPr id="60" name="Рисунок 60" descr="https://zakon.rada.gov.ua/laws/file/imgs/129/p478167n274v3-144.gif">
                          <a:hlinkClick xmlns:a="http://schemas.openxmlformats.org/drawingml/2006/main" r:id="rId3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8" descr="https://zakon.rada.gov.ua/laws/file/imgs/129/p478167n274v3-144.gif">
                                  <a:hlinkClick r:id="rId340"/>
                                </pic:cNvPr>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1743075" cy="285750"/>
                                </a:xfrm>
                                <a:prstGeom prst="rect">
                                  <a:avLst/>
                                </a:prstGeom>
                                <a:noFill/>
                                <a:ln>
                                  <a:noFill/>
                                </a:ln>
                              </pic:spPr>
                            </pic:pic>
                          </a:graphicData>
                        </a:graphic>
                      </wp:inline>
                    </w:drawing>
                  </w:r>
                </w:p>
              </w:tc>
              <w:tc>
                <w:tcPr>
                  <w:tcW w:w="900"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(36)</w:t>
                  </w:r>
                </w:p>
              </w:tc>
            </w:tr>
          </w:tbl>
          <w:p w:rsidR="00CF2AC1" w:rsidRPr="005A615E" w:rsidRDefault="00CF2AC1" w:rsidP="00CF2AC1">
            <w:pPr>
              <w:shd w:val="clear" w:color="auto" w:fill="FFFFFF"/>
              <w:ind w:firstLine="450"/>
              <w:jc w:val="both"/>
              <w:rPr>
                <w:rFonts w:ascii="Times New Roman" w:eastAsia="Times New Roman" w:hAnsi="Times New Roman"/>
                <w:vanish/>
                <w:lang w:eastAsia="uk-UA"/>
              </w:rPr>
            </w:pPr>
          </w:p>
          <w:tbl>
            <w:tblPr>
              <w:tblW w:w="5000" w:type="pct"/>
              <w:tblLayout w:type="fixed"/>
              <w:tblCellMar>
                <w:left w:w="0" w:type="dxa"/>
                <w:right w:w="0" w:type="dxa"/>
              </w:tblCellMar>
              <w:tblLook w:val="04A0" w:firstRow="1" w:lastRow="0" w:firstColumn="1" w:lastColumn="0" w:noHBand="0" w:noVBand="1"/>
            </w:tblPr>
            <w:tblGrid>
              <w:gridCol w:w="293"/>
              <w:gridCol w:w="674"/>
              <w:gridCol w:w="208"/>
              <w:gridCol w:w="4446"/>
              <w:gridCol w:w="254"/>
              <w:gridCol w:w="135"/>
            </w:tblGrid>
            <w:tr w:rsidR="00CF2AC1" w:rsidRPr="005A615E" w:rsidTr="00EA56E1">
              <w:trPr>
                <w:gridAfter w:val="1"/>
                <w:wAfter w:w="166" w:type="dxa"/>
              </w:trPr>
              <w:tc>
                <w:tcPr>
                  <w:tcW w:w="357" w:type="dxa"/>
                  <w:vMerge w:val="restart"/>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де</w:t>
                  </w:r>
                </w:p>
              </w:tc>
              <w:tc>
                <w:tcPr>
                  <w:tcW w:w="83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0183C9B1" wp14:editId="37DD460C">
                        <wp:extent cx="304800" cy="352425"/>
                        <wp:effectExtent l="0" t="0" r="0" b="9525"/>
                        <wp:docPr id="58" name="Рисунок 58" descr="https://zakon.rada.gov.ua/laws/file/imgs/129/p478167n275v1-145.gif">
                          <a:hlinkClick xmlns:a="http://schemas.openxmlformats.org/drawingml/2006/main" r:id="rId3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9" descr="https://zakon.rada.gov.ua/laws/file/imgs/129/p478167n275v1-145.gif">
                                  <a:hlinkClick r:id="rId342"/>
                                </pic:cNvPr>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304800" cy="352425"/>
                                </a:xfrm>
                                <a:prstGeom prst="rect">
                                  <a:avLst/>
                                </a:prstGeom>
                                <a:noFill/>
                                <a:ln>
                                  <a:noFill/>
                                </a:ln>
                              </pic:spPr>
                            </pic:pic>
                          </a:graphicData>
                        </a:graphic>
                      </wp:inline>
                    </w:drawing>
                  </w:r>
                </w:p>
              </w:tc>
              <w:tc>
                <w:tcPr>
                  <w:tcW w:w="252"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5826"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рівень прогнозованої оптової ринкової ціни електричної енергії, затвердженої НКРЕКП (проект рівня прогнозованої оптової ринкової ціни електричної енергії), скоригованої на коефіцієнт графіка навантаження ліцензіата, або рівень цін електричної енергії, що продається за двосторонніми договорами на електронних аукціонах, балансуючому ринку та на ринку «на добу наперед» (у встановленому співвідношенні), на рік t, грн/МВт</w:t>
                  </w:r>
                  <w:r w:rsidRPr="005A615E">
                    <w:rPr>
                      <w:rFonts w:ascii="Cambria Math" w:hAnsi="Cambria Math" w:cs="Cambria Math"/>
                      <w:bCs/>
                      <w:lang w:eastAsia="uk-UA"/>
                    </w:rPr>
                    <w:t>⋅</w:t>
                  </w:r>
                  <w:r w:rsidRPr="005A615E">
                    <w:rPr>
                      <w:rFonts w:ascii="Times New Roman" w:hAnsi="Times New Roman"/>
                      <w:lang w:eastAsia="uk-UA"/>
                    </w:rPr>
                    <w:t>год;</w:t>
                  </w:r>
                </w:p>
              </w:tc>
            </w:tr>
            <w:tr w:rsidR="00CF2AC1" w:rsidRPr="005A615E" w:rsidTr="00EA56E1">
              <w:trPr>
                <w:gridAfter w:val="1"/>
                <w:wAfter w:w="166" w:type="dxa"/>
              </w:trPr>
              <w:tc>
                <w:tcPr>
                  <w:tcW w:w="6955" w:type="dxa"/>
                  <w:vMerge/>
                  <w:tcBorders>
                    <w:top w:val="single" w:sz="2" w:space="0" w:color="auto"/>
                    <w:left w:val="single" w:sz="2" w:space="0" w:color="auto"/>
                    <w:bottom w:val="single" w:sz="2" w:space="0" w:color="auto"/>
                    <w:right w:val="single" w:sz="2" w:space="0" w:color="auto"/>
                  </w:tcBorders>
                  <w:vAlign w:val="center"/>
                  <w:hideMark/>
                </w:tcPr>
                <w:p w:rsidR="00CF2AC1" w:rsidRPr="005A615E" w:rsidRDefault="00CF2AC1" w:rsidP="00CF2AC1">
                  <w:pPr>
                    <w:rPr>
                      <w:rFonts w:ascii="Times New Roman" w:eastAsia="Times New Roman" w:hAnsi="Times New Roman"/>
                      <w:sz w:val="24"/>
                      <w:szCs w:val="24"/>
                      <w:lang w:eastAsia="uk-UA"/>
                    </w:rPr>
                  </w:pPr>
                </w:p>
              </w:tc>
              <w:tc>
                <w:tcPr>
                  <w:tcW w:w="831"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3ED4FD6C" wp14:editId="0C0AECFB">
                        <wp:extent cx="285750" cy="257175"/>
                        <wp:effectExtent l="0" t="0" r="0" b="9525"/>
                        <wp:docPr id="57" name="Рисунок 57" descr="https://zakon.rada.gov.ua/laws/file/imgs/129/p478167n275v1-146.gif">
                          <a:hlinkClick xmlns:a="http://schemas.openxmlformats.org/drawingml/2006/main" r:id="rId3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descr="https://zakon.rada.gov.ua/laws/file/imgs/129/p478167n275v1-146.gif">
                                  <a:hlinkClick r:id="rId344"/>
                                </pic:cNvPr>
                                <pic:cNvPicPr>
                                  <a:picLocks noChangeAspect="1" noChangeArrowheads="1"/>
                                </pic:cNvPicPr>
                              </pic:nvPicPr>
                              <pic:blipFill>
                                <a:blip r:embed="rId345">
                                  <a:extLst>
                                    <a:ext uri="{28A0092B-C50C-407E-A947-70E740481C1C}">
                                      <a14:useLocalDpi xmlns:a14="http://schemas.microsoft.com/office/drawing/2010/main" val="0"/>
                                    </a:ext>
                                  </a:extLst>
                                </a:blip>
                                <a:srcRect/>
                                <a:stretch>
                                  <a:fillRect/>
                                </a:stretch>
                              </pic:blipFill>
                              <pic:spPr bwMode="auto">
                                <a:xfrm>
                                  <a:off x="0" y="0"/>
                                  <a:ext cx="285750" cy="257175"/>
                                </a:xfrm>
                                <a:prstGeom prst="rect">
                                  <a:avLst/>
                                </a:prstGeom>
                                <a:noFill/>
                                <a:ln>
                                  <a:noFill/>
                                </a:ln>
                              </pic:spPr>
                            </pic:pic>
                          </a:graphicData>
                        </a:graphic>
                      </wp:inline>
                    </w:drawing>
                  </w: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1A321D5F" wp14:editId="0F9D843B">
                        <wp:extent cx="323850" cy="257175"/>
                        <wp:effectExtent l="0" t="0" r="0" b="9525"/>
                        <wp:docPr id="56" name="Рисунок 56" descr="https://zakon.rada.gov.ua/laws/file/imgs/129/p478167n275v1-147.gif">
                          <a:hlinkClick xmlns:a="http://schemas.openxmlformats.org/drawingml/2006/main" r:id="rId3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https://zakon.rada.gov.ua/laws/file/imgs/129/p478167n275v1-147.gif">
                                  <a:hlinkClick r:id="rId346"/>
                                </pic:cNvPr>
                                <pic:cNvPicPr>
                                  <a:picLocks noChangeAspect="1" noChangeArrowheads="1"/>
                                </pic:cNvPicPr>
                              </pic:nvPicPr>
                              <pic:blipFill>
                                <a:blip r:embed="rId347">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p>
              </w:tc>
              <w:tc>
                <w:tcPr>
                  <w:tcW w:w="252"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5826"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прогнозовані обсяги технологічних витрат електричної енергії на її розподіл на рік </w:t>
                  </w:r>
                  <w:r w:rsidRPr="005A615E">
                    <w:rPr>
                      <w:rFonts w:ascii="Times New Roman" w:hAnsi="Times New Roman"/>
                      <w:i/>
                      <w:iCs/>
                      <w:lang w:eastAsia="uk-UA"/>
                    </w:rPr>
                    <w:t>t</w:t>
                  </w:r>
                  <w:r w:rsidRPr="005A615E">
                    <w:rPr>
                      <w:rFonts w:ascii="Times New Roman" w:hAnsi="Times New Roman"/>
                      <w:lang w:eastAsia="uk-UA"/>
                    </w:rPr>
                    <w:t>, визначаються за формулами</w:t>
                  </w:r>
                </w:p>
              </w:tc>
            </w:tr>
            <w:tr w:rsidR="00CF2AC1" w:rsidRPr="005A615E" w:rsidTr="00EA56E1">
              <w:tc>
                <w:tcPr>
                  <w:tcW w:w="6955" w:type="dxa"/>
                  <w:gridSpan w:val="4"/>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28E6802F" wp14:editId="2DD0601F">
                        <wp:extent cx="2876550" cy="390525"/>
                        <wp:effectExtent l="0" t="0" r="0" b="9525"/>
                        <wp:docPr id="55" name="Рисунок 55" descr="https://zakon.rada.gov.ua/laws/file/imgs/129/p478167n353v3-148.gif">
                          <a:hlinkClick xmlns:a="http://schemas.openxmlformats.org/drawingml/2006/main" r:id="rId3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descr="https://zakon.rada.gov.ua/laws/file/imgs/129/p478167n353v3-148.gif">
                                  <a:hlinkClick r:id="rId348"/>
                                </pic:cNvPr>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2876550" cy="390525"/>
                                </a:xfrm>
                                <a:prstGeom prst="rect">
                                  <a:avLst/>
                                </a:prstGeom>
                                <a:noFill/>
                                <a:ln>
                                  <a:noFill/>
                                </a:ln>
                              </pic:spPr>
                            </pic:pic>
                          </a:graphicData>
                        </a:graphic>
                      </wp:inline>
                    </w:drawing>
                  </w:r>
                </w:p>
              </w:tc>
              <w:tc>
                <w:tcPr>
                  <w:tcW w:w="477" w:type="dxa"/>
                  <w:gridSpan w:val="2"/>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(37)</w:t>
                  </w:r>
                </w:p>
              </w:tc>
            </w:tr>
          </w:tbl>
          <w:p w:rsidR="00CF2AC1" w:rsidRPr="005A615E" w:rsidRDefault="00CF2AC1" w:rsidP="00CF2AC1">
            <w:pPr>
              <w:shd w:val="clear" w:color="auto" w:fill="FFFFFF"/>
              <w:ind w:firstLine="450"/>
              <w:jc w:val="both"/>
              <w:rPr>
                <w:rFonts w:ascii="Times New Roman" w:eastAsia="Times New Roman" w:hAnsi="Times New Roman"/>
                <w:vanish/>
                <w:lang w:eastAsia="uk-UA"/>
              </w:rPr>
            </w:pPr>
          </w:p>
          <w:tbl>
            <w:tblPr>
              <w:tblW w:w="4804" w:type="pct"/>
              <w:tblLayout w:type="fixed"/>
              <w:tblCellMar>
                <w:left w:w="0" w:type="dxa"/>
                <w:right w:w="0" w:type="dxa"/>
              </w:tblCellMar>
              <w:tblLook w:val="04A0" w:firstRow="1" w:lastRow="0" w:firstColumn="1" w:lastColumn="0" w:noHBand="0" w:noVBand="1"/>
            </w:tblPr>
            <w:tblGrid>
              <w:gridCol w:w="485"/>
              <w:gridCol w:w="526"/>
              <w:gridCol w:w="129"/>
              <w:gridCol w:w="4634"/>
            </w:tblGrid>
            <w:tr w:rsidR="00CF2AC1" w:rsidRPr="005A615E" w:rsidTr="00323466">
              <w:tc>
                <w:tcPr>
                  <w:tcW w:w="5773" w:type="dxa"/>
                  <w:gridSpan w:val="4"/>
                  <w:tcBorders>
                    <w:top w:val="single" w:sz="2" w:space="0" w:color="auto"/>
                    <w:left w:val="single" w:sz="2" w:space="0" w:color="auto"/>
                    <w:bottom w:val="single" w:sz="2" w:space="0" w:color="auto"/>
                    <w:right w:val="single" w:sz="2" w:space="0" w:color="auto"/>
                  </w:tcBorders>
                  <w:vAlign w:val="center"/>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2E043EF5" wp14:editId="73F01198">
                        <wp:extent cx="2028825" cy="571500"/>
                        <wp:effectExtent l="0" t="0" r="9525" b="0"/>
                        <wp:docPr id="54" name="Рисунок 54" descr="https://zakon.rada.gov.ua/laws/file/imgs/129/p478167n277v3-149.gif">
                          <a:hlinkClick xmlns:a="http://schemas.openxmlformats.org/drawingml/2006/main" r:id="rId3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28" descr="https://zakon.rada.gov.ua/laws/file/imgs/129/p478167n277v3-149.gif">
                                  <a:hlinkClick r:id="rId350"/>
                                </pic:cNvPr>
                                <pic:cNvPicPr>
                                  <a:picLocks noChangeAspect="1" noChangeArrowheads="1"/>
                                </pic:cNvPicPr>
                              </pic:nvPicPr>
                              <pic:blipFill>
                                <a:blip r:embed="rId351">
                                  <a:extLst>
                                    <a:ext uri="{28A0092B-C50C-407E-A947-70E740481C1C}">
                                      <a14:useLocalDpi xmlns:a14="http://schemas.microsoft.com/office/drawing/2010/main" val="0"/>
                                    </a:ext>
                                  </a:extLst>
                                </a:blip>
                                <a:srcRect/>
                                <a:stretch>
                                  <a:fillRect/>
                                </a:stretch>
                              </pic:blipFill>
                              <pic:spPr bwMode="auto">
                                <a:xfrm>
                                  <a:off x="0" y="0"/>
                                  <a:ext cx="2028825" cy="571500"/>
                                </a:xfrm>
                                <a:prstGeom prst="rect">
                                  <a:avLst/>
                                </a:prstGeom>
                                <a:noFill/>
                                <a:ln>
                                  <a:noFill/>
                                </a:ln>
                              </pic:spPr>
                            </pic:pic>
                          </a:graphicData>
                        </a:graphic>
                      </wp:inline>
                    </w:drawing>
                  </w:r>
                  <w:r w:rsidRPr="005A615E">
                    <w:rPr>
                      <w:rFonts w:ascii="Times New Roman" w:hAnsi="Times New Roman"/>
                      <w:lang w:eastAsia="uk-UA"/>
                    </w:rPr>
                    <w:t xml:space="preserve">             (38)</w:t>
                  </w:r>
                </w:p>
              </w:tc>
            </w:tr>
            <w:tr w:rsidR="00CF2AC1" w:rsidRPr="005A615E" w:rsidTr="00323466">
              <w:tc>
                <w:tcPr>
                  <w:tcW w:w="485"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jc w:val="right"/>
                    <w:rPr>
                      <w:rFonts w:ascii="Times New Roman" w:hAnsi="Times New Roman"/>
                      <w:lang w:eastAsia="uk-UA"/>
                    </w:rPr>
                  </w:pPr>
                  <w:r w:rsidRPr="005A615E">
                    <w:rPr>
                      <w:rFonts w:ascii="Times New Roman" w:hAnsi="Times New Roman"/>
                      <w:lang w:eastAsia="uk-UA"/>
                    </w:rPr>
                    <w:t>де</w:t>
                  </w:r>
                </w:p>
              </w:tc>
              <w:tc>
                <w:tcPr>
                  <w:tcW w:w="52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5BDFF731" wp14:editId="3A1B001F">
                        <wp:extent cx="400050" cy="219075"/>
                        <wp:effectExtent l="0" t="0" r="0" b="9525"/>
                        <wp:docPr id="53" name="Рисунок 53" descr="https://zakon.rada.gov.ua/laws/file/imgs/129/p478167n278v4-150.gif">
                          <a:hlinkClick xmlns:a="http://schemas.openxmlformats.org/drawingml/2006/main" r:id="rId3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descr="https://zakon.rada.gov.ua/laws/file/imgs/129/p478167n278v4-150.gif">
                                  <a:hlinkClick r:id="rId352"/>
                                </pic:cNvPr>
                                <pic:cNvPicPr>
                                  <a:picLocks noChangeAspect="1" noChangeArrowheads="1"/>
                                </pic:cNvPicPr>
                              </pic:nvPicPr>
                              <pic:blipFill>
                                <a:blip r:embed="rId353">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p>
              </w:tc>
              <w:tc>
                <w:tcPr>
                  <w:tcW w:w="12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3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прогнозований обсяг корисного відпуску електричної енергії на 1 класі напруги на рік t, МВт·год;</w:t>
                  </w:r>
                </w:p>
              </w:tc>
            </w:tr>
            <w:tr w:rsidR="00CF2AC1" w:rsidRPr="005A615E" w:rsidTr="00323466">
              <w:tc>
                <w:tcPr>
                  <w:tcW w:w="5773" w:type="dxa"/>
                  <w:gridSpan w:val="4"/>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r>
            <w:tr w:rsidR="00CF2AC1" w:rsidRPr="005A615E" w:rsidTr="00323466">
              <w:tc>
                <w:tcPr>
                  <w:tcW w:w="485"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sz w:val="20"/>
                      <w:szCs w:val="20"/>
                      <w:lang w:eastAsia="uk-UA"/>
                    </w:rPr>
                  </w:pPr>
                </w:p>
              </w:tc>
              <w:tc>
                <w:tcPr>
                  <w:tcW w:w="52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38E07FA0" wp14:editId="178CF937">
                        <wp:extent cx="333375" cy="219075"/>
                        <wp:effectExtent l="0" t="0" r="9525" b="9525"/>
                        <wp:docPr id="52" name="Рисунок 52" descr="https://zakon.rada.gov.ua/laws/file/imgs/129/p478167n278v4-151.gif">
                          <a:hlinkClick xmlns:a="http://schemas.openxmlformats.org/drawingml/2006/main" r:id="rId3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descr="https://zakon.rada.gov.ua/laws/file/imgs/129/p478167n278v4-151.gif">
                                  <a:hlinkClick r:id="rId354"/>
                                </pic:cNvPr>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p>
              </w:tc>
              <w:tc>
                <w:tcPr>
                  <w:tcW w:w="12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3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прогнозований обсяг розподілу електричної енергії на 2 класі напруги на рік t, МВт·год;</w:t>
                  </w:r>
                </w:p>
              </w:tc>
            </w:tr>
            <w:tr w:rsidR="00CF2AC1" w:rsidRPr="005A615E" w:rsidTr="00323466">
              <w:tc>
                <w:tcPr>
                  <w:tcW w:w="5773" w:type="dxa"/>
                  <w:gridSpan w:val="4"/>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r>
            <w:tr w:rsidR="00CF2AC1" w:rsidRPr="005A615E" w:rsidTr="00323466">
              <w:tc>
                <w:tcPr>
                  <w:tcW w:w="485" w:type="dxa"/>
                  <w:vMerge w:val="restart"/>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sz w:val="20"/>
                      <w:szCs w:val="20"/>
                      <w:lang w:eastAsia="uk-UA"/>
                    </w:rPr>
                  </w:pPr>
                </w:p>
              </w:tc>
              <w:tc>
                <w:tcPr>
                  <w:tcW w:w="52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16416F87" wp14:editId="67603886">
                        <wp:extent cx="228600" cy="228600"/>
                        <wp:effectExtent l="0" t="0" r="0" b="0"/>
                        <wp:docPr id="51" name="Рисунок 51" descr="https://zakon.rada.gov.ua/laws/file/imgs/129/p478167n278v4-152.gif">
                          <a:hlinkClick xmlns:a="http://schemas.openxmlformats.org/drawingml/2006/main" r:id="rId3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descr="https://zakon.rada.gov.ua/laws/file/imgs/129/p478167n278v4-152.gif">
                                  <a:hlinkClick r:id="rId356"/>
                                </pic:cNvPr>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71656C81" wp14:editId="5B008C6B">
                        <wp:extent cx="238125" cy="228600"/>
                        <wp:effectExtent l="0" t="0" r="9525" b="0"/>
                        <wp:docPr id="48" name="Рисунок 48" descr="https://zakon.rada.gov.ua/laws/file/imgs/129/p478167n278v4-153.gif">
                          <a:hlinkClick xmlns:a="http://schemas.openxmlformats.org/drawingml/2006/main" r:id="rId3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descr="https://zakon.rada.gov.ua/laws/file/imgs/129/p478167n278v4-153.gif">
                                  <a:hlinkClick r:id="rId358"/>
                                </pic:cNvPr>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12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3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економічні коефіцієнти прогнозованих технологічних витрат електроенергії на 1 та 2 класі напруги, встановлені відповідно до </w:t>
                  </w:r>
                  <w:hyperlink r:id="rId360" w:anchor="n10" w:tgtFrame="_blank" w:history="1">
                    <w:r w:rsidRPr="005A615E">
                      <w:rPr>
                        <w:rStyle w:val="a9"/>
                        <w:rFonts w:ascii="Times New Roman" w:hAnsi="Times New Roman"/>
                        <w:color w:val="auto"/>
                        <w:lang w:eastAsia="uk-UA"/>
                      </w:rPr>
                      <w:t>Положення про порядок подання, визначення та затвердження економічних коефіцієнтів</w:t>
                    </w:r>
                  </w:hyperlink>
                  <w:r w:rsidRPr="005A615E">
                    <w:rPr>
                      <w:rFonts w:ascii="Times New Roman" w:hAnsi="Times New Roman"/>
                      <w:lang w:eastAsia="uk-UA"/>
                    </w:rPr>
                    <w:t>, на рік </w:t>
                  </w:r>
                  <w:r w:rsidRPr="005A615E">
                    <w:rPr>
                      <w:rFonts w:ascii="Times New Roman" w:hAnsi="Times New Roman"/>
                      <w:i/>
                      <w:iCs/>
                      <w:lang w:eastAsia="uk-UA"/>
                    </w:rPr>
                    <w:t>t</w:t>
                  </w:r>
                  <w:r w:rsidRPr="005A615E">
                    <w:rPr>
                      <w:rFonts w:ascii="Times New Roman" w:hAnsi="Times New Roman"/>
                      <w:lang w:eastAsia="uk-UA"/>
                    </w:rPr>
                    <w:t>, відносні одиниці;</w:t>
                  </w:r>
                </w:p>
                <w:p w:rsidR="00CF2AC1" w:rsidRPr="005A615E" w:rsidRDefault="00CF2AC1" w:rsidP="00CF2AC1">
                  <w:pPr>
                    <w:shd w:val="clear" w:color="auto" w:fill="FFFFFF"/>
                    <w:jc w:val="both"/>
                    <w:rPr>
                      <w:rFonts w:ascii="Times New Roman" w:hAnsi="Times New Roman"/>
                      <w:szCs w:val="28"/>
                      <w:lang w:eastAsia="uk-UA"/>
                    </w:rPr>
                  </w:pPr>
                  <w:r w:rsidRPr="005A615E">
                    <w:rPr>
                      <w:rFonts w:ascii="Times New Roman" w:hAnsi="Times New Roman"/>
                      <w:szCs w:val="28"/>
                      <w:lang w:eastAsia="uk-UA"/>
                    </w:rPr>
                    <w:t xml:space="preserve"> Для ліцензіатів при визначенні прогнозованих обсягів технологічних витрат електричної енергії на її розподіл на рік t, додатково враховується 50 % величини сумарного обґрунтованого за результатами заходів контролю обсягу понаднормативних технологічних витрат електричної енергії в мережах на 1 та 2 класі напруги за рік t-2 (на контрольованій території держави).</w:t>
                  </w:r>
                </w:p>
                <w:p w:rsidR="00CF2AC1" w:rsidRPr="005A615E" w:rsidRDefault="00CF2AC1" w:rsidP="00CF2AC1">
                  <w:pPr>
                    <w:shd w:val="clear" w:color="auto" w:fill="FFFFFF"/>
                    <w:jc w:val="both"/>
                    <w:rPr>
                      <w:rFonts w:ascii="Times New Roman" w:hAnsi="Times New Roman"/>
                      <w:szCs w:val="28"/>
                      <w:lang w:eastAsia="uk-UA"/>
                    </w:rPr>
                  </w:pPr>
                  <w:r w:rsidRPr="005A615E">
                    <w:rPr>
                      <w:rFonts w:ascii="Times New Roman" w:hAnsi="Times New Roman"/>
                      <w:szCs w:val="28"/>
                      <w:lang w:eastAsia="uk-UA"/>
                    </w:rPr>
                    <w:t xml:space="preserve"> 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понаднормативних технологічних витрат 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tc>
            </w:tr>
            <w:tr w:rsidR="00CF2AC1" w:rsidRPr="005A615E" w:rsidTr="00323466">
              <w:tc>
                <w:tcPr>
                  <w:tcW w:w="485" w:type="dxa"/>
                  <w:vMerge/>
                  <w:tcBorders>
                    <w:top w:val="single" w:sz="2" w:space="0" w:color="auto"/>
                    <w:left w:val="single" w:sz="2" w:space="0" w:color="auto"/>
                    <w:bottom w:val="single" w:sz="2" w:space="0" w:color="auto"/>
                    <w:right w:val="single" w:sz="2" w:space="0" w:color="auto"/>
                  </w:tcBorders>
                  <w:vAlign w:val="center"/>
                  <w:hideMark/>
                </w:tcPr>
                <w:p w:rsidR="00CF2AC1" w:rsidRPr="005A615E" w:rsidRDefault="00CF2AC1" w:rsidP="00CF2AC1">
                  <w:pPr>
                    <w:rPr>
                      <w:rFonts w:ascii="Times New Roman" w:hAnsi="Times New Roman"/>
                      <w:sz w:val="20"/>
                      <w:szCs w:val="20"/>
                      <w:lang w:eastAsia="uk-UA"/>
                    </w:rPr>
                  </w:pPr>
                </w:p>
              </w:tc>
              <w:tc>
                <w:tcPr>
                  <w:tcW w:w="52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szCs w:val="24"/>
                      <w:lang w:eastAsia="uk-UA"/>
                    </w:rPr>
                  </w:pPr>
                  <w:r w:rsidRPr="005A615E">
                    <w:rPr>
                      <w:rFonts w:ascii="Times New Roman" w:hAnsi="Times New Roman"/>
                      <w:noProof/>
                      <w:lang w:eastAsia="uk-UA"/>
                    </w:rPr>
                    <w:drawing>
                      <wp:inline distT="0" distB="0" distL="0" distR="0" wp14:anchorId="3F17D2F1" wp14:editId="10043AE0">
                        <wp:extent cx="282222" cy="190500"/>
                        <wp:effectExtent l="0" t="0" r="3810" b="0"/>
                        <wp:docPr id="47" name="Рисунок 47" descr="https://zakon.rada.gov.ua/laws/file/imgs/129/p478167n278v4-154.gif">
                          <a:hlinkClick xmlns:a="http://schemas.openxmlformats.org/drawingml/2006/main" r:id="rId3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descr="https://zakon.rada.gov.ua/laws/file/imgs/129/p478167n278v4-154.gif">
                                  <a:hlinkClick r:id="rId361"/>
                                </pic:cNvPr>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283823" cy="191580"/>
                                </a:xfrm>
                                <a:prstGeom prst="rect">
                                  <a:avLst/>
                                </a:prstGeom>
                                <a:noFill/>
                                <a:ln>
                                  <a:noFill/>
                                </a:ln>
                              </pic:spPr>
                            </pic:pic>
                          </a:graphicData>
                        </a:graphic>
                      </wp:inline>
                    </w:drawing>
                  </w:r>
                </w:p>
              </w:tc>
              <w:tc>
                <w:tcPr>
                  <w:tcW w:w="12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3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витрати на оплату праці на прогнозний рік, тис.грн;</w:t>
                  </w:r>
                </w:p>
              </w:tc>
            </w:tr>
            <w:tr w:rsidR="00CF2AC1" w:rsidRPr="005A615E" w:rsidTr="00323466">
              <w:tc>
                <w:tcPr>
                  <w:tcW w:w="485" w:type="dxa"/>
                  <w:vMerge/>
                  <w:tcBorders>
                    <w:top w:val="single" w:sz="2" w:space="0" w:color="auto"/>
                    <w:left w:val="single" w:sz="2" w:space="0" w:color="auto"/>
                    <w:bottom w:val="single" w:sz="2" w:space="0" w:color="auto"/>
                    <w:right w:val="single" w:sz="2" w:space="0" w:color="auto"/>
                  </w:tcBorders>
                  <w:vAlign w:val="center"/>
                  <w:hideMark/>
                </w:tcPr>
                <w:p w:rsidR="00CF2AC1" w:rsidRPr="005A615E" w:rsidRDefault="00CF2AC1" w:rsidP="00CF2AC1">
                  <w:pPr>
                    <w:rPr>
                      <w:rFonts w:ascii="Times New Roman" w:hAnsi="Times New Roman"/>
                      <w:sz w:val="20"/>
                      <w:szCs w:val="20"/>
                      <w:lang w:eastAsia="uk-UA"/>
                    </w:rPr>
                  </w:pPr>
                </w:p>
              </w:tc>
              <w:tc>
                <w:tcPr>
                  <w:tcW w:w="52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0D535641" wp14:editId="5120BBE7">
                        <wp:extent cx="300990" cy="172909"/>
                        <wp:effectExtent l="0" t="0" r="3810" b="0"/>
                        <wp:docPr id="33" name="Рисунок 33" descr="https://zakon.rada.gov.ua/laws/file/imgs/129/p478167n278v4-155.gif">
                          <a:hlinkClick xmlns:a="http://schemas.openxmlformats.org/drawingml/2006/main" r:id="rId3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descr="https://zakon.rada.gov.ua/laws/file/imgs/129/p478167n278v4-155.gif">
                                  <a:hlinkClick r:id="rId363"/>
                                </pic:cNvPr>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302314" cy="173670"/>
                                </a:xfrm>
                                <a:prstGeom prst="rect">
                                  <a:avLst/>
                                </a:prstGeom>
                                <a:noFill/>
                                <a:ln>
                                  <a:noFill/>
                                </a:ln>
                              </pic:spPr>
                            </pic:pic>
                          </a:graphicData>
                        </a:graphic>
                      </wp:inline>
                    </w:drawing>
                  </w:r>
                </w:p>
              </w:tc>
              <w:tc>
                <w:tcPr>
                  <w:tcW w:w="12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3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відрахування на соціальні заходи на прогнозний рік, тис.грн;</w:t>
                  </w:r>
                </w:p>
              </w:tc>
            </w:tr>
            <w:tr w:rsidR="00CF2AC1" w:rsidRPr="005A615E" w:rsidTr="00323466">
              <w:tc>
                <w:tcPr>
                  <w:tcW w:w="485" w:type="dxa"/>
                  <w:vMerge/>
                  <w:tcBorders>
                    <w:top w:val="single" w:sz="2" w:space="0" w:color="auto"/>
                    <w:left w:val="single" w:sz="2" w:space="0" w:color="auto"/>
                    <w:bottom w:val="single" w:sz="2" w:space="0" w:color="auto"/>
                    <w:right w:val="single" w:sz="2" w:space="0" w:color="auto"/>
                  </w:tcBorders>
                  <w:vAlign w:val="center"/>
                  <w:hideMark/>
                </w:tcPr>
                <w:p w:rsidR="00CF2AC1" w:rsidRPr="005A615E" w:rsidRDefault="00CF2AC1" w:rsidP="00CF2AC1">
                  <w:pPr>
                    <w:rPr>
                      <w:rFonts w:ascii="Times New Roman" w:hAnsi="Times New Roman"/>
                      <w:sz w:val="20"/>
                      <w:szCs w:val="20"/>
                      <w:lang w:eastAsia="uk-UA"/>
                    </w:rPr>
                  </w:pPr>
                </w:p>
              </w:tc>
              <w:tc>
                <w:tcPr>
                  <w:tcW w:w="52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6FD560E9" wp14:editId="67F3BC3C">
                        <wp:extent cx="238125" cy="257175"/>
                        <wp:effectExtent l="0" t="0" r="9525" b="9525"/>
                        <wp:docPr id="32" name="Рисунок 32" descr="https://zakon.rada.gov.ua/laws/file/imgs/129/p478167n278v4-156.gif">
                          <a:hlinkClick xmlns:a="http://schemas.openxmlformats.org/drawingml/2006/main" r:id="rId3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descr="https://zakon.rada.gov.ua/laws/file/imgs/129/p478167n278v4-156.gif">
                                  <a:hlinkClick r:id="rId365"/>
                                </pic:cNvPr>
                                <pic:cNvPicPr>
                                  <a:picLocks noChangeAspect="1" noChangeArrowheads="1"/>
                                </pic:cNvPicPr>
                              </pic:nvPicPr>
                              <pic:blipFill>
                                <a:blip r:embed="rId366">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tc>
              <w:tc>
                <w:tcPr>
                  <w:tcW w:w="12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3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амортизація на прогнозний рік, тис.грн;</w:t>
                  </w:r>
                </w:p>
              </w:tc>
            </w:tr>
            <w:tr w:rsidR="00CF2AC1" w:rsidRPr="005A615E" w:rsidTr="00323466">
              <w:tc>
                <w:tcPr>
                  <w:tcW w:w="485" w:type="dxa"/>
                  <w:vMerge/>
                  <w:tcBorders>
                    <w:top w:val="single" w:sz="2" w:space="0" w:color="auto"/>
                    <w:left w:val="single" w:sz="2" w:space="0" w:color="auto"/>
                    <w:bottom w:val="single" w:sz="2" w:space="0" w:color="auto"/>
                    <w:right w:val="single" w:sz="2" w:space="0" w:color="auto"/>
                  </w:tcBorders>
                  <w:vAlign w:val="center"/>
                  <w:hideMark/>
                </w:tcPr>
                <w:p w:rsidR="00CF2AC1" w:rsidRPr="005A615E" w:rsidRDefault="00CF2AC1" w:rsidP="00CF2AC1">
                  <w:pPr>
                    <w:rPr>
                      <w:rFonts w:ascii="Times New Roman" w:hAnsi="Times New Roman"/>
                      <w:sz w:val="20"/>
                      <w:szCs w:val="20"/>
                      <w:lang w:eastAsia="uk-UA"/>
                    </w:rPr>
                  </w:pPr>
                </w:p>
              </w:tc>
              <w:tc>
                <w:tcPr>
                  <w:tcW w:w="52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0C8931BA" wp14:editId="06455D94">
                        <wp:extent cx="295275" cy="257175"/>
                        <wp:effectExtent l="0" t="0" r="9525" b="9525"/>
                        <wp:docPr id="31" name="Рисунок 31" descr="https://zakon.rada.gov.ua/laws/file/imgs/129/p478167n278v4-157.gif">
                          <a:hlinkClick xmlns:a="http://schemas.openxmlformats.org/drawingml/2006/main" r:id="rId3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https://zakon.rada.gov.ua/laws/file/imgs/129/p478167n278v4-157.gif">
                                  <a:hlinkClick r:id="rId367"/>
                                </pic:cNvPr>
                                <pic:cNvPicPr>
                                  <a:picLocks noChangeAspect="1" noChangeArrowheads="1"/>
                                </pic:cNvPicPr>
                              </pic:nvPicPr>
                              <pic:blipFill>
                                <a:blip r:embed="rId368">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p>
              </w:tc>
              <w:tc>
                <w:tcPr>
                  <w:tcW w:w="12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3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інші операційні витрати на прогнозний рік, тис.грн;</w:t>
                  </w:r>
                </w:p>
              </w:tc>
            </w:tr>
            <w:tr w:rsidR="00CF2AC1" w:rsidRPr="005A615E" w:rsidTr="00323466">
              <w:tc>
                <w:tcPr>
                  <w:tcW w:w="485" w:type="dxa"/>
                  <w:vMerge/>
                  <w:tcBorders>
                    <w:top w:val="single" w:sz="2" w:space="0" w:color="auto"/>
                    <w:left w:val="single" w:sz="2" w:space="0" w:color="auto"/>
                    <w:bottom w:val="single" w:sz="2" w:space="0" w:color="auto"/>
                    <w:right w:val="single" w:sz="2" w:space="0" w:color="auto"/>
                  </w:tcBorders>
                  <w:vAlign w:val="center"/>
                  <w:hideMark/>
                </w:tcPr>
                <w:p w:rsidR="00CF2AC1" w:rsidRPr="005A615E" w:rsidRDefault="00CF2AC1" w:rsidP="00CF2AC1">
                  <w:pPr>
                    <w:rPr>
                      <w:rFonts w:ascii="Times New Roman" w:hAnsi="Times New Roman"/>
                      <w:sz w:val="20"/>
                      <w:szCs w:val="20"/>
                      <w:lang w:eastAsia="uk-UA"/>
                    </w:rPr>
                  </w:pPr>
                </w:p>
              </w:tc>
              <w:tc>
                <w:tcPr>
                  <w:tcW w:w="52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2E23A24D" wp14:editId="28162BE8">
                        <wp:extent cx="304800" cy="257175"/>
                        <wp:effectExtent l="0" t="0" r="0" b="9525"/>
                        <wp:docPr id="30" name="Рисунок 30" descr="https://zakon.rada.gov.ua/laws/file/imgs/129/p478167n278v4-158.gif">
                          <a:hlinkClick xmlns:a="http://schemas.openxmlformats.org/drawingml/2006/main" r:id="rId3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https://zakon.rada.gov.ua/laws/file/imgs/129/p478167n278v4-158.gif">
                                  <a:hlinkClick r:id="rId369"/>
                                </pic:cNvPr>
                                <pic:cNvPicPr>
                                  <a:picLocks noChangeAspect="1" noChangeArrowheads="1"/>
                                </pic:cNvPicPr>
                              </pic:nvPicPr>
                              <pic:blipFill>
                                <a:blip r:embed="rId370">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129"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463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коригування витрат (вилучення або компенсація ліцензіату, зокрема  за результатами його діяльності, у тому числі як ліцензіата з передачі електричної енергії місцевими (локальними) електромережами та з постачання електричної енергії за регульованим тарифом) на прогнозний рік, тис.грн</w:t>
                  </w:r>
                </w:p>
              </w:tc>
            </w:tr>
          </w:tbl>
          <w:p w:rsidR="00CF2AC1" w:rsidRPr="005A615E" w:rsidRDefault="00CF2AC1" w:rsidP="00CF2AC1">
            <w:pPr>
              <w:pStyle w:val="rvps2"/>
              <w:shd w:val="clear" w:color="auto" w:fill="FFFFFF"/>
              <w:spacing w:beforeAutospacing="0" w:after="150" w:afterAutospacing="0"/>
              <w:ind w:firstLine="164"/>
              <w:jc w:val="both"/>
              <w:rPr>
                <w:lang w:val="uk-UA"/>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ГО «Перша енергетична рада» (лист </w:t>
            </w:r>
            <w:r w:rsidRPr="005A615E">
              <w:rPr>
                <w:rFonts w:ascii="Times New Roman" w:hAnsi="Times New Roman"/>
                <w:b/>
                <w:sz w:val="24"/>
                <w:u w:val="single"/>
              </w:rPr>
              <w:br/>
              <w:t>від 20.07.2026 № 28/01)</w:t>
            </w:r>
          </w:p>
          <w:p w:rsidR="00CF2AC1" w:rsidRPr="005A615E" w:rsidRDefault="00CF2AC1" w:rsidP="00CF2AC1">
            <w:pPr>
              <w:shd w:val="clear" w:color="auto" w:fill="FFFFFF"/>
              <w:spacing w:after="150"/>
              <w:ind w:firstLine="450"/>
              <w:rPr>
                <w:rFonts w:ascii="Times New Roman" w:hAnsi="Times New Roman"/>
                <w:lang w:eastAsia="uk-UA"/>
              </w:rPr>
            </w:pPr>
            <w:r w:rsidRPr="005A615E">
              <w:rPr>
                <w:rFonts w:ascii="Times New Roman" w:hAnsi="Times New Roman"/>
                <w:lang w:eastAsia="uk-UA"/>
              </w:rPr>
              <w:t>7. Вимоги до оформлення заяви, порядок та строки розгляду заяви, підстави для встановлення тарифів, механізм формування прогнозованих витрат (прогнозованого необхідного доходу) ліцензіата на перехідний період</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7.22. Розрахунок операційних витрат:</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jc w:val="both"/>
              <w:rPr>
                <w:rFonts w:ascii="Times New Roman" w:hAnsi="Times New Roman"/>
                <w:b/>
                <w:sz w:val="24"/>
                <w:u w:val="single"/>
              </w:rPr>
            </w:pPr>
          </w:p>
          <w:tbl>
            <w:tblPr>
              <w:tblW w:w="4697" w:type="pct"/>
              <w:tblLayout w:type="fixed"/>
              <w:tblCellMar>
                <w:left w:w="0" w:type="dxa"/>
                <w:right w:w="0" w:type="dxa"/>
              </w:tblCellMar>
              <w:tblLook w:val="04A0" w:firstRow="1" w:lastRow="0" w:firstColumn="1" w:lastColumn="0" w:noHBand="0" w:noVBand="1"/>
            </w:tblPr>
            <w:tblGrid>
              <w:gridCol w:w="424"/>
              <w:gridCol w:w="385"/>
              <w:gridCol w:w="115"/>
              <w:gridCol w:w="3928"/>
            </w:tblGrid>
            <w:tr w:rsidR="00CF2AC1" w:rsidRPr="005A615E" w:rsidTr="004D7F46">
              <w:tc>
                <w:tcPr>
                  <w:tcW w:w="603"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rPr>
                      <w:rFonts w:ascii="Times New Roman" w:hAnsi="Times New Roman"/>
                      <w:lang w:eastAsia="uk-UA"/>
                    </w:rPr>
                  </w:pPr>
                </w:p>
              </w:tc>
              <w:tc>
                <w:tcPr>
                  <w:tcW w:w="54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759F2524" wp14:editId="7560C951">
                        <wp:extent cx="228600" cy="228600"/>
                        <wp:effectExtent l="0" t="0" r="0" b="0"/>
                        <wp:docPr id="636851682" name="Рисунок 636851682" descr="https://zakon.rada.gov.ua/laws/file/imgs/129/p478167n278v4-152.gif">
                          <a:hlinkClick xmlns:a="http://schemas.openxmlformats.org/drawingml/2006/main" r:id="rId3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zakon.rada.gov.ua/laws/file/imgs/129/p478167n278v4-152.gif">
                                  <a:hlinkClick r:id="rId356"/>
                                </pic:cNvPr>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1D18105B" wp14:editId="3F382423">
                        <wp:extent cx="238125" cy="228600"/>
                        <wp:effectExtent l="0" t="0" r="9525" b="0"/>
                        <wp:docPr id="1451401176" name="Рисунок 1451401176" descr="https://zakon.rada.gov.ua/laws/file/imgs/129/p478167n278v4-153.gif">
                          <a:hlinkClick xmlns:a="http://schemas.openxmlformats.org/drawingml/2006/main" r:id="rId3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zakon.rada.gov.ua/laws/file/imgs/129/p478167n278v4-153.gif">
                                  <a:hlinkClick r:id="rId358"/>
                                </pic:cNvPr>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w:t>
                  </w:r>
                </w:p>
              </w:tc>
              <w:tc>
                <w:tcPr>
                  <w:tcW w:w="5677"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spacing w:before="150" w:after="150"/>
                    <w:rPr>
                      <w:rFonts w:ascii="Times New Roman" w:hAnsi="Times New Roman"/>
                      <w:lang w:eastAsia="uk-UA"/>
                    </w:rPr>
                  </w:pPr>
                  <w:r w:rsidRPr="005A615E">
                    <w:rPr>
                      <w:rFonts w:ascii="Times New Roman" w:hAnsi="Times New Roman"/>
                      <w:lang w:eastAsia="uk-UA"/>
                    </w:rPr>
                    <w:t>економічні коефіцієнти прогнозованих технологічних витрат електроенергії на 1 та 2 класі напруги, встановлені відповідно до </w:t>
                  </w:r>
                  <w:hyperlink r:id="rId371" w:anchor="n10" w:tgtFrame="_blank" w:history="1">
                    <w:r w:rsidRPr="005A615E">
                      <w:rPr>
                        <w:rFonts w:ascii="Times New Roman" w:hAnsi="Times New Roman"/>
                        <w:u w:val="single"/>
                        <w:lang w:eastAsia="uk-UA"/>
                      </w:rPr>
                      <w:t>Положення про порядок подання, визначення та затвердження економічних коефіцієнтів</w:t>
                    </w:r>
                  </w:hyperlink>
                  <w:r w:rsidRPr="005A615E">
                    <w:rPr>
                      <w:rFonts w:ascii="Times New Roman" w:hAnsi="Times New Roman"/>
                      <w:lang w:eastAsia="uk-UA"/>
                    </w:rPr>
                    <w:t>, на рік </w:t>
                  </w:r>
                  <w:r w:rsidRPr="005A615E">
                    <w:rPr>
                      <w:rFonts w:ascii="Times New Roman" w:hAnsi="Times New Roman"/>
                      <w:i/>
                      <w:iCs/>
                      <w:lang w:eastAsia="uk-UA"/>
                    </w:rPr>
                    <w:t>t</w:t>
                  </w:r>
                  <w:r w:rsidRPr="005A615E">
                    <w:rPr>
                      <w:rFonts w:ascii="Times New Roman" w:hAnsi="Times New Roman"/>
                      <w:lang w:eastAsia="uk-UA"/>
                    </w:rPr>
                    <w:t>, відносні одиниці;</w:t>
                  </w:r>
                </w:p>
                <w:p w:rsidR="00CF2AC1" w:rsidRPr="005A615E" w:rsidRDefault="00CF2AC1" w:rsidP="00CF2AC1">
                  <w:pPr>
                    <w:shd w:val="clear" w:color="auto" w:fill="FFFFFF"/>
                    <w:jc w:val="both"/>
                    <w:rPr>
                      <w:rFonts w:ascii="Times New Roman" w:hAnsi="Times New Roman"/>
                      <w:szCs w:val="28"/>
                      <w:lang w:eastAsia="uk-UA"/>
                    </w:rPr>
                  </w:pPr>
                  <w:r w:rsidRPr="005A615E">
                    <w:rPr>
                      <w:rFonts w:ascii="Times New Roman" w:hAnsi="Times New Roman"/>
                      <w:b/>
                      <w:szCs w:val="28"/>
                      <w:lang w:eastAsia="uk-UA"/>
                    </w:rPr>
                    <w:t xml:space="preserve"> </w:t>
                  </w:r>
                  <w:r w:rsidRPr="005A615E">
                    <w:rPr>
                      <w:rFonts w:ascii="Times New Roman" w:hAnsi="Times New Roman"/>
                      <w:szCs w:val="28"/>
                      <w:lang w:eastAsia="uk-UA"/>
                    </w:rPr>
                    <w:t>Для ліцензіатів при визначенні прогнозованих обсягів технологічних витрат електричної енергії на її розподіл на рік t, додатково враховується</w:t>
                  </w:r>
                  <w:r w:rsidRPr="005A615E">
                    <w:rPr>
                      <w:rFonts w:ascii="Times New Roman" w:hAnsi="Times New Roman"/>
                      <w:b/>
                      <w:szCs w:val="28"/>
                      <w:lang w:eastAsia="uk-UA"/>
                    </w:rPr>
                    <w:t xml:space="preserve"> величина </w:t>
                  </w:r>
                  <w:r w:rsidRPr="005A615E">
                    <w:rPr>
                      <w:rFonts w:ascii="Times New Roman" w:hAnsi="Times New Roman"/>
                      <w:szCs w:val="28"/>
                      <w:lang w:eastAsia="uk-UA"/>
                    </w:rPr>
                    <w:t>сумарного обґрунтованого за результатами заходів контролю обсягу понаднормативних технологічних витрат електричної енергії в мережах на 1 та 2 класі напруги за рік t-2 (на контрольованій території держави).</w:t>
                  </w:r>
                </w:p>
                <w:p w:rsidR="00CF2AC1" w:rsidRPr="005A615E" w:rsidRDefault="00CF2AC1" w:rsidP="00CF2AC1">
                  <w:pPr>
                    <w:shd w:val="clear" w:color="auto" w:fill="FFFFFF"/>
                    <w:jc w:val="both"/>
                    <w:rPr>
                      <w:rFonts w:ascii="Times New Roman" w:hAnsi="Times New Roman"/>
                      <w:b/>
                      <w:lang w:eastAsia="uk-UA"/>
                    </w:rPr>
                  </w:pPr>
                  <w:r w:rsidRPr="005A615E">
                    <w:rPr>
                      <w:rFonts w:ascii="Times New Roman" w:hAnsi="Times New Roman"/>
                      <w:szCs w:val="28"/>
                      <w:lang w:eastAsia="uk-UA"/>
                    </w:rPr>
                    <w:t xml:space="preserve"> 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понаднормативних технологічних витрат 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r w:rsidRPr="005A615E">
                    <w:rPr>
                      <w:rFonts w:ascii="Times New Roman" w:hAnsi="Times New Roman"/>
                      <w:b/>
                      <w:szCs w:val="28"/>
                      <w:lang w:eastAsia="uk-UA"/>
                    </w:rPr>
                    <w:t xml:space="preserve"> </w:t>
                  </w:r>
                  <w:r w:rsidRPr="005A615E">
                    <w:rPr>
                      <w:rFonts w:ascii="Times New Roman" w:hAnsi="Times New Roman"/>
                      <w:b/>
                      <w:lang w:eastAsia="uk-UA"/>
                    </w:rPr>
                    <w:t xml:space="preserve">Решта сумарних обсягів понаднормативних технологічних витрат електричної енергії в мережах на 1 та 2 класі напруги, що визначені обгрунтованими за результатами заходів контролю, враховуються при визначенні прогнозованих обсягів технологічних витрат електричної енергії на її розподіл в році наступному за роком, в якому проведено заходи контролю. </w:t>
                  </w:r>
                </w:p>
              </w:tc>
            </w:tr>
          </w:tbl>
          <w:p w:rsidR="00CF2AC1" w:rsidRPr="005A615E" w:rsidRDefault="00CF2AC1" w:rsidP="00CF2AC1">
            <w:pPr>
              <w:rPr>
                <w:rFonts w:ascii="Times New Roman" w:hAnsi="Times New Roman"/>
                <w:sz w:val="24"/>
              </w:rPr>
            </w:pPr>
            <w:r w:rsidRPr="005A615E">
              <w:rPr>
                <w:rFonts w:ascii="Times New Roman" w:hAnsi="Times New Roman"/>
                <w:sz w:val="24"/>
              </w:rPr>
              <w:t>…</w:t>
            </w:r>
          </w:p>
          <w:p w:rsidR="00CF2AC1" w:rsidRPr="005A615E" w:rsidRDefault="00CF2AC1" w:rsidP="00CF2AC1">
            <w:pPr>
              <w:rPr>
                <w:rFonts w:ascii="Times New Roman" w:hAnsi="Times New Roman"/>
                <w:sz w:val="24"/>
              </w:rPr>
            </w:pPr>
          </w:p>
          <w:p w:rsidR="00CF2AC1" w:rsidRPr="005A615E" w:rsidRDefault="00CF2AC1" w:rsidP="00CF2AC1">
            <w:pPr>
              <w:rPr>
                <w:rFonts w:ascii="Times New Roman" w:hAnsi="Times New Roman"/>
              </w:rPr>
            </w:pPr>
            <w:r w:rsidRPr="005A615E">
              <w:rPr>
                <w:rFonts w:ascii="Times New Roman" w:hAnsi="Times New Roman"/>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Якщо за результатами заходів контролю певні обсяги понаднормативних ТВЕ визнані обгрунтованими, нема підстав не враховувати всі ці обсяги при визначенні прогнозованих ТВЕ. В іншому випадку, ОСР матимуть необгрунтовано занижений необхідний дохід. </w:t>
            </w:r>
          </w:p>
          <w:p w:rsidR="00CF2AC1" w:rsidRPr="005A615E" w:rsidRDefault="00CF2AC1" w:rsidP="00CF2AC1">
            <w:pPr>
              <w:jc w:val="both"/>
              <w:rPr>
                <w:rFonts w:ascii="Times New Roman" w:hAnsi="Times New Roman"/>
              </w:rPr>
            </w:pPr>
            <w:r w:rsidRPr="005A615E">
              <w:rPr>
                <w:rFonts w:ascii="Times New Roman" w:hAnsi="Times New Roman"/>
              </w:rPr>
              <w:t>Також Методологія має передбачати врахування обгрунтованих обсягів понаднормативних ТВЕ після проведення відповідних заходів контролю.</w:t>
            </w:r>
          </w:p>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jc w:val="both"/>
              <w:rPr>
                <w:rFonts w:ascii="Times New Roman" w:hAnsi="Times New Roman"/>
                <w:sz w:val="24"/>
              </w:rPr>
            </w:pPr>
            <w:r w:rsidRPr="005A615E">
              <w:rPr>
                <w:rFonts w:ascii="Times New Roman" w:hAnsi="Times New Roman"/>
                <w:sz w:val="24"/>
              </w:rPr>
              <w:t>…</w:t>
            </w:r>
          </w:p>
          <w:p w:rsidR="00CF2AC1" w:rsidRPr="005A615E" w:rsidRDefault="00CF2AC1" w:rsidP="00CF2AC1">
            <w:pPr>
              <w:shd w:val="clear" w:color="auto" w:fill="FFFFFF"/>
              <w:jc w:val="both"/>
              <w:rPr>
                <w:rFonts w:ascii="Times New Roman" w:hAnsi="Times New Roman"/>
                <w:b/>
                <w:lang w:eastAsia="uk-UA"/>
              </w:rPr>
            </w:pPr>
            <w:r w:rsidRPr="005A615E">
              <w:rPr>
                <w:rFonts w:ascii="Times New Roman" w:hAnsi="Times New Roman"/>
                <w:b/>
                <w:lang w:eastAsia="uk-UA"/>
              </w:rPr>
              <w:t xml:space="preserve">Для ліцензіатів при визначенні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t, додатково враховується 100 % величини сумарного обґрунтованого за результатами заходів контролю обсягу перевищення фактичних витрат електричної енергії над нормативно-фактичними технологічними витратами електричної енергії в мережах на 1 та 2 класі напруги за рік t-2 (на контрольованій території держави) за ціною </w:t>
            </w:r>
            <w:r w:rsidRPr="005A615E">
              <w:rPr>
                <w:rFonts w:ascii="Times New Roman" w:hAnsi="Times New Roman"/>
                <w:b/>
                <w:noProof/>
                <w:lang w:eastAsia="uk-UA"/>
              </w:rPr>
              <w:drawing>
                <wp:inline distT="0" distB="0" distL="0" distR="0" wp14:anchorId="67CF2B94" wp14:editId="11C7B6F1">
                  <wp:extent cx="247650" cy="209550"/>
                  <wp:effectExtent l="0" t="0" r="0" b="0"/>
                  <wp:docPr id="1993780141" name="Рисунок 1993780141"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8740240" descr="https://zakon-pro.ligazakon.net/l_flib1.nsf/LookupFiles/GK40721_IMG_010.gif/$file/GK40721_IMG_01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5A615E">
              <w:rPr>
                <w:rFonts w:ascii="Times New Roman" w:hAnsi="Times New Roman"/>
                <w:b/>
                <w:lang w:eastAsia="uk-UA"/>
              </w:rPr>
              <w:t>. Розділення визначеної суми на 1 та 2 класи напруги здійснюється пропорційно  умовним одиницям обладнання на відповідному класі напруги.</w:t>
            </w:r>
          </w:p>
          <w:p w:rsidR="00CF2AC1" w:rsidRPr="005A615E" w:rsidRDefault="00CF2AC1" w:rsidP="00CF2AC1">
            <w:pPr>
              <w:jc w:val="both"/>
              <w:rPr>
                <w:rFonts w:ascii="Times New Roman" w:hAnsi="Times New Roman"/>
                <w:b/>
                <w:sz w:val="24"/>
                <w:u w:val="single"/>
              </w:rPr>
            </w:pPr>
            <w:r w:rsidRPr="005A615E">
              <w:rPr>
                <w:rFonts w:ascii="Times New Roman" w:hAnsi="Times New Roman"/>
                <w:bCs/>
                <w:lang w:eastAsia="uk-UA"/>
              </w:rPr>
              <w:t xml:space="preserve">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w:t>
            </w:r>
            <w:r w:rsidRPr="005A615E">
              <w:rPr>
                <w:rFonts w:ascii="Times New Roman" w:hAnsi="Times New Roman"/>
                <w:b/>
                <w:lang w:eastAsia="uk-UA"/>
              </w:rPr>
              <w:t>75 %</w:t>
            </w:r>
            <w:r w:rsidRPr="005A615E">
              <w:rPr>
                <w:rFonts w:ascii="Times New Roman" w:hAnsi="Times New Roman"/>
                <w:bCs/>
                <w:lang w:eastAsia="uk-UA"/>
              </w:rPr>
              <w:t xml:space="preserve"> величини </w:t>
            </w:r>
            <w:r w:rsidRPr="005A615E">
              <w:rPr>
                <w:rFonts w:ascii="Times New Roman" w:hAnsi="Times New Roman"/>
                <w:b/>
                <w:lang w:eastAsia="uk-UA"/>
              </w:rPr>
              <w:t xml:space="preserve">перевищення фактичних витрат електричної енергії над нормативно-фактичними технологічними витратами електричної енергії в мережах на 1 та 2 класі напруги за рік t-2 </w:t>
            </w:r>
            <w:r w:rsidRPr="005A615E">
              <w:rPr>
                <w:rFonts w:ascii="Times New Roman" w:hAnsi="Times New Roman"/>
                <w:bCs/>
                <w:lang w:eastAsia="uk-UA"/>
              </w:rPr>
              <w:t xml:space="preserve">(на контрольованій території держави) </w:t>
            </w:r>
            <w:r w:rsidRPr="005A615E">
              <w:rPr>
                <w:rFonts w:ascii="Times New Roman" w:hAnsi="Times New Roman"/>
                <w:b/>
                <w:lang w:eastAsia="uk-UA"/>
              </w:rPr>
              <w:t xml:space="preserve">за ціною </w:t>
            </w:r>
            <w:r w:rsidRPr="005A615E">
              <w:rPr>
                <w:rFonts w:ascii="Times New Roman" w:hAnsi="Times New Roman"/>
                <w:b/>
                <w:noProof/>
                <w:lang w:eastAsia="uk-UA"/>
              </w:rPr>
              <w:drawing>
                <wp:inline distT="0" distB="0" distL="0" distR="0" wp14:anchorId="35C1FDCA" wp14:editId="6E31F7BC">
                  <wp:extent cx="247650" cy="209550"/>
                  <wp:effectExtent l="0" t="0" r="0" b="0"/>
                  <wp:docPr id="1993780140" name="Рисунок 1993780140"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86528588" descr="https://zakon-pro.ligazakon.net/l_flib1.nsf/LookupFiles/GK40721_IMG_010.gif/$file/GK40721_IMG_01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5A615E">
              <w:rPr>
                <w:rFonts w:ascii="Times New Roman" w:hAnsi="Times New Roman"/>
                <w:b/>
                <w:lang w:eastAsia="uk-UA"/>
              </w:rPr>
              <w:t>. Розділення визначеної суми на 1 та 2 класи напруги здійснюється пропорційно  умовним одиницям обладнання на відповідному класі напруги</w:t>
            </w:r>
            <w:r w:rsidRPr="005A615E">
              <w:rPr>
                <w:rFonts w:ascii="Times New Roman" w:hAnsi="Times New Roman"/>
                <w:bCs/>
                <w:lang w:eastAsia="uk-UA"/>
              </w:rPr>
              <w:t>,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p w:rsidR="00CF2AC1" w:rsidRPr="005A615E" w:rsidRDefault="00CF2AC1" w:rsidP="00CF2AC1">
            <w:pPr>
              <w:rPr>
                <w:rFonts w:ascii="Times New Roman" w:hAnsi="Times New Roman"/>
                <w:b/>
                <w:i/>
                <w:u w:val="single"/>
              </w:rPr>
            </w:pPr>
          </w:p>
          <w:p w:rsidR="00CF2AC1" w:rsidRPr="005A615E" w:rsidRDefault="00CF2AC1" w:rsidP="00CF2AC1">
            <w:pPr>
              <w:rPr>
                <w:rFonts w:ascii="Times New Roman" w:hAnsi="Times New Roman"/>
                <w:b/>
                <w:sz w:val="24"/>
                <w:u w:val="single"/>
              </w:rPr>
            </w:pPr>
            <w:r w:rsidRPr="005A615E">
              <w:rPr>
                <w:rFonts w:ascii="Times New Roman" w:hAnsi="Times New Roman"/>
                <w:b/>
                <w:i/>
                <w:u w:val="single"/>
              </w:rPr>
              <w:t>Обгрунтування</w:t>
            </w:r>
          </w:p>
          <w:p w:rsidR="00CF2AC1" w:rsidRPr="005A615E" w:rsidRDefault="00CF2AC1" w:rsidP="00CF2AC1">
            <w:pPr>
              <w:ind w:firstLine="308"/>
              <w:jc w:val="both"/>
              <w:rPr>
                <w:rFonts w:ascii="Times New Roman" w:hAnsi="Times New Roman"/>
                <w:bCs/>
                <w:lang w:eastAsia="uk-UA"/>
              </w:rPr>
            </w:pPr>
            <w:r w:rsidRPr="005A615E">
              <w:rPr>
                <w:rFonts w:ascii="Times New Roman" w:hAnsi="Times New Roman"/>
                <w:shd w:val="clear" w:color="auto" w:fill="FFFFFF"/>
              </w:rPr>
              <w:t xml:space="preserve">З огляду на те, що баланс електроенергії на наступний рік, як правило, не має суттєвих відмінностей від попереднього, пропонується враховувати 100%  </w:t>
            </w:r>
            <w:r w:rsidRPr="005A615E">
              <w:rPr>
                <w:rFonts w:ascii="Times New Roman" w:hAnsi="Times New Roman"/>
                <w:bCs/>
                <w:lang w:eastAsia="uk-UA"/>
              </w:rPr>
              <w:t>величини сумарного обґрунтованого за результатами заходів контролю обсягу понаднормативних технологічних витрат електричної енергії в мережах на 1 та 2 класі напруги за рік t-2 (на контрольованій території держави).</w:t>
            </w:r>
          </w:p>
          <w:p w:rsidR="00CF2AC1" w:rsidRPr="005A615E" w:rsidRDefault="00CF2AC1" w:rsidP="00CF2AC1">
            <w:pPr>
              <w:jc w:val="both"/>
              <w:rPr>
                <w:rFonts w:ascii="Times New Roman" w:hAnsi="Times New Roman"/>
                <w:bCs/>
                <w:lang w:eastAsia="uk-UA"/>
              </w:rPr>
            </w:pPr>
            <w:r w:rsidRPr="005A615E">
              <w:rPr>
                <w:rFonts w:ascii="Times New Roman" w:hAnsi="Times New Roman"/>
                <w:bCs/>
                <w:lang w:eastAsia="uk-UA"/>
              </w:rPr>
              <w:t>Пропонується чітко визначити підхід до визначення обсягів ТВЕ  ліцензіатів, частина основних фондів яких знаходиться на територіях, на яких ведуться (велися) бойові дії та щодо яких заходів контролю перевірки.</w:t>
            </w:r>
          </w:p>
          <w:p w:rsidR="00CF2AC1" w:rsidRPr="005A615E" w:rsidRDefault="00CF2AC1" w:rsidP="00CF2AC1">
            <w:pPr>
              <w:jc w:val="both"/>
              <w:rPr>
                <w:rFonts w:ascii="Times New Roman" w:hAnsi="Times New Roman"/>
                <w:bCs/>
                <w:lang w:eastAsia="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shd w:val="clear" w:color="auto" w:fill="FFFFFF"/>
              <w:spacing w:after="150"/>
              <w:ind w:firstLine="450"/>
              <w:rPr>
                <w:rFonts w:ascii="Times New Roman" w:hAnsi="Times New Roman"/>
                <w:lang w:eastAsia="uk-UA"/>
              </w:rPr>
            </w:pPr>
            <w:r w:rsidRPr="005A615E">
              <w:rPr>
                <w:rFonts w:ascii="Times New Roman" w:hAnsi="Times New Roman"/>
                <w:lang w:eastAsia="uk-UA"/>
              </w:rPr>
              <w:t>7. Вимоги до оформлення заяви, порядок та строки розгляду заяви, підстави для встановлення тарифів, механізм формування прогнозованих витрат (прогнозованого необхідного доходу) ліцензіата на перехідний період</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7.22. Розрахунок операційних витрат:</w:t>
            </w:r>
          </w:p>
          <w:p w:rsidR="00CF2AC1" w:rsidRPr="005A615E" w:rsidRDefault="00CF2AC1" w:rsidP="00CF2AC1">
            <w:pPr>
              <w:shd w:val="clear" w:color="auto" w:fill="FFFFFF"/>
              <w:spacing w:after="150"/>
              <w:ind w:firstLine="450"/>
              <w:jc w:val="both"/>
              <w:rPr>
                <w:rFonts w:ascii="Times New Roman" w:hAnsi="Times New Roman"/>
                <w:lang w:eastAsia="uk-UA"/>
              </w:rPr>
            </w:pPr>
            <w:r w:rsidRPr="005A615E">
              <w:rPr>
                <w:rFonts w:ascii="Times New Roman" w:hAnsi="Times New Roman"/>
                <w:lang w:eastAsia="uk-UA"/>
              </w:rPr>
              <w:t>1) операційні витрати для забезпечення діяльності з розподілу електричної енергії визначаються за такими економічними елементами та їх окремими складовими і розраховуються за формулою</w:t>
            </w:r>
          </w:p>
          <w:p w:rsidR="00CF2AC1" w:rsidRPr="005A615E" w:rsidRDefault="00CF2AC1" w:rsidP="00CF2AC1">
            <w:pPr>
              <w:shd w:val="clear" w:color="auto" w:fill="FFFFFF"/>
              <w:jc w:val="both"/>
              <w:rPr>
                <w:rFonts w:ascii="Times New Roman" w:hAnsi="Times New Roman"/>
                <w:bCs/>
                <w:szCs w:val="28"/>
                <w:lang w:eastAsia="uk-UA"/>
              </w:rPr>
            </w:pPr>
            <w:r w:rsidRPr="005A615E">
              <w:rPr>
                <w:rFonts w:ascii="Times New Roman" w:hAnsi="Times New Roman"/>
                <w:bCs/>
                <w:szCs w:val="28"/>
                <w:lang w:eastAsia="uk-UA"/>
              </w:rPr>
              <w:t>…</w:t>
            </w:r>
          </w:p>
          <w:p w:rsidR="00CF2AC1" w:rsidRPr="005A615E" w:rsidRDefault="00CF2AC1" w:rsidP="00CF2AC1">
            <w:pPr>
              <w:shd w:val="clear" w:color="auto" w:fill="FFFFFF"/>
              <w:jc w:val="both"/>
              <w:rPr>
                <w:rFonts w:ascii="Times New Roman" w:hAnsi="Times New Roman"/>
                <w:bCs/>
                <w:szCs w:val="28"/>
                <w:lang w:eastAsia="uk-UA"/>
              </w:rPr>
            </w:pPr>
            <w:r w:rsidRPr="005A615E">
              <w:rPr>
                <w:rFonts w:ascii="Times New Roman" w:hAnsi="Times New Roman"/>
                <w:bCs/>
                <w:szCs w:val="28"/>
                <w:lang w:eastAsia="uk-UA"/>
              </w:rPr>
              <w:t xml:space="preserve">Для ліцензіатів при визначенні прогнозованих обсягів технологічних витрат електричної енергії на її розподіл на рік t, додатково враховується 50 % величини сумарного обґрунтованого за результатами заходів контролю обсягу </w:t>
            </w:r>
            <w:r w:rsidRPr="005A615E">
              <w:rPr>
                <w:rFonts w:ascii="Times New Roman" w:hAnsi="Times New Roman"/>
                <w:b/>
                <w:strike/>
                <w:szCs w:val="28"/>
                <w:lang w:eastAsia="uk-UA"/>
              </w:rPr>
              <w:t>понаднормативних технологічних</w:t>
            </w:r>
            <w:r w:rsidRPr="005A615E">
              <w:rPr>
                <w:rFonts w:ascii="Times New Roman" w:hAnsi="Times New Roman"/>
                <w:bCs/>
                <w:szCs w:val="28"/>
                <w:lang w:eastAsia="uk-UA"/>
              </w:rPr>
              <w:t xml:space="preserve"> </w:t>
            </w:r>
            <w:r w:rsidRPr="005A615E">
              <w:rPr>
                <w:rFonts w:ascii="Times New Roman" w:hAnsi="Times New Roman"/>
                <w:b/>
                <w:bCs/>
                <w:i/>
                <w:iCs/>
              </w:rPr>
              <w:t xml:space="preserve"> втрат електричної енергії що перевищує обсяг затверджений в тарифах на розподіл електричної енергії, який розраховано на основі затверджених ЕКПТВЕ</w:t>
            </w:r>
            <w:r w:rsidRPr="005A615E">
              <w:rPr>
                <w:rFonts w:ascii="Times New Roman" w:hAnsi="Times New Roman"/>
                <w:b/>
                <w:bCs/>
                <w:szCs w:val="28"/>
                <w:lang w:eastAsia="uk-UA"/>
              </w:rPr>
              <w:t xml:space="preserve"> за рік t-2 </w:t>
            </w:r>
            <w:r w:rsidRPr="005A615E">
              <w:rPr>
                <w:rFonts w:ascii="Times New Roman" w:hAnsi="Times New Roman"/>
                <w:bCs/>
                <w:szCs w:val="28"/>
                <w:lang w:eastAsia="uk-UA"/>
              </w:rPr>
              <w:t>(на контрольованій території держави).</w:t>
            </w:r>
          </w:p>
          <w:p w:rsidR="00CF2AC1" w:rsidRPr="005A615E" w:rsidRDefault="00CF2AC1" w:rsidP="00CF2AC1">
            <w:pPr>
              <w:jc w:val="both"/>
              <w:rPr>
                <w:rFonts w:ascii="Times New Roman" w:hAnsi="Times New Roman"/>
                <w:bCs/>
                <w:szCs w:val="28"/>
                <w:lang w:eastAsia="uk-UA"/>
              </w:rPr>
            </w:pPr>
            <w:r w:rsidRPr="005A615E">
              <w:rPr>
                <w:rFonts w:ascii="Times New Roman" w:hAnsi="Times New Roman"/>
                <w:bCs/>
                <w:szCs w:val="28"/>
                <w:lang w:eastAsia="uk-UA"/>
              </w:rPr>
              <w:t xml:space="preserve"> 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w:t>
            </w:r>
            <w:r w:rsidRPr="005A615E">
              <w:rPr>
                <w:rFonts w:ascii="Times New Roman" w:hAnsi="Times New Roman"/>
                <w:b/>
                <w:szCs w:val="28"/>
                <w:lang w:eastAsia="uk-UA"/>
              </w:rPr>
              <w:t xml:space="preserve"> </w:t>
            </w:r>
            <w:r w:rsidRPr="005A615E">
              <w:rPr>
                <w:rFonts w:ascii="Times New Roman" w:hAnsi="Times New Roman"/>
                <w:b/>
                <w:strike/>
                <w:szCs w:val="28"/>
                <w:lang w:eastAsia="uk-UA"/>
              </w:rPr>
              <w:t xml:space="preserve">понаднормативних </w:t>
            </w:r>
            <w:r w:rsidRPr="005A615E">
              <w:rPr>
                <w:rFonts w:ascii="Times New Roman" w:hAnsi="Times New Roman"/>
                <w:b/>
                <w:strike/>
                <w:lang w:eastAsia="uk-UA"/>
              </w:rPr>
              <w:t xml:space="preserve">технологічних </w:t>
            </w:r>
            <w:r w:rsidRPr="005A615E">
              <w:rPr>
                <w:rFonts w:ascii="Times New Roman" w:hAnsi="Times New Roman"/>
                <w:b/>
                <w:bCs/>
                <w:i/>
                <w:iCs/>
              </w:rPr>
              <w:t xml:space="preserve"> втрат електричної енергії що перевищує обсяг затверджений в тарифах на розподіл електричної енергії, який розраховано на основі затверджених ЕКПТВЕ</w:t>
            </w:r>
            <w:r w:rsidRPr="005A615E">
              <w:rPr>
                <w:rFonts w:ascii="Times New Roman" w:hAnsi="Times New Roman"/>
                <w:b/>
                <w:bCs/>
                <w:szCs w:val="28"/>
                <w:lang w:eastAsia="uk-UA"/>
              </w:rPr>
              <w:t xml:space="preserve"> за рік t-2</w:t>
            </w:r>
            <w:r w:rsidRPr="005A615E">
              <w:rPr>
                <w:rFonts w:ascii="Times New Roman" w:hAnsi="Times New Roman"/>
                <w:bCs/>
                <w:szCs w:val="28"/>
                <w:lang w:eastAsia="uk-UA"/>
              </w:rPr>
              <w:t xml:space="preserve">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p w:rsidR="00CF2AC1" w:rsidRPr="005A615E" w:rsidRDefault="00CF2AC1" w:rsidP="00CF2AC1">
            <w:pPr>
              <w:jc w:val="both"/>
              <w:rPr>
                <w:rFonts w:ascii="Times New Roman" w:hAnsi="Times New Roman"/>
                <w:bCs/>
                <w:szCs w:val="28"/>
                <w:lang w:eastAsia="uk-UA"/>
              </w:rPr>
            </w:pPr>
            <w:r w:rsidRPr="005A615E">
              <w:rPr>
                <w:rFonts w:ascii="Times New Roman" w:hAnsi="Times New Roman"/>
                <w:bCs/>
                <w:szCs w:val="28"/>
                <w:lang w:eastAsia="uk-UA"/>
              </w:rPr>
              <w:t>…</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Cs/>
                <w:szCs w:val="28"/>
                <w:lang w:eastAsia="uk-UA"/>
              </w:rPr>
            </w:pPr>
            <w:r w:rsidRPr="005A615E">
              <w:rPr>
                <w:rFonts w:ascii="Times New Roman" w:hAnsi="Times New Roman"/>
                <w:bCs/>
                <w:szCs w:val="28"/>
                <w:lang w:eastAsia="uk-UA"/>
              </w:rPr>
              <w:t>В Постанові НКРЕКП 981 відсутній термін "Понаднормативні втрати" .</w:t>
            </w:r>
          </w:p>
          <w:p w:rsidR="00CF2AC1" w:rsidRPr="005A615E" w:rsidRDefault="00CF2AC1" w:rsidP="00CF2AC1">
            <w:pPr>
              <w:jc w:val="both"/>
              <w:rPr>
                <w:rFonts w:ascii="Times New Roman" w:hAnsi="Times New Roman"/>
                <w:bCs/>
                <w:szCs w:val="28"/>
                <w:lang w:eastAsia="uk-UA"/>
              </w:rPr>
            </w:pPr>
            <w:r w:rsidRPr="005A615E">
              <w:rPr>
                <w:rFonts w:ascii="Times New Roman" w:hAnsi="Times New Roman"/>
                <w:bCs/>
                <w:szCs w:val="28"/>
                <w:lang w:eastAsia="uk-UA"/>
              </w:rPr>
              <w:t>Даною постановою затверджено порядок подання, визначення та затвердження ЕКПТВЕ</w:t>
            </w:r>
          </w:p>
          <w:p w:rsidR="00CF2AC1" w:rsidRPr="005A615E" w:rsidRDefault="00CF2AC1" w:rsidP="00CF2AC1">
            <w:pPr>
              <w:jc w:val="both"/>
              <w:rPr>
                <w:rFonts w:ascii="Times New Roman" w:hAnsi="Times New Roman"/>
                <w:sz w:val="24"/>
              </w:rPr>
            </w:pPr>
            <w:r w:rsidRPr="005A615E">
              <w:rPr>
                <w:rFonts w:ascii="Times New Roman" w:hAnsi="Times New Roman"/>
                <w:bCs/>
                <w:szCs w:val="28"/>
                <w:lang w:eastAsia="uk-UA"/>
              </w:rPr>
              <w:t>Тому пропонуємо термін «понаднормативні втрати» замінити  висловом - обсяг втрат електричної енергії що перевищує обсяги затверджені в тарифах на розподіл електричної енергії, які розраховано на основі затверджених ЕКПТВЕ</w:t>
            </w:r>
          </w:p>
        </w:tc>
        <w:tc>
          <w:tcPr>
            <w:tcW w:w="3969" w:type="dxa"/>
            <w:gridSpan w:val="2"/>
          </w:tcPr>
          <w:p w:rsidR="001A60EC" w:rsidRPr="005A615E" w:rsidRDefault="001A60EC" w:rsidP="001A60EC">
            <w:pPr>
              <w:rPr>
                <w:rFonts w:ascii="Times New Roman" w:hAnsi="Times New Roman"/>
                <w:b/>
                <w:sz w:val="24"/>
                <w:lang w:val="ru-RU"/>
              </w:rPr>
            </w:pPr>
            <w:r w:rsidRPr="005A615E">
              <w:rPr>
                <w:rFonts w:ascii="Times New Roman" w:hAnsi="Times New Roman"/>
                <w:b/>
                <w:sz w:val="24"/>
                <w:lang w:val="ru-RU"/>
              </w:rPr>
              <w:t>Враховано частково</w:t>
            </w:r>
          </w:p>
          <w:p w:rsidR="001A60EC" w:rsidRPr="005A615E" w:rsidRDefault="001A60EC" w:rsidP="001A60EC">
            <w:pPr>
              <w:rPr>
                <w:rFonts w:ascii="Times New Roman" w:hAnsi="Times New Roman"/>
                <w:b/>
                <w:sz w:val="24"/>
                <w:lang w:val="ru-RU"/>
              </w:rPr>
            </w:pPr>
            <w:r w:rsidRPr="005A615E">
              <w:rPr>
                <w:rFonts w:ascii="Times New Roman" w:hAnsi="Times New Roman"/>
                <w:b/>
                <w:sz w:val="24"/>
                <w:lang w:val="ru-RU"/>
              </w:rPr>
              <w:t>До обговорення</w:t>
            </w:r>
          </w:p>
          <w:p w:rsidR="001A60EC" w:rsidRPr="005A615E" w:rsidRDefault="001A60EC" w:rsidP="001A60EC">
            <w:pPr>
              <w:rPr>
                <w:rFonts w:ascii="Times New Roman" w:hAnsi="Times New Roman"/>
                <w:b/>
                <w:sz w:val="24"/>
              </w:rPr>
            </w:pPr>
            <w:r w:rsidRPr="005A615E">
              <w:rPr>
                <w:rFonts w:ascii="Times New Roman" w:hAnsi="Times New Roman"/>
                <w:b/>
                <w:sz w:val="24"/>
              </w:rPr>
              <w:t>Запропонована редакція</w:t>
            </w:r>
          </w:p>
          <w:p w:rsidR="001A60EC" w:rsidRPr="005A615E" w:rsidRDefault="001A60EC" w:rsidP="001A60EC">
            <w:pPr>
              <w:jc w:val="both"/>
              <w:rPr>
                <w:lang w:eastAsia="uk-UA"/>
              </w:rPr>
            </w:pPr>
            <w:r w:rsidRPr="005A615E">
              <w:rPr>
                <w:rFonts w:ascii="Times New Roman" w:hAnsi="Times New Roman"/>
                <w:b/>
                <w:lang w:eastAsia="uk-UA"/>
              </w:rPr>
              <w:t>«</w:t>
            </w:r>
            <w:r w:rsidRPr="005A615E">
              <w:rPr>
                <w:rFonts w:ascii="Times New Roman" w:hAnsi="Times New Roman"/>
                <w:lang w:eastAsia="uk-UA"/>
              </w:rPr>
              <w:t>7.22.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tbl>
            <w:tblPr>
              <w:tblW w:w="6117" w:type="dxa"/>
              <w:tblLayout w:type="fixed"/>
              <w:tblCellMar>
                <w:left w:w="0" w:type="dxa"/>
                <w:right w:w="0" w:type="dxa"/>
              </w:tblCellMar>
              <w:tblLook w:val="04A0" w:firstRow="1" w:lastRow="0" w:firstColumn="1" w:lastColumn="0" w:noHBand="0" w:noVBand="1"/>
            </w:tblPr>
            <w:tblGrid>
              <w:gridCol w:w="194"/>
              <w:gridCol w:w="297"/>
              <w:gridCol w:w="98"/>
              <w:gridCol w:w="2706"/>
              <w:gridCol w:w="367"/>
              <w:gridCol w:w="90"/>
              <w:gridCol w:w="1516"/>
              <w:gridCol w:w="849"/>
            </w:tblGrid>
            <w:tr w:rsidR="001A60EC" w:rsidRPr="005A615E" w:rsidTr="0061613F">
              <w:trPr>
                <w:gridAfter w:val="2"/>
                <w:wAfter w:w="2362" w:type="dxa"/>
              </w:trPr>
              <w:tc>
                <w:tcPr>
                  <w:tcW w:w="3295" w:type="dxa"/>
                  <w:gridSpan w:val="4"/>
                  <w:tcBorders>
                    <w:top w:val="single" w:sz="2" w:space="0" w:color="auto"/>
                    <w:left w:val="single" w:sz="2" w:space="0" w:color="auto"/>
                    <w:bottom w:val="single" w:sz="2" w:space="0" w:color="auto"/>
                    <w:right w:val="single" w:sz="2" w:space="0" w:color="auto"/>
                  </w:tcBorders>
                  <w:hideMark/>
                </w:tcPr>
                <w:p w:rsidR="001A60EC" w:rsidRPr="005A615E" w:rsidRDefault="001A60EC" w:rsidP="001A60EC">
                  <w:pPr>
                    <w:spacing w:before="150" w:after="150"/>
                    <w:jc w:val="right"/>
                    <w:rPr>
                      <w:rFonts w:ascii="Times New Roman" w:hAnsi="Times New Roman"/>
                      <w:lang w:eastAsia="uk-UA"/>
                    </w:rPr>
                  </w:pPr>
                  <w:r w:rsidRPr="005A615E">
                    <w:rPr>
                      <w:rFonts w:ascii="Times New Roman" w:hAnsi="Times New Roman"/>
                      <w:noProof/>
                      <w:lang w:eastAsia="uk-UA"/>
                    </w:rPr>
                    <w:drawing>
                      <wp:inline distT="0" distB="0" distL="0" distR="0" wp14:anchorId="1C4AA90C" wp14:editId="7743FC22">
                        <wp:extent cx="2013290" cy="208993"/>
                        <wp:effectExtent l="0" t="0" r="6350" b="635"/>
                        <wp:docPr id="792200311" name="Рисунок 792200311" descr="https://zakon.rada.gov.ua/laws/file/imgs/129/p478167n366v3-1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1" descr="https://zakon.rada.gov.ua/laws/file/imgs/129/p478167n366v3-137.jpg"/>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2285484" cy="237249"/>
                                </a:xfrm>
                                <a:prstGeom prst="rect">
                                  <a:avLst/>
                                </a:prstGeom>
                                <a:noFill/>
                                <a:ln>
                                  <a:noFill/>
                                </a:ln>
                              </pic:spPr>
                            </pic:pic>
                          </a:graphicData>
                        </a:graphic>
                      </wp:inline>
                    </w:drawing>
                  </w:r>
                </w:p>
              </w:tc>
              <w:tc>
                <w:tcPr>
                  <w:tcW w:w="457" w:type="dxa"/>
                  <w:gridSpan w:val="2"/>
                  <w:tcBorders>
                    <w:top w:val="single" w:sz="2" w:space="0" w:color="auto"/>
                    <w:left w:val="single" w:sz="2" w:space="0" w:color="auto"/>
                    <w:bottom w:val="single" w:sz="2" w:space="0" w:color="auto"/>
                    <w:right w:val="single" w:sz="2" w:space="0" w:color="auto"/>
                  </w:tcBorders>
                  <w:hideMark/>
                </w:tcPr>
                <w:p w:rsidR="001A60EC" w:rsidRPr="005A615E" w:rsidRDefault="001A60EC" w:rsidP="001A60EC">
                  <w:pPr>
                    <w:spacing w:before="150" w:after="150"/>
                    <w:rPr>
                      <w:rFonts w:ascii="Times New Roman" w:hAnsi="Times New Roman"/>
                      <w:lang w:eastAsia="uk-UA"/>
                    </w:rPr>
                  </w:pPr>
                  <w:r w:rsidRPr="005A615E">
                    <w:rPr>
                      <w:rFonts w:ascii="Times New Roman" w:hAnsi="Times New Roman"/>
                      <w:sz w:val="18"/>
                      <w:lang w:eastAsia="uk-UA"/>
                    </w:rPr>
                    <w:t>(33)</w:t>
                  </w:r>
                </w:p>
              </w:tc>
            </w:tr>
            <w:tr w:rsidR="001A60EC" w:rsidRPr="005A615E" w:rsidTr="0061613F">
              <w:trPr>
                <w:gridAfter w:val="3"/>
                <w:wAfter w:w="2452" w:type="dxa"/>
              </w:trPr>
              <w:tc>
                <w:tcPr>
                  <w:tcW w:w="194" w:type="dxa"/>
                  <w:vMerge w:val="restart"/>
                  <w:tcBorders>
                    <w:top w:val="single" w:sz="2" w:space="0" w:color="auto"/>
                    <w:left w:val="single" w:sz="2" w:space="0" w:color="auto"/>
                    <w:bottom w:val="single" w:sz="2" w:space="0" w:color="auto"/>
                    <w:right w:val="single" w:sz="2" w:space="0" w:color="auto"/>
                  </w:tcBorders>
                  <w:hideMark/>
                </w:tcPr>
                <w:p w:rsidR="001A60EC" w:rsidRPr="005A615E" w:rsidRDefault="001A60EC" w:rsidP="001A60EC">
                  <w:pPr>
                    <w:spacing w:before="150" w:after="150"/>
                    <w:jc w:val="right"/>
                    <w:rPr>
                      <w:rFonts w:ascii="Times New Roman" w:hAnsi="Times New Roman"/>
                      <w:sz w:val="18"/>
                      <w:lang w:eastAsia="uk-UA"/>
                    </w:rPr>
                  </w:pPr>
                  <w:r w:rsidRPr="005A615E">
                    <w:rPr>
                      <w:rFonts w:ascii="Times New Roman" w:hAnsi="Times New Roman"/>
                      <w:sz w:val="18"/>
                      <w:lang w:eastAsia="uk-UA"/>
                    </w:rPr>
                    <w:t>де</w:t>
                  </w:r>
                </w:p>
              </w:tc>
              <w:tc>
                <w:tcPr>
                  <w:tcW w:w="297" w:type="dxa"/>
                  <w:tcBorders>
                    <w:top w:val="single" w:sz="2" w:space="0" w:color="auto"/>
                    <w:left w:val="single" w:sz="2" w:space="0" w:color="auto"/>
                    <w:bottom w:val="single" w:sz="2" w:space="0" w:color="auto"/>
                    <w:right w:val="single" w:sz="2" w:space="0" w:color="auto"/>
                  </w:tcBorders>
                  <w:hideMark/>
                </w:tcPr>
                <w:p w:rsidR="001A60EC" w:rsidRPr="005A615E" w:rsidRDefault="001A60EC" w:rsidP="001A60EC">
                  <w:pPr>
                    <w:spacing w:before="150" w:after="150"/>
                    <w:rPr>
                      <w:rFonts w:ascii="Times New Roman" w:hAnsi="Times New Roman"/>
                      <w:sz w:val="18"/>
                      <w:lang w:eastAsia="uk-UA"/>
                    </w:rPr>
                  </w:pPr>
                  <w:r w:rsidRPr="005A615E">
                    <w:rPr>
                      <w:rFonts w:ascii="Times New Roman" w:hAnsi="Times New Roman"/>
                      <w:noProof/>
                      <w:sz w:val="18"/>
                      <w:lang w:eastAsia="uk-UA"/>
                    </w:rPr>
                    <w:drawing>
                      <wp:inline distT="0" distB="0" distL="0" distR="0" wp14:anchorId="27F713D3" wp14:editId="4CC0597F">
                        <wp:extent cx="191028" cy="125676"/>
                        <wp:effectExtent l="0" t="0" r="0" b="8255"/>
                        <wp:docPr id="792200309" name="Рисунок 792200309" descr="https://zakon.rada.gov.ua/laws/file/imgs/129/p478167n270-138.gif">
                          <a:hlinkClick xmlns:a="http://schemas.openxmlformats.org/drawingml/2006/main" r:id="rId3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2" descr="https://zakon.rada.gov.ua/laws/file/imgs/129/p478167n270-138.gif">
                                  <a:hlinkClick r:id="rId328"/>
                                </pic:cNvPr>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205703" cy="135331"/>
                                </a:xfrm>
                                <a:prstGeom prst="rect">
                                  <a:avLst/>
                                </a:prstGeom>
                                <a:noFill/>
                                <a:ln>
                                  <a:noFill/>
                                </a:ln>
                              </pic:spPr>
                            </pic:pic>
                          </a:graphicData>
                        </a:graphic>
                      </wp:inline>
                    </w:drawing>
                  </w:r>
                </w:p>
              </w:tc>
              <w:tc>
                <w:tcPr>
                  <w:tcW w:w="98" w:type="dxa"/>
                  <w:tcBorders>
                    <w:top w:val="single" w:sz="2" w:space="0" w:color="auto"/>
                    <w:left w:val="single" w:sz="2" w:space="0" w:color="auto"/>
                    <w:bottom w:val="single" w:sz="2" w:space="0" w:color="auto"/>
                    <w:right w:val="single" w:sz="2" w:space="0" w:color="auto"/>
                  </w:tcBorders>
                  <w:hideMark/>
                </w:tcPr>
                <w:p w:rsidR="001A60EC" w:rsidRPr="005A615E" w:rsidRDefault="001A60EC" w:rsidP="001A60EC">
                  <w:pPr>
                    <w:spacing w:before="150" w:after="150"/>
                    <w:rPr>
                      <w:rFonts w:ascii="Times New Roman" w:hAnsi="Times New Roman"/>
                      <w:sz w:val="18"/>
                      <w:lang w:eastAsia="uk-UA"/>
                    </w:rPr>
                  </w:pPr>
                  <w:r w:rsidRPr="005A615E">
                    <w:rPr>
                      <w:rFonts w:ascii="Times New Roman" w:hAnsi="Times New Roman"/>
                      <w:sz w:val="18"/>
                      <w:lang w:eastAsia="uk-UA"/>
                    </w:rPr>
                    <w:t>-</w:t>
                  </w:r>
                </w:p>
              </w:tc>
              <w:tc>
                <w:tcPr>
                  <w:tcW w:w="3073" w:type="dxa"/>
                  <w:gridSpan w:val="2"/>
                  <w:tcBorders>
                    <w:top w:val="single" w:sz="2" w:space="0" w:color="auto"/>
                    <w:left w:val="single" w:sz="2" w:space="0" w:color="auto"/>
                    <w:bottom w:val="single" w:sz="2" w:space="0" w:color="auto"/>
                    <w:right w:val="single" w:sz="2" w:space="0" w:color="auto"/>
                  </w:tcBorders>
                  <w:hideMark/>
                </w:tcPr>
                <w:p w:rsidR="001A60EC" w:rsidRPr="005A615E" w:rsidRDefault="001A60EC" w:rsidP="001A60EC">
                  <w:pPr>
                    <w:spacing w:before="150" w:after="150"/>
                    <w:rPr>
                      <w:rFonts w:ascii="Times New Roman" w:hAnsi="Times New Roman"/>
                      <w:sz w:val="20"/>
                      <w:lang w:eastAsia="uk-UA"/>
                    </w:rPr>
                  </w:pPr>
                  <w:r w:rsidRPr="005A615E">
                    <w:rPr>
                      <w:rFonts w:ascii="Times New Roman" w:hAnsi="Times New Roman"/>
                      <w:sz w:val="20"/>
                      <w:lang w:eastAsia="uk-UA"/>
                    </w:rPr>
                    <w:t>матеріальні витрати на провадження діяльності з розподілу електричної енергії на прогнозний рік, тис. грн;</w:t>
                  </w:r>
                </w:p>
              </w:tc>
            </w:tr>
            <w:tr w:rsidR="001A60EC" w:rsidRPr="005A615E" w:rsidTr="0061613F">
              <w:trPr>
                <w:gridAfter w:val="3"/>
                <w:wAfter w:w="2452" w:type="dxa"/>
              </w:trPr>
              <w:tc>
                <w:tcPr>
                  <w:tcW w:w="194" w:type="dxa"/>
                  <w:vMerge/>
                  <w:tcBorders>
                    <w:top w:val="single" w:sz="2" w:space="0" w:color="auto"/>
                    <w:left w:val="single" w:sz="2" w:space="0" w:color="auto"/>
                    <w:bottom w:val="single" w:sz="2" w:space="0" w:color="auto"/>
                    <w:right w:val="single" w:sz="2" w:space="0" w:color="auto"/>
                  </w:tcBorders>
                  <w:vAlign w:val="center"/>
                  <w:hideMark/>
                </w:tcPr>
                <w:p w:rsidR="001A60EC" w:rsidRPr="005A615E" w:rsidRDefault="001A60EC" w:rsidP="001A60EC">
                  <w:pPr>
                    <w:rPr>
                      <w:rFonts w:ascii="Times New Roman" w:eastAsia="Times New Roman" w:hAnsi="Times New Roman"/>
                      <w:sz w:val="18"/>
                      <w:szCs w:val="24"/>
                      <w:lang w:eastAsia="uk-UA"/>
                    </w:rPr>
                  </w:pPr>
                </w:p>
              </w:tc>
              <w:tc>
                <w:tcPr>
                  <w:tcW w:w="297" w:type="dxa"/>
                  <w:tcBorders>
                    <w:top w:val="single" w:sz="2" w:space="0" w:color="auto"/>
                    <w:left w:val="single" w:sz="2" w:space="0" w:color="auto"/>
                    <w:bottom w:val="single" w:sz="2" w:space="0" w:color="auto"/>
                    <w:right w:val="single" w:sz="2" w:space="0" w:color="auto"/>
                  </w:tcBorders>
                  <w:hideMark/>
                </w:tcPr>
                <w:p w:rsidR="001A60EC" w:rsidRPr="005A615E" w:rsidRDefault="0061613F" w:rsidP="001A60EC">
                  <w:pPr>
                    <w:spacing w:before="150" w:after="150"/>
                    <w:rPr>
                      <w:rFonts w:ascii="Times New Roman" w:hAnsi="Times New Roman"/>
                      <w:sz w:val="18"/>
                      <w:lang w:eastAsia="uk-UA"/>
                    </w:rPr>
                  </w:pPr>
                  <w:r w:rsidRPr="005A615E">
                    <w:rPr>
                      <w:noProof/>
                    </w:rPr>
                    <w:drawing>
                      <wp:inline distT="0" distB="0" distL="0" distR="0" wp14:anchorId="5E60923A" wp14:editId="39D6B102">
                        <wp:extent cx="177680" cy="88841"/>
                        <wp:effectExtent l="0" t="0" r="0" b="6985"/>
                        <wp:docPr id="792200316" name="Рисунок 792200316" descr="https://zakon-pro.ligazakon.net/l_flib1.nsf/LookupFiles/GK40721_IMG_004.gif/$file/GK40721_IMG_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pro.ligazakon.net/l_flib1.nsf/LookupFiles/GK40721_IMG_004.gif/$file/GK40721_IMG_00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3580" cy="91791"/>
                                </a:xfrm>
                                <a:prstGeom prst="rect">
                                  <a:avLst/>
                                </a:prstGeom>
                                <a:noFill/>
                                <a:ln>
                                  <a:noFill/>
                                </a:ln>
                              </pic:spPr>
                            </pic:pic>
                          </a:graphicData>
                        </a:graphic>
                      </wp:inline>
                    </w:drawing>
                  </w:r>
                </w:p>
              </w:tc>
              <w:tc>
                <w:tcPr>
                  <w:tcW w:w="98" w:type="dxa"/>
                  <w:tcBorders>
                    <w:top w:val="single" w:sz="2" w:space="0" w:color="auto"/>
                    <w:left w:val="single" w:sz="2" w:space="0" w:color="auto"/>
                    <w:bottom w:val="single" w:sz="2" w:space="0" w:color="auto"/>
                    <w:right w:val="single" w:sz="2" w:space="0" w:color="auto"/>
                  </w:tcBorders>
                  <w:hideMark/>
                </w:tcPr>
                <w:p w:rsidR="001A60EC" w:rsidRPr="005A615E" w:rsidRDefault="001A60EC" w:rsidP="001A60EC">
                  <w:pPr>
                    <w:spacing w:before="150" w:after="150"/>
                    <w:rPr>
                      <w:rFonts w:ascii="Times New Roman" w:hAnsi="Times New Roman"/>
                      <w:sz w:val="18"/>
                      <w:lang w:eastAsia="uk-UA"/>
                    </w:rPr>
                  </w:pPr>
                  <w:r w:rsidRPr="005A615E">
                    <w:rPr>
                      <w:rFonts w:ascii="Times New Roman" w:hAnsi="Times New Roman"/>
                      <w:sz w:val="18"/>
                      <w:lang w:eastAsia="uk-UA"/>
                    </w:rPr>
                    <w:t>-</w:t>
                  </w:r>
                </w:p>
              </w:tc>
              <w:tc>
                <w:tcPr>
                  <w:tcW w:w="3073" w:type="dxa"/>
                  <w:gridSpan w:val="2"/>
                  <w:tcBorders>
                    <w:top w:val="single" w:sz="2" w:space="0" w:color="auto"/>
                    <w:left w:val="single" w:sz="2" w:space="0" w:color="auto"/>
                    <w:bottom w:val="single" w:sz="2" w:space="0" w:color="auto"/>
                    <w:right w:val="single" w:sz="2" w:space="0" w:color="auto"/>
                  </w:tcBorders>
                  <w:hideMark/>
                </w:tcPr>
                <w:p w:rsidR="001A60EC" w:rsidRPr="005A615E" w:rsidRDefault="001A60EC" w:rsidP="001A60EC">
                  <w:pPr>
                    <w:spacing w:before="150" w:after="150"/>
                    <w:rPr>
                      <w:rFonts w:ascii="Times New Roman" w:hAnsi="Times New Roman"/>
                      <w:sz w:val="20"/>
                      <w:lang w:eastAsia="uk-UA"/>
                    </w:rPr>
                  </w:pPr>
                  <w:r w:rsidRPr="005A615E">
                    <w:rPr>
                      <w:rFonts w:ascii="Times New Roman" w:hAnsi="Times New Roman"/>
                      <w:sz w:val="20"/>
                      <w:lang w:eastAsia="uk-UA"/>
                    </w:rPr>
                    <w:t>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w:t>
                  </w:r>
                  <w:r w:rsidRPr="005A615E">
                    <w:rPr>
                      <w:rFonts w:ascii="Times New Roman" w:hAnsi="Times New Roman"/>
                      <w:i/>
                      <w:iCs/>
                      <w:sz w:val="20"/>
                      <w:lang w:eastAsia="uk-UA"/>
                    </w:rPr>
                    <w:t>t</w:t>
                  </w:r>
                  <w:r w:rsidRPr="005A615E">
                    <w:rPr>
                      <w:rFonts w:ascii="Times New Roman" w:hAnsi="Times New Roman"/>
                      <w:sz w:val="20"/>
                      <w:lang w:eastAsia="uk-UA"/>
                    </w:rPr>
                    <w:t>, що визначаються за формулою</w:t>
                  </w:r>
                </w:p>
              </w:tc>
            </w:tr>
            <w:tr w:rsidR="001A60EC" w:rsidRPr="005A615E" w:rsidTr="0061613F">
              <w:tblPrEx>
                <w:tblCellSpacing w:w="22" w:type="dxa"/>
                <w:tblCellMar>
                  <w:left w:w="108" w:type="dxa"/>
                  <w:right w:w="108" w:type="dxa"/>
                </w:tblCellMar>
              </w:tblPrEx>
              <w:trPr>
                <w:tblCellSpacing w:w="22" w:type="dxa"/>
                <w:hidden/>
              </w:trPr>
              <w:tc>
                <w:tcPr>
                  <w:tcW w:w="5268" w:type="dxa"/>
                  <w:gridSpan w:val="7"/>
                  <w:tcMar>
                    <w:top w:w="15" w:type="dxa"/>
                    <w:left w:w="15" w:type="dxa"/>
                    <w:bottom w:w="15" w:type="dxa"/>
                    <w:right w:w="15" w:type="dxa"/>
                  </w:tcMar>
                  <w:vAlign w:val="center"/>
                  <w:hideMark/>
                </w:tcPr>
                <w:p w:rsidR="0061613F" w:rsidRPr="005A615E" w:rsidRDefault="0061613F" w:rsidP="0061613F">
                  <w:pPr>
                    <w:shd w:val="clear" w:color="auto" w:fill="FFFFFF"/>
                    <w:ind w:firstLine="450"/>
                    <w:jc w:val="both"/>
                    <w:rPr>
                      <w:rFonts w:ascii="Times New Roman" w:eastAsia="Times New Roman" w:hAnsi="Times New Roman"/>
                      <w:vanish/>
                      <w:sz w:val="2"/>
                      <w:lang w:eastAsia="uk-UA"/>
                    </w:rPr>
                  </w:pPr>
                </w:p>
                <w:tbl>
                  <w:tblPr>
                    <w:tblW w:w="3540" w:type="pct"/>
                    <w:tblLayout w:type="fixed"/>
                    <w:tblCellMar>
                      <w:left w:w="0" w:type="dxa"/>
                      <w:right w:w="0" w:type="dxa"/>
                    </w:tblCellMar>
                    <w:tblLook w:val="04A0" w:firstRow="1" w:lastRow="0" w:firstColumn="1" w:lastColumn="0" w:noHBand="0" w:noVBand="1"/>
                  </w:tblPr>
                  <w:tblGrid>
                    <w:gridCol w:w="352"/>
                    <w:gridCol w:w="995"/>
                    <w:gridCol w:w="158"/>
                    <w:gridCol w:w="1586"/>
                    <w:gridCol w:w="567"/>
                  </w:tblGrid>
                  <w:tr w:rsidR="0061613F" w:rsidRPr="005A615E" w:rsidTr="0061613F">
                    <w:tc>
                      <w:tcPr>
                        <w:tcW w:w="3091" w:type="dxa"/>
                        <w:gridSpan w:val="4"/>
                        <w:tcBorders>
                          <w:top w:val="single" w:sz="2" w:space="0" w:color="auto"/>
                          <w:left w:val="single" w:sz="2" w:space="0" w:color="auto"/>
                          <w:bottom w:val="single" w:sz="2" w:space="0" w:color="auto"/>
                          <w:right w:val="single" w:sz="2" w:space="0" w:color="auto"/>
                        </w:tcBorders>
                        <w:hideMark/>
                      </w:tcPr>
                      <w:p w:rsidR="0061613F" w:rsidRPr="005A615E" w:rsidRDefault="000D13C5" w:rsidP="0061613F">
                        <w:pPr>
                          <w:spacing w:before="150" w:after="150"/>
                          <w:rPr>
                            <w:rFonts w:ascii="Times New Roman" w:hAnsi="Times New Roman"/>
                            <w:sz w:val="18"/>
                            <w:lang w:eastAsia="uk-UA"/>
                          </w:rPr>
                        </w:pPr>
                        <m:oMathPara>
                          <m:oMath>
                            <m:sSubSup>
                              <m:sSubSupPr>
                                <m:ctrlPr>
                                  <w:rPr>
                                    <w:rFonts w:ascii="Cambria Math" w:hAnsi="Cambria Math"/>
                                    <w:b/>
                                    <w:i/>
                                    <w:sz w:val="18"/>
                                    <w:lang w:eastAsia="uk-UA"/>
                                  </w:rPr>
                                </m:ctrlPr>
                              </m:sSubSupPr>
                              <m:e>
                                <m:r>
                                  <m:rPr>
                                    <m:sty m:val="bi"/>
                                  </m:rPr>
                                  <w:rPr>
                                    <w:rFonts w:ascii="Cambria Math" w:hAnsi="Cambria Math"/>
                                    <w:sz w:val="18"/>
                                    <w:lang w:eastAsia="uk-UA"/>
                                  </w:rPr>
                                  <m:t>ВТ</m:t>
                                </m:r>
                              </m:e>
                              <m:sub>
                                <m:r>
                                  <m:rPr>
                                    <m:sty m:val="bi"/>
                                  </m:rPr>
                                  <w:rPr>
                                    <w:rFonts w:ascii="Cambria Math" w:hAnsi="Cambria Math"/>
                                    <w:sz w:val="18"/>
                                    <w:lang w:eastAsia="uk-UA"/>
                                  </w:rPr>
                                  <m:t>t</m:t>
                                </m:r>
                              </m:sub>
                              <m:sup>
                                <m:r>
                                  <m:rPr>
                                    <m:sty m:val="bi"/>
                                  </m:rPr>
                                  <w:rPr>
                                    <w:rFonts w:ascii="Cambria Math" w:hAnsi="Cambria Math"/>
                                    <w:sz w:val="18"/>
                                    <w:lang w:val="en-US" w:eastAsia="uk-UA"/>
                                  </w:rPr>
                                  <m:t>n</m:t>
                                </m:r>
                              </m:sup>
                            </m:sSubSup>
                            <m:r>
                              <m:rPr>
                                <m:sty m:val="bi"/>
                              </m:rPr>
                              <w:rPr>
                                <w:rFonts w:ascii="Cambria Math" w:hAnsi="Cambria Math"/>
                                <w:sz w:val="18"/>
                                <w:lang w:eastAsia="uk-UA"/>
                              </w:rPr>
                              <m:t>=</m:t>
                            </m:r>
                            <m:sSubSup>
                              <m:sSubSupPr>
                                <m:ctrlPr>
                                  <w:rPr>
                                    <w:rFonts w:ascii="Cambria Math" w:hAnsi="Cambria Math"/>
                                    <w:b/>
                                    <w:i/>
                                    <w:sz w:val="18"/>
                                    <w:lang w:eastAsia="uk-UA"/>
                                  </w:rPr>
                                </m:ctrlPr>
                              </m:sSubSupPr>
                              <m:e>
                                <m:r>
                                  <m:rPr>
                                    <m:sty m:val="bi"/>
                                  </m:rPr>
                                  <w:rPr>
                                    <w:rFonts w:ascii="Cambria Math" w:hAnsi="Cambria Math"/>
                                    <w:sz w:val="18"/>
                                    <w:lang w:eastAsia="uk-UA"/>
                                  </w:rPr>
                                  <m:t>ВТ</m:t>
                                </m:r>
                              </m:e>
                              <m:sub>
                                <m:r>
                                  <m:rPr>
                                    <m:sty m:val="bi"/>
                                  </m:rPr>
                                  <w:rPr>
                                    <w:rFonts w:ascii="Cambria Math" w:hAnsi="Cambria Math"/>
                                    <w:sz w:val="18"/>
                                    <w:lang w:eastAsia="uk-UA"/>
                                  </w:rPr>
                                  <m:t>1_t</m:t>
                                </m:r>
                              </m:sub>
                              <m:sup>
                                <m:r>
                                  <m:rPr>
                                    <m:sty m:val="bi"/>
                                  </m:rPr>
                                  <w:rPr>
                                    <w:rFonts w:ascii="Cambria Math" w:hAnsi="Cambria Math"/>
                                    <w:sz w:val="18"/>
                                    <w:lang w:eastAsia="uk-UA"/>
                                  </w:rPr>
                                  <m:t>n</m:t>
                                </m:r>
                              </m:sup>
                            </m:sSubSup>
                            <m:r>
                              <m:rPr>
                                <m:sty m:val="bi"/>
                              </m:rPr>
                              <w:rPr>
                                <w:rFonts w:ascii="Cambria Math" w:hAnsi="Cambria Math"/>
                                <w:sz w:val="18"/>
                                <w:lang w:eastAsia="uk-UA"/>
                              </w:rPr>
                              <m:t>+</m:t>
                            </m:r>
                            <m:sSubSup>
                              <m:sSubSupPr>
                                <m:ctrlPr>
                                  <w:rPr>
                                    <w:rFonts w:ascii="Cambria Math" w:hAnsi="Cambria Math"/>
                                    <w:b/>
                                    <w:i/>
                                    <w:sz w:val="18"/>
                                    <w:lang w:eastAsia="uk-UA"/>
                                  </w:rPr>
                                </m:ctrlPr>
                              </m:sSubSupPr>
                              <m:e>
                                <m:r>
                                  <m:rPr>
                                    <m:sty m:val="bi"/>
                                  </m:rPr>
                                  <w:rPr>
                                    <w:rFonts w:ascii="Cambria Math" w:hAnsi="Cambria Math"/>
                                    <w:sz w:val="18"/>
                                    <w:lang w:eastAsia="uk-UA"/>
                                  </w:rPr>
                                  <m:t>ВТ</m:t>
                                </m:r>
                              </m:e>
                              <m:sub>
                                <m:r>
                                  <m:rPr>
                                    <m:sty m:val="bi"/>
                                  </m:rPr>
                                  <w:rPr>
                                    <w:rFonts w:ascii="Cambria Math" w:hAnsi="Cambria Math"/>
                                    <w:sz w:val="18"/>
                                    <w:lang w:eastAsia="uk-UA"/>
                                  </w:rPr>
                                  <m:t>2_t</m:t>
                                </m:r>
                              </m:sub>
                              <m:sup>
                                <m:r>
                                  <m:rPr>
                                    <m:sty m:val="bi"/>
                                  </m:rPr>
                                  <w:rPr>
                                    <w:rFonts w:ascii="Cambria Math" w:hAnsi="Cambria Math"/>
                                    <w:sz w:val="18"/>
                                    <w:lang w:eastAsia="uk-UA"/>
                                  </w:rPr>
                                  <m:t>n</m:t>
                                </m:r>
                              </m:sup>
                            </m:sSubSup>
                            <m:r>
                              <m:rPr>
                                <m:sty m:val="bi"/>
                              </m:rPr>
                              <w:rPr>
                                <w:rFonts w:ascii="Cambria Math" w:hAnsi="Cambria Math"/>
                                <w:sz w:val="18"/>
                                <w:lang w:eastAsia="uk-UA"/>
                              </w:rPr>
                              <m:t>+</m:t>
                            </m:r>
                            <m:sSub>
                              <m:sSubPr>
                                <m:ctrlPr>
                                  <w:rPr>
                                    <w:rFonts w:ascii="Cambria Math" w:hAnsi="Cambria Math"/>
                                    <w:b/>
                                    <w:i/>
                                    <w:sz w:val="18"/>
                                    <w:lang w:eastAsia="uk-UA"/>
                                  </w:rPr>
                                </m:ctrlPr>
                              </m:sSubPr>
                              <m:e>
                                <m:r>
                                  <m:rPr>
                                    <m:sty m:val="bi"/>
                                  </m:rPr>
                                  <w:rPr>
                                    <w:rFonts w:ascii="Cambria Math" w:hAnsi="Cambria Math"/>
                                    <w:sz w:val="18"/>
                                    <w:lang w:eastAsia="uk-UA"/>
                                  </w:rPr>
                                  <m:t>ВТ</m:t>
                                </m:r>
                              </m:e>
                              <m:sub>
                                <m:r>
                                  <m:rPr>
                                    <m:sty m:val="bi"/>
                                  </m:rPr>
                                  <w:rPr>
                                    <w:rFonts w:ascii="Cambria Math" w:hAnsi="Cambria Math"/>
                                    <w:sz w:val="18"/>
                                    <w:lang w:eastAsia="uk-UA"/>
                                  </w:rPr>
                                  <m:t>3_t</m:t>
                                </m:r>
                              </m:sub>
                            </m:sSub>
                            <m:r>
                              <m:rPr>
                                <m:sty m:val="bi"/>
                              </m:rPr>
                              <w:rPr>
                                <w:rFonts w:ascii="Cambria Math" w:hAnsi="Cambria Math"/>
                                <w:sz w:val="18"/>
                                <w:lang w:eastAsia="uk-UA"/>
                              </w:rPr>
                              <m:t xml:space="preserve">, тис грн </m:t>
                            </m:r>
                          </m:oMath>
                        </m:oMathPara>
                      </w:p>
                    </w:tc>
                    <w:tc>
                      <w:tcPr>
                        <w:tcW w:w="567" w:type="dxa"/>
                        <w:tcBorders>
                          <w:top w:val="single" w:sz="2" w:space="0" w:color="auto"/>
                          <w:left w:val="single" w:sz="2" w:space="0" w:color="auto"/>
                          <w:bottom w:val="single" w:sz="2" w:space="0" w:color="auto"/>
                          <w:right w:val="single" w:sz="2" w:space="0" w:color="auto"/>
                        </w:tcBorders>
                        <w:hideMark/>
                      </w:tcPr>
                      <w:p w:rsidR="0061613F" w:rsidRPr="005A615E" w:rsidRDefault="0061613F" w:rsidP="0061613F">
                        <w:pPr>
                          <w:spacing w:before="150" w:after="150"/>
                          <w:rPr>
                            <w:rFonts w:ascii="Times New Roman" w:hAnsi="Times New Roman"/>
                            <w:lang w:eastAsia="uk-UA"/>
                          </w:rPr>
                        </w:pPr>
                        <w:r w:rsidRPr="005A615E">
                          <w:rPr>
                            <w:rFonts w:ascii="Times New Roman" w:hAnsi="Times New Roman"/>
                            <w:lang w:eastAsia="uk-UA"/>
                          </w:rPr>
                          <w:t>(34)</w:t>
                        </w:r>
                      </w:p>
                    </w:tc>
                  </w:tr>
                  <w:tr w:rsidR="0061613F" w:rsidRPr="005A615E" w:rsidTr="0061613F">
                    <w:tc>
                      <w:tcPr>
                        <w:tcW w:w="352" w:type="dxa"/>
                        <w:tcBorders>
                          <w:top w:val="single" w:sz="2" w:space="0" w:color="auto"/>
                          <w:left w:val="single" w:sz="2" w:space="0" w:color="auto"/>
                          <w:bottom w:val="single" w:sz="2" w:space="0" w:color="auto"/>
                          <w:right w:val="single" w:sz="2" w:space="0" w:color="auto"/>
                        </w:tcBorders>
                        <w:hideMark/>
                      </w:tcPr>
                      <w:p w:rsidR="0061613F" w:rsidRPr="005A615E" w:rsidRDefault="0061613F" w:rsidP="0061613F">
                        <w:pPr>
                          <w:spacing w:before="150" w:after="150"/>
                          <w:jc w:val="right"/>
                          <w:rPr>
                            <w:rFonts w:ascii="Times New Roman" w:hAnsi="Times New Roman"/>
                            <w:lang w:eastAsia="uk-UA"/>
                          </w:rPr>
                        </w:pPr>
                        <w:r w:rsidRPr="005A615E">
                          <w:rPr>
                            <w:rFonts w:ascii="Times New Roman" w:hAnsi="Times New Roman"/>
                            <w:lang w:eastAsia="uk-UA"/>
                          </w:rPr>
                          <w:t>де</w:t>
                        </w:r>
                      </w:p>
                    </w:tc>
                    <w:tc>
                      <w:tcPr>
                        <w:tcW w:w="995" w:type="dxa"/>
                        <w:tcBorders>
                          <w:top w:val="single" w:sz="2" w:space="0" w:color="auto"/>
                          <w:left w:val="single" w:sz="2" w:space="0" w:color="auto"/>
                          <w:bottom w:val="single" w:sz="2" w:space="0" w:color="auto"/>
                          <w:right w:val="single" w:sz="2" w:space="0" w:color="auto"/>
                        </w:tcBorders>
                        <w:hideMark/>
                      </w:tcPr>
                      <w:p w:rsidR="0061613F" w:rsidRPr="005A615E" w:rsidRDefault="0061613F" w:rsidP="0061613F">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10BC8190" wp14:editId="2AC333C7">
                              <wp:extent cx="400050" cy="238125"/>
                              <wp:effectExtent l="0" t="0" r="0" b="9525"/>
                              <wp:docPr id="792200313" name="Рисунок 792200313" descr="https://zakon.rada.gov.ua/laws/file/imgs/129/p478167n272-141.gif">
                                <a:hlinkClick xmlns:a="http://schemas.openxmlformats.org/drawingml/2006/main" r:id="rId3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5" descr="https://zakon.rada.gov.ua/laws/file/imgs/129/p478167n272-141.gif">
                                        <a:hlinkClick r:id="rId334"/>
                                      </pic:cNvPr>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5A615E">
                          <w:rPr>
                            <w:rFonts w:ascii="Times New Roman" w:hAnsi="Times New Roman"/>
                            <w:lang w:eastAsia="uk-UA"/>
                          </w:rPr>
                          <w:t>,</w:t>
                        </w:r>
                        <w:r w:rsidRPr="005A615E">
                          <w:rPr>
                            <w:rFonts w:ascii="Times New Roman" w:hAnsi="Times New Roman"/>
                            <w:noProof/>
                            <w:lang w:eastAsia="uk-UA"/>
                          </w:rPr>
                          <w:drawing>
                            <wp:inline distT="0" distB="0" distL="0" distR="0" wp14:anchorId="1DA61131" wp14:editId="06EE4B9D">
                              <wp:extent cx="419100" cy="238125"/>
                              <wp:effectExtent l="0" t="0" r="0" b="9525"/>
                              <wp:docPr id="792200314" name="Рисунок 792200314" descr="https://zakon.rada.gov.ua/laws/file/imgs/129/p478167n272-142.gif">
                                <a:hlinkClick xmlns:a="http://schemas.openxmlformats.org/drawingml/2006/main" r:id="rId3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3780146" descr="https://zakon.rada.gov.ua/laws/file/imgs/129/p478167n272-142.gif">
                                        <a:hlinkClick r:id="rId336"/>
                                      </pic:cNvPr>
                                      <pic:cNvPicPr>
                                        <a:picLocks noChangeAspect="1" noChangeArrowheads="1"/>
                                      </pic:cNvPicPr>
                                    </pic:nvPicPr>
                                    <pic:blipFill>
                                      <a:blip r:embed="rId337">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p>
                    </w:tc>
                    <w:tc>
                      <w:tcPr>
                        <w:tcW w:w="158" w:type="dxa"/>
                        <w:tcBorders>
                          <w:top w:val="single" w:sz="2" w:space="0" w:color="auto"/>
                          <w:left w:val="single" w:sz="2" w:space="0" w:color="auto"/>
                          <w:bottom w:val="single" w:sz="2" w:space="0" w:color="auto"/>
                          <w:right w:val="single" w:sz="2" w:space="0" w:color="auto"/>
                        </w:tcBorders>
                        <w:hideMark/>
                      </w:tcPr>
                      <w:p w:rsidR="0061613F" w:rsidRPr="005A615E" w:rsidRDefault="0061613F" w:rsidP="0061613F">
                        <w:pPr>
                          <w:spacing w:before="150" w:after="150"/>
                          <w:rPr>
                            <w:rFonts w:ascii="Times New Roman" w:hAnsi="Times New Roman"/>
                            <w:lang w:eastAsia="uk-UA"/>
                          </w:rPr>
                        </w:pPr>
                        <w:r w:rsidRPr="005A615E">
                          <w:rPr>
                            <w:rFonts w:ascii="Times New Roman" w:hAnsi="Times New Roman"/>
                            <w:lang w:eastAsia="uk-UA"/>
                          </w:rPr>
                          <w:t>-</w:t>
                        </w:r>
                      </w:p>
                    </w:tc>
                    <w:tc>
                      <w:tcPr>
                        <w:tcW w:w="2153" w:type="dxa"/>
                        <w:gridSpan w:val="2"/>
                        <w:tcBorders>
                          <w:top w:val="single" w:sz="2" w:space="0" w:color="auto"/>
                          <w:left w:val="single" w:sz="2" w:space="0" w:color="auto"/>
                          <w:bottom w:val="single" w:sz="2" w:space="0" w:color="auto"/>
                          <w:right w:val="single" w:sz="2" w:space="0" w:color="auto"/>
                        </w:tcBorders>
                        <w:hideMark/>
                      </w:tcPr>
                      <w:p w:rsidR="0061613F" w:rsidRPr="005A615E" w:rsidRDefault="0061613F" w:rsidP="0061613F">
                        <w:pPr>
                          <w:spacing w:before="150" w:after="150"/>
                          <w:rPr>
                            <w:rFonts w:ascii="Times New Roman" w:hAnsi="Times New Roman"/>
                            <w:lang w:eastAsia="uk-UA"/>
                          </w:rPr>
                        </w:pPr>
                        <w:r w:rsidRPr="005A615E">
                          <w:rPr>
                            <w:rFonts w:ascii="Times New Roman" w:hAnsi="Times New Roman"/>
                            <w:lang w:eastAsia="uk-UA"/>
                          </w:rPr>
                          <w:t>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1 та 2 класі напруги відповідно, на рік </w:t>
                        </w:r>
                        <w:r w:rsidRPr="005A615E">
                          <w:rPr>
                            <w:rFonts w:ascii="Times New Roman" w:hAnsi="Times New Roman"/>
                            <w:i/>
                            <w:iCs/>
                            <w:lang w:eastAsia="uk-UA"/>
                          </w:rPr>
                          <w:t>t</w:t>
                        </w:r>
                        <w:r w:rsidRPr="005A615E">
                          <w:rPr>
                            <w:rFonts w:ascii="Times New Roman" w:hAnsi="Times New Roman"/>
                            <w:lang w:eastAsia="uk-UA"/>
                          </w:rPr>
                          <w:t>, що визначається за формулами</w:t>
                        </w:r>
                      </w:p>
                    </w:tc>
                  </w:tr>
                </w:tbl>
                <w:p w:rsidR="001A60EC" w:rsidRPr="005A615E" w:rsidRDefault="001A60EC" w:rsidP="001A60EC">
                  <w:pPr>
                    <w:rPr>
                      <w:sz w:val="20"/>
                      <w:lang w:eastAsia="uk-UA"/>
                    </w:rPr>
                  </w:pPr>
                </w:p>
              </w:tc>
              <w:tc>
                <w:tcPr>
                  <w:tcW w:w="849" w:type="dxa"/>
                  <w:tcMar>
                    <w:top w:w="15" w:type="dxa"/>
                    <w:left w:w="15" w:type="dxa"/>
                    <w:bottom w:w="15" w:type="dxa"/>
                    <w:right w:w="15" w:type="dxa"/>
                  </w:tcMar>
                  <w:vAlign w:val="center"/>
                  <w:hideMark/>
                </w:tcPr>
                <w:p w:rsidR="001A60EC" w:rsidRPr="005A615E" w:rsidRDefault="000D13C5" w:rsidP="001A60EC">
                  <w:pPr>
                    <w:rPr>
                      <w:rFonts w:ascii="Times New Roman" w:hAnsi="Times New Roman"/>
                      <w:sz w:val="20"/>
                      <w:lang w:eastAsia="uk-UA"/>
                    </w:rPr>
                  </w:pPr>
                  <w:hyperlink r:id="rId372" w:tgtFrame="_blank" w:history="1">
                    <w:r w:rsidR="001A60EC" w:rsidRPr="005A615E">
                      <w:rPr>
                        <w:rStyle w:val="a9"/>
                        <w:rFonts w:ascii="Times New Roman" w:hAnsi="Times New Roman"/>
                        <w:color w:val="auto"/>
                        <w:sz w:val="20"/>
                        <w:lang w:eastAsia="uk-UA"/>
                      </w:rPr>
                      <w:t>, тис. грн, (1)</w:t>
                    </w:r>
                  </w:hyperlink>
                </w:p>
              </w:tc>
            </w:tr>
          </w:tbl>
          <w:p w:rsidR="001A60EC" w:rsidRPr="005A615E" w:rsidRDefault="001A60EC" w:rsidP="001A60EC">
            <w:pPr>
              <w:rPr>
                <w:rFonts w:ascii="Times New Roman" w:hAnsi="Times New Roman" w:cs="Times New Roman"/>
                <w:b/>
                <w:sz w:val="24"/>
                <w:szCs w:val="24"/>
                <w:lang w:eastAsia="uk-UA"/>
              </w:rPr>
            </w:pPr>
          </w:p>
          <w:p w:rsidR="001A60EC" w:rsidRPr="005A615E" w:rsidRDefault="001A60EC" w:rsidP="001A60EC">
            <w:pPr>
              <w:rPr>
                <w:rFonts w:ascii="Times New Roman" w:hAnsi="Times New Roman"/>
                <w:lang w:eastAsia="uk-UA"/>
              </w:rPr>
            </w:pPr>
            <w:r w:rsidRPr="005A615E">
              <w:rPr>
                <w:rFonts w:ascii="Times New Roman" w:hAnsi="Times New Roman"/>
                <w:noProof/>
                <w:lang w:eastAsia="uk-UA"/>
              </w:rPr>
              <w:drawing>
                <wp:inline distT="0" distB="0" distL="0" distR="0" wp14:anchorId="7B5315B3" wp14:editId="3D745BA7">
                  <wp:extent cx="1181100" cy="200025"/>
                  <wp:effectExtent l="0" t="0" r="0" b="9525"/>
                  <wp:docPr id="792200298" name="Рисунок 792200298" descr="https://zakon-pro.ligazakon.net/l_flib1.nsf/LookupFiles/GK40721_IMG_008.gif/$file/GK40721_IMG_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2" descr="https://zakon-pro.ligazakon.net/l_flib1.nsf/LookupFiles/GK40721_IMG_008.gif/$file/GK40721_IMG_00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81100" cy="200025"/>
                          </a:xfrm>
                          <a:prstGeom prst="rect">
                            <a:avLst/>
                          </a:prstGeom>
                          <a:noFill/>
                          <a:ln>
                            <a:noFill/>
                          </a:ln>
                        </pic:spPr>
                      </pic:pic>
                    </a:graphicData>
                  </a:graphic>
                </wp:inline>
              </w:drawing>
            </w:r>
            <w:r w:rsidRPr="005A615E">
              <w:rPr>
                <w:rFonts w:ascii="Times New Roman" w:hAnsi="Times New Roman"/>
                <w:lang w:eastAsia="uk-UA"/>
              </w:rPr>
              <w:t>, тис грн, (3</w:t>
            </w:r>
            <w:r w:rsidR="00887F36" w:rsidRPr="005A615E">
              <w:rPr>
                <w:rFonts w:ascii="Times New Roman" w:hAnsi="Times New Roman"/>
                <w:lang w:eastAsia="uk-UA"/>
              </w:rPr>
              <w:t>5</w:t>
            </w:r>
            <w:r w:rsidRPr="005A615E">
              <w:rPr>
                <w:rFonts w:ascii="Times New Roman" w:hAnsi="Times New Roman"/>
                <w:lang w:eastAsia="uk-UA"/>
              </w:rPr>
              <w:t>)</w:t>
            </w:r>
          </w:p>
          <w:p w:rsidR="001A60EC" w:rsidRPr="005A615E" w:rsidRDefault="001A60EC" w:rsidP="001A60EC">
            <w:pPr>
              <w:rPr>
                <w:rFonts w:ascii="Times New Roman" w:hAnsi="Times New Roman"/>
                <w:lang w:eastAsia="uk-UA"/>
              </w:rPr>
            </w:pPr>
          </w:p>
          <w:p w:rsidR="001A60EC" w:rsidRPr="005A615E" w:rsidRDefault="001A60EC" w:rsidP="001A60EC">
            <w:pPr>
              <w:rPr>
                <w:rFonts w:ascii="Times New Roman" w:hAnsi="Times New Roman"/>
                <w:lang w:eastAsia="uk-UA"/>
              </w:rPr>
            </w:pPr>
            <w:r w:rsidRPr="005A615E">
              <w:rPr>
                <w:rFonts w:ascii="Times New Roman" w:hAnsi="Times New Roman"/>
                <w:noProof/>
                <w:lang w:eastAsia="uk-UA"/>
              </w:rPr>
              <w:drawing>
                <wp:inline distT="0" distB="0" distL="0" distR="0" wp14:anchorId="33ECF79A" wp14:editId="24E391EF">
                  <wp:extent cx="1219200" cy="180975"/>
                  <wp:effectExtent l="0" t="0" r="0" b="9525"/>
                  <wp:docPr id="792200299" name="Рисунок 792200299" descr="https://zakon-pro.ligazakon.net/l_flib1.nsf/LookupFiles/GK40721_IMG_009.gif/$file/GK40721_IMG_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3" descr="https://zakon-pro.ligazakon.net/l_flib1.nsf/LookupFiles/GK40721_IMG_009.gif/$file/GK40721_IMG_009.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9200" cy="180975"/>
                          </a:xfrm>
                          <a:prstGeom prst="rect">
                            <a:avLst/>
                          </a:prstGeom>
                          <a:noFill/>
                          <a:ln>
                            <a:noFill/>
                          </a:ln>
                        </pic:spPr>
                      </pic:pic>
                    </a:graphicData>
                  </a:graphic>
                </wp:inline>
              </w:drawing>
            </w:r>
            <w:r w:rsidRPr="005A615E">
              <w:rPr>
                <w:rFonts w:ascii="Times New Roman" w:hAnsi="Times New Roman"/>
                <w:lang w:eastAsia="uk-UA"/>
              </w:rPr>
              <w:t>, тис грн, (</w:t>
            </w:r>
            <w:r w:rsidR="00887F36" w:rsidRPr="005A615E">
              <w:rPr>
                <w:rFonts w:ascii="Times New Roman" w:hAnsi="Times New Roman"/>
                <w:lang w:eastAsia="uk-UA"/>
              </w:rPr>
              <w:t>36</w:t>
            </w:r>
            <w:r w:rsidRPr="005A615E">
              <w:rPr>
                <w:rFonts w:ascii="Times New Roman" w:hAnsi="Times New Roman"/>
                <w:lang w:eastAsia="uk-UA"/>
              </w:rPr>
              <w:t>)</w:t>
            </w:r>
          </w:p>
          <w:p w:rsidR="001A60EC" w:rsidRPr="005A615E" w:rsidRDefault="001A60EC" w:rsidP="001A60EC">
            <w:pPr>
              <w:rPr>
                <w:rFonts w:ascii="Times New Roman" w:hAnsi="Times New Roman"/>
                <w:b/>
                <w:lang w:eastAsia="uk-UA"/>
              </w:rPr>
            </w:pPr>
          </w:p>
          <w:p w:rsidR="001A60EC" w:rsidRPr="005A615E" w:rsidRDefault="000D13C5" w:rsidP="001A60EC">
            <w:pPr>
              <w:jc w:val="both"/>
              <w:rPr>
                <w:rFonts w:ascii="Times New Roman" w:hAnsi="Times New Roman"/>
                <w:b/>
                <w:lang w:eastAsia="uk-UA"/>
              </w:rPr>
            </w:pPr>
            <m:oMath>
              <m:sSub>
                <m:sSubPr>
                  <m:ctrlPr>
                    <w:rPr>
                      <w:rFonts w:ascii="Cambria Math" w:eastAsiaTheme="minorEastAsia" w:hAnsi="Cambria Math"/>
                      <w:b/>
                      <w:i/>
                      <w:sz w:val="24"/>
                      <w:szCs w:val="24"/>
                      <w:lang w:eastAsia="uk-UA"/>
                    </w:rPr>
                  </m:ctrlPr>
                </m:sSubPr>
                <m:e>
                  <m:r>
                    <m:rPr>
                      <m:sty m:val="bi"/>
                    </m:rPr>
                    <w:rPr>
                      <w:rFonts w:ascii="Cambria Math" w:eastAsiaTheme="minorEastAsia" w:hAnsi="Cambria Math"/>
                      <w:sz w:val="24"/>
                      <w:szCs w:val="24"/>
                      <w:lang w:eastAsia="uk-UA"/>
                    </w:rPr>
                    <m:t>ВТ</m:t>
                  </m:r>
                </m:e>
                <m:sub>
                  <m:r>
                    <m:rPr>
                      <m:sty m:val="bi"/>
                    </m:rPr>
                    <w:rPr>
                      <w:rFonts w:ascii="Cambria Math" w:eastAsiaTheme="minorEastAsia" w:hAnsi="Cambria Math"/>
                      <w:sz w:val="24"/>
                      <w:szCs w:val="24"/>
                      <w:lang w:eastAsia="uk-UA"/>
                    </w:rPr>
                    <m:t>3_</m:t>
                  </m:r>
                  <m:r>
                    <m:rPr>
                      <m:sty m:val="bi"/>
                    </m:rPr>
                    <w:rPr>
                      <w:rFonts w:ascii="Cambria Math" w:eastAsiaTheme="minorEastAsia" w:hAnsi="Cambria Math"/>
                      <w:sz w:val="24"/>
                      <w:szCs w:val="24"/>
                      <w:lang w:val="en-US" w:eastAsia="uk-UA"/>
                    </w:rPr>
                    <m:t>t</m:t>
                  </m:r>
                </m:sub>
              </m:sSub>
            </m:oMath>
            <w:r w:rsidR="001A60EC" w:rsidRPr="005A615E">
              <w:rPr>
                <w:rFonts w:ascii="Times New Roman" w:hAnsi="Times New Roman" w:cs="Times New Roman"/>
                <w:b/>
                <w:sz w:val="24"/>
                <w:szCs w:val="24"/>
                <w:lang w:eastAsia="uk-UA"/>
              </w:rPr>
              <w:t xml:space="preserve">- вартість прогнозованих витрат, пов'язаних з перевищенням обсягу </w:t>
            </w:r>
            <w:r w:rsidR="001A60EC" w:rsidRPr="005A615E">
              <w:rPr>
                <w:rStyle w:val="st42"/>
                <w:rFonts w:ascii="Times New Roman" w:hAnsi="Times New Roman" w:cs="Times New Roman"/>
                <w:b/>
                <w:color w:val="auto"/>
                <w:sz w:val="24"/>
                <w:szCs w:val="24"/>
              </w:rPr>
              <w:t xml:space="preserve">фактичних витрат електричної енергії над обсягом нормативно-фактичних технологічних витрат електричної енергії у разі порушення схеми нормального режиму роботи системи розподілу/змінені обсягів розподілу/надходження/віддачі/транзиту електричної енергії тощо внаслідок введення воєнного стану та/або бойових дій в Україні році </w:t>
            </w:r>
            <w:r w:rsidR="001A60EC" w:rsidRPr="005A615E">
              <w:rPr>
                <w:rStyle w:val="st42"/>
                <w:rFonts w:ascii="Times New Roman" w:hAnsi="Times New Roman" w:cs="Times New Roman"/>
                <w:b/>
                <w:color w:val="auto"/>
                <w:sz w:val="24"/>
                <w:szCs w:val="24"/>
                <w:lang w:val="en-US"/>
              </w:rPr>
              <w:t>t</w:t>
            </w:r>
            <w:r w:rsidR="001A60EC" w:rsidRPr="005A615E">
              <w:rPr>
                <w:rStyle w:val="st42"/>
                <w:rFonts w:ascii="Times New Roman" w:hAnsi="Times New Roman" w:cs="Times New Roman"/>
                <w:b/>
                <w:color w:val="auto"/>
                <w:sz w:val="24"/>
                <w:szCs w:val="24"/>
              </w:rPr>
              <w:t>-2</w:t>
            </w:r>
            <w:r w:rsidR="001A60EC" w:rsidRPr="005A615E">
              <w:rPr>
                <w:rFonts w:ascii="Times New Roman" w:hAnsi="Times New Roman"/>
                <w:b/>
                <w:lang w:eastAsia="uk-UA"/>
              </w:rPr>
              <w:t>, що визначається за формулою</w:t>
            </w:r>
          </w:p>
          <w:p w:rsidR="001A60EC" w:rsidRPr="005A615E" w:rsidRDefault="000D13C5" w:rsidP="001A60EC">
            <w:pPr>
              <w:rPr>
                <w:rFonts w:ascii="Times New Roman" w:hAnsi="Times New Roman"/>
                <w:b/>
                <w:lang w:eastAsia="uk-UA"/>
              </w:rPr>
            </w:pPr>
            <m:oMath>
              <m:sSub>
                <m:sSubPr>
                  <m:ctrlPr>
                    <w:rPr>
                      <w:rStyle w:val="st42"/>
                      <w:rFonts w:ascii="Cambria Math" w:hAnsi="Cambria Math" w:cs="Times New Roman"/>
                      <w:b/>
                      <w:i/>
                      <w:color w:val="auto"/>
                      <w:sz w:val="24"/>
                      <w:szCs w:val="24"/>
                    </w:rPr>
                  </m:ctrlPr>
                </m:sSubPr>
                <m:e>
                  <m:r>
                    <m:rPr>
                      <m:sty m:val="bi"/>
                    </m:rPr>
                    <w:rPr>
                      <w:rStyle w:val="st42"/>
                      <w:rFonts w:ascii="Cambria Math" w:hAnsi="Cambria Math" w:cs="Times New Roman"/>
                      <w:color w:val="auto"/>
                      <w:sz w:val="24"/>
                      <w:szCs w:val="24"/>
                    </w:rPr>
                    <m:t>ВТ</m:t>
                  </m:r>
                </m:e>
                <m:sub>
                  <m:r>
                    <m:rPr>
                      <m:sty m:val="bi"/>
                    </m:rPr>
                    <w:rPr>
                      <w:rStyle w:val="st42"/>
                      <w:rFonts w:ascii="Cambria Math" w:hAnsi="Cambria Math" w:cs="Times New Roman"/>
                      <w:color w:val="auto"/>
                      <w:sz w:val="24"/>
                      <w:szCs w:val="24"/>
                    </w:rPr>
                    <m:t>3_t</m:t>
                  </m:r>
                </m:sub>
              </m:sSub>
              <m:r>
                <m:rPr>
                  <m:sty m:val="bi"/>
                </m:rPr>
                <w:rPr>
                  <w:rStyle w:val="st42"/>
                  <w:rFonts w:ascii="Cambria Math" w:hAnsi="Cambria Math" w:cs="Times New Roman"/>
                  <w:color w:val="auto"/>
                  <w:sz w:val="24"/>
                  <w:szCs w:val="24"/>
                </w:rPr>
                <m:t>=</m:t>
              </m:r>
              <m:sSub>
                <m:sSubPr>
                  <m:ctrlPr>
                    <w:rPr>
                      <w:rStyle w:val="st42"/>
                      <w:rFonts w:ascii="Cambria Math" w:hAnsi="Cambria Math" w:cs="Times New Roman"/>
                      <w:b/>
                      <w:i/>
                      <w:color w:val="auto"/>
                      <w:sz w:val="24"/>
                      <w:szCs w:val="24"/>
                    </w:rPr>
                  </m:ctrlPr>
                </m:sSubPr>
                <m:e>
                  <m:r>
                    <m:rPr>
                      <m:sty m:val="bi"/>
                    </m:rPr>
                    <w:rPr>
                      <w:rStyle w:val="st42"/>
                      <w:rFonts w:ascii="Cambria Math" w:hAnsi="Cambria Math" w:cs="Times New Roman"/>
                      <w:color w:val="auto"/>
                      <w:sz w:val="24"/>
                      <w:szCs w:val="24"/>
                    </w:rPr>
                    <m:t>O</m:t>
                  </m:r>
                </m:e>
                <m:sub>
                  <m:r>
                    <m:rPr>
                      <m:sty m:val="bi"/>
                    </m:rPr>
                    <w:rPr>
                      <w:rStyle w:val="st42"/>
                      <w:rFonts w:ascii="Cambria Math" w:hAnsi="Cambria Math" w:cs="Times New Roman"/>
                      <w:color w:val="auto"/>
                      <w:sz w:val="24"/>
                      <w:szCs w:val="24"/>
                    </w:rPr>
                    <m:t>3_t</m:t>
                  </m:r>
                </m:sub>
              </m:sSub>
              <m:r>
                <m:rPr>
                  <m:sty m:val="bi"/>
                </m:rPr>
                <w:rPr>
                  <w:rStyle w:val="st42"/>
                  <w:rFonts w:ascii="Cambria Math" w:hAnsi="Cambria Math" w:cs="Times New Roman"/>
                  <w:color w:val="auto"/>
                  <w:sz w:val="24"/>
                  <w:szCs w:val="24"/>
                </w:rPr>
                <m:t>×</m:t>
              </m:r>
              <m:sSubSup>
                <m:sSubSupPr>
                  <m:ctrlPr>
                    <w:rPr>
                      <w:rStyle w:val="st42"/>
                      <w:rFonts w:ascii="Cambria Math" w:hAnsi="Cambria Math" w:cs="Times New Roman"/>
                      <w:b/>
                      <w:i/>
                      <w:color w:val="auto"/>
                      <w:sz w:val="24"/>
                      <w:szCs w:val="24"/>
                    </w:rPr>
                  </m:ctrlPr>
                </m:sSubSupPr>
                <m:e>
                  <m:r>
                    <m:rPr>
                      <m:sty m:val="bi"/>
                    </m:rPr>
                    <w:rPr>
                      <w:rStyle w:val="st42"/>
                      <w:rFonts w:ascii="Cambria Math" w:hAnsi="Cambria Math" w:cs="Times New Roman"/>
                      <w:color w:val="auto"/>
                      <w:sz w:val="24"/>
                      <w:szCs w:val="24"/>
                    </w:rPr>
                    <m:t>Ц</m:t>
                  </m:r>
                </m:e>
                <m:sub>
                  <m:r>
                    <m:rPr>
                      <m:sty m:val="bi"/>
                    </m:rPr>
                    <w:rPr>
                      <w:rStyle w:val="st42"/>
                      <w:rFonts w:ascii="Cambria Math" w:hAnsi="Cambria Math" w:cs="Times New Roman"/>
                      <w:color w:val="auto"/>
                      <w:sz w:val="24"/>
                      <w:szCs w:val="24"/>
                    </w:rPr>
                    <m:t>t</m:t>
                  </m:r>
                </m:sub>
                <m:sup>
                  <m:r>
                    <m:rPr>
                      <m:sty m:val="bi"/>
                    </m:rPr>
                    <w:rPr>
                      <w:rStyle w:val="st42"/>
                      <w:rFonts w:ascii="Cambria Math" w:hAnsi="Cambria Math" w:cs="Times New Roman"/>
                      <w:color w:val="auto"/>
                      <w:sz w:val="24"/>
                      <w:szCs w:val="24"/>
                    </w:rPr>
                    <m:t>n</m:t>
                  </m:r>
                </m:sup>
              </m:sSubSup>
            </m:oMath>
            <w:r w:rsidR="001A60EC" w:rsidRPr="005A615E">
              <w:rPr>
                <w:rStyle w:val="st42"/>
                <w:rFonts w:ascii="Times New Roman" w:eastAsiaTheme="minorEastAsia" w:hAnsi="Times New Roman" w:cs="Times New Roman"/>
                <w:b/>
                <w:i/>
                <w:color w:val="auto"/>
                <w:sz w:val="24"/>
                <w:szCs w:val="24"/>
              </w:rPr>
              <w:t xml:space="preserve"> ,</w:t>
            </w:r>
            <w:r w:rsidR="001A60EC" w:rsidRPr="005A615E">
              <w:rPr>
                <w:rFonts w:ascii="Times New Roman" w:hAnsi="Times New Roman"/>
                <w:b/>
                <w:sz w:val="24"/>
                <w:lang w:eastAsia="uk-UA"/>
              </w:rPr>
              <w:t xml:space="preserve"> тис грн, </w:t>
            </w:r>
            <w:r w:rsidR="001A60EC" w:rsidRPr="005A615E">
              <w:rPr>
                <w:rFonts w:ascii="Times New Roman" w:hAnsi="Times New Roman"/>
                <w:b/>
                <w:sz w:val="24"/>
                <w:lang w:val="ru-RU" w:eastAsia="uk-UA"/>
              </w:rPr>
              <w:t xml:space="preserve"> (</w:t>
            </w:r>
            <w:r w:rsidR="00887F36" w:rsidRPr="005A615E">
              <w:rPr>
                <w:rFonts w:ascii="Times New Roman" w:hAnsi="Times New Roman"/>
                <w:b/>
                <w:sz w:val="24"/>
                <w:lang w:val="ru-RU" w:eastAsia="uk-UA"/>
              </w:rPr>
              <w:t>37</w:t>
            </w:r>
            <w:r w:rsidR="001A60EC" w:rsidRPr="005A615E">
              <w:rPr>
                <w:rFonts w:ascii="Times New Roman" w:hAnsi="Times New Roman"/>
                <w:b/>
                <w:sz w:val="24"/>
                <w:lang w:val="ru-RU" w:eastAsia="uk-UA"/>
              </w:rPr>
              <w:t>)</w:t>
            </w:r>
            <w:r w:rsidR="001A60EC" w:rsidRPr="005A615E">
              <w:rPr>
                <w:rFonts w:ascii="Times New Roman" w:hAnsi="Times New Roman"/>
                <w:b/>
                <w:lang w:eastAsia="uk-UA"/>
              </w:rPr>
              <w:t xml:space="preserve"> </w:t>
            </w:r>
          </w:p>
          <w:p w:rsidR="001A60EC" w:rsidRPr="005A615E" w:rsidRDefault="001A60EC" w:rsidP="001A60EC">
            <w:pPr>
              <w:rPr>
                <w:rFonts w:ascii="Times New Roman" w:hAnsi="Times New Roman"/>
                <w:b/>
                <w:lang w:eastAsia="uk-UA"/>
              </w:rPr>
            </w:pPr>
          </w:p>
          <w:p w:rsidR="001A60EC" w:rsidRPr="005A615E" w:rsidRDefault="001A60EC" w:rsidP="001A60EC">
            <w:pPr>
              <w:jc w:val="both"/>
              <w:rPr>
                <w:rFonts w:ascii="Times New Roman" w:hAnsi="Times New Roman"/>
                <w:b/>
                <w:lang w:eastAsia="uk-UA"/>
              </w:rPr>
            </w:pPr>
            <w:r w:rsidRPr="005A615E">
              <w:rPr>
                <w:rFonts w:ascii="Times New Roman" w:hAnsi="Times New Roman"/>
                <w:b/>
                <w:lang w:eastAsia="uk-UA"/>
              </w:rPr>
              <w:t>де О</w:t>
            </w:r>
            <w:r w:rsidRPr="005A615E">
              <w:rPr>
                <w:rFonts w:ascii="Times New Roman" w:hAnsi="Times New Roman"/>
                <w:b/>
                <w:vertAlign w:val="subscript"/>
                <w:lang w:eastAsia="uk-UA"/>
              </w:rPr>
              <w:t>3_</w:t>
            </w:r>
            <w:r w:rsidRPr="005A615E">
              <w:rPr>
                <w:rFonts w:ascii="Times New Roman" w:hAnsi="Times New Roman"/>
                <w:b/>
                <w:vertAlign w:val="subscript"/>
                <w:lang w:val="en-US" w:eastAsia="uk-UA"/>
              </w:rPr>
              <w:t>t</w:t>
            </w:r>
            <w:r w:rsidRPr="005A615E">
              <w:rPr>
                <w:rFonts w:ascii="Times New Roman" w:hAnsi="Times New Roman"/>
                <w:b/>
                <w:lang w:eastAsia="uk-UA"/>
              </w:rPr>
              <w:t xml:space="preserve"> - 50 % від величини сумарного обсягу </w:t>
            </w:r>
            <w:r w:rsidRPr="005A615E">
              <w:rPr>
                <w:rFonts w:ascii="Times New Roman" w:hAnsi="Times New Roman" w:cs="Times New Roman"/>
                <w:b/>
                <w:sz w:val="24"/>
                <w:szCs w:val="24"/>
                <w:lang w:eastAsia="uk-UA"/>
              </w:rPr>
              <w:t xml:space="preserve">перевищення </w:t>
            </w:r>
            <w:r w:rsidRPr="005A615E">
              <w:rPr>
                <w:rStyle w:val="st42"/>
                <w:rFonts w:ascii="Times New Roman" w:hAnsi="Times New Roman" w:cs="Times New Roman"/>
                <w:b/>
                <w:color w:val="auto"/>
                <w:sz w:val="24"/>
                <w:szCs w:val="24"/>
              </w:rPr>
              <w:t xml:space="preserve">фактичних витрат електричної енергії над обсягом нормативно-фактичними технологічними витратами, </w:t>
            </w:r>
            <w:r w:rsidRPr="005A615E">
              <w:rPr>
                <w:rFonts w:ascii="Times New Roman" w:hAnsi="Times New Roman"/>
                <w:b/>
                <w:lang w:eastAsia="uk-UA"/>
              </w:rPr>
              <w:t xml:space="preserve"> обґрунтованого за результатами заходів контролю за рік t-2</w:t>
            </w:r>
            <w:r w:rsidRPr="005A615E">
              <w:rPr>
                <w:rStyle w:val="st42"/>
                <w:rFonts w:ascii="Times New Roman" w:hAnsi="Times New Roman" w:cs="Times New Roman"/>
                <w:b/>
                <w:color w:val="auto"/>
                <w:sz w:val="24"/>
                <w:szCs w:val="24"/>
              </w:rPr>
              <w:t>. (</w:t>
            </w:r>
            <w:r w:rsidRPr="005A615E">
              <w:rPr>
                <w:rFonts w:ascii="Times New Roman" w:hAnsi="Times New Roman"/>
                <w:b/>
                <w:lang w:eastAsia="uk-UA"/>
              </w:rPr>
              <w:t xml:space="preserve">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50 % від величини сумарного обсягу </w:t>
            </w:r>
            <w:r w:rsidRPr="005A615E">
              <w:rPr>
                <w:rFonts w:ascii="Times New Roman" w:hAnsi="Times New Roman" w:cs="Times New Roman"/>
                <w:b/>
                <w:sz w:val="24"/>
                <w:szCs w:val="24"/>
                <w:lang w:eastAsia="uk-UA"/>
              </w:rPr>
              <w:t xml:space="preserve">перевищення </w:t>
            </w:r>
            <w:r w:rsidRPr="005A615E">
              <w:rPr>
                <w:rStyle w:val="st42"/>
                <w:rFonts w:ascii="Times New Roman" w:hAnsi="Times New Roman" w:cs="Times New Roman"/>
                <w:b/>
                <w:color w:val="auto"/>
                <w:sz w:val="24"/>
                <w:szCs w:val="24"/>
              </w:rPr>
              <w:t xml:space="preserve">фактичних витрат електричної енергії над обсягом нормативно-фактичних технологічних витрат </w:t>
            </w:r>
            <w:r w:rsidRPr="005A615E">
              <w:rPr>
                <w:rFonts w:ascii="Times New Roman" w:hAnsi="Times New Roman"/>
                <w:b/>
                <w:lang w:eastAsia="uk-UA"/>
              </w:rPr>
              <w:t>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 450);</w:t>
            </w:r>
          </w:p>
          <w:p w:rsidR="001A60EC" w:rsidRPr="005A615E" w:rsidRDefault="001A60EC" w:rsidP="001A60EC">
            <w:pPr>
              <w:jc w:val="both"/>
              <w:rPr>
                <w:rFonts w:ascii="Times New Roman" w:hAnsi="Times New Roman"/>
                <w:lang w:eastAsia="uk-UA"/>
              </w:rPr>
            </w:pPr>
          </w:p>
          <w:p w:rsidR="001A60EC" w:rsidRPr="005A615E" w:rsidRDefault="001A60EC" w:rsidP="001A60EC">
            <w:pPr>
              <w:jc w:val="both"/>
              <w:rPr>
                <w:rFonts w:ascii="Times New Roman" w:hAnsi="Times New Roman"/>
                <w:lang w:eastAsia="uk-UA"/>
              </w:rPr>
            </w:pPr>
            <w:r w:rsidRPr="005A615E">
              <w:rPr>
                <w:rFonts w:ascii="Times New Roman" w:hAnsi="Times New Roman"/>
                <w:lang w:eastAsia="uk-UA"/>
              </w:rPr>
              <w:t>де </w:t>
            </w:r>
            <w:r w:rsidRPr="005A615E">
              <w:rPr>
                <w:rFonts w:ascii="Times New Roman" w:hAnsi="Times New Roman"/>
                <w:noProof/>
                <w:lang w:eastAsia="uk-UA"/>
              </w:rPr>
              <w:drawing>
                <wp:inline distT="0" distB="0" distL="0" distR="0" wp14:anchorId="49624023" wp14:editId="59434F09">
                  <wp:extent cx="247650" cy="209550"/>
                  <wp:effectExtent l="0" t="0" r="0" b="0"/>
                  <wp:docPr id="792200300" name="Рисунок 792200300"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4" descr="https://zakon-pro.ligazakon.net/l_flib1.nsf/LookupFiles/GK40721_IMG_010.gif/$file/GK40721_IMG_01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5A615E">
              <w:rPr>
                <w:rFonts w:ascii="Times New Roman" w:hAnsi="Times New Roman"/>
                <w:lang w:eastAsia="uk-UA"/>
              </w:rPr>
              <w:t> - рівень прогнозованої оптової ринкової ціни електричної енергії, затвердженої НКРЕКП (проект рівня прогнозованої оптової ринкової ціни електричної енергії), скоригованої на коефіцієнт графіка навантаження ліцензіата, або рівень цін електричної енергії, що продається за двосторонніми договорами на електронних аукціонах</w:t>
            </w:r>
            <w:hyperlink r:id="rId373" w:tgtFrame="_blank" w:history="1">
              <w:r w:rsidRPr="005A615E">
                <w:rPr>
                  <w:rStyle w:val="a9"/>
                  <w:rFonts w:ascii="Times New Roman" w:hAnsi="Times New Roman"/>
                  <w:color w:val="auto"/>
                  <w:lang w:eastAsia="uk-UA"/>
                </w:rPr>
                <w:t>, балансуючому ринку</w:t>
              </w:r>
            </w:hyperlink>
            <w:r w:rsidRPr="005A615E">
              <w:rPr>
                <w:rFonts w:ascii="Times New Roman" w:hAnsi="Times New Roman"/>
                <w:lang w:eastAsia="uk-UA"/>
              </w:rPr>
              <w:t> та на ринку "на добу наперед" (у встановленому співвідношенні), на рік t, грн/МВт·год;</w:t>
            </w:r>
          </w:p>
          <w:p w:rsidR="001A60EC" w:rsidRPr="005A615E" w:rsidRDefault="001A60EC" w:rsidP="001A60EC">
            <w:pPr>
              <w:jc w:val="right"/>
              <w:rPr>
                <w:rFonts w:ascii="Times New Roman" w:hAnsi="Times New Roman"/>
                <w:lang w:eastAsia="uk-UA"/>
              </w:rPr>
            </w:pPr>
          </w:p>
          <w:p w:rsidR="001A60EC" w:rsidRPr="005A615E" w:rsidRDefault="001A60EC" w:rsidP="001A60EC">
            <w:pPr>
              <w:jc w:val="both"/>
              <w:rPr>
                <w:rFonts w:ascii="Times New Roman" w:hAnsi="Times New Roman"/>
                <w:lang w:eastAsia="uk-UA"/>
              </w:rPr>
            </w:pP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063C01B0" wp14:editId="47196240">
                  <wp:extent cx="266700" cy="190500"/>
                  <wp:effectExtent l="0" t="0" r="0" b="0"/>
                  <wp:docPr id="792200301" name="Рисунок 792200301" descr="https://zakon-pro.ligazakon.net/l_flib1.nsf/LookupFiles/GK40721_IMG_011.gif/$file/GK40721_IMG_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55" descr="https://zakon-pro.ligazakon.net/l_flib1.nsf/LookupFiles/GK40721_IMG_011.gif/$file/GK40721_IMG_011.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33DB1CA0" wp14:editId="77E5E4C3">
                  <wp:extent cx="295275" cy="190500"/>
                  <wp:effectExtent l="0" t="0" r="9525" b="0"/>
                  <wp:docPr id="792200302" name="Рисунок 792200302" descr="https://zakon-pro.ligazakon.net/l_flib1.nsf/LookupFiles/GK40721_IMG_012.gif/$file/GK40721_IMG_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60" descr="https://zakon-pro.ligazakon.net/l_flib1.nsf/LookupFiles/GK40721_IMG_012.gif/$file/GK40721_IMG_012.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5A615E">
              <w:rPr>
                <w:rFonts w:ascii="Times New Roman" w:hAnsi="Times New Roman"/>
                <w:lang w:eastAsia="uk-UA"/>
              </w:rPr>
              <w:t>- прогнозовані обсяги технологічних витрат електричної енергії на її розподіл на рік t визначаються за формулами</w:t>
            </w:r>
          </w:p>
          <w:p w:rsidR="001A60EC" w:rsidRPr="005A615E" w:rsidRDefault="001A60EC" w:rsidP="001A60EC">
            <w:pPr>
              <w:rPr>
                <w:rFonts w:ascii="Times New Roman" w:hAnsi="Times New Roman"/>
                <w:lang w:eastAsia="uk-UA"/>
              </w:rPr>
            </w:pPr>
            <w:r w:rsidRPr="005A615E">
              <w:rPr>
                <w:rFonts w:ascii="Times New Roman" w:hAnsi="Times New Roman"/>
                <w:noProof/>
                <w:lang w:eastAsia="uk-UA"/>
              </w:rPr>
              <w:drawing>
                <wp:inline distT="0" distB="0" distL="0" distR="0" wp14:anchorId="49860759" wp14:editId="35D4BA93">
                  <wp:extent cx="2095500" cy="342900"/>
                  <wp:effectExtent l="0" t="0" r="0" b="0"/>
                  <wp:docPr id="792200303" name="Рисунок 792200303" descr="https://zakon-pro.ligazakon.net/l_flib1.nsf/LookupFiles/GK40721_IMG_155.GIF/$file/GK40721_IMG_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63" descr="https://zakon-pro.ligazakon.net/l_flib1.nsf/LookupFiles/GK40721_IMG_155.GIF/$file/GK40721_IMG_155.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0" cy="342900"/>
                          </a:xfrm>
                          <a:prstGeom prst="rect">
                            <a:avLst/>
                          </a:prstGeom>
                          <a:noFill/>
                          <a:ln>
                            <a:noFill/>
                          </a:ln>
                        </pic:spPr>
                      </pic:pic>
                    </a:graphicData>
                  </a:graphic>
                </wp:inline>
              </w:drawing>
            </w:r>
            <w:r w:rsidRPr="005A615E">
              <w:rPr>
                <w:rFonts w:ascii="Times New Roman" w:hAnsi="Times New Roman"/>
                <w:lang w:eastAsia="uk-UA"/>
              </w:rPr>
              <w:t xml:space="preserve"> </w:t>
            </w:r>
            <w:hyperlink r:id="rId374" w:tgtFrame="_blank" w:history="1">
              <w:r w:rsidRPr="005A615E">
                <w:rPr>
                  <w:rStyle w:val="a9"/>
                  <w:rFonts w:ascii="Times New Roman" w:hAnsi="Times New Roman"/>
                  <w:color w:val="auto"/>
                  <w:lang w:eastAsia="uk-UA"/>
                </w:rPr>
                <w:t xml:space="preserve">, </w:t>
              </w:r>
            </w:hyperlink>
            <w:r w:rsidRPr="005A615E">
              <w:rPr>
                <w:rFonts w:ascii="Times New Roman" w:hAnsi="Times New Roman"/>
                <w:lang w:eastAsia="uk-UA"/>
              </w:rPr>
              <w:t>МВт·год, (</w:t>
            </w:r>
            <w:r w:rsidR="00887F36" w:rsidRPr="005A615E">
              <w:rPr>
                <w:rFonts w:ascii="Times New Roman" w:hAnsi="Times New Roman"/>
                <w:lang w:eastAsia="uk-UA"/>
              </w:rPr>
              <w:t>38</w:t>
            </w:r>
            <w:r w:rsidRPr="005A615E">
              <w:rPr>
                <w:rFonts w:ascii="Times New Roman" w:hAnsi="Times New Roman"/>
                <w:lang w:eastAsia="uk-UA"/>
              </w:rPr>
              <w:t>)</w:t>
            </w:r>
          </w:p>
          <w:p w:rsidR="001A60EC" w:rsidRPr="005A615E" w:rsidRDefault="001A60EC" w:rsidP="001A60EC">
            <w:pPr>
              <w:jc w:val="right"/>
              <w:rPr>
                <w:rFonts w:ascii="Times New Roman" w:hAnsi="Times New Roman"/>
                <w:lang w:eastAsia="uk-UA"/>
              </w:rPr>
            </w:pPr>
          </w:p>
          <w:tbl>
            <w:tblPr>
              <w:tblW w:w="26205" w:type="dxa"/>
              <w:jc w:val="center"/>
              <w:tblCellSpacing w:w="22" w:type="dxa"/>
              <w:tblLayout w:type="fixed"/>
              <w:tblCellMar>
                <w:top w:w="60" w:type="dxa"/>
                <w:left w:w="60" w:type="dxa"/>
                <w:bottom w:w="60" w:type="dxa"/>
                <w:right w:w="60" w:type="dxa"/>
              </w:tblCellMar>
              <w:tblLook w:val="04A0" w:firstRow="1" w:lastRow="0" w:firstColumn="1" w:lastColumn="0" w:noHBand="0" w:noVBand="1"/>
            </w:tblPr>
            <w:tblGrid>
              <w:gridCol w:w="13045"/>
              <w:gridCol w:w="13160"/>
            </w:tblGrid>
            <w:tr w:rsidR="001A60EC" w:rsidRPr="005A615E" w:rsidTr="00E50498">
              <w:trPr>
                <w:tblCellSpacing w:w="22" w:type="dxa"/>
                <w:jc w:val="center"/>
              </w:trPr>
              <w:tc>
                <w:tcPr>
                  <w:tcW w:w="2476" w:type="pct"/>
                  <w:vAlign w:val="center"/>
                  <w:hideMark/>
                </w:tcPr>
                <w:p w:rsidR="001A60EC" w:rsidRPr="005A615E" w:rsidRDefault="001A60EC" w:rsidP="001A60EC">
                  <w:pPr>
                    <w:jc w:val="right"/>
                    <w:rPr>
                      <w:rFonts w:ascii="Times New Roman" w:hAnsi="Times New Roman"/>
                      <w:lang w:eastAsia="uk-UA"/>
                    </w:rPr>
                  </w:pP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3D0659B1" wp14:editId="37ABAF4C">
                        <wp:extent cx="876300" cy="361950"/>
                        <wp:effectExtent l="0" t="0" r="0" b="0"/>
                        <wp:docPr id="792200304" name="Рисунок 792200304" descr="https://zakon-pro.ligazakon.net/l_flib1.nsf/LookupFiles/GK40721_IMG_014.gif/$file/GK40721_IMG_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32178366" descr="https://zakon-pro.ligazakon.net/l_flib1.nsf/LookupFiles/GK40721_IMG_014.gif/$file/GK40721_IMG_014.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76300" cy="361950"/>
                                </a:xfrm>
                                <a:prstGeom prst="rect">
                                  <a:avLst/>
                                </a:prstGeom>
                                <a:noFill/>
                                <a:ln>
                                  <a:noFill/>
                                </a:ln>
                              </pic:spPr>
                            </pic:pic>
                          </a:graphicData>
                        </a:graphic>
                      </wp:inline>
                    </w:drawing>
                  </w:r>
                </w:p>
              </w:tc>
              <w:tc>
                <w:tcPr>
                  <w:tcW w:w="2498" w:type="pct"/>
                  <w:vAlign w:val="center"/>
                  <w:hideMark/>
                </w:tcPr>
                <w:p w:rsidR="001A60EC" w:rsidRPr="005A615E" w:rsidRDefault="001A60EC" w:rsidP="001A60EC">
                  <w:pPr>
                    <w:rPr>
                      <w:rFonts w:ascii="Times New Roman" w:hAnsi="Times New Roman"/>
                      <w:lang w:eastAsia="uk-UA"/>
                    </w:rPr>
                  </w:pPr>
                  <w:r w:rsidRPr="005A615E">
                    <w:rPr>
                      <w:rFonts w:ascii="Times New Roman" w:hAnsi="Times New Roman"/>
                      <w:lang w:eastAsia="uk-UA"/>
                    </w:rPr>
                    <w:t>, МВт·год, (</w:t>
                  </w:r>
                  <w:r w:rsidR="00887F36" w:rsidRPr="005A615E">
                    <w:rPr>
                      <w:rFonts w:ascii="Times New Roman" w:hAnsi="Times New Roman"/>
                      <w:lang w:eastAsia="uk-UA"/>
                    </w:rPr>
                    <w:t>39</w:t>
                  </w:r>
                  <w:r w:rsidRPr="005A615E">
                    <w:rPr>
                      <w:rFonts w:ascii="Times New Roman" w:hAnsi="Times New Roman"/>
                      <w:lang w:eastAsia="uk-UA"/>
                    </w:rPr>
                    <w:t>)</w:t>
                  </w:r>
                </w:p>
              </w:tc>
            </w:tr>
          </w:tbl>
          <w:p w:rsidR="001A60EC" w:rsidRPr="005A615E" w:rsidRDefault="001A60EC" w:rsidP="001A60EC">
            <w:pPr>
              <w:jc w:val="both"/>
              <w:rPr>
                <w:rFonts w:ascii="Times New Roman" w:eastAsia="Times New Roman" w:hAnsi="Times New Roman"/>
                <w:lang w:eastAsia="uk-UA"/>
              </w:rPr>
            </w:pPr>
            <w:r w:rsidRPr="005A615E">
              <w:rPr>
                <w:rFonts w:ascii="Times New Roman" w:hAnsi="Times New Roman"/>
                <w:lang w:eastAsia="uk-UA"/>
              </w:rPr>
              <w:t>де </w:t>
            </w:r>
            <w:r w:rsidRPr="005A615E">
              <w:rPr>
                <w:rFonts w:ascii="Times New Roman" w:hAnsi="Times New Roman"/>
                <w:noProof/>
                <w:lang w:eastAsia="uk-UA"/>
              </w:rPr>
              <w:drawing>
                <wp:inline distT="0" distB="0" distL="0" distR="0" wp14:anchorId="5070C1D6" wp14:editId="10C916AC">
                  <wp:extent cx="409575" cy="228600"/>
                  <wp:effectExtent l="0" t="0" r="9525" b="0"/>
                  <wp:docPr id="792200305" name="Рисунок 792200305" descr="https://zakon-pro.ligazakon.net/l_flib1.nsf/LookupFiles/GK40721_IMG_156.GIF/$file/GK40721_IMG_156.GIF">
                    <a:hlinkClick xmlns:a="http://schemas.openxmlformats.org/drawingml/2006/main" r:id="rId5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descr="https://zakon-pro.ligazakon.net/l_flib1.nsf/LookupFiles/GK40721_IMG_156.GIF/$file/GK40721_IMG_156.GIF">
                            <a:hlinkClick r:id="rId58" tgtFrame="&quot;_blank&quo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sidRPr="005A615E">
              <w:rPr>
                <w:rFonts w:ascii="Times New Roman" w:hAnsi="Times New Roman"/>
                <w:lang w:eastAsia="uk-UA"/>
              </w:rPr>
              <w:t>- прогнозований обсяг корисного відпуску електричної енергії </w:t>
            </w:r>
            <w:hyperlink r:id="rId375" w:tgtFrame="_blank" w:history="1">
              <w:r w:rsidRPr="005A615E">
                <w:rPr>
                  <w:rStyle w:val="a9"/>
                  <w:rFonts w:ascii="Times New Roman" w:hAnsi="Times New Roman"/>
                  <w:color w:val="auto"/>
                  <w:lang w:eastAsia="uk-UA"/>
                </w:rPr>
                <w:t>на 1 класі</w:t>
              </w:r>
            </w:hyperlink>
            <w:r w:rsidRPr="005A615E">
              <w:rPr>
                <w:rFonts w:ascii="Times New Roman" w:hAnsi="Times New Roman"/>
                <w:lang w:eastAsia="uk-UA"/>
              </w:rPr>
              <w:t> </w:t>
            </w:r>
            <w:hyperlink r:id="rId376" w:tgtFrame="_blank" w:history="1">
              <w:r w:rsidRPr="005A615E">
                <w:rPr>
                  <w:rStyle w:val="a9"/>
                  <w:rFonts w:ascii="Times New Roman" w:hAnsi="Times New Roman"/>
                  <w:color w:val="auto"/>
                  <w:lang w:eastAsia="uk-UA"/>
                </w:rPr>
                <w:t>напруги на рік t, МВт·год;</w:t>
              </w:r>
            </w:hyperlink>
          </w:p>
          <w:p w:rsidR="001A60EC" w:rsidRPr="005A615E" w:rsidRDefault="000D13C5" w:rsidP="001A60EC">
            <w:pPr>
              <w:rPr>
                <w:rFonts w:ascii="Times New Roman" w:hAnsi="Times New Roman"/>
                <w:lang w:eastAsia="uk-UA"/>
              </w:rPr>
            </w:pPr>
            <w:hyperlink r:id="rId377" w:tgtFrame="_blank" w:history="1">
              <w:r w:rsidR="001A60EC" w:rsidRPr="005A615E">
                <w:rPr>
                  <w:rFonts w:ascii="Times New Roman" w:hAnsi="Times New Roman"/>
                  <w:noProof/>
                  <w:lang w:eastAsia="uk-UA"/>
                </w:rPr>
                <w:drawing>
                  <wp:inline distT="0" distB="0" distL="0" distR="0" wp14:anchorId="0D77757E" wp14:editId="3AE30E4F">
                    <wp:extent cx="361950" cy="228600"/>
                    <wp:effectExtent l="0" t="0" r="0" b="0"/>
                    <wp:docPr id="792200306" name="Рисунок 792200306" descr="https://zakon-pro.ligazakon.net/l_flib1.nsf/LookupFiles/GK40721_IMG_157.GIF/$file/GK40721_IMG_1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200306" name="Рисунок 792200306" descr="https://zakon-pro.ligazakon.net/l_flib1.nsf/LookupFiles/GK40721_IMG_157.GIF/$file/GK40721_IMG_157.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1950" cy="228600"/>
                            </a:xfrm>
                            <a:prstGeom prst="rect">
                              <a:avLst/>
                            </a:prstGeom>
                            <a:noFill/>
                            <a:ln>
                              <a:noFill/>
                            </a:ln>
                          </pic:spPr>
                        </pic:pic>
                      </a:graphicData>
                    </a:graphic>
                  </wp:inline>
                </w:drawing>
              </w:r>
              <w:r w:rsidR="001A60EC" w:rsidRPr="005A615E">
                <w:rPr>
                  <w:rStyle w:val="a9"/>
                  <w:rFonts w:ascii="Times New Roman" w:hAnsi="Times New Roman"/>
                  <w:color w:val="auto"/>
                  <w:lang w:eastAsia="uk-UA"/>
                </w:rPr>
                <w:t> - прогнозований обсяг розподілу електричної енергії</w:t>
              </w:r>
            </w:hyperlink>
            <w:r w:rsidR="001A60EC" w:rsidRPr="005A615E">
              <w:rPr>
                <w:rFonts w:ascii="Times New Roman" w:hAnsi="Times New Roman"/>
                <w:lang w:eastAsia="uk-UA"/>
              </w:rPr>
              <w:t> </w:t>
            </w:r>
            <w:hyperlink r:id="rId378" w:tgtFrame="_blank" w:history="1">
              <w:r w:rsidR="001A60EC" w:rsidRPr="005A615E">
                <w:rPr>
                  <w:rStyle w:val="a9"/>
                  <w:rFonts w:ascii="Times New Roman" w:hAnsi="Times New Roman"/>
                  <w:color w:val="auto"/>
                  <w:lang w:eastAsia="uk-UA"/>
                </w:rPr>
                <w:t>на 2 класі</w:t>
              </w:r>
            </w:hyperlink>
            <w:r w:rsidR="001A60EC" w:rsidRPr="005A615E">
              <w:rPr>
                <w:rFonts w:ascii="Times New Roman" w:hAnsi="Times New Roman"/>
                <w:lang w:eastAsia="uk-UA"/>
              </w:rPr>
              <w:t> </w:t>
            </w:r>
            <w:hyperlink r:id="rId379" w:tgtFrame="_blank" w:history="1">
              <w:r w:rsidR="001A60EC" w:rsidRPr="005A615E">
                <w:rPr>
                  <w:rStyle w:val="a9"/>
                  <w:rFonts w:ascii="Times New Roman" w:hAnsi="Times New Roman"/>
                  <w:color w:val="auto"/>
                  <w:lang w:eastAsia="uk-UA"/>
                </w:rPr>
                <w:t>напруги на рік t, МВт·год;</w:t>
              </w:r>
            </w:hyperlink>
          </w:p>
          <w:tbl>
            <w:tblPr>
              <w:tblW w:w="4804" w:type="pct"/>
              <w:tblLayout w:type="fixed"/>
              <w:tblCellMar>
                <w:left w:w="0" w:type="dxa"/>
                <w:right w:w="0" w:type="dxa"/>
              </w:tblCellMar>
              <w:tblLook w:val="04A0" w:firstRow="1" w:lastRow="0" w:firstColumn="1" w:lastColumn="0" w:noHBand="0" w:noVBand="1"/>
            </w:tblPr>
            <w:tblGrid>
              <w:gridCol w:w="512"/>
              <w:gridCol w:w="98"/>
              <w:gridCol w:w="2802"/>
              <w:gridCol w:w="188"/>
            </w:tblGrid>
            <w:tr w:rsidR="00887F36" w:rsidRPr="005A615E" w:rsidTr="00E91CE8">
              <w:tc>
                <w:tcPr>
                  <w:tcW w:w="3605" w:type="dxa"/>
                  <w:gridSpan w:val="4"/>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rPr>
                      <w:rFonts w:ascii="Times New Roman" w:hAnsi="Times New Roman"/>
                      <w:lang w:eastAsia="uk-UA"/>
                    </w:rPr>
                  </w:pPr>
                </w:p>
              </w:tc>
            </w:tr>
            <w:tr w:rsidR="00887F36" w:rsidRPr="005A615E" w:rsidTr="00E91CE8">
              <w:trPr>
                <w:gridAfter w:val="1"/>
                <w:wAfter w:w="188" w:type="dxa"/>
              </w:trPr>
              <w:tc>
                <w:tcPr>
                  <w:tcW w:w="513"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eastAsia="Times New Roman" w:hAnsi="Times New Roman"/>
                      <w:sz w:val="24"/>
                      <w:szCs w:val="24"/>
                      <w:lang w:eastAsia="uk-UA"/>
                    </w:rPr>
                  </w:pPr>
                  <w:r w:rsidRPr="005A615E">
                    <w:rPr>
                      <w:rFonts w:ascii="Times New Roman" w:hAnsi="Times New Roman"/>
                      <w:noProof/>
                      <w:lang w:eastAsia="uk-UA"/>
                    </w:rPr>
                    <w:drawing>
                      <wp:inline distT="0" distB="0" distL="0" distR="0" wp14:anchorId="33D6C647" wp14:editId="51817333">
                        <wp:extent cx="228600" cy="228600"/>
                        <wp:effectExtent l="0" t="0" r="0" b="0"/>
                        <wp:docPr id="792200317" name="Рисунок 792200317" descr="https://zakon.rada.gov.ua/laws/file/imgs/129/p478167n278v4-152.gif">
                          <a:hlinkClick xmlns:a="http://schemas.openxmlformats.org/drawingml/2006/main" r:id="rId3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descr="https://zakon.rada.gov.ua/laws/file/imgs/129/p478167n278v4-152.gif">
                                  <a:hlinkClick r:id="rId356"/>
                                </pic:cNvPr>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615E">
                    <w:rPr>
                      <w:rFonts w:ascii="Times New Roman" w:hAnsi="Times New Roman"/>
                      <w:lang w:eastAsia="uk-UA"/>
                    </w:rPr>
                    <w:t>, </w:t>
                  </w:r>
                  <w:r w:rsidRPr="005A615E">
                    <w:rPr>
                      <w:rFonts w:ascii="Times New Roman" w:hAnsi="Times New Roman"/>
                      <w:noProof/>
                      <w:lang w:eastAsia="uk-UA"/>
                    </w:rPr>
                    <w:drawing>
                      <wp:inline distT="0" distB="0" distL="0" distR="0" wp14:anchorId="6E2D55F6" wp14:editId="5C47AC36">
                        <wp:extent cx="238125" cy="228600"/>
                        <wp:effectExtent l="0" t="0" r="9525" b="0"/>
                        <wp:docPr id="792200318" name="Рисунок 792200318" descr="https://zakon.rada.gov.ua/laws/file/imgs/129/p478167n278v4-153.gif">
                          <a:hlinkClick xmlns:a="http://schemas.openxmlformats.org/drawingml/2006/main" r:id="rId3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descr="https://zakon.rada.gov.ua/laws/file/imgs/129/p478167n278v4-153.gif">
                                  <a:hlinkClick r:id="rId358"/>
                                </pic:cNvPr>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98"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w:t>
                  </w:r>
                </w:p>
              </w:tc>
              <w:tc>
                <w:tcPr>
                  <w:tcW w:w="2806"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економічні коефіцієнти прогнозованих технологічних витрат електроенергії на 1 та 2 класі напруги, встановлені відповідно до </w:t>
                  </w:r>
                  <w:hyperlink r:id="rId380" w:anchor="n10" w:tgtFrame="_blank" w:history="1">
                    <w:r w:rsidRPr="005A615E">
                      <w:rPr>
                        <w:rStyle w:val="a9"/>
                        <w:rFonts w:ascii="Times New Roman" w:hAnsi="Times New Roman"/>
                        <w:color w:val="auto"/>
                        <w:lang w:eastAsia="uk-UA"/>
                      </w:rPr>
                      <w:t>Положення про порядок подання, визначення та затвердження економічних коефіцієнтів</w:t>
                    </w:r>
                  </w:hyperlink>
                  <w:r w:rsidRPr="005A615E">
                    <w:rPr>
                      <w:rFonts w:ascii="Times New Roman" w:hAnsi="Times New Roman"/>
                      <w:lang w:eastAsia="uk-UA"/>
                    </w:rPr>
                    <w:t>, на рік </w:t>
                  </w:r>
                  <w:r w:rsidRPr="005A615E">
                    <w:rPr>
                      <w:rFonts w:ascii="Times New Roman" w:hAnsi="Times New Roman"/>
                      <w:i/>
                      <w:iCs/>
                      <w:lang w:eastAsia="uk-UA"/>
                    </w:rPr>
                    <w:t>t</w:t>
                  </w:r>
                  <w:r w:rsidRPr="005A615E">
                    <w:rPr>
                      <w:rFonts w:ascii="Times New Roman" w:hAnsi="Times New Roman"/>
                      <w:lang w:eastAsia="uk-UA"/>
                    </w:rPr>
                    <w:t>, відносні одиниці;</w:t>
                  </w:r>
                </w:p>
              </w:tc>
            </w:tr>
            <w:tr w:rsidR="00887F36" w:rsidRPr="005A615E" w:rsidTr="00E91CE8">
              <w:trPr>
                <w:gridAfter w:val="1"/>
                <w:wAfter w:w="188" w:type="dxa"/>
              </w:trPr>
              <w:tc>
                <w:tcPr>
                  <w:tcW w:w="513"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szCs w:val="24"/>
                      <w:lang w:eastAsia="uk-UA"/>
                    </w:rPr>
                  </w:pPr>
                  <w:r w:rsidRPr="005A615E">
                    <w:rPr>
                      <w:rFonts w:ascii="Times New Roman" w:hAnsi="Times New Roman"/>
                      <w:noProof/>
                      <w:lang w:eastAsia="uk-UA"/>
                    </w:rPr>
                    <w:drawing>
                      <wp:inline distT="0" distB="0" distL="0" distR="0" wp14:anchorId="1975E47A" wp14:editId="5ACADF88">
                        <wp:extent cx="282222" cy="190500"/>
                        <wp:effectExtent l="0" t="0" r="3810" b="0"/>
                        <wp:docPr id="792200319" name="Рисунок 792200319" descr="https://zakon.rada.gov.ua/laws/file/imgs/129/p478167n278v4-154.gif">
                          <a:hlinkClick xmlns:a="http://schemas.openxmlformats.org/drawingml/2006/main" r:id="rId3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descr="https://zakon.rada.gov.ua/laws/file/imgs/129/p478167n278v4-154.gif">
                                  <a:hlinkClick r:id="rId361"/>
                                </pic:cNvPr>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283823" cy="191580"/>
                                </a:xfrm>
                                <a:prstGeom prst="rect">
                                  <a:avLst/>
                                </a:prstGeom>
                                <a:noFill/>
                                <a:ln>
                                  <a:noFill/>
                                </a:ln>
                              </pic:spPr>
                            </pic:pic>
                          </a:graphicData>
                        </a:graphic>
                      </wp:inline>
                    </w:drawing>
                  </w:r>
                </w:p>
              </w:tc>
              <w:tc>
                <w:tcPr>
                  <w:tcW w:w="98"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w:t>
                  </w:r>
                </w:p>
              </w:tc>
              <w:tc>
                <w:tcPr>
                  <w:tcW w:w="2806"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витрати на оплату праці на прогнозний рік, тис.грн;</w:t>
                  </w:r>
                </w:p>
              </w:tc>
            </w:tr>
            <w:tr w:rsidR="00887F36" w:rsidRPr="005A615E" w:rsidTr="00E91CE8">
              <w:trPr>
                <w:gridAfter w:val="1"/>
                <w:wAfter w:w="188" w:type="dxa"/>
              </w:trPr>
              <w:tc>
                <w:tcPr>
                  <w:tcW w:w="513"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4E78B39A" wp14:editId="078F06FF">
                        <wp:extent cx="300990" cy="172909"/>
                        <wp:effectExtent l="0" t="0" r="3810" b="0"/>
                        <wp:docPr id="271230464" name="Рисунок 271230464" descr="https://zakon.rada.gov.ua/laws/file/imgs/129/p478167n278v4-155.gif">
                          <a:hlinkClick xmlns:a="http://schemas.openxmlformats.org/drawingml/2006/main" r:id="rId3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descr="https://zakon.rada.gov.ua/laws/file/imgs/129/p478167n278v4-155.gif">
                                  <a:hlinkClick r:id="rId363"/>
                                </pic:cNvPr>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302314" cy="173670"/>
                                </a:xfrm>
                                <a:prstGeom prst="rect">
                                  <a:avLst/>
                                </a:prstGeom>
                                <a:noFill/>
                                <a:ln>
                                  <a:noFill/>
                                </a:ln>
                              </pic:spPr>
                            </pic:pic>
                          </a:graphicData>
                        </a:graphic>
                      </wp:inline>
                    </w:drawing>
                  </w:r>
                </w:p>
              </w:tc>
              <w:tc>
                <w:tcPr>
                  <w:tcW w:w="98"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w:t>
                  </w:r>
                </w:p>
              </w:tc>
              <w:tc>
                <w:tcPr>
                  <w:tcW w:w="2806"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відрахування на соціальні заходи на прогнозний рік, тис.грн;</w:t>
                  </w:r>
                </w:p>
              </w:tc>
            </w:tr>
            <w:tr w:rsidR="00887F36" w:rsidRPr="005A615E" w:rsidTr="00E91CE8">
              <w:trPr>
                <w:gridAfter w:val="1"/>
                <w:wAfter w:w="188" w:type="dxa"/>
              </w:trPr>
              <w:tc>
                <w:tcPr>
                  <w:tcW w:w="513"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3CD16539" wp14:editId="482520EF">
                        <wp:extent cx="238125" cy="257175"/>
                        <wp:effectExtent l="0" t="0" r="9525" b="9525"/>
                        <wp:docPr id="271230465" name="Рисунок 271230465" descr="https://zakon.rada.gov.ua/laws/file/imgs/129/p478167n278v4-156.gif">
                          <a:hlinkClick xmlns:a="http://schemas.openxmlformats.org/drawingml/2006/main" r:id="rId3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descr="https://zakon.rada.gov.ua/laws/file/imgs/129/p478167n278v4-156.gif">
                                  <a:hlinkClick r:id="rId365"/>
                                </pic:cNvPr>
                                <pic:cNvPicPr>
                                  <a:picLocks noChangeAspect="1" noChangeArrowheads="1"/>
                                </pic:cNvPicPr>
                              </pic:nvPicPr>
                              <pic:blipFill>
                                <a:blip r:embed="rId366">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tc>
              <w:tc>
                <w:tcPr>
                  <w:tcW w:w="98"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w:t>
                  </w:r>
                </w:p>
              </w:tc>
              <w:tc>
                <w:tcPr>
                  <w:tcW w:w="2806"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амортизація на прогнозний рік, тис.грн;</w:t>
                  </w:r>
                </w:p>
              </w:tc>
            </w:tr>
            <w:tr w:rsidR="00887F36" w:rsidRPr="005A615E" w:rsidTr="00E91CE8">
              <w:trPr>
                <w:gridAfter w:val="1"/>
                <w:wAfter w:w="188" w:type="dxa"/>
              </w:trPr>
              <w:tc>
                <w:tcPr>
                  <w:tcW w:w="513"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2F04DA58" wp14:editId="68391BF6">
                        <wp:extent cx="295275" cy="257175"/>
                        <wp:effectExtent l="0" t="0" r="9525" b="9525"/>
                        <wp:docPr id="271230466" name="Рисунок 271230466" descr="https://zakon.rada.gov.ua/laws/file/imgs/129/p478167n278v4-157.gif">
                          <a:hlinkClick xmlns:a="http://schemas.openxmlformats.org/drawingml/2006/main" r:id="rId3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descr="https://zakon.rada.gov.ua/laws/file/imgs/129/p478167n278v4-157.gif">
                                  <a:hlinkClick r:id="rId367"/>
                                </pic:cNvPr>
                                <pic:cNvPicPr>
                                  <a:picLocks noChangeAspect="1" noChangeArrowheads="1"/>
                                </pic:cNvPicPr>
                              </pic:nvPicPr>
                              <pic:blipFill>
                                <a:blip r:embed="rId368">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p>
              </w:tc>
              <w:tc>
                <w:tcPr>
                  <w:tcW w:w="98"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w:t>
                  </w:r>
                </w:p>
              </w:tc>
              <w:tc>
                <w:tcPr>
                  <w:tcW w:w="2806"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інші операційні витрати на прогнозний рік, тис.грн;</w:t>
                  </w:r>
                </w:p>
              </w:tc>
            </w:tr>
            <w:tr w:rsidR="00887F36" w:rsidRPr="005A615E" w:rsidTr="00E91CE8">
              <w:trPr>
                <w:gridAfter w:val="1"/>
                <w:wAfter w:w="188" w:type="dxa"/>
              </w:trPr>
              <w:tc>
                <w:tcPr>
                  <w:tcW w:w="513"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noProof/>
                      <w:lang w:eastAsia="uk-UA"/>
                    </w:rPr>
                    <w:drawing>
                      <wp:inline distT="0" distB="0" distL="0" distR="0" wp14:anchorId="0B1A0DD2" wp14:editId="0190E212">
                        <wp:extent cx="304800" cy="257175"/>
                        <wp:effectExtent l="0" t="0" r="0" b="9525"/>
                        <wp:docPr id="271230467" name="Рисунок 271230467" descr="https://zakon.rada.gov.ua/laws/file/imgs/129/p478167n278v4-158.gif">
                          <a:hlinkClick xmlns:a="http://schemas.openxmlformats.org/drawingml/2006/main" r:id="rId3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descr="https://zakon.rada.gov.ua/laws/file/imgs/129/p478167n278v4-158.gif">
                                  <a:hlinkClick r:id="rId369"/>
                                </pic:cNvPr>
                                <pic:cNvPicPr>
                                  <a:picLocks noChangeAspect="1" noChangeArrowheads="1"/>
                                </pic:cNvPicPr>
                              </pic:nvPicPr>
                              <pic:blipFill>
                                <a:blip r:embed="rId370">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98"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w:t>
                  </w:r>
                </w:p>
              </w:tc>
              <w:tc>
                <w:tcPr>
                  <w:tcW w:w="2806" w:type="dxa"/>
                  <w:tcBorders>
                    <w:top w:val="single" w:sz="2" w:space="0" w:color="auto"/>
                    <w:left w:val="single" w:sz="2" w:space="0" w:color="auto"/>
                    <w:bottom w:val="single" w:sz="2" w:space="0" w:color="auto"/>
                    <w:right w:val="single" w:sz="2" w:space="0" w:color="auto"/>
                  </w:tcBorders>
                  <w:hideMark/>
                </w:tcPr>
                <w:p w:rsidR="00887F36" w:rsidRPr="005A615E" w:rsidRDefault="00887F36" w:rsidP="00887F36">
                  <w:pPr>
                    <w:spacing w:before="150" w:after="150"/>
                    <w:rPr>
                      <w:rFonts w:ascii="Times New Roman" w:hAnsi="Times New Roman"/>
                      <w:lang w:eastAsia="uk-UA"/>
                    </w:rPr>
                  </w:pPr>
                  <w:r w:rsidRPr="005A615E">
                    <w:rPr>
                      <w:rFonts w:ascii="Times New Roman" w:hAnsi="Times New Roman"/>
                      <w:lang w:eastAsia="uk-UA"/>
                    </w:rPr>
                    <w:t>коригування витрат (вилучення або компенсація ліцензіату, зокрема  за результатами його діяльності, у тому числі як ліцензіата з передачі електричної енергії місцевими (локальними) електромережами та з постачання електричної енергії за регульованим тарифом) на прогнозний рік, тис.грн</w:t>
                  </w:r>
                </w:p>
              </w:tc>
            </w:tr>
          </w:tbl>
          <w:p w:rsidR="00CF2AC1" w:rsidRPr="005A615E" w:rsidRDefault="00CF2AC1" w:rsidP="00CF2AC1">
            <w:pPr>
              <w:rPr>
                <w:rFonts w:ascii="Times New Roman" w:hAnsi="Times New Roman"/>
                <w:b/>
                <w:sz w:val="28"/>
              </w:rPr>
            </w:pPr>
          </w:p>
        </w:tc>
      </w:tr>
      <w:tr w:rsidR="00CF2AC1" w:rsidRPr="005A615E" w:rsidTr="00A56FEE">
        <w:tc>
          <w:tcPr>
            <w:tcW w:w="6232" w:type="dxa"/>
          </w:tcPr>
          <w:p w:rsidR="00CF2AC1" w:rsidRPr="005A615E" w:rsidRDefault="00CF2AC1" w:rsidP="00CF2AC1">
            <w:pPr>
              <w:pStyle w:val="rvps2"/>
              <w:shd w:val="clear" w:color="auto" w:fill="FFFFFF"/>
              <w:spacing w:beforeAutospacing="0" w:after="150" w:afterAutospacing="0"/>
              <w:ind w:firstLine="164"/>
              <w:jc w:val="both"/>
            </w:pPr>
            <w:r w:rsidRPr="005A615E">
              <w:t>7.25. Коригування необхідного доходу відповідно до даних виконання цільового завдання щодо досягнення показників якості послуг на рік t (</w:t>
            </w:r>
            <w:r w:rsidRPr="005A615E">
              <w:rPr>
                <w:rStyle w:val="rvts9"/>
                <w:b/>
                <w:bCs/>
              </w:rPr>
              <w:t>КЯ</w:t>
            </w:r>
            <w:r w:rsidRPr="005A615E">
              <w:rPr>
                <w:rStyle w:val="rvts40"/>
                <w:b/>
                <w:bCs/>
                <w:vertAlign w:val="subscript"/>
              </w:rPr>
              <w:t>t</w:t>
            </w:r>
            <w:r w:rsidRPr="005A615E">
              <w:rPr>
                <w:rStyle w:val="rvts9"/>
                <w:b/>
                <w:bCs/>
              </w:rPr>
              <w:t>)</w:t>
            </w:r>
            <w:r w:rsidRPr="005A615E">
              <w:t>, тис. грн,  визначається за формулами:</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5406"/>
              <w:gridCol w:w="604"/>
            </w:tblGrid>
            <w:tr w:rsidR="00CF2AC1" w:rsidRPr="005A615E" w:rsidTr="00CE206E">
              <w:tc>
                <w:tcPr>
                  <w:tcW w:w="5406"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pStyle w:val="rvps12"/>
                    <w:spacing w:before="150" w:beforeAutospacing="0" w:after="150" w:afterAutospacing="0"/>
                    <w:ind w:firstLine="164"/>
                  </w:pPr>
                  <w:r w:rsidRPr="005A615E">
                    <w:rPr>
                      <w:noProof/>
                    </w:rPr>
                    <w:drawing>
                      <wp:inline distT="0" distB="0" distL="0" distR="0" wp14:anchorId="0DF9E0D5" wp14:editId="463316D5">
                        <wp:extent cx="2156460" cy="319405"/>
                        <wp:effectExtent l="0" t="0" r="0" b="4445"/>
                        <wp:docPr id="3" name="Рисунок 3" descr="https://zakon.rada.gov.ua/laws/file/imgs/129/p478167n601v2-177.gif">
                          <a:hlinkClick xmlns:a="http://schemas.openxmlformats.org/drawingml/2006/main" r:id="rId3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rada.gov.ua/laws/file/imgs/129/p478167n601v2-177.gif">
                                  <a:hlinkClick r:id="rId381"/>
                                </pic:cNvPr>
                                <pic:cNvPicPr>
                                  <a:picLocks noChangeAspect="1" noChangeArrowheads="1"/>
                                </pic:cNvPicPr>
                              </pic:nvPicPr>
                              <pic:blipFill>
                                <a:blip r:embed="rId382">
                                  <a:extLst>
                                    <a:ext uri="{28A0092B-C50C-407E-A947-70E740481C1C}">
                                      <a14:useLocalDpi xmlns:a14="http://schemas.microsoft.com/office/drawing/2010/main" val="0"/>
                                    </a:ext>
                                  </a:extLst>
                                </a:blip>
                                <a:srcRect/>
                                <a:stretch>
                                  <a:fillRect/>
                                </a:stretch>
                              </pic:blipFill>
                              <pic:spPr bwMode="auto">
                                <a:xfrm>
                                  <a:off x="0" y="0"/>
                                  <a:ext cx="2156460" cy="319405"/>
                                </a:xfrm>
                                <a:prstGeom prst="rect">
                                  <a:avLst/>
                                </a:prstGeom>
                                <a:noFill/>
                                <a:ln>
                                  <a:noFill/>
                                </a:ln>
                              </pic:spPr>
                            </pic:pic>
                          </a:graphicData>
                        </a:graphic>
                      </wp:inline>
                    </w:drawing>
                  </w:r>
                </w:p>
              </w:tc>
              <w:tc>
                <w:tcPr>
                  <w:tcW w:w="604" w:type="dxa"/>
                  <w:tcBorders>
                    <w:top w:val="single" w:sz="2" w:space="0" w:color="auto"/>
                    <w:left w:val="single" w:sz="2" w:space="0" w:color="auto"/>
                    <w:bottom w:val="single" w:sz="2" w:space="0" w:color="auto"/>
                    <w:right w:val="single" w:sz="2" w:space="0" w:color="auto"/>
                  </w:tcBorders>
                  <w:hideMark/>
                </w:tcPr>
                <w:p w:rsidR="00CF2AC1" w:rsidRPr="005A615E" w:rsidRDefault="00CF2AC1" w:rsidP="00CF2AC1">
                  <w:pPr>
                    <w:pStyle w:val="rvps11"/>
                    <w:spacing w:before="150" w:beforeAutospacing="0" w:after="150" w:afterAutospacing="0"/>
                    <w:ind w:firstLine="164"/>
                    <w:jc w:val="right"/>
                  </w:pPr>
                  <w:r w:rsidRPr="005A615E">
                    <w:t>(43)</w:t>
                  </w:r>
                </w:p>
              </w:tc>
            </w:tr>
          </w:tbl>
          <w:p w:rsidR="00CF2AC1" w:rsidRPr="005A615E" w:rsidRDefault="00CF2AC1" w:rsidP="00CF2AC1">
            <w:pPr>
              <w:shd w:val="clear" w:color="auto" w:fill="FFFFFF"/>
              <w:spacing w:before="150" w:after="150"/>
              <w:ind w:left="450" w:firstLine="164"/>
              <w:rPr>
                <w:rFonts w:ascii="Times New Roman" w:hAnsi="Times New Roman"/>
                <w:b/>
                <w:bCs/>
                <w:sz w:val="24"/>
                <w:szCs w:val="24"/>
                <w:lang w:eastAsia="uk-UA"/>
              </w:rPr>
            </w:pPr>
            <w:r w:rsidRPr="005A615E">
              <w:rPr>
                <w:rFonts w:ascii="Times New Roman" w:hAnsi="Times New Roman"/>
                <w:b/>
                <w:bCs/>
                <w:sz w:val="24"/>
                <w:szCs w:val="24"/>
                <w:lang w:eastAsia="uk-UA"/>
              </w:rPr>
              <w:t>…</w:t>
            </w:r>
          </w:p>
          <w:p w:rsidR="00CF2AC1" w:rsidRPr="005A615E" w:rsidRDefault="000D13C5" w:rsidP="00CF2AC1">
            <w:pPr>
              <w:shd w:val="clear" w:color="auto" w:fill="FFFFFF"/>
              <w:spacing w:before="150" w:after="150"/>
              <w:ind w:left="450" w:firstLine="164"/>
              <w:jc w:val="both"/>
              <w:rPr>
                <w:rFonts w:ascii="Times New Roman" w:hAnsi="Times New Roman"/>
                <w:sz w:val="24"/>
                <w:szCs w:val="24"/>
                <w:lang w:eastAsia="uk-UA"/>
              </w:rPr>
            </w:pPr>
            <w:hyperlink r:id="rId383" w:tgtFrame="_blank" w:history="1">
              <w:r w:rsidR="00CF2AC1" w:rsidRPr="005A615E">
                <w:rPr>
                  <w:rFonts w:ascii="Times New Roman" w:hAnsi="Times New Roman"/>
                  <w:sz w:val="24"/>
                  <w:szCs w:val="24"/>
                  <w:lang w:eastAsia="uk-UA"/>
                </w:rPr>
                <w:t xml:space="preserve">на 2021 рік та починаючи з 2023 року, </w:t>
              </w:r>
              <w:r w:rsidR="00CF2AC1" w:rsidRPr="005A615E">
                <w:rPr>
                  <w:rFonts w:ascii="Times New Roman" w:hAnsi="Times New Roman"/>
                  <w:sz w:val="24"/>
                  <w:szCs w:val="24"/>
                  <w:lang w:eastAsia="uk-UA"/>
                </w:rPr>
                <w:br/>
                <w:t> </w:t>
              </w:r>
              <w:r w:rsidR="00CF2AC1" w:rsidRPr="005A615E">
                <w:rPr>
                  <w:rFonts w:ascii="Times New Roman" w:hAnsi="Times New Roman"/>
                  <w:noProof/>
                  <w:sz w:val="24"/>
                  <w:szCs w:val="24"/>
                  <w:lang w:eastAsia="uk-UA"/>
                </w:rPr>
                <w:drawing>
                  <wp:inline distT="0" distB="0" distL="0" distR="0" wp14:anchorId="30FFBFD9" wp14:editId="5E6FB2D5">
                    <wp:extent cx="871220" cy="284480"/>
                    <wp:effectExtent l="0" t="0" r="5080" b="1270"/>
                    <wp:docPr id="1993780116" name="Рисунок 1993780116" descr="https://zakon-pro.ligazakon.net/l_flib1.nsf/LookupFiles/GK40721_IMG_316.GIF/$file/GK40721_IMG_316.GIF">
                      <a:hlinkClick xmlns:a="http://schemas.openxmlformats.org/drawingml/2006/main" r:id="rId38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pro.ligazakon.net/l_flib1.nsf/LookupFiles/GK40721_IMG_316.GIF/$file/GK40721_IMG_316.GIF">
                              <a:hlinkClick r:id="rId383" tgtFrame="&quot;_blank&quot;"/>
                            </pic:cNvPr>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bwMode="auto">
                            <a:xfrm>
                              <a:off x="0" y="0"/>
                              <a:ext cx="871220" cy="284480"/>
                            </a:xfrm>
                            <a:prstGeom prst="rect">
                              <a:avLst/>
                            </a:prstGeom>
                            <a:noFill/>
                            <a:ln>
                              <a:noFill/>
                            </a:ln>
                          </pic:spPr>
                        </pic:pic>
                      </a:graphicData>
                    </a:graphic>
                  </wp:inline>
                </w:drawing>
              </w:r>
              <w:r w:rsidR="00CF2AC1" w:rsidRPr="005A615E">
                <w:rPr>
                  <w:rFonts w:ascii="Times New Roman" w:hAnsi="Times New Roman"/>
                  <w:sz w:val="24"/>
                  <w:szCs w:val="24"/>
                  <w:lang w:eastAsia="uk-UA"/>
                </w:rPr>
                <w:t> визначається за формулами</w:t>
              </w:r>
              <w:r w:rsidR="00CF2AC1" w:rsidRPr="005A615E">
                <w:rPr>
                  <w:rFonts w:ascii="Times New Roman" w:hAnsi="Times New Roman"/>
                  <w:b/>
                  <w:sz w:val="24"/>
                  <w:szCs w:val="24"/>
                  <w:lang w:eastAsia="uk-UA"/>
                </w:rPr>
                <w:t xml:space="preserve"> 69 та 70</w:t>
              </w:r>
              <w:r w:rsidR="00CF2AC1" w:rsidRPr="005A615E">
                <w:rPr>
                  <w:rFonts w:ascii="Times New Roman" w:hAnsi="Times New Roman"/>
                  <w:sz w:val="24"/>
                  <w:szCs w:val="24"/>
                  <w:lang w:eastAsia="uk-UA"/>
                </w:rPr>
                <w:t>:</w:t>
              </w:r>
            </w:hyperlink>
          </w:p>
          <w:p w:rsidR="00CF2AC1" w:rsidRPr="005A615E" w:rsidRDefault="00CF2AC1" w:rsidP="00CF2AC1">
            <w:pPr>
              <w:shd w:val="clear" w:color="auto" w:fill="FFFFFF"/>
              <w:spacing w:before="150" w:after="150"/>
              <w:ind w:left="450" w:firstLine="164"/>
              <w:rPr>
                <w:rFonts w:ascii="Times New Roman" w:hAnsi="Times New Roman"/>
                <w:b/>
                <w:bCs/>
                <w:sz w:val="24"/>
                <w:szCs w:val="24"/>
                <w:lang w:eastAsia="uk-UA"/>
              </w:rPr>
            </w:pPr>
            <w:r w:rsidRPr="005A615E">
              <w:rPr>
                <w:rFonts w:ascii="Times New Roman" w:hAnsi="Times New Roman"/>
                <w:b/>
                <w:bCs/>
                <w:sz w:val="24"/>
                <w:szCs w:val="24"/>
                <w:lang w:eastAsia="uk-UA"/>
              </w:rPr>
              <w:t>…</w:t>
            </w:r>
          </w:p>
          <w:p w:rsidR="00CF2AC1" w:rsidRPr="005A615E" w:rsidRDefault="00CF2AC1" w:rsidP="00CF2AC1">
            <w:pPr>
              <w:shd w:val="clear" w:color="auto" w:fill="FFFFFF"/>
              <w:spacing w:after="150"/>
              <w:ind w:firstLine="164"/>
              <w:jc w:val="both"/>
              <w:rPr>
                <w:rFonts w:ascii="Times New Roman" w:hAnsi="Times New Roman"/>
                <w:sz w:val="24"/>
                <w:szCs w:val="24"/>
                <w:lang w:eastAsia="uk-UA"/>
              </w:rPr>
            </w:pPr>
            <w:r w:rsidRPr="005A615E">
              <w:rPr>
                <w:rFonts w:ascii="Times New Roman" w:hAnsi="Times New Roman"/>
                <w:sz w:val="24"/>
                <w:szCs w:val="24"/>
                <w:lang w:eastAsia="uk-UA"/>
              </w:rPr>
              <w:t>За результатами здійснення заходів контролю за дотриманням </w:t>
            </w:r>
            <w:hyperlink r:id="rId385" w:anchor="n9" w:tgtFrame="_blank" w:history="1">
              <w:r w:rsidRPr="005A615E">
                <w:rPr>
                  <w:rFonts w:ascii="Times New Roman" w:hAnsi="Times New Roman"/>
                  <w:sz w:val="24"/>
                  <w:szCs w:val="24"/>
                  <w:u w:val="single"/>
                  <w:lang w:eastAsia="uk-UA"/>
                </w:rPr>
                <w:t>Ліцензійних умов</w:t>
              </w:r>
            </w:hyperlink>
            <w:r w:rsidRPr="005A615E">
              <w:rPr>
                <w:rFonts w:ascii="Times New Roman" w:hAnsi="Times New Roman"/>
                <w:sz w:val="24"/>
                <w:szCs w:val="24"/>
                <w:lang w:eastAsia="uk-UA"/>
              </w:rPr>
              <w:t> показник КЯ може бути уточнено.</w:t>
            </w:r>
          </w:p>
          <w:p w:rsidR="00CF2AC1" w:rsidRPr="005A615E" w:rsidRDefault="00CF2AC1" w:rsidP="00CF2AC1">
            <w:pPr>
              <w:shd w:val="clear" w:color="auto" w:fill="FFFFFF"/>
              <w:spacing w:after="150"/>
              <w:ind w:firstLine="164"/>
              <w:jc w:val="both"/>
              <w:rPr>
                <w:rFonts w:ascii="Times New Roman" w:hAnsi="Times New Roman"/>
                <w:sz w:val="24"/>
                <w:szCs w:val="24"/>
                <w:lang w:eastAsia="uk-UA"/>
              </w:rPr>
            </w:pPr>
            <w:r w:rsidRPr="005A615E">
              <w:rPr>
                <w:rFonts w:ascii="Times New Roman" w:hAnsi="Times New Roman"/>
                <w:sz w:val="24"/>
                <w:szCs w:val="24"/>
                <w:lang w:eastAsia="uk-UA"/>
              </w:rPr>
              <w:t xml:space="preserve">Коригування необхідного доходу відповідно до даних виконання цільового завдання щодо досягнення показників якості послуг за 2022 та 2023 роки не застосовується, за 2024 – </w:t>
            </w:r>
            <w:r w:rsidRPr="005A615E">
              <w:rPr>
                <w:rFonts w:ascii="Times New Roman" w:hAnsi="Times New Roman"/>
                <w:b/>
                <w:sz w:val="24"/>
                <w:szCs w:val="24"/>
                <w:lang w:eastAsia="uk-UA"/>
              </w:rPr>
              <w:t xml:space="preserve">2026 </w:t>
            </w:r>
            <w:r w:rsidRPr="005A615E">
              <w:rPr>
                <w:rFonts w:ascii="Times New Roman" w:hAnsi="Times New Roman"/>
                <w:sz w:val="24"/>
                <w:szCs w:val="24"/>
                <w:lang w:eastAsia="uk-UA"/>
              </w:rPr>
              <w:t>роки - не застосовується до ліцензіатів, наведених у </w:t>
            </w:r>
            <w:hyperlink r:id="rId386" w:anchor="n680" w:history="1">
              <w:r w:rsidRPr="005A615E">
                <w:rPr>
                  <w:rFonts w:ascii="Times New Roman" w:hAnsi="Times New Roman"/>
                  <w:sz w:val="24"/>
                  <w:szCs w:val="24"/>
                  <w:u w:val="single"/>
                  <w:lang w:eastAsia="uk-UA"/>
                </w:rPr>
                <w:t>додатку 32</w:t>
              </w:r>
            </w:hyperlink>
            <w:r w:rsidRPr="005A615E">
              <w:rPr>
                <w:rFonts w:ascii="Times New Roman" w:hAnsi="Times New Roman"/>
                <w:sz w:val="24"/>
                <w:szCs w:val="24"/>
                <w:lang w:eastAsia="uk-UA"/>
              </w:rPr>
              <w:t> до цього Порядку.</w:t>
            </w:r>
          </w:p>
          <w:p w:rsidR="00CF2AC1" w:rsidRPr="005A615E" w:rsidRDefault="00CF2AC1" w:rsidP="00CF2AC1">
            <w:pPr>
              <w:rPr>
                <w:rFonts w:ascii="Times New Roman" w:hAnsi="Times New Roman"/>
                <w:b/>
                <w:sz w:val="28"/>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«Запоріжжяобленерго» (лист </w:t>
            </w:r>
            <w:r w:rsidRPr="005A615E">
              <w:rPr>
                <w:rFonts w:ascii="Times New Roman" w:hAnsi="Times New Roman"/>
                <w:b/>
                <w:sz w:val="24"/>
                <w:u w:val="single"/>
              </w:rPr>
              <w:br/>
              <w:t>від 15.07.2026 № 001-33/663)</w:t>
            </w:r>
          </w:p>
          <w:p w:rsidR="00CF2AC1" w:rsidRPr="005A615E" w:rsidRDefault="00CF2AC1" w:rsidP="00CF2AC1">
            <w:pPr>
              <w:pStyle w:val="rvps2"/>
              <w:shd w:val="clear" w:color="auto" w:fill="FFFFFF"/>
              <w:spacing w:beforeAutospacing="0" w:after="150" w:afterAutospacing="0"/>
              <w:jc w:val="both"/>
              <w:rPr>
                <w:sz w:val="22"/>
                <w:lang w:val="uk-UA"/>
              </w:rPr>
            </w:pPr>
            <w:r w:rsidRPr="005A615E">
              <w:rPr>
                <w:sz w:val="22"/>
                <w:szCs w:val="22"/>
                <w:lang w:val="uk-UA" w:eastAsia="uk-UA"/>
              </w:rPr>
              <w:t xml:space="preserve"> «</w:t>
            </w:r>
            <w:r w:rsidRPr="005A615E">
              <w:rPr>
                <w:sz w:val="22"/>
                <w:szCs w:val="22"/>
                <w:lang w:val="uk-UA"/>
              </w:rPr>
              <w:t xml:space="preserve">7.25. Коригування необхідного доходу відповідно до даних виконання цільового завдання щодо досягнення показників якості послуг на рік </w:t>
            </w:r>
            <w:r w:rsidRPr="005A615E">
              <w:rPr>
                <w:sz w:val="22"/>
                <w:szCs w:val="22"/>
              </w:rPr>
              <w:t>t</w:t>
            </w:r>
            <w:r w:rsidRPr="005A615E">
              <w:rPr>
                <w:sz w:val="22"/>
                <w:szCs w:val="22"/>
                <w:lang w:val="uk-UA"/>
              </w:rPr>
              <w:t xml:space="preserve"> (</w:t>
            </w:r>
            <w:r w:rsidRPr="005A615E">
              <w:rPr>
                <w:rStyle w:val="rvts9"/>
                <w:rFonts w:eastAsia="Arial"/>
                <w:sz w:val="22"/>
                <w:szCs w:val="22"/>
                <w:lang w:val="uk-UA"/>
              </w:rPr>
              <w:t>КЯ</w:t>
            </w:r>
            <w:r w:rsidRPr="005A615E">
              <w:rPr>
                <w:rStyle w:val="rvts40"/>
                <w:b/>
                <w:bCs/>
                <w:sz w:val="22"/>
                <w:szCs w:val="22"/>
                <w:vertAlign w:val="subscript"/>
              </w:rPr>
              <w:t>t</w:t>
            </w:r>
            <w:r w:rsidRPr="005A615E">
              <w:rPr>
                <w:rStyle w:val="rvts9"/>
                <w:rFonts w:eastAsia="Arial"/>
                <w:sz w:val="22"/>
                <w:szCs w:val="22"/>
                <w:lang w:val="uk-UA"/>
              </w:rPr>
              <w:t>)</w:t>
            </w:r>
            <w:r w:rsidRPr="005A615E">
              <w:rPr>
                <w:sz w:val="22"/>
                <w:szCs w:val="22"/>
                <w:lang w:val="uk-UA"/>
              </w:rPr>
              <w:t>, тис. грн,</w:t>
            </w:r>
            <w:r w:rsidRPr="005A615E">
              <w:rPr>
                <w:sz w:val="22"/>
                <w:szCs w:val="22"/>
              </w:rPr>
              <w:t> </w:t>
            </w:r>
            <w:r w:rsidRPr="005A615E">
              <w:rPr>
                <w:sz w:val="22"/>
                <w:szCs w:val="22"/>
                <w:lang w:val="uk-UA"/>
              </w:rPr>
              <w:t xml:space="preserve"> визначається за формулами:</w:t>
            </w:r>
          </w:p>
          <w:tbl>
            <w:tblPr>
              <w:tblW w:w="4969" w:type="pct"/>
              <w:tblLayout w:type="fixed"/>
              <w:tblCellMar>
                <w:top w:w="15" w:type="dxa"/>
                <w:left w:w="15" w:type="dxa"/>
                <w:bottom w:w="15" w:type="dxa"/>
                <w:right w:w="15" w:type="dxa"/>
              </w:tblCellMar>
              <w:tblLook w:val="04A0" w:firstRow="1" w:lastRow="0" w:firstColumn="1" w:lastColumn="0" w:noHBand="0" w:noVBand="1"/>
            </w:tblPr>
            <w:tblGrid>
              <w:gridCol w:w="4533"/>
              <w:gridCol w:w="600"/>
            </w:tblGrid>
            <w:tr w:rsidR="00CF2AC1" w:rsidRPr="005A615E" w:rsidTr="00CA350C">
              <w:tc>
                <w:tcPr>
                  <w:tcW w:w="4284"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pStyle w:val="rvps12"/>
                    <w:spacing w:before="150" w:beforeAutospacing="0" w:after="150" w:afterAutospacing="0"/>
                    <w:rPr>
                      <w:sz w:val="22"/>
                    </w:rPr>
                  </w:pPr>
                  <w:r w:rsidRPr="005A615E">
                    <w:rPr>
                      <w:noProof/>
                    </w:rPr>
                    <w:drawing>
                      <wp:inline distT="0" distB="0" distL="0" distR="0" wp14:anchorId="7E2C8EC2" wp14:editId="0E6DB293">
                        <wp:extent cx="2156460" cy="319405"/>
                        <wp:effectExtent l="0" t="0" r="0" b="0"/>
                        <wp:docPr id="49" name="Рисунок 24" descr="https://zakon.rada.gov.ua/laws/file/imgs/129/p478167n601v2-177.gif">
                          <a:hlinkClick xmlns:a="http://schemas.openxmlformats.org/drawingml/2006/main" r:id="rId3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Рисунок 24" descr="https://zakon.rada.gov.ua/laws/file/imgs/129/p478167n601v2-177.gif">
                                  <a:hlinkClick r:id="rId381"/>
                                </pic:cNvPr>
                                <pic:cNvPicPr>
                                  <a:picLocks noChangeAspect="1" noChangeArrowheads="1"/>
                                </pic:cNvPicPr>
                              </pic:nvPicPr>
                              <pic:blipFill>
                                <a:blip r:embed="rId382"/>
                                <a:stretch>
                                  <a:fillRect/>
                                </a:stretch>
                              </pic:blipFill>
                              <pic:spPr bwMode="auto">
                                <a:xfrm>
                                  <a:off x="0" y="0"/>
                                  <a:ext cx="2156460" cy="319405"/>
                                </a:xfrm>
                                <a:prstGeom prst="rect">
                                  <a:avLst/>
                                </a:prstGeom>
                                <a:noFill/>
                              </pic:spPr>
                            </pic:pic>
                          </a:graphicData>
                        </a:graphic>
                      </wp:inline>
                    </w:drawing>
                  </w:r>
                </w:p>
              </w:tc>
              <w:tc>
                <w:tcPr>
                  <w:tcW w:w="567" w:type="dxa"/>
                  <w:tcBorders>
                    <w:top w:val="single" w:sz="2" w:space="0" w:color="000000"/>
                    <w:left w:val="single" w:sz="2" w:space="0" w:color="000000"/>
                    <w:bottom w:val="single" w:sz="2" w:space="0" w:color="000000"/>
                    <w:right w:val="single" w:sz="2" w:space="0" w:color="000000"/>
                  </w:tcBorders>
                </w:tcPr>
                <w:p w:rsidR="00CF2AC1" w:rsidRPr="005A615E" w:rsidRDefault="00CF2AC1" w:rsidP="00CF2AC1">
                  <w:pPr>
                    <w:pStyle w:val="rvps11"/>
                    <w:spacing w:before="150" w:beforeAutospacing="0" w:after="150" w:afterAutospacing="0"/>
                    <w:rPr>
                      <w:sz w:val="22"/>
                    </w:rPr>
                  </w:pPr>
                  <w:r w:rsidRPr="005A615E">
                    <w:rPr>
                      <w:sz w:val="22"/>
                      <w:szCs w:val="22"/>
                    </w:rPr>
                    <w:t>(43)</w:t>
                  </w:r>
                </w:p>
              </w:tc>
            </w:tr>
          </w:tbl>
          <w:p w:rsidR="00CF2AC1" w:rsidRPr="005A615E" w:rsidRDefault="00CF2AC1" w:rsidP="00CF2AC1">
            <w:pPr>
              <w:shd w:val="clear" w:color="auto" w:fill="FFFFFF"/>
              <w:spacing w:before="150" w:after="150"/>
              <w:ind w:right="450"/>
              <w:rPr>
                <w:rFonts w:ascii="Times New Roman" w:hAnsi="Times New Roman"/>
                <w:b/>
                <w:bCs/>
                <w:lang w:eastAsia="uk-UA"/>
              </w:rPr>
            </w:pPr>
            <w:r w:rsidRPr="005A615E">
              <w:rPr>
                <w:rFonts w:ascii="Times New Roman" w:eastAsia="Times New Roman" w:hAnsi="Times New Roman"/>
                <w:b/>
                <w:bCs/>
                <w:lang w:eastAsia="uk-UA"/>
              </w:rPr>
              <w:t>…</w:t>
            </w:r>
          </w:p>
          <w:p w:rsidR="00CF2AC1" w:rsidRPr="005A615E" w:rsidRDefault="000D13C5" w:rsidP="00CF2AC1">
            <w:pPr>
              <w:shd w:val="clear" w:color="auto" w:fill="FFFFFF"/>
              <w:spacing w:before="150" w:after="150"/>
              <w:jc w:val="both"/>
              <w:rPr>
                <w:rFonts w:ascii="Times New Roman" w:hAnsi="Times New Roman"/>
                <w:lang w:eastAsia="uk-UA"/>
              </w:rPr>
            </w:pPr>
            <w:hyperlink r:id="rId387" w:tgtFrame="_blank">
              <w:r w:rsidR="00CF2AC1" w:rsidRPr="005A615E">
                <w:rPr>
                  <w:rFonts w:ascii="Times New Roman" w:eastAsia="Times New Roman" w:hAnsi="Times New Roman"/>
                  <w:lang w:eastAsia="uk-UA"/>
                </w:rPr>
                <w:t xml:space="preserve">на 2021 рік та починаючи з 2023 року, </w:t>
              </w:r>
              <w:r w:rsidR="00CF2AC1" w:rsidRPr="005A615E">
                <w:rPr>
                  <w:rFonts w:ascii="Times New Roman" w:eastAsia="Times New Roman" w:hAnsi="Times New Roman"/>
                  <w:lang w:eastAsia="uk-UA"/>
                </w:rPr>
                <w:br/>
                <w:t> </w:t>
              </w:r>
              <w:r w:rsidR="00CF2AC1" w:rsidRPr="005A615E">
                <w:rPr>
                  <w:rFonts w:ascii="Times New Roman" w:hAnsi="Times New Roman"/>
                  <w:noProof/>
                  <w:sz w:val="20"/>
                </w:rPr>
                <w:drawing>
                  <wp:inline distT="0" distB="0" distL="0" distR="0" wp14:anchorId="21685BE4" wp14:editId="3B99ECEE">
                    <wp:extent cx="871220" cy="284480"/>
                    <wp:effectExtent l="0" t="0" r="0" b="0"/>
                    <wp:docPr id="50" name="Рисунок 1993780115" descr="https://zakon-pro.ligazakon.net/l_flib1.nsf/LookupFiles/GK40721_IMG_316.GIF/$file/GK40721_IMG_316.GIF">
                      <a:hlinkClick xmlns:a="http://schemas.openxmlformats.org/drawingml/2006/main" r:id="rId3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Рисунок 1993780115" descr="https://zakon-pro.ligazakon.net/l_flib1.nsf/LookupFiles/GK40721_IMG_316.GIF/$file/GK40721_IMG_316.GIF">
                              <a:hlinkClick r:id="rId383"/>
                            </pic:cNvPr>
                            <pic:cNvPicPr>
                              <a:picLocks noChangeAspect="1" noChangeArrowheads="1"/>
                            </pic:cNvPicPr>
                          </pic:nvPicPr>
                          <pic:blipFill>
                            <a:blip r:embed="rId384"/>
                            <a:stretch>
                              <a:fillRect/>
                            </a:stretch>
                          </pic:blipFill>
                          <pic:spPr bwMode="auto">
                            <a:xfrm>
                              <a:off x="0" y="0"/>
                              <a:ext cx="871220" cy="284480"/>
                            </a:xfrm>
                            <a:prstGeom prst="rect">
                              <a:avLst/>
                            </a:prstGeom>
                            <a:noFill/>
                          </pic:spPr>
                        </pic:pic>
                      </a:graphicData>
                    </a:graphic>
                  </wp:inline>
                </w:drawing>
              </w:r>
              <w:r w:rsidR="00CF2AC1" w:rsidRPr="005A615E">
                <w:rPr>
                  <w:rFonts w:ascii="Times New Roman" w:eastAsia="Times New Roman" w:hAnsi="Times New Roman"/>
                  <w:lang w:eastAsia="uk-UA"/>
                </w:rPr>
                <w:t> визначається за формулами 69 та 70:</w:t>
              </w:r>
            </w:hyperlink>
          </w:p>
          <w:p w:rsidR="00CF2AC1" w:rsidRPr="005A615E" w:rsidRDefault="00CF2AC1" w:rsidP="00CF2AC1">
            <w:pPr>
              <w:shd w:val="clear" w:color="auto" w:fill="FFFFFF"/>
              <w:spacing w:before="150" w:after="150"/>
              <w:ind w:right="450"/>
              <w:jc w:val="both"/>
              <w:rPr>
                <w:rFonts w:ascii="Times New Roman" w:hAnsi="Times New Roman"/>
                <w:lang w:eastAsia="uk-UA"/>
              </w:rPr>
            </w:pPr>
            <w:r w:rsidRPr="005A615E">
              <w:rPr>
                <w:rFonts w:ascii="Times New Roman" w:eastAsia="Times New Roman" w:hAnsi="Times New Roman"/>
                <w:b/>
                <w:bCs/>
                <w:lang w:eastAsia="uk-UA"/>
              </w:rPr>
              <w:t>…</w:t>
            </w:r>
          </w:p>
          <w:p w:rsidR="00CF2AC1" w:rsidRPr="005A615E" w:rsidRDefault="00CF2AC1" w:rsidP="00CF2AC1">
            <w:pPr>
              <w:shd w:val="clear" w:color="auto" w:fill="FFFFFF"/>
              <w:ind w:firstLine="450"/>
              <w:jc w:val="both"/>
              <w:rPr>
                <w:rFonts w:ascii="Times New Roman" w:hAnsi="Times New Roman"/>
                <w:lang w:eastAsia="uk-UA"/>
              </w:rPr>
            </w:pPr>
            <w:r w:rsidRPr="005A615E">
              <w:rPr>
                <w:rFonts w:ascii="Times New Roman" w:eastAsia="Times New Roman" w:hAnsi="Times New Roman"/>
                <w:lang w:eastAsia="uk-UA"/>
              </w:rPr>
              <w:t>За результатами здійснення заходів контролю за дотриманням </w:t>
            </w:r>
            <w:hyperlink r:id="rId388" w:anchor="n9" w:tgtFrame="_blank">
              <w:r w:rsidRPr="005A615E">
                <w:rPr>
                  <w:rFonts w:ascii="Times New Roman" w:eastAsia="Times New Roman" w:hAnsi="Times New Roman"/>
                  <w:lang w:eastAsia="uk-UA"/>
                </w:rPr>
                <w:t>Ліцензійних умов</w:t>
              </w:r>
            </w:hyperlink>
            <w:r w:rsidRPr="005A615E">
              <w:rPr>
                <w:rFonts w:ascii="Times New Roman" w:eastAsia="Times New Roman" w:hAnsi="Times New Roman"/>
                <w:lang w:eastAsia="uk-UA"/>
              </w:rPr>
              <w:t> показник КЯ може бути уточнено.</w:t>
            </w:r>
          </w:p>
          <w:p w:rsidR="00CF2AC1" w:rsidRPr="005A615E" w:rsidRDefault="00CF2AC1" w:rsidP="00CF2AC1">
            <w:pPr>
              <w:jc w:val="both"/>
              <w:rPr>
                <w:rFonts w:ascii="Times New Roman" w:eastAsia="Times New Roman" w:hAnsi="Times New Roman"/>
                <w:b/>
                <w:lang w:eastAsia="uk-UA"/>
              </w:rPr>
            </w:pPr>
            <w:r w:rsidRPr="005A615E">
              <w:rPr>
                <w:rFonts w:ascii="Times New Roman" w:eastAsia="Times New Roman" w:hAnsi="Times New Roman"/>
                <w:b/>
                <w:lang w:eastAsia="uk-UA"/>
              </w:rPr>
              <w:t>Коригування необхідного доходу відповідно до даних виконання цільового завдання щодо досягнення показників якості послуг на період дії  воєнного стану  не застосовується до ліцензіатів, наведених у </w:t>
            </w:r>
            <w:hyperlink r:id="rId389" w:anchor="n680" w:history="1">
              <w:r w:rsidRPr="005A615E">
                <w:rPr>
                  <w:rFonts w:ascii="Times New Roman" w:eastAsia="Times New Roman" w:hAnsi="Times New Roman"/>
                  <w:b/>
                  <w:lang w:eastAsia="uk-UA"/>
                </w:rPr>
                <w:t>додатку 32</w:t>
              </w:r>
            </w:hyperlink>
            <w:r w:rsidRPr="005A615E">
              <w:rPr>
                <w:rFonts w:ascii="Times New Roman" w:eastAsia="Times New Roman" w:hAnsi="Times New Roman"/>
                <w:b/>
                <w:lang w:eastAsia="uk-UA"/>
              </w:rPr>
              <w:t> до цього Порядку».</w:t>
            </w:r>
          </w:p>
          <w:p w:rsidR="00CF2AC1" w:rsidRPr="005A615E" w:rsidRDefault="00CF2AC1" w:rsidP="00CF2AC1">
            <w:pPr>
              <w:jc w:val="both"/>
              <w:rPr>
                <w:rFonts w:ascii="Times New Roman" w:hAnsi="Times New Roman"/>
                <w:b/>
                <w:sz w:val="28"/>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shd w:val="clear" w:color="auto" w:fill="FFFFFF"/>
                <w:lang w:eastAsia="uk-UA"/>
              </w:rPr>
            </w:pPr>
            <w:r w:rsidRPr="005A615E">
              <w:rPr>
                <w:rFonts w:ascii="Times New Roman" w:eastAsia="Times New Roman" w:hAnsi="Times New Roman"/>
                <w:shd w:val="clear" w:color="auto" w:fill="FFFFFF"/>
                <w:lang w:eastAsia="uk-UA"/>
              </w:rPr>
              <w:t xml:space="preserve">Пріоритетними заходами </w:t>
            </w:r>
            <w:r w:rsidRPr="005A615E">
              <w:rPr>
                <w:rFonts w:ascii="Times New Roman" w:eastAsia="Times New Roman" w:hAnsi="Times New Roman"/>
                <w:lang w:eastAsia="uk-UA"/>
              </w:rPr>
              <w:t>для Товариства</w:t>
            </w:r>
            <w:r w:rsidRPr="005A615E">
              <w:rPr>
                <w:rFonts w:ascii="Times New Roman" w:eastAsia="Times New Roman" w:hAnsi="Times New Roman"/>
                <w:shd w:val="clear" w:color="auto" w:fill="FFFFFF"/>
                <w:lang w:eastAsia="uk-UA"/>
              </w:rPr>
              <w:t xml:space="preserve"> є першочергов</w:t>
            </w:r>
            <w:r w:rsidRPr="005A615E">
              <w:rPr>
                <w:rFonts w:ascii="Times New Roman" w:eastAsia="Times New Roman" w:hAnsi="Times New Roman"/>
                <w:lang w:eastAsia="uk-UA"/>
              </w:rPr>
              <w:t>е</w:t>
            </w:r>
            <w:r w:rsidRPr="005A615E">
              <w:rPr>
                <w:rFonts w:ascii="Times New Roman" w:eastAsia="Times New Roman" w:hAnsi="Times New Roman"/>
                <w:shd w:val="clear" w:color="auto" w:fill="FFFFFF"/>
                <w:lang w:eastAsia="uk-UA"/>
              </w:rPr>
              <w:t xml:space="preserve"> відновлення електропостачання споживачам після обстрілів, підтримання роботи існуючих об’єктів</w:t>
            </w:r>
            <w:r w:rsidRPr="005A615E">
              <w:rPr>
                <w:rFonts w:ascii="Times New Roman" w:eastAsia="Times New Roman" w:hAnsi="Times New Roman"/>
                <w:lang w:eastAsia="uk-UA"/>
              </w:rPr>
              <w:t xml:space="preserve"> електроенергетики, </w:t>
            </w:r>
            <w:r w:rsidRPr="005A615E">
              <w:rPr>
                <w:rFonts w:ascii="Times New Roman" w:eastAsia="Times New Roman" w:hAnsi="Times New Roman"/>
                <w:shd w:val="clear" w:color="auto" w:fill="FFFFFF"/>
                <w:lang w:eastAsia="uk-UA"/>
              </w:rPr>
              <w:t>будівництво та відновлення захисних споруд. За таких умов Товариство вимушене застосовувати тимчасові схеми електропостачання споживачів (у частині випадків та</w:t>
            </w:r>
            <w:r w:rsidRPr="005A615E">
              <w:rPr>
                <w:rFonts w:ascii="Times New Roman" w:eastAsia="Times New Roman" w:hAnsi="Times New Roman"/>
                <w:lang w:eastAsia="uk-UA"/>
              </w:rPr>
              <w:t xml:space="preserve"> </w:t>
            </w:r>
            <w:r w:rsidRPr="005A615E">
              <w:rPr>
                <w:rFonts w:ascii="Times New Roman" w:eastAsia="Times New Roman" w:hAnsi="Times New Roman"/>
                <w:shd w:val="clear" w:color="auto" w:fill="FFFFFF"/>
                <w:lang w:eastAsia="uk-UA"/>
              </w:rPr>
              <w:t>для значної кількості споживачів</w:t>
            </w:r>
            <w:r w:rsidRPr="005A615E">
              <w:rPr>
                <w:rFonts w:ascii="Times New Roman" w:eastAsia="Times New Roman" w:hAnsi="Times New Roman"/>
                <w:sz w:val="20"/>
                <w:lang w:eastAsia="uk-UA"/>
              </w:rPr>
              <w:t xml:space="preserve"> </w:t>
            </w:r>
            <w:r w:rsidRPr="005A615E">
              <w:rPr>
                <w:rFonts w:ascii="Times New Roman" w:eastAsia="Times New Roman" w:hAnsi="Times New Roman"/>
                <w:lang w:eastAsia="uk-UA"/>
              </w:rPr>
              <w:t>–</w:t>
            </w:r>
            <w:r w:rsidRPr="005A615E">
              <w:rPr>
                <w:rFonts w:ascii="Times New Roman" w:eastAsia="Times New Roman" w:hAnsi="Times New Roman"/>
                <w:shd w:val="clear" w:color="auto" w:fill="FFFFFF"/>
                <w:lang w:eastAsia="uk-UA"/>
              </w:rPr>
              <w:t xml:space="preserve"> на постійній основі), </w:t>
            </w:r>
            <w:r w:rsidRPr="005A615E">
              <w:rPr>
                <w:rFonts w:ascii="Times New Roman" w:eastAsia="Times New Roman" w:hAnsi="Times New Roman"/>
                <w:lang w:eastAsia="uk-UA"/>
              </w:rPr>
              <w:t xml:space="preserve">що </w:t>
            </w:r>
            <w:r w:rsidRPr="005A615E">
              <w:rPr>
                <w:rFonts w:ascii="Times New Roman" w:eastAsia="Times New Roman" w:hAnsi="Times New Roman"/>
                <w:shd w:val="clear" w:color="auto" w:fill="FFFFFF"/>
                <w:lang w:eastAsia="uk-UA"/>
              </w:rPr>
              <w:t xml:space="preserve">надає можливість забезпечувати </w:t>
            </w:r>
            <w:r w:rsidRPr="005A615E">
              <w:rPr>
                <w:rFonts w:ascii="Times New Roman" w:eastAsia="Times New Roman" w:hAnsi="Times New Roman"/>
                <w:lang w:eastAsia="uk-UA"/>
              </w:rPr>
              <w:t>розподіл електричної енергії, однак</w:t>
            </w:r>
            <w:r w:rsidRPr="005A615E">
              <w:rPr>
                <w:rFonts w:ascii="Times New Roman" w:eastAsia="Times New Roman" w:hAnsi="Times New Roman"/>
                <w:shd w:val="clear" w:color="auto" w:fill="FFFFFF"/>
                <w:lang w:eastAsia="uk-UA"/>
              </w:rPr>
              <w:t xml:space="preserve"> без дотримання всіх необхідних умов </w:t>
            </w:r>
            <w:r w:rsidRPr="005A615E">
              <w:rPr>
                <w:rFonts w:ascii="Times New Roman" w:eastAsia="Times New Roman" w:hAnsi="Times New Roman"/>
                <w:lang w:eastAsia="uk-UA"/>
              </w:rPr>
              <w:t>щодо</w:t>
            </w:r>
            <w:r w:rsidRPr="005A615E">
              <w:rPr>
                <w:rFonts w:ascii="Times New Roman" w:eastAsia="Times New Roman" w:hAnsi="Times New Roman"/>
                <w:shd w:val="clear" w:color="auto" w:fill="FFFFFF"/>
                <w:lang w:eastAsia="uk-UA"/>
              </w:rPr>
              <w:t xml:space="preserve"> надійності</w:t>
            </w:r>
            <w:r w:rsidRPr="005A615E">
              <w:rPr>
                <w:rFonts w:ascii="Times New Roman" w:eastAsia="Times New Roman" w:hAnsi="Times New Roman"/>
                <w:lang w:eastAsia="uk-UA"/>
              </w:rPr>
              <w:t>. Зазначене</w:t>
            </w:r>
            <w:r w:rsidRPr="005A615E">
              <w:rPr>
                <w:rFonts w:ascii="Times New Roman" w:eastAsia="Times New Roman" w:hAnsi="Times New Roman"/>
                <w:shd w:val="clear" w:color="auto" w:fill="FFFFFF"/>
                <w:lang w:eastAsia="uk-UA"/>
              </w:rPr>
              <w:t xml:space="preserve">, </w:t>
            </w:r>
            <w:r w:rsidRPr="005A615E">
              <w:rPr>
                <w:rFonts w:ascii="Times New Roman" w:eastAsia="Times New Roman" w:hAnsi="Times New Roman"/>
                <w:lang w:eastAsia="uk-UA"/>
              </w:rPr>
              <w:t>у</w:t>
            </w:r>
            <w:r w:rsidRPr="005A615E">
              <w:rPr>
                <w:rFonts w:ascii="Times New Roman" w:eastAsia="Times New Roman" w:hAnsi="Times New Roman"/>
                <w:shd w:val="clear" w:color="auto" w:fill="FFFFFF"/>
                <w:lang w:eastAsia="uk-UA"/>
              </w:rPr>
              <w:t xml:space="preserve"> свою чергу</w:t>
            </w:r>
            <w:r w:rsidRPr="005A615E">
              <w:rPr>
                <w:rFonts w:ascii="Times New Roman" w:eastAsia="Times New Roman" w:hAnsi="Times New Roman"/>
                <w:lang w:eastAsia="uk-UA"/>
              </w:rPr>
              <w:t>,</w:t>
            </w:r>
            <w:r w:rsidRPr="005A615E">
              <w:rPr>
                <w:rFonts w:ascii="Times New Roman" w:eastAsia="Times New Roman" w:hAnsi="Times New Roman"/>
                <w:shd w:val="clear" w:color="auto" w:fill="FFFFFF"/>
                <w:lang w:eastAsia="uk-UA"/>
              </w:rPr>
              <w:t xml:space="preserve"> стає причин</w:t>
            </w:r>
            <w:r w:rsidRPr="005A615E">
              <w:rPr>
                <w:rFonts w:ascii="Times New Roman" w:eastAsia="Times New Roman" w:hAnsi="Times New Roman"/>
                <w:lang w:eastAsia="uk-UA"/>
              </w:rPr>
              <w:t>ою</w:t>
            </w:r>
            <w:r w:rsidRPr="005A615E">
              <w:rPr>
                <w:rFonts w:ascii="Times New Roman" w:eastAsia="Times New Roman" w:hAnsi="Times New Roman"/>
                <w:shd w:val="clear" w:color="auto" w:fill="FFFFFF"/>
                <w:lang w:eastAsia="uk-UA"/>
              </w:rPr>
              <w:t xml:space="preserve"> додаткових технологічних порушень </w:t>
            </w:r>
            <w:r w:rsidRPr="005A615E">
              <w:rPr>
                <w:rFonts w:ascii="Times New Roman" w:eastAsia="Times New Roman" w:hAnsi="Times New Roman"/>
                <w:lang w:eastAsia="uk-UA"/>
              </w:rPr>
              <w:t>у</w:t>
            </w:r>
            <w:r w:rsidRPr="005A615E">
              <w:rPr>
                <w:rFonts w:ascii="Times New Roman" w:eastAsia="Times New Roman" w:hAnsi="Times New Roman"/>
                <w:shd w:val="clear" w:color="auto" w:fill="FFFFFF"/>
                <w:lang w:eastAsia="uk-UA"/>
              </w:rPr>
              <w:t xml:space="preserve"> роботі електричних мереж, причому забезпечення більш надійної роботи таких ділянок електромереж неможливе з міркуван</w:t>
            </w:r>
            <w:r w:rsidRPr="005A615E">
              <w:rPr>
                <w:rFonts w:ascii="Times New Roman" w:eastAsia="Times New Roman" w:hAnsi="Times New Roman"/>
                <w:lang w:eastAsia="uk-UA"/>
              </w:rPr>
              <w:t>ь</w:t>
            </w:r>
            <w:r w:rsidRPr="005A615E">
              <w:rPr>
                <w:rFonts w:ascii="Times New Roman" w:eastAsia="Times New Roman" w:hAnsi="Times New Roman"/>
                <w:shd w:val="clear" w:color="auto" w:fill="FFFFFF"/>
                <w:lang w:eastAsia="uk-UA"/>
              </w:rPr>
              <w:t xml:space="preserve"> безпеки персоналу  (безпосередня загроза вогневого</w:t>
            </w:r>
            <w:r w:rsidRPr="005A615E">
              <w:rPr>
                <w:rFonts w:ascii="Times New Roman" w:eastAsia="Times New Roman" w:hAnsi="Times New Roman"/>
                <w:lang w:eastAsia="uk-UA"/>
              </w:rPr>
              <w:t>/уламкового</w:t>
            </w:r>
            <w:r w:rsidRPr="005A615E">
              <w:rPr>
                <w:rFonts w:ascii="Times New Roman" w:eastAsia="Times New Roman" w:hAnsi="Times New Roman"/>
                <w:shd w:val="clear" w:color="auto" w:fill="FFFFFF"/>
                <w:lang w:eastAsia="uk-UA"/>
              </w:rPr>
              <w:t xml:space="preserve"> ураження </w:t>
            </w:r>
            <w:r w:rsidRPr="005A615E">
              <w:rPr>
                <w:rFonts w:ascii="Times New Roman" w:eastAsia="Times New Roman" w:hAnsi="Times New Roman"/>
                <w:lang w:eastAsia="uk-UA"/>
              </w:rPr>
              <w:t>працівників)</w:t>
            </w:r>
            <w:r w:rsidRPr="005A615E">
              <w:rPr>
                <w:rFonts w:ascii="Times New Roman" w:eastAsia="Times New Roman" w:hAnsi="Times New Roman"/>
                <w:shd w:val="clear" w:color="auto" w:fill="FFFFFF"/>
                <w:lang w:eastAsia="uk-UA"/>
              </w:rPr>
              <w:t xml:space="preserve"> або внаслідок повторних ударів ворог</w:t>
            </w:r>
            <w:r w:rsidRPr="005A615E">
              <w:rPr>
                <w:rFonts w:ascii="Times New Roman" w:eastAsia="Times New Roman" w:hAnsi="Times New Roman"/>
                <w:lang w:eastAsia="uk-UA"/>
              </w:rPr>
              <w:t>а</w:t>
            </w:r>
            <w:r w:rsidRPr="005A615E">
              <w:rPr>
                <w:rFonts w:ascii="Times New Roman" w:eastAsia="Times New Roman" w:hAnsi="Times New Roman"/>
                <w:shd w:val="clear" w:color="auto" w:fill="FFFFFF"/>
                <w:lang w:eastAsia="uk-UA"/>
              </w:rPr>
              <w:t xml:space="preserve">. </w:t>
            </w:r>
          </w:p>
          <w:p w:rsidR="00CF2AC1" w:rsidRPr="005A615E" w:rsidRDefault="00CF2AC1" w:rsidP="00CF2AC1">
            <w:pPr>
              <w:jc w:val="both"/>
              <w:rPr>
                <w:rFonts w:ascii="Times New Roman" w:eastAsia="Times New Roman" w:hAnsi="Times New Roman"/>
                <w:lang w:eastAsia="uk-UA"/>
              </w:rPr>
            </w:pPr>
            <w:r w:rsidRPr="005A615E">
              <w:rPr>
                <w:rFonts w:ascii="Times New Roman" w:eastAsia="Times New Roman" w:hAnsi="Times New Roman"/>
                <w:shd w:val="clear" w:color="auto" w:fill="FFFFFF"/>
                <w:lang w:eastAsia="uk-UA"/>
              </w:rPr>
              <w:t>Залучення персоналу для виконання АВР після обстрілів, здійснення заходів по застосуванню ГАВ</w:t>
            </w:r>
            <w:r w:rsidRPr="005A615E">
              <w:rPr>
                <w:rFonts w:ascii="Times New Roman" w:eastAsia="Times New Roman" w:hAnsi="Times New Roman"/>
                <w:lang w:eastAsia="uk-UA"/>
              </w:rPr>
              <w:t>,</w:t>
            </w:r>
            <w:r w:rsidRPr="005A615E">
              <w:rPr>
                <w:rFonts w:ascii="Times New Roman" w:eastAsia="Times New Roman" w:hAnsi="Times New Roman"/>
                <w:shd w:val="clear" w:color="auto" w:fill="FFFFFF"/>
                <w:lang w:eastAsia="uk-UA"/>
              </w:rPr>
              <w:t xml:space="preserve"> </w:t>
            </w:r>
            <w:r w:rsidRPr="005A615E">
              <w:rPr>
                <w:rFonts w:ascii="Times New Roman" w:eastAsia="Times New Roman" w:hAnsi="Times New Roman"/>
                <w:lang w:eastAsia="uk-UA"/>
              </w:rPr>
              <w:t xml:space="preserve">необхідність </w:t>
            </w:r>
            <w:r w:rsidRPr="005A615E">
              <w:rPr>
                <w:rFonts w:ascii="Times New Roman" w:eastAsia="Times New Roman" w:hAnsi="Times New Roman"/>
                <w:shd w:val="clear" w:color="auto" w:fill="FFFFFF"/>
                <w:lang w:eastAsia="uk-UA"/>
              </w:rPr>
              <w:t xml:space="preserve">дотримання умов безпеки під час </w:t>
            </w:r>
            <w:r w:rsidRPr="005A615E">
              <w:rPr>
                <w:rFonts w:ascii="Times New Roman" w:eastAsia="Times New Roman" w:hAnsi="Times New Roman"/>
                <w:lang w:eastAsia="uk-UA"/>
              </w:rPr>
              <w:t xml:space="preserve">повітряних </w:t>
            </w:r>
            <w:r w:rsidRPr="005A615E">
              <w:rPr>
                <w:rFonts w:ascii="Times New Roman" w:eastAsia="Times New Roman" w:hAnsi="Times New Roman"/>
                <w:shd w:val="clear" w:color="auto" w:fill="FFFFFF"/>
                <w:lang w:eastAsia="uk-UA"/>
              </w:rPr>
              <w:t>тривог, обмеження в окремих випадках цілодобового виконання АВР</w:t>
            </w:r>
            <w:r w:rsidRPr="005A615E">
              <w:rPr>
                <w:rFonts w:ascii="Times New Roman" w:eastAsia="Times New Roman" w:hAnsi="Times New Roman"/>
                <w:lang w:eastAsia="uk-UA"/>
              </w:rPr>
              <w:t xml:space="preserve"> (</w:t>
            </w:r>
            <w:r w:rsidRPr="005A615E">
              <w:rPr>
                <w:rFonts w:ascii="Times New Roman" w:eastAsia="Times New Roman" w:hAnsi="Times New Roman"/>
                <w:shd w:val="clear" w:color="auto" w:fill="FFFFFF"/>
                <w:lang w:eastAsia="uk-UA"/>
              </w:rPr>
              <w:t>зокрема</w:t>
            </w:r>
            <w:r w:rsidRPr="005A615E">
              <w:rPr>
                <w:rFonts w:ascii="Times New Roman" w:eastAsia="Times New Roman" w:hAnsi="Times New Roman"/>
                <w:lang w:eastAsia="uk-UA"/>
              </w:rPr>
              <w:t>,</w:t>
            </w:r>
            <w:r w:rsidRPr="005A615E">
              <w:rPr>
                <w:rFonts w:ascii="Times New Roman" w:eastAsia="Times New Roman" w:hAnsi="Times New Roman"/>
                <w:shd w:val="clear" w:color="auto" w:fill="FFFFFF"/>
                <w:lang w:eastAsia="uk-UA"/>
              </w:rPr>
              <w:t xml:space="preserve"> в нічний час на територіях, </w:t>
            </w:r>
            <w:r w:rsidRPr="005A615E">
              <w:rPr>
                <w:rFonts w:ascii="Times New Roman" w:eastAsia="Times New Roman" w:hAnsi="Times New Roman"/>
                <w:lang w:eastAsia="uk-UA"/>
              </w:rPr>
              <w:t>які</w:t>
            </w:r>
            <w:r w:rsidRPr="005A615E">
              <w:rPr>
                <w:rFonts w:ascii="Times New Roman" w:eastAsia="Times New Roman" w:hAnsi="Times New Roman"/>
                <w:shd w:val="clear" w:color="auto" w:fill="FFFFFF"/>
                <w:lang w:eastAsia="uk-UA"/>
              </w:rPr>
              <w:t xml:space="preserve"> межують з </w:t>
            </w:r>
            <w:r w:rsidRPr="005A615E">
              <w:rPr>
                <w:rFonts w:ascii="Times New Roman" w:eastAsia="Times New Roman" w:hAnsi="Times New Roman"/>
                <w:lang w:eastAsia="uk-UA"/>
              </w:rPr>
              <w:t>територіями, на яких</w:t>
            </w:r>
            <w:r w:rsidRPr="005A615E">
              <w:rPr>
                <w:rFonts w:ascii="Times New Roman" w:eastAsia="Times New Roman" w:hAnsi="Times New Roman"/>
                <w:sz w:val="20"/>
                <w:lang w:eastAsia="uk-UA"/>
              </w:rPr>
              <w:t xml:space="preserve"> ведуться </w:t>
            </w:r>
            <w:r w:rsidRPr="005A615E">
              <w:rPr>
                <w:rFonts w:ascii="Times New Roman" w:eastAsia="Times New Roman" w:hAnsi="Times New Roman"/>
                <w:sz w:val="20"/>
                <w:shd w:val="clear" w:color="auto" w:fill="FFFFFF"/>
                <w:lang w:eastAsia="uk-UA"/>
              </w:rPr>
              <w:t>активн</w:t>
            </w:r>
            <w:r w:rsidRPr="005A615E">
              <w:rPr>
                <w:rFonts w:ascii="Times New Roman" w:eastAsia="Times New Roman" w:hAnsi="Times New Roman"/>
                <w:sz w:val="20"/>
                <w:lang w:eastAsia="uk-UA"/>
              </w:rPr>
              <w:t>і</w:t>
            </w:r>
            <w:r w:rsidRPr="005A615E">
              <w:rPr>
                <w:rFonts w:ascii="Times New Roman" w:eastAsia="Times New Roman" w:hAnsi="Times New Roman"/>
                <w:sz w:val="20"/>
                <w:shd w:val="clear" w:color="auto" w:fill="FFFFFF"/>
                <w:lang w:eastAsia="uk-UA"/>
              </w:rPr>
              <w:t xml:space="preserve"> бойов</w:t>
            </w:r>
            <w:r w:rsidRPr="005A615E">
              <w:rPr>
                <w:rFonts w:ascii="Times New Roman" w:eastAsia="Times New Roman" w:hAnsi="Times New Roman"/>
                <w:sz w:val="20"/>
                <w:lang w:eastAsia="uk-UA"/>
              </w:rPr>
              <w:t>і</w:t>
            </w:r>
            <w:r w:rsidRPr="005A615E">
              <w:rPr>
                <w:rFonts w:ascii="Times New Roman" w:eastAsia="Times New Roman" w:hAnsi="Times New Roman"/>
                <w:sz w:val="20"/>
                <w:shd w:val="clear" w:color="auto" w:fill="FFFFFF"/>
                <w:lang w:eastAsia="uk-UA"/>
              </w:rPr>
              <w:t xml:space="preserve"> ді</w:t>
            </w:r>
            <w:r w:rsidRPr="005A615E">
              <w:rPr>
                <w:rFonts w:ascii="Times New Roman" w:eastAsia="Times New Roman" w:hAnsi="Times New Roman"/>
                <w:sz w:val="20"/>
                <w:lang w:eastAsia="uk-UA"/>
              </w:rPr>
              <w:t>ї)</w:t>
            </w:r>
            <w:r w:rsidRPr="005A615E">
              <w:rPr>
                <w:rFonts w:ascii="Times New Roman" w:eastAsia="Times New Roman" w:hAnsi="Times New Roman"/>
                <w:sz w:val="20"/>
                <w:shd w:val="clear" w:color="auto" w:fill="FFFFFF"/>
                <w:lang w:eastAsia="uk-UA"/>
              </w:rPr>
              <w:t xml:space="preserve">, першочергове </w:t>
            </w:r>
            <w:r w:rsidRPr="005A615E">
              <w:rPr>
                <w:rFonts w:ascii="Times New Roman" w:eastAsia="Times New Roman" w:hAnsi="Times New Roman"/>
                <w:shd w:val="clear" w:color="auto" w:fill="FFFFFF"/>
                <w:lang w:eastAsia="uk-UA"/>
              </w:rPr>
              <w:t>відновлення електропостачання об’єктів критичної інфраструктури, значне завантаження оперативного та оперативно-виробничого персоналу</w:t>
            </w:r>
            <w:r w:rsidRPr="005A615E">
              <w:rPr>
                <w:rFonts w:ascii="Times New Roman" w:eastAsia="Times New Roman" w:hAnsi="Times New Roman"/>
                <w:lang w:eastAsia="uk-UA"/>
              </w:rPr>
              <w:t xml:space="preserve"> тощо </w:t>
            </w:r>
            <w:r w:rsidRPr="005A615E">
              <w:rPr>
                <w:rFonts w:ascii="Times New Roman" w:eastAsia="Times New Roman" w:hAnsi="Times New Roman"/>
                <w:u w:val="single"/>
                <w:lang w:eastAsia="uk-UA"/>
              </w:rPr>
              <w:t>значно ускладнюють дотримання в повному обсязі стандартів якості (надійності (безперервності)) електропостачання</w:t>
            </w:r>
            <w:r w:rsidRPr="005A615E">
              <w:rPr>
                <w:rFonts w:ascii="Times New Roman" w:eastAsia="Times New Roman" w:hAnsi="Times New Roman"/>
                <w:lang w:eastAsia="uk-UA"/>
              </w:rPr>
              <w:t>.</w:t>
            </w:r>
          </w:p>
          <w:p w:rsidR="00CF2AC1" w:rsidRPr="005A615E" w:rsidRDefault="00CF2AC1" w:rsidP="00CF2AC1">
            <w:pPr>
              <w:jc w:val="both"/>
              <w:rPr>
                <w:rFonts w:ascii="Times New Roman" w:hAnsi="Times New Roman"/>
                <w:b/>
                <w:sz w:val="28"/>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pStyle w:val="rvps2"/>
              <w:shd w:val="clear" w:color="auto" w:fill="FFFFFF"/>
              <w:spacing w:beforeAutospacing="0" w:after="150" w:afterAutospacing="0"/>
              <w:ind w:firstLine="450"/>
              <w:jc w:val="both"/>
              <w:rPr>
                <w:lang w:val="uk-UA"/>
              </w:rPr>
            </w:pPr>
            <w:r w:rsidRPr="005A615E">
              <w:rPr>
                <w:lang w:val="uk-UA"/>
              </w:rPr>
              <w:t xml:space="preserve">7.25. Коригування необхідного доходу відповідно до даних виконання цільового завдання щодо досягнення показників якості послуг на рік </w:t>
            </w:r>
            <w:r w:rsidRPr="005A615E">
              <w:t>t</w:t>
            </w:r>
            <w:r w:rsidRPr="005A615E">
              <w:rPr>
                <w:lang w:val="uk-UA"/>
              </w:rPr>
              <w:t xml:space="preserve"> (</w:t>
            </w:r>
            <w:r w:rsidRPr="005A615E">
              <w:rPr>
                <w:rStyle w:val="rvts9"/>
                <w:b/>
                <w:bCs/>
                <w:lang w:val="uk-UA"/>
              </w:rPr>
              <w:t>КЯ</w:t>
            </w:r>
            <w:r w:rsidRPr="005A615E">
              <w:rPr>
                <w:rStyle w:val="rvts40"/>
                <w:b/>
                <w:bCs/>
                <w:sz w:val="16"/>
                <w:szCs w:val="16"/>
                <w:vertAlign w:val="subscript"/>
              </w:rPr>
              <w:t>t</w:t>
            </w:r>
            <w:r w:rsidRPr="005A615E">
              <w:rPr>
                <w:rStyle w:val="rvts9"/>
                <w:b/>
                <w:bCs/>
                <w:lang w:val="uk-UA"/>
              </w:rPr>
              <w:t>)</w:t>
            </w:r>
            <w:r w:rsidRPr="005A615E">
              <w:rPr>
                <w:lang w:val="uk-UA"/>
              </w:rPr>
              <w:t>, тис. грн,</w:t>
            </w:r>
            <w:r w:rsidRPr="005A615E">
              <w:t> </w:t>
            </w:r>
            <w:r w:rsidRPr="005A615E">
              <w:rPr>
                <w:lang w:val="uk-UA"/>
              </w:rPr>
              <w:t xml:space="preserve"> визначається за формулами:</w:t>
            </w:r>
          </w:p>
          <w:p w:rsidR="00CF2AC1" w:rsidRPr="005A615E" w:rsidRDefault="00CF2AC1" w:rsidP="00CF2AC1">
            <w:pPr>
              <w:jc w:val="both"/>
              <w:rPr>
                <w:rFonts w:ascii="Times New Roman" w:hAnsi="Times New Roman"/>
                <w:b/>
                <w:sz w:val="24"/>
              </w:rPr>
            </w:pPr>
            <w:r w:rsidRPr="005A615E">
              <w:rPr>
                <w:rFonts w:ascii="Times New Roman" w:hAnsi="Times New Roman"/>
                <w:b/>
                <w:sz w:val="24"/>
              </w:rPr>
              <w:t>…</w:t>
            </w:r>
          </w:p>
          <w:p w:rsidR="00CF2AC1" w:rsidRPr="005A615E" w:rsidRDefault="00CF2AC1" w:rsidP="00CF2AC1">
            <w:pPr>
              <w:shd w:val="clear" w:color="auto" w:fill="FFFFFF"/>
              <w:spacing w:after="150"/>
              <w:jc w:val="both"/>
              <w:rPr>
                <w:rFonts w:ascii="Times New Roman" w:hAnsi="Times New Roman"/>
                <w:b/>
                <w:sz w:val="24"/>
              </w:rPr>
            </w:pPr>
            <w:r w:rsidRPr="005A615E">
              <w:rPr>
                <w:rFonts w:ascii="Times New Roman" w:hAnsi="Times New Roman"/>
                <w:lang w:eastAsia="uk-UA"/>
              </w:rPr>
              <w:t>Коригування необхідного доходу відповідно до даних виконання цільового завдання щодо досягнення показників якості послуг за 2022 та 2023 роки не застосовується, за 2024 – 2026 роки - не застосовується до ліцензіатів, наведених у </w:t>
            </w:r>
            <w:hyperlink r:id="rId390" w:anchor="n680" w:history="1">
              <w:r w:rsidRPr="005A615E">
                <w:rPr>
                  <w:rFonts w:ascii="Times New Roman" w:hAnsi="Times New Roman"/>
                  <w:u w:val="single"/>
                  <w:lang w:eastAsia="uk-UA"/>
                </w:rPr>
                <w:t>додатку 32</w:t>
              </w:r>
            </w:hyperlink>
            <w:r w:rsidRPr="005A615E">
              <w:rPr>
                <w:rFonts w:ascii="Times New Roman" w:hAnsi="Times New Roman"/>
                <w:lang w:eastAsia="uk-UA"/>
              </w:rPr>
              <w:t xml:space="preserve"> до цього Порядку, </w:t>
            </w:r>
            <w:r w:rsidRPr="005A615E">
              <w:rPr>
                <w:rFonts w:ascii="Times New Roman" w:hAnsi="Times New Roman"/>
                <w:b/>
                <w:bCs/>
              </w:rPr>
              <w:t>за 2027 – 2029 роки - не застосовується до ліцензіатів, наведених у </w:t>
            </w:r>
            <w:hyperlink r:id="rId391" w:anchor="n680" w:history="1">
              <w:r w:rsidRPr="005A615E">
                <w:rPr>
                  <w:rFonts w:ascii="Times New Roman" w:hAnsi="Times New Roman"/>
                  <w:b/>
                  <w:bCs/>
                </w:rPr>
                <w:t>додатку 3</w:t>
              </w:r>
            </w:hyperlink>
            <w:r w:rsidRPr="005A615E">
              <w:rPr>
                <w:rFonts w:ascii="Times New Roman" w:hAnsi="Times New Roman"/>
                <w:b/>
                <w:bCs/>
              </w:rPr>
              <w:t>5</w:t>
            </w: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jc w:val="both"/>
              <w:rPr>
                <w:rFonts w:ascii="Times New Roman" w:hAnsi="Times New Roman"/>
              </w:rPr>
            </w:pPr>
            <w:r w:rsidRPr="005A615E">
              <w:rPr>
                <w:rFonts w:ascii="Times New Roman" w:hAnsi="Times New Roman"/>
                <w:bCs/>
              </w:rPr>
              <w:t>Враховуючи те, що АТ «ЧЕРНІВЦІОБЛЕНЕРГО» протягом 2023-2026 років знаходилось в особливих умовах встановлення тарифів на розподіл електричної енергії, зокрема, в 2023-2025 встановлені тарифи не покривали затвердженої структури витрат, а в 2024-2026 встановлювалась 0 норми доходу на регуляторну базу активів, пропонуємо встановити особливі умови на 2027-2029 роки для досягнення рівня ОСР, які були на загальних умовах</w:t>
            </w:r>
          </w:p>
          <w:p w:rsidR="00CF2AC1" w:rsidRPr="005A615E" w:rsidRDefault="00CF2AC1" w:rsidP="00CF2AC1">
            <w:pPr>
              <w:jc w:val="both"/>
              <w:rPr>
                <w:rFonts w:ascii="Times New Roman" w:hAnsi="Times New Roman"/>
                <w:b/>
                <w:sz w:val="28"/>
              </w:rPr>
            </w:pPr>
          </w:p>
        </w:tc>
        <w:tc>
          <w:tcPr>
            <w:tcW w:w="3969" w:type="dxa"/>
            <w:gridSpan w:val="2"/>
          </w:tcPr>
          <w:p w:rsidR="00E71ABB" w:rsidRPr="005A615E" w:rsidRDefault="00E71ABB" w:rsidP="00E71ABB">
            <w:pPr>
              <w:rPr>
                <w:rFonts w:ascii="Times New Roman" w:hAnsi="Times New Roman"/>
                <w:b/>
                <w:sz w:val="24"/>
              </w:rPr>
            </w:pPr>
            <w:r w:rsidRPr="005A615E">
              <w:rPr>
                <w:rFonts w:ascii="Times New Roman" w:hAnsi="Times New Roman"/>
                <w:b/>
                <w:sz w:val="24"/>
              </w:rPr>
              <w:t>Не враховано</w:t>
            </w:r>
          </w:p>
          <w:p w:rsidR="00E71ABB" w:rsidRPr="005A615E" w:rsidRDefault="00E71ABB" w:rsidP="00E71ABB">
            <w:pPr>
              <w:widowControl w:val="0"/>
              <w:spacing w:line="257" w:lineRule="auto"/>
              <w:rPr>
                <w:rFonts w:ascii="Times New Roman" w:hAnsi="Times New Roman"/>
                <w:b/>
                <w:sz w:val="24"/>
              </w:rPr>
            </w:pPr>
            <w:r w:rsidRPr="005A615E">
              <w:rPr>
                <w:rFonts w:ascii="Times New Roman" w:hAnsi="Times New Roman"/>
                <w:b/>
                <w:sz w:val="24"/>
              </w:rPr>
              <w:t>Загальна позиція</w:t>
            </w:r>
          </w:p>
          <w:p w:rsidR="00E71ABB" w:rsidRPr="005A615E" w:rsidRDefault="00E71ABB" w:rsidP="00E71ABB">
            <w:pPr>
              <w:rPr>
                <w:rFonts w:ascii="Times New Roman" w:hAnsi="Times New Roman"/>
                <w:b/>
                <w:sz w:val="24"/>
              </w:rPr>
            </w:pPr>
            <w:r w:rsidRPr="005A615E">
              <w:rPr>
                <w:rFonts w:ascii="Times New Roman" w:hAnsi="Times New Roman"/>
                <w:b/>
                <w:sz w:val="24"/>
              </w:rPr>
              <w:t>Недостатньо обгрунтова позиція</w:t>
            </w:r>
          </w:p>
          <w:p w:rsidR="00CF2AC1" w:rsidRPr="005A615E" w:rsidRDefault="00CF2AC1" w:rsidP="001A60EC">
            <w:pPr>
              <w:shd w:val="clear" w:color="auto" w:fill="FFFFFF"/>
              <w:spacing w:after="150"/>
              <w:ind w:firstLine="164"/>
              <w:jc w:val="both"/>
              <w:rPr>
                <w:rFonts w:ascii="Times New Roman" w:hAnsi="Times New Roman"/>
                <w:b/>
                <w:sz w:val="28"/>
              </w:rPr>
            </w:pPr>
          </w:p>
        </w:tc>
      </w:tr>
      <w:tr w:rsidR="00CF2AC1" w:rsidRPr="005A615E" w:rsidTr="00A56FEE">
        <w:tc>
          <w:tcPr>
            <w:tcW w:w="6232" w:type="dxa"/>
          </w:tcPr>
          <w:p w:rsidR="00CF2AC1" w:rsidRPr="005A615E" w:rsidRDefault="00CF2AC1" w:rsidP="00CF2AC1">
            <w:pPr>
              <w:autoSpaceDE w:val="0"/>
              <w:autoSpaceDN w:val="0"/>
              <w:spacing w:line="259" w:lineRule="auto"/>
              <w:jc w:val="both"/>
              <w:rPr>
                <w:rFonts w:ascii="Times New Roman" w:hAnsi="Times New Roman"/>
                <w:b/>
                <w:sz w:val="24"/>
                <w:szCs w:val="24"/>
              </w:rPr>
            </w:pPr>
            <w:r w:rsidRPr="005A615E">
              <w:rPr>
                <w:rFonts w:ascii="Times New Roman" w:hAnsi="Times New Roman"/>
                <w:b/>
                <w:sz w:val="24"/>
                <w:szCs w:val="24"/>
              </w:rPr>
              <w:t>Додаток 32</w:t>
            </w:r>
          </w:p>
          <w:p w:rsidR="00CF2AC1" w:rsidRPr="005A615E" w:rsidRDefault="00CF2AC1" w:rsidP="00CF2AC1">
            <w:pPr>
              <w:outlineLvl w:val="2"/>
              <w:rPr>
                <w:rFonts w:ascii="Times New Roman" w:hAnsi="Times New Roman"/>
                <w:sz w:val="24"/>
                <w:szCs w:val="24"/>
                <w:lang w:eastAsia="uk-UA"/>
              </w:rPr>
            </w:pPr>
            <w:r w:rsidRPr="005A615E">
              <w:rPr>
                <w:rFonts w:ascii="Times New Roman" w:hAnsi="Times New Roman"/>
                <w:sz w:val="24"/>
                <w:szCs w:val="24"/>
                <w:lang w:eastAsia="uk-UA"/>
              </w:rPr>
              <w:t>«ПЕРЕЛІК</w:t>
            </w:r>
            <w:r w:rsidRPr="005A615E">
              <w:rPr>
                <w:rFonts w:ascii="Times New Roman" w:hAnsi="Times New Roman"/>
                <w:sz w:val="24"/>
                <w:szCs w:val="24"/>
                <w:lang w:eastAsia="uk-UA"/>
              </w:rPr>
              <w:br/>
              <w:t>операторів систем розподілу, до яких не застосовується коригування необхідного доходу відповідно до даних виконання цільового завдання щодо досягнення показників якості послуг за 2024 </w:t>
            </w:r>
            <w:hyperlink r:id="rId392" w:tgtFrame="_blank" w:history="1">
              <w:r w:rsidRPr="005A615E">
                <w:rPr>
                  <w:rFonts w:ascii="Times New Roman" w:hAnsi="Times New Roman"/>
                  <w:sz w:val="24"/>
                  <w:szCs w:val="24"/>
                  <w:lang w:eastAsia="uk-UA"/>
                </w:rPr>
                <w:t xml:space="preserve"> - </w:t>
              </w:r>
              <w:r w:rsidRPr="005A615E">
                <w:rPr>
                  <w:rFonts w:ascii="Times New Roman" w:hAnsi="Times New Roman"/>
                  <w:b/>
                  <w:sz w:val="24"/>
                  <w:szCs w:val="24"/>
                  <w:lang w:eastAsia="uk-UA"/>
                </w:rPr>
                <w:t>2026</w:t>
              </w:r>
              <w:r w:rsidRPr="005A615E">
                <w:rPr>
                  <w:rFonts w:ascii="Times New Roman" w:hAnsi="Times New Roman"/>
                  <w:sz w:val="24"/>
                  <w:szCs w:val="24"/>
                  <w:lang w:eastAsia="uk-UA"/>
                </w:rPr>
                <w:t xml:space="preserve"> роки</w:t>
              </w:r>
            </w:hyperlink>
            <w:r w:rsidRPr="005A615E">
              <w:rPr>
                <w:rFonts w:ascii="Times New Roman" w:hAnsi="Times New Roman"/>
                <w:sz w:val="24"/>
                <w:szCs w:val="24"/>
                <w:lang w:eastAsia="uk-UA"/>
              </w:rPr>
              <w:t>»</w:t>
            </w:r>
          </w:p>
          <w:p w:rsidR="00CF2AC1" w:rsidRPr="005A615E" w:rsidRDefault="00CF2AC1" w:rsidP="00CF2AC1">
            <w:pPr>
              <w:outlineLvl w:val="2"/>
              <w:rPr>
                <w:rFonts w:ascii="Times New Roman" w:hAnsi="Times New Roman"/>
                <w:sz w:val="24"/>
                <w:szCs w:val="24"/>
              </w:rPr>
            </w:pPr>
            <w:r w:rsidRPr="005A615E">
              <w:rPr>
                <w:rFonts w:ascii="Times New Roman" w:hAnsi="Times New Roman"/>
                <w:sz w:val="24"/>
                <w:szCs w:val="24"/>
                <w:lang w:eastAsia="uk-UA"/>
              </w:rPr>
              <w:t>….</w:t>
            </w:r>
            <w:r w:rsidRPr="005A615E">
              <w:rPr>
                <w:rFonts w:ascii="Times New Roman" w:hAnsi="Times New Roman"/>
                <w:sz w:val="24"/>
                <w:szCs w:val="24"/>
              </w:rPr>
              <w:t xml:space="preserve"> </w:t>
            </w:r>
          </w:p>
          <w:p w:rsidR="00CF2AC1" w:rsidRPr="005A615E" w:rsidRDefault="00CF2AC1" w:rsidP="00CF2AC1">
            <w:pPr>
              <w:outlineLvl w:val="2"/>
              <w:rPr>
                <w:rFonts w:ascii="Times New Roman" w:hAnsi="Times New Roman"/>
                <w:b/>
                <w:sz w:val="24"/>
                <w:szCs w:val="24"/>
              </w:rPr>
            </w:pPr>
            <w:r w:rsidRPr="005A615E">
              <w:rPr>
                <w:rFonts w:ascii="Times New Roman" w:hAnsi="Times New Roman"/>
                <w:b/>
                <w:sz w:val="24"/>
                <w:szCs w:val="24"/>
              </w:rPr>
              <w:t>АТ «ДТЕК ОДЕСЬКІ ЕЛЕКТРОМЕРЕЖІ*;</w:t>
            </w:r>
          </w:p>
          <w:p w:rsidR="00CF2AC1" w:rsidRPr="005A615E" w:rsidRDefault="00CF2AC1" w:rsidP="00CF2AC1">
            <w:pPr>
              <w:outlineLvl w:val="2"/>
              <w:rPr>
                <w:rFonts w:ascii="Times New Roman" w:hAnsi="Times New Roman"/>
                <w:b/>
                <w:sz w:val="24"/>
                <w:szCs w:val="24"/>
                <w:lang w:eastAsia="uk-UA"/>
              </w:rPr>
            </w:pPr>
            <w:r w:rsidRPr="005A615E">
              <w:rPr>
                <w:rFonts w:ascii="Times New Roman" w:hAnsi="Times New Roman"/>
                <w:b/>
                <w:sz w:val="24"/>
                <w:szCs w:val="24"/>
                <w:lang w:eastAsia="uk-UA"/>
              </w:rPr>
              <w:t>…</w:t>
            </w:r>
          </w:p>
          <w:p w:rsidR="00CF2AC1" w:rsidRPr="005A615E" w:rsidRDefault="00CF2AC1" w:rsidP="00CF2AC1">
            <w:pPr>
              <w:autoSpaceDE w:val="0"/>
              <w:autoSpaceDN w:val="0"/>
              <w:ind w:firstLine="322"/>
              <w:contextualSpacing/>
              <w:jc w:val="both"/>
              <w:rPr>
                <w:rFonts w:ascii="Times New Roman" w:hAnsi="Times New Roman"/>
                <w:b/>
                <w:sz w:val="24"/>
                <w:szCs w:val="24"/>
              </w:rPr>
            </w:pPr>
            <w:r w:rsidRPr="005A615E">
              <w:rPr>
                <w:rFonts w:ascii="Times New Roman" w:hAnsi="Times New Roman"/>
                <w:b/>
                <w:sz w:val="24"/>
                <w:szCs w:val="24"/>
              </w:rPr>
              <w:t xml:space="preserve">доповнити приміткою такого змісту: </w:t>
            </w:r>
          </w:p>
          <w:p w:rsidR="00CF2AC1" w:rsidRPr="005A615E" w:rsidRDefault="00CF2AC1" w:rsidP="00CF2AC1">
            <w:pPr>
              <w:autoSpaceDE w:val="0"/>
              <w:autoSpaceDN w:val="0"/>
              <w:ind w:firstLine="322"/>
              <w:contextualSpacing/>
              <w:jc w:val="both"/>
              <w:rPr>
                <w:rFonts w:ascii="Times New Roman" w:hAnsi="Times New Roman"/>
                <w:b/>
                <w:sz w:val="24"/>
                <w:szCs w:val="24"/>
              </w:rPr>
            </w:pPr>
            <w:r w:rsidRPr="005A615E">
              <w:rPr>
                <w:rFonts w:ascii="Times New Roman" w:hAnsi="Times New Roman"/>
                <w:b/>
                <w:sz w:val="24"/>
                <w:szCs w:val="24"/>
              </w:rPr>
              <w:t>* АТ «ДТЕК ОДЕСЬКІ ЕЛЕКТРОМЕРЕЖІ» для перевірки ліцензованої діяльності за 2026 рік;</w:t>
            </w:r>
          </w:p>
          <w:p w:rsidR="00CF2AC1" w:rsidRPr="005A615E" w:rsidRDefault="00CF2AC1" w:rsidP="00CF2AC1">
            <w:pPr>
              <w:rPr>
                <w:rFonts w:ascii="Times New Roman" w:hAnsi="Times New Roman"/>
                <w:b/>
                <w:sz w:val="28"/>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«Запоріжжяобленерго» (лист </w:t>
            </w:r>
            <w:r w:rsidRPr="005A615E">
              <w:rPr>
                <w:rFonts w:ascii="Times New Roman" w:hAnsi="Times New Roman"/>
                <w:b/>
                <w:sz w:val="24"/>
                <w:u w:val="single"/>
              </w:rPr>
              <w:br/>
              <w:t>від 15.07.2026 № 001-33/663)</w:t>
            </w:r>
          </w:p>
          <w:p w:rsidR="00CF2AC1" w:rsidRPr="005A615E" w:rsidRDefault="00CF2AC1" w:rsidP="00CF2AC1">
            <w:pPr>
              <w:shd w:val="clear" w:color="auto" w:fill="FFFFFF"/>
              <w:spacing w:after="150"/>
              <w:rPr>
                <w:rFonts w:ascii="Times New Roman" w:hAnsi="Times New Roman"/>
                <w:lang w:eastAsia="uk-UA"/>
              </w:rPr>
            </w:pPr>
            <w:r w:rsidRPr="005A615E">
              <w:rPr>
                <w:rFonts w:ascii="Times New Roman" w:eastAsia="Times New Roman" w:hAnsi="Times New Roman"/>
                <w:lang w:eastAsia="uk-UA"/>
              </w:rPr>
              <w:t>Пропонується Додаток 32 доповнити таким абзацом:</w:t>
            </w:r>
          </w:p>
          <w:p w:rsidR="00CF2AC1" w:rsidRPr="005A615E" w:rsidRDefault="00CF2AC1" w:rsidP="00CF2AC1">
            <w:pPr>
              <w:shd w:val="clear" w:color="auto" w:fill="FFFFFF"/>
              <w:spacing w:after="150"/>
              <w:rPr>
                <w:rFonts w:ascii="Times New Roman" w:hAnsi="Times New Roman"/>
                <w:b/>
                <w:lang w:eastAsia="uk-UA"/>
              </w:rPr>
            </w:pPr>
            <w:r w:rsidRPr="005A615E">
              <w:rPr>
                <w:rFonts w:ascii="Times New Roman" w:eastAsia="Times New Roman" w:hAnsi="Times New Roman"/>
                <w:b/>
                <w:lang w:eastAsia="uk-UA"/>
              </w:rPr>
              <w:t>АТ «Запоріжжяобленерго»</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shd w:val="clear" w:color="auto" w:fill="FFFFFF"/>
                <w:lang w:eastAsia="uk-UA"/>
              </w:rPr>
            </w:pPr>
            <w:r w:rsidRPr="005A615E">
              <w:rPr>
                <w:rFonts w:ascii="Times New Roman" w:eastAsia="Times New Roman" w:hAnsi="Times New Roman"/>
                <w:shd w:val="clear" w:color="auto" w:fill="FFFFFF"/>
                <w:lang w:eastAsia="uk-UA"/>
              </w:rPr>
              <w:t xml:space="preserve">Пріоритетними заходами </w:t>
            </w:r>
            <w:r w:rsidRPr="005A615E">
              <w:rPr>
                <w:rFonts w:ascii="Times New Roman" w:eastAsia="Times New Roman" w:hAnsi="Times New Roman"/>
                <w:lang w:eastAsia="uk-UA"/>
              </w:rPr>
              <w:t>для Товариства</w:t>
            </w:r>
            <w:r w:rsidRPr="005A615E">
              <w:rPr>
                <w:rFonts w:ascii="Times New Roman" w:eastAsia="Times New Roman" w:hAnsi="Times New Roman"/>
                <w:shd w:val="clear" w:color="auto" w:fill="FFFFFF"/>
                <w:lang w:eastAsia="uk-UA"/>
              </w:rPr>
              <w:t xml:space="preserve"> є першочергов</w:t>
            </w:r>
            <w:r w:rsidRPr="005A615E">
              <w:rPr>
                <w:rFonts w:ascii="Times New Roman" w:eastAsia="Times New Roman" w:hAnsi="Times New Roman"/>
                <w:lang w:eastAsia="uk-UA"/>
              </w:rPr>
              <w:t>е</w:t>
            </w:r>
            <w:r w:rsidRPr="005A615E">
              <w:rPr>
                <w:rFonts w:ascii="Times New Roman" w:eastAsia="Times New Roman" w:hAnsi="Times New Roman"/>
                <w:shd w:val="clear" w:color="auto" w:fill="FFFFFF"/>
                <w:lang w:eastAsia="uk-UA"/>
              </w:rPr>
              <w:t xml:space="preserve"> відновлення електропостачання споживачам після обстрілів, підтримання роботи існуючих об’єктів</w:t>
            </w:r>
            <w:r w:rsidRPr="005A615E">
              <w:rPr>
                <w:rFonts w:ascii="Times New Roman" w:eastAsia="Times New Roman" w:hAnsi="Times New Roman"/>
                <w:lang w:eastAsia="uk-UA"/>
              </w:rPr>
              <w:t xml:space="preserve"> електроенергетики, </w:t>
            </w:r>
            <w:r w:rsidRPr="005A615E">
              <w:rPr>
                <w:rFonts w:ascii="Times New Roman" w:eastAsia="Times New Roman" w:hAnsi="Times New Roman"/>
                <w:shd w:val="clear" w:color="auto" w:fill="FFFFFF"/>
                <w:lang w:eastAsia="uk-UA"/>
              </w:rPr>
              <w:t>будівництво та відновлення захисних споруд. За таких умов Товариство вимушене застосовувати тимчасові схеми електропостачання споживачів (у частині випадків та</w:t>
            </w:r>
            <w:r w:rsidRPr="005A615E">
              <w:rPr>
                <w:rFonts w:ascii="Times New Roman" w:eastAsia="Times New Roman" w:hAnsi="Times New Roman"/>
                <w:lang w:eastAsia="uk-UA"/>
              </w:rPr>
              <w:t xml:space="preserve"> </w:t>
            </w:r>
            <w:r w:rsidRPr="005A615E">
              <w:rPr>
                <w:rFonts w:ascii="Times New Roman" w:eastAsia="Times New Roman" w:hAnsi="Times New Roman"/>
                <w:shd w:val="clear" w:color="auto" w:fill="FFFFFF"/>
                <w:lang w:eastAsia="uk-UA"/>
              </w:rPr>
              <w:t>для значної кількості споживачів</w:t>
            </w:r>
            <w:r w:rsidRPr="005A615E">
              <w:rPr>
                <w:rFonts w:ascii="Times New Roman" w:eastAsia="Times New Roman" w:hAnsi="Times New Roman"/>
                <w:sz w:val="20"/>
                <w:lang w:eastAsia="uk-UA"/>
              </w:rPr>
              <w:t xml:space="preserve"> </w:t>
            </w:r>
            <w:r w:rsidRPr="005A615E">
              <w:rPr>
                <w:rFonts w:ascii="Times New Roman" w:eastAsia="Times New Roman" w:hAnsi="Times New Roman"/>
                <w:lang w:eastAsia="uk-UA"/>
              </w:rPr>
              <w:t>–</w:t>
            </w:r>
            <w:r w:rsidRPr="005A615E">
              <w:rPr>
                <w:rFonts w:ascii="Times New Roman" w:eastAsia="Times New Roman" w:hAnsi="Times New Roman"/>
                <w:shd w:val="clear" w:color="auto" w:fill="FFFFFF"/>
                <w:lang w:eastAsia="uk-UA"/>
              </w:rPr>
              <w:t xml:space="preserve"> на постійній основі), </w:t>
            </w:r>
            <w:r w:rsidRPr="005A615E">
              <w:rPr>
                <w:rFonts w:ascii="Times New Roman" w:eastAsia="Times New Roman" w:hAnsi="Times New Roman"/>
                <w:lang w:eastAsia="uk-UA"/>
              </w:rPr>
              <w:t xml:space="preserve">що </w:t>
            </w:r>
            <w:r w:rsidRPr="005A615E">
              <w:rPr>
                <w:rFonts w:ascii="Times New Roman" w:eastAsia="Times New Roman" w:hAnsi="Times New Roman"/>
                <w:shd w:val="clear" w:color="auto" w:fill="FFFFFF"/>
                <w:lang w:eastAsia="uk-UA"/>
              </w:rPr>
              <w:t xml:space="preserve">надає можливість забезпечувати </w:t>
            </w:r>
            <w:r w:rsidRPr="005A615E">
              <w:rPr>
                <w:rFonts w:ascii="Times New Roman" w:eastAsia="Times New Roman" w:hAnsi="Times New Roman"/>
                <w:lang w:eastAsia="uk-UA"/>
              </w:rPr>
              <w:t>розподіл електричної енергії, однак</w:t>
            </w:r>
            <w:r w:rsidRPr="005A615E">
              <w:rPr>
                <w:rFonts w:ascii="Times New Roman" w:eastAsia="Times New Roman" w:hAnsi="Times New Roman"/>
                <w:shd w:val="clear" w:color="auto" w:fill="FFFFFF"/>
                <w:lang w:eastAsia="uk-UA"/>
              </w:rPr>
              <w:t xml:space="preserve"> без дотримання всіх необхідних умов </w:t>
            </w:r>
            <w:r w:rsidRPr="005A615E">
              <w:rPr>
                <w:rFonts w:ascii="Times New Roman" w:eastAsia="Times New Roman" w:hAnsi="Times New Roman"/>
                <w:lang w:eastAsia="uk-UA"/>
              </w:rPr>
              <w:t>щодо</w:t>
            </w:r>
            <w:r w:rsidRPr="005A615E">
              <w:rPr>
                <w:rFonts w:ascii="Times New Roman" w:eastAsia="Times New Roman" w:hAnsi="Times New Roman"/>
                <w:shd w:val="clear" w:color="auto" w:fill="FFFFFF"/>
                <w:lang w:eastAsia="uk-UA"/>
              </w:rPr>
              <w:t xml:space="preserve"> надійності</w:t>
            </w:r>
            <w:r w:rsidRPr="005A615E">
              <w:rPr>
                <w:rFonts w:ascii="Times New Roman" w:eastAsia="Times New Roman" w:hAnsi="Times New Roman"/>
                <w:lang w:eastAsia="uk-UA"/>
              </w:rPr>
              <w:t>. Зазначене</w:t>
            </w:r>
            <w:r w:rsidRPr="005A615E">
              <w:rPr>
                <w:rFonts w:ascii="Times New Roman" w:eastAsia="Times New Roman" w:hAnsi="Times New Roman"/>
                <w:shd w:val="clear" w:color="auto" w:fill="FFFFFF"/>
                <w:lang w:eastAsia="uk-UA"/>
              </w:rPr>
              <w:t xml:space="preserve">, </w:t>
            </w:r>
            <w:r w:rsidRPr="005A615E">
              <w:rPr>
                <w:rFonts w:ascii="Times New Roman" w:eastAsia="Times New Roman" w:hAnsi="Times New Roman"/>
                <w:lang w:eastAsia="uk-UA"/>
              </w:rPr>
              <w:t>у</w:t>
            </w:r>
            <w:r w:rsidRPr="005A615E">
              <w:rPr>
                <w:rFonts w:ascii="Times New Roman" w:eastAsia="Times New Roman" w:hAnsi="Times New Roman"/>
                <w:shd w:val="clear" w:color="auto" w:fill="FFFFFF"/>
                <w:lang w:eastAsia="uk-UA"/>
              </w:rPr>
              <w:t xml:space="preserve"> свою чергу</w:t>
            </w:r>
            <w:r w:rsidRPr="005A615E">
              <w:rPr>
                <w:rFonts w:ascii="Times New Roman" w:eastAsia="Times New Roman" w:hAnsi="Times New Roman"/>
                <w:lang w:eastAsia="uk-UA"/>
              </w:rPr>
              <w:t>,</w:t>
            </w:r>
            <w:r w:rsidRPr="005A615E">
              <w:rPr>
                <w:rFonts w:ascii="Times New Roman" w:eastAsia="Times New Roman" w:hAnsi="Times New Roman"/>
                <w:shd w:val="clear" w:color="auto" w:fill="FFFFFF"/>
                <w:lang w:eastAsia="uk-UA"/>
              </w:rPr>
              <w:t xml:space="preserve"> стає причин</w:t>
            </w:r>
            <w:r w:rsidRPr="005A615E">
              <w:rPr>
                <w:rFonts w:ascii="Times New Roman" w:eastAsia="Times New Roman" w:hAnsi="Times New Roman"/>
                <w:lang w:eastAsia="uk-UA"/>
              </w:rPr>
              <w:t>ою</w:t>
            </w:r>
            <w:r w:rsidRPr="005A615E">
              <w:rPr>
                <w:rFonts w:ascii="Times New Roman" w:eastAsia="Times New Roman" w:hAnsi="Times New Roman"/>
                <w:shd w:val="clear" w:color="auto" w:fill="FFFFFF"/>
                <w:lang w:eastAsia="uk-UA"/>
              </w:rPr>
              <w:t xml:space="preserve"> додаткових технологічних порушень </w:t>
            </w:r>
            <w:r w:rsidRPr="005A615E">
              <w:rPr>
                <w:rFonts w:ascii="Times New Roman" w:eastAsia="Times New Roman" w:hAnsi="Times New Roman"/>
                <w:lang w:eastAsia="uk-UA"/>
              </w:rPr>
              <w:t>у</w:t>
            </w:r>
            <w:r w:rsidRPr="005A615E">
              <w:rPr>
                <w:rFonts w:ascii="Times New Roman" w:eastAsia="Times New Roman" w:hAnsi="Times New Roman"/>
                <w:shd w:val="clear" w:color="auto" w:fill="FFFFFF"/>
                <w:lang w:eastAsia="uk-UA"/>
              </w:rPr>
              <w:t xml:space="preserve"> роботі електричних мереж, причому забезпечення більш надійної роботи таких ділянок електромереж неможливе з міркуван</w:t>
            </w:r>
            <w:r w:rsidRPr="005A615E">
              <w:rPr>
                <w:rFonts w:ascii="Times New Roman" w:eastAsia="Times New Roman" w:hAnsi="Times New Roman"/>
                <w:lang w:eastAsia="uk-UA"/>
              </w:rPr>
              <w:t>ь</w:t>
            </w:r>
            <w:r w:rsidRPr="005A615E">
              <w:rPr>
                <w:rFonts w:ascii="Times New Roman" w:eastAsia="Times New Roman" w:hAnsi="Times New Roman"/>
                <w:shd w:val="clear" w:color="auto" w:fill="FFFFFF"/>
                <w:lang w:eastAsia="uk-UA"/>
              </w:rPr>
              <w:t xml:space="preserve"> безпеки персоналу  (безпосередня загроза вогневого</w:t>
            </w:r>
            <w:r w:rsidRPr="005A615E">
              <w:rPr>
                <w:rFonts w:ascii="Times New Roman" w:eastAsia="Times New Roman" w:hAnsi="Times New Roman"/>
                <w:lang w:eastAsia="uk-UA"/>
              </w:rPr>
              <w:t>/уламкового</w:t>
            </w:r>
            <w:r w:rsidRPr="005A615E">
              <w:rPr>
                <w:rFonts w:ascii="Times New Roman" w:eastAsia="Times New Roman" w:hAnsi="Times New Roman"/>
                <w:shd w:val="clear" w:color="auto" w:fill="FFFFFF"/>
                <w:lang w:eastAsia="uk-UA"/>
              </w:rPr>
              <w:t xml:space="preserve"> ураження </w:t>
            </w:r>
            <w:r w:rsidRPr="005A615E">
              <w:rPr>
                <w:rFonts w:ascii="Times New Roman" w:eastAsia="Times New Roman" w:hAnsi="Times New Roman"/>
                <w:lang w:eastAsia="uk-UA"/>
              </w:rPr>
              <w:t>працівників)</w:t>
            </w:r>
            <w:r w:rsidRPr="005A615E">
              <w:rPr>
                <w:rFonts w:ascii="Times New Roman" w:eastAsia="Times New Roman" w:hAnsi="Times New Roman"/>
                <w:shd w:val="clear" w:color="auto" w:fill="FFFFFF"/>
                <w:lang w:eastAsia="uk-UA"/>
              </w:rPr>
              <w:t xml:space="preserve"> або внаслідок повторних ударів ворог</w:t>
            </w:r>
            <w:r w:rsidRPr="005A615E">
              <w:rPr>
                <w:rFonts w:ascii="Times New Roman" w:eastAsia="Times New Roman" w:hAnsi="Times New Roman"/>
                <w:lang w:eastAsia="uk-UA"/>
              </w:rPr>
              <w:t>а</w:t>
            </w:r>
            <w:r w:rsidRPr="005A615E">
              <w:rPr>
                <w:rFonts w:ascii="Times New Roman" w:eastAsia="Times New Roman" w:hAnsi="Times New Roman"/>
                <w:shd w:val="clear" w:color="auto" w:fill="FFFFFF"/>
                <w:lang w:eastAsia="uk-UA"/>
              </w:rPr>
              <w:t xml:space="preserve">. </w:t>
            </w:r>
          </w:p>
          <w:p w:rsidR="00CF2AC1" w:rsidRPr="005A615E" w:rsidRDefault="00CF2AC1" w:rsidP="00CF2AC1">
            <w:pPr>
              <w:jc w:val="both"/>
              <w:rPr>
                <w:rFonts w:ascii="Times New Roman" w:hAnsi="Times New Roman"/>
                <w:b/>
                <w:sz w:val="28"/>
              </w:rPr>
            </w:pPr>
            <w:r w:rsidRPr="005A615E">
              <w:rPr>
                <w:rFonts w:ascii="Times New Roman" w:eastAsia="Times New Roman" w:hAnsi="Times New Roman"/>
                <w:shd w:val="clear" w:color="auto" w:fill="FFFFFF"/>
                <w:lang w:eastAsia="uk-UA"/>
              </w:rPr>
              <w:t>Залучення персоналу для виконання АВР після обстрілів, здійснення заходів по застосуванню ГАВ</w:t>
            </w:r>
            <w:r w:rsidRPr="005A615E">
              <w:rPr>
                <w:rFonts w:ascii="Times New Roman" w:eastAsia="Times New Roman" w:hAnsi="Times New Roman"/>
                <w:lang w:eastAsia="uk-UA"/>
              </w:rPr>
              <w:t>,</w:t>
            </w:r>
            <w:r w:rsidRPr="005A615E">
              <w:rPr>
                <w:rFonts w:ascii="Times New Roman" w:eastAsia="Times New Roman" w:hAnsi="Times New Roman"/>
                <w:shd w:val="clear" w:color="auto" w:fill="FFFFFF"/>
                <w:lang w:eastAsia="uk-UA"/>
              </w:rPr>
              <w:t xml:space="preserve"> </w:t>
            </w:r>
            <w:r w:rsidRPr="005A615E">
              <w:rPr>
                <w:rFonts w:ascii="Times New Roman" w:eastAsia="Times New Roman" w:hAnsi="Times New Roman"/>
                <w:lang w:eastAsia="uk-UA"/>
              </w:rPr>
              <w:t xml:space="preserve">необхідність </w:t>
            </w:r>
            <w:r w:rsidRPr="005A615E">
              <w:rPr>
                <w:rFonts w:ascii="Times New Roman" w:eastAsia="Times New Roman" w:hAnsi="Times New Roman"/>
                <w:shd w:val="clear" w:color="auto" w:fill="FFFFFF"/>
                <w:lang w:eastAsia="uk-UA"/>
              </w:rPr>
              <w:t xml:space="preserve">дотримання умов безпеки під час </w:t>
            </w:r>
            <w:r w:rsidRPr="005A615E">
              <w:rPr>
                <w:rFonts w:ascii="Times New Roman" w:eastAsia="Times New Roman" w:hAnsi="Times New Roman"/>
                <w:lang w:eastAsia="uk-UA"/>
              </w:rPr>
              <w:t xml:space="preserve">повітряних </w:t>
            </w:r>
            <w:r w:rsidRPr="005A615E">
              <w:rPr>
                <w:rFonts w:ascii="Times New Roman" w:eastAsia="Times New Roman" w:hAnsi="Times New Roman"/>
                <w:shd w:val="clear" w:color="auto" w:fill="FFFFFF"/>
                <w:lang w:eastAsia="uk-UA"/>
              </w:rPr>
              <w:t>тривог, обмеження в окремих випадках цілодобового виконання АВР</w:t>
            </w:r>
            <w:r w:rsidRPr="005A615E">
              <w:rPr>
                <w:rFonts w:ascii="Times New Roman" w:eastAsia="Times New Roman" w:hAnsi="Times New Roman"/>
                <w:lang w:eastAsia="uk-UA"/>
              </w:rPr>
              <w:t xml:space="preserve"> (</w:t>
            </w:r>
            <w:r w:rsidRPr="005A615E">
              <w:rPr>
                <w:rFonts w:ascii="Times New Roman" w:eastAsia="Times New Roman" w:hAnsi="Times New Roman"/>
                <w:shd w:val="clear" w:color="auto" w:fill="FFFFFF"/>
                <w:lang w:eastAsia="uk-UA"/>
              </w:rPr>
              <w:t>зокрема</w:t>
            </w:r>
            <w:r w:rsidRPr="005A615E">
              <w:rPr>
                <w:rFonts w:ascii="Times New Roman" w:eastAsia="Times New Roman" w:hAnsi="Times New Roman"/>
                <w:lang w:eastAsia="uk-UA"/>
              </w:rPr>
              <w:t>,</w:t>
            </w:r>
            <w:r w:rsidRPr="005A615E">
              <w:rPr>
                <w:rFonts w:ascii="Times New Roman" w:eastAsia="Times New Roman" w:hAnsi="Times New Roman"/>
                <w:shd w:val="clear" w:color="auto" w:fill="FFFFFF"/>
                <w:lang w:eastAsia="uk-UA"/>
              </w:rPr>
              <w:t xml:space="preserve"> в нічний час на територіях, </w:t>
            </w:r>
            <w:r w:rsidRPr="005A615E">
              <w:rPr>
                <w:rFonts w:ascii="Times New Roman" w:eastAsia="Times New Roman" w:hAnsi="Times New Roman"/>
                <w:lang w:eastAsia="uk-UA"/>
              </w:rPr>
              <w:t>які</w:t>
            </w:r>
            <w:r w:rsidRPr="005A615E">
              <w:rPr>
                <w:rFonts w:ascii="Times New Roman" w:eastAsia="Times New Roman" w:hAnsi="Times New Roman"/>
                <w:shd w:val="clear" w:color="auto" w:fill="FFFFFF"/>
                <w:lang w:eastAsia="uk-UA"/>
              </w:rPr>
              <w:t xml:space="preserve"> межують з </w:t>
            </w:r>
            <w:r w:rsidRPr="005A615E">
              <w:rPr>
                <w:rFonts w:ascii="Times New Roman" w:eastAsia="Times New Roman" w:hAnsi="Times New Roman"/>
                <w:lang w:eastAsia="uk-UA"/>
              </w:rPr>
              <w:t>територіями, на яких</w:t>
            </w:r>
            <w:r w:rsidRPr="005A615E">
              <w:rPr>
                <w:rFonts w:ascii="Times New Roman" w:eastAsia="Times New Roman" w:hAnsi="Times New Roman"/>
                <w:sz w:val="20"/>
                <w:lang w:eastAsia="uk-UA"/>
              </w:rPr>
              <w:t xml:space="preserve"> ведуться </w:t>
            </w:r>
            <w:r w:rsidRPr="005A615E">
              <w:rPr>
                <w:rFonts w:ascii="Times New Roman" w:eastAsia="Times New Roman" w:hAnsi="Times New Roman"/>
                <w:sz w:val="20"/>
                <w:shd w:val="clear" w:color="auto" w:fill="FFFFFF"/>
                <w:lang w:eastAsia="uk-UA"/>
              </w:rPr>
              <w:t>активн</w:t>
            </w:r>
            <w:r w:rsidRPr="005A615E">
              <w:rPr>
                <w:rFonts w:ascii="Times New Roman" w:eastAsia="Times New Roman" w:hAnsi="Times New Roman"/>
                <w:sz w:val="20"/>
                <w:lang w:eastAsia="uk-UA"/>
              </w:rPr>
              <w:t>і</w:t>
            </w:r>
            <w:r w:rsidRPr="005A615E">
              <w:rPr>
                <w:rFonts w:ascii="Times New Roman" w:eastAsia="Times New Roman" w:hAnsi="Times New Roman"/>
                <w:sz w:val="20"/>
                <w:shd w:val="clear" w:color="auto" w:fill="FFFFFF"/>
                <w:lang w:eastAsia="uk-UA"/>
              </w:rPr>
              <w:t xml:space="preserve"> бойов</w:t>
            </w:r>
            <w:r w:rsidRPr="005A615E">
              <w:rPr>
                <w:rFonts w:ascii="Times New Roman" w:eastAsia="Times New Roman" w:hAnsi="Times New Roman"/>
                <w:sz w:val="20"/>
                <w:lang w:eastAsia="uk-UA"/>
              </w:rPr>
              <w:t>і</w:t>
            </w:r>
            <w:r w:rsidRPr="005A615E">
              <w:rPr>
                <w:rFonts w:ascii="Times New Roman" w:eastAsia="Times New Roman" w:hAnsi="Times New Roman"/>
                <w:sz w:val="20"/>
                <w:shd w:val="clear" w:color="auto" w:fill="FFFFFF"/>
                <w:lang w:eastAsia="uk-UA"/>
              </w:rPr>
              <w:t xml:space="preserve"> ді</w:t>
            </w:r>
            <w:r w:rsidRPr="005A615E">
              <w:rPr>
                <w:rFonts w:ascii="Times New Roman" w:eastAsia="Times New Roman" w:hAnsi="Times New Roman"/>
                <w:sz w:val="20"/>
                <w:lang w:eastAsia="uk-UA"/>
              </w:rPr>
              <w:t>ї)</w:t>
            </w:r>
            <w:r w:rsidRPr="005A615E">
              <w:rPr>
                <w:rFonts w:ascii="Times New Roman" w:eastAsia="Times New Roman" w:hAnsi="Times New Roman"/>
                <w:sz w:val="20"/>
                <w:shd w:val="clear" w:color="auto" w:fill="FFFFFF"/>
                <w:lang w:eastAsia="uk-UA"/>
              </w:rPr>
              <w:t xml:space="preserve">, першочергове </w:t>
            </w:r>
            <w:r w:rsidRPr="005A615E">
              <w:rPr>
                <w:rFonts w:ascii="Times New Roman" w:eastAsia="Times New Roman" w:hAnsi="Times New Roman"/>
                <w:shd w:val="clear" w:color="auto" w:fill="FFFFFF"/>
                <w:lang w:eastAsia="uk-UA"/>
              </w:rPr>
              <w:t>відновлення електропостачання об’єктів критичної інфраструктури, значне завантаження оперативного та оперативно-виробничого персоналу</w:t>
            </w:r>
            <w:r w:rsidRPr="005A615E">
              <w:rPr>
                <w:rFonts w:ascii="Times New Roman" w:eastAsia="Times New Roman" w:hAnsi="Times New Roman"/>
                <w:lang w:eastAsia="uk-UA"/>
              </w:rPr>
              <w:t xml:space="preserve"> тощо </w:t>
            </w:r>
            <w:r w:rsidRPr="005A615E">
              <w:rPr>
                <w:rFonts w:ascii="Times New Roman" w:eastAsia="Times New Roman" w:hAnsi="Times New Roman"/>
                <w:u w:val="single"/>
                <w:lang w:eastAsia="uk-UA"/>
              </w:rPr>
              <w:t>значно ускладнюють дотримання в повному обсязі стандартів якості (надійності (безперервності)) електропостачання</w:t>
            </w:r>
            <w:r w:rsidRPr="005A615E">
              <w:rPr>
                <w:rFonts w:ascii="Times New Roman" w:eastAsia="Times New Roman" w:hAnsi="Times New Roman"/>
                <w:lang w:eastAsia="uk-UA"/>
              </w:rPr>
              <w:t>.</w:t>
            </w:r>
          </w:p>
        </w:tc>
        <w:tc>
          <w:tcPr>
            <w:tcW w:w="3969" w:type="dxa"/>
            <w:gridSpan w:val="2"/>
          </w:tcPr>
          <w:p w:rsidR="00B84572" w:rsidRPr="005A615E" w:rsidRDefault="00B84572" w:rsidP="00E71ABB">
            <w:pPr>
              <w:jc w:val="both"/>
              <w:rPr>
                <w:rFonts w:ascii="Times New Roman" w:hAnsi="Times New Roman"/>
                <w:b/>
              </w:rPr>
            </w:pPr>
            <w:r w:rsidRPr="005A615E">
              <w:rPr>
                <w:rFonts w:ascii="Times New Roman" w:hAnsi="Times New Roman"/>
                <w:b/>
              </w:rPr>
              <w:t xml:space="preserve">Враховано </w:t>
            </w:r>
          </w:p>
          <w:p w:rsidR="00CF2AC1" w:rsidRPr="005A615E" w:rsidRDefault="00B84572" w:rsidP="00E71ABB">
            <w:pPr>
              <w:jc w:val="both"/>
              <w:rPr>
                <w:rFonts w:ascii="Times New Roman" w:hAnsi="Times New Roman"/>
                <w:sz w:val="28"/>
              </w:rPr>
            </w:pPr>
            <w:r w:rsidRPr="005A615E">
              <w:rPr>
                <w:rFonts w:ascii="Times New Roman" w:hAnsi="Times New Roman"/>
              </w:rPr>
              <w:t>Чинною редакцією Порядку №1175  АТ «Запоріжжяобленерго» вже у переліку додатку 32</w:t>
            </w:r>
          </w:p>
        </w:tc>
      </w:tr>
      <w:tr w:rsidR="00CF2AC1" w:rsidRPr="005A615E" w:rsidTr="00A56FEE">
        <w:tc>
          <w:tcPr>
            <w:tcW w:w="6232" w:type="dxa"/>
          </w:tcPr>
          <w:p w:rsidR="00CF2AC1" w:rsidRPr="005A615E" w:rsidRDefault="00CF2AC1" w:rsidP="00CF2AC1">
            <w:pPr>
              <w:shd w:val="clear" w:color="auto" w:fill="FFFFFF"/>
              <w:spacing w:before="150" w:after="150"/>
              <w:ind w:left="450" w:right="450"/>
              <w:rPr>
                <w:rFonts w:ascii="Times New Roman" w:hAnsi="Times New Roman"/>
                <w:sz w:val="28"/>
                <w:szCs w:val="28"/>
              </w:rPr>
            </w:pPr>
            <w:r w:rsidRPr="005A615E">
              <w:rPr>
                <w:rFonts w:ascii="Times New Roman" w:hAnsi="Times New Roman"/>
                <w:sz w:val="28"/>
                <w:szCs w:val="28"/>
              </w:rPr>
              <w:t>Додаток 34</w:t>
            </w:r>
          </w:p>
          <w:p w:rsidR="00CF2AC1" w:rsidRPr="005A615E" w:rsidRDefault="00CF2AC1" w:rsidP="00CF2AC1">
            <w:pPr>
              <w:ind w:leftChars="1847" w:left="4063"/>
              <w:rPr>
                <w:rFonts w:ascii="Times New Roman" w:eastAsia="Times New Roman" w:hAnsi="Times New Roman"/>
                <w:sz w:val="20"/>
                <w:szCs w:val="24"/>
                <w:lang w:eastAsia="uk-UA"/>
              </w:rPr>
            </w:pPr>
            <w:r w:rsidRPr="005A615E">
              <w:rPr>
                <w:rFonts w:ascii="Times New Roman" w:hAnsi="Times New Roman"/>
                <w:sz w:val="20"/>
              </w:rPr>
              <w:t>Додаток 34</w:t>
            </w:r>
            <w:r w:rsidRPr="005A615E">
              <w:rPr>
                <w:rFonts w:ascii="Times New Roman" w:hAnsi="Times New Roman"/>
                <w:sz w:val="20"/>
              </w:rPr>
              <w:br/>
              <w:t xml:space="preserve">до Порядку встановлення (формування) </w:t>
            </w:r>
          </w:p>
          <w:p w:rsidR="00CF2AC1" w:rsidRPr="005A615E" w:rsidRDefault="00CF2AC1" w:rsidP="00CF2AC1">
            <w:pPr>
              <w:ind w:leftChars="1847" w:left="4063"/>
              <w:rPr>
                <w:rFonts w:ascii="Times New Roman" w:hAnsi="Times New Roman"/>
                <w:sz w:val="20"/>
                <w:lang w:eastAsia="ru-RU"/>
              </w:rPr>
            </w:pPr>
            <w:r w:rsidRPr="005A615E">
              <w:rPr>
                <w:rFonts w:ascii="Times New Roman" w:hAnsi="Times New Roman"/>
                <w:sz w:val="20"/>
              </w:rPr>
              <w:t xml:space="preserve">тарифів на послуги з розподілу </w:t>
            </w:r>
          </w:p>
          <w:p w:rsidR="00CF2AC1" w:rsidRPr="005A615E" w:rsidRDefault="00CF2AC1" w:rsidP="00CF2AC1">
            <w:pPr>
              <w:ind w:leftChars="1847" w:left="4063"/>
              <w:rPr>
                <w:rFonts w:ascii="Times New Roman" w:hAnsi="Times New Roman"/>
                <w:sz w:val="20"/>
              </w:rPr>
            </w:pPr>
            <w:r w:rsidRPr="005A615E">
              <w:rPr>
                <w:rFonts w:ascii="Times New Roman" w:hAnsi="Times New Roman"/>
                <w:sz w:val="20"/>
              </w:rPr>
              <w:t>електричної енергії</w:t>
            </w:r>
          </w:p>
          <w:p w:rsidR="00CF2AC1" w:rsidRPr="005A615E" w:rsidRDefault="00CF2AC1" w:rsidP="00CF2AC1">
            <w:pPr>
              <w:pStyle w:val="3"/>
              <w:spacing w:after="225"/>
              <w:outlineLvl w:val="2"/>
              <w:rPr>
                <w:rFonts w:ascii="Times New Roman" w:hAnsi="Times New Roman"/>
                <w:b w:val="0"/>
                <w:sz w:val="24"/>
                <w:szCs w:val="24"/>
                <w:lang w:eastAsia="uk-UA"/>
              </w:rPr>
            </w:pPr>
            <w:r w:rsidRPr="005A615E">
              <w:rPr>
                <w:rFonts w:ascii="Times New Roman" w:hAnsi="Times New Roman"/>
                <w:b w:val="0"/>
                <w:sz w:val="24"/>
                <w:szCs w:val="24"/>
              </w:rPr>
              <w:t>ПЕРЕЛІК</w:t>
            </w:r>
            <w:r w:rsidRPr="005A615E">
              <w:rPr>
                <w:rFonts w:ascii="Times New Roman" w:hAnsi="Times New Roman"/>
                <w:b w:val="0"/>
                <w:sz w:val="24"/>
                <w:szCs w:val="24"/>
              </w:rPr>
              <w:br/>
              <w:t>операторів систем розподілу, до яких, зокрема не застосовується коригування необхідного доходу відповідно до даних виконання цільового завдання щодо досягнення показників якості послуг за 2027 рік</w:t>
            </w:r>
          </w:p>
          <w:p w:rsidR="00CF2AC1" w:rsidRPr="005A615E" w:rsidRDefault="00CF2AC1" w:rsidP="00CF2AC1">
            <w:pPr>
              <w:shd w:val="clear" w:color="auto" w:fill="FFFFFF"/>
              <w:ind w:left="448" w:right="448"/>
              <w:rPr>
                <w:rFonts w:ascii="Times New Roman" w:hAnsi="Times New Roman"/>
                <w:sz w:val="24"/>
                <w:szCs w:val="24"/>
                <w:lang w:eastAsia="uk-UA"/>
              </w:rPr>
            </w:pPr>
            <w:r w:rsidRPr="005A615E">
              <w:rPr>
                <w:rFonts w:ascii="Times New Roman" w:hAnsi="Times New Roman"/>
                <w:lang w:eastAsia="uk-UA"/>
              </w:rPr>
              <w:t>АТ «ДТЕК ДНІПРОВСЬКІ ЕЛЕКТРОМЕРЕЖІ»;</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АТ «ДТЕК ДОНЕЦЬКІ ЕЛЕКТРОМЕРЕЖІ»;</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АТ «ЗАПОРІЖЖЯОБЛЕНЕРГО»;</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АТ «МИКОЛАЇВОБЛЕНЕРГО»;</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АТ «ДТЕК ОДЕСЬКІ ЕЛЕКТРОМЕРЕЖІ»;</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АТ «СУМИОБЛЕНЕРГО»;</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АТ «ХАРКІВОБЛЕНЕРГО»;</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АТ «ЧЕРНІГІВОБЛЕНЕРГО»;</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ТОВ «ДТЕК ВИСОКОВОЛЬТНІ МЕРЕЖІ»;</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ПРАТ «ПЕЕМ «ЦЕК»;</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ДПЕМ ПРАТ «АТОМСЕРВІС»;</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ПРАТ «ДТЕК ПЕМ-ЕНЕРГОВУГІЛЛЯ»;</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ТОВ «ЛУГАНСЬКЕ ЕНЕРГЕТИЧНЕ ОБ'ЄДНАННЯ»;</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ДП «РЕГІОНАЛЬНІ ЕЛЕКТРИЧНІ МЕРЕЖІ»;</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АТ «УКРЗАЛІЗНИЦЯ»;</w:t>
            </w:r>
          </w:p>
          <w:p w:rsidR="00CF2AC1" w:rsidRPr="005A615E" w:rsidRDefault="00CF2AC1" w:rsidP="00CF2AC1">
            <w:pPr>
              <w:shd w:val="clear" w:color="auto" w:fill="FFFFFF"/>
              <w:ind w:left="448" w:right="448"/>
              <w:rPr>
                <w:rFonts w:ascii="Times New Roman" w:hAnsi="Times New Roman"/>
                <w:lang w:eastAsia="uk-UA"/>
              </w:rPr>
            </w:pPr>
            <w:r w:rsidRPr="005A615E">
              <w:rPr>
                <w:rFonts w:ascii="Times New Roman" w:hAnsi="Times New Roman"/>
                <w:lang w:eastAsia="uk-UA"/>
              </w:rPr>
              <w:t>ПРАТ «ДТЕК ПЕМ-ЕНЕРГОВУГІЛЛЯ».</w:t>
            </w:r>
          </w:p>
          <w:p w:rsidR="00CF2AC1" w:rsidRPr="005A615E" w:rsidRDefault="00CF2AC1" w:rsidP="00CF2AC1">
            <w:pPr>
              <w:rPr>
                <w:rFonts w:ascii="Times New Roman" w:hAnsi="Times New Roman"/>
                <w:b/>
                <w:sz w:val="28"/>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w:t>
            </w:r>
          </w:p>
          <w:p w:rsidR="00CF2AC1" w:rsidRPr="005A615E" w:rsidRDefault="00CF2AC1" w:rsidP="00CF2AC1">
            <w:pPr>
              <w:shd w:val="clear" w:color="auto" w:fill="FFFFFF"/>
              <w:spacing w:before="150" w:after="150"/>
              <w:ind w:left="36" w:right="450"/>
              <w:rPr>
                <w:rFonts w:ascii="Times New Roman" w:hAnsi="Times New Roman"/>
                <w:b/>
                <w:sz w:val="28"/>
                <w:szCs w:val="28"/>
              </w:rPr>
            </w:pPr>
            <w:r w:rsidRPr="005A615E">
              <w:rPr>
                <w:rFonts w:ascii="Times New Roman" w:hAnsi="Times New Roman"/>
                <w:b/>
                <w:sz w:val="28"/>
                <w:szCs w:val="28"/>
              </w:rPr>
              <w:t>Додаток 34</w:t>
            </w:r>
          </w:p>
          <w:p w:rsidR="00CF2AC1" w:rsidRPr="005A615E" w:rsidRDefault="00CF2AC1" w:rsidP="00CF2AC1">
            <w:pPr>
              <w:ind w:leftChars="132" w:left="290"/>
              <w:rPr>
                <w:rFonts w:ascii="Times New Roman" w:hAnsi="Times New Roman"/>
                <w:sz w:val="20"/>
                <w:lang w:eastAsia="uk-UA"/>
              </w:rPr>
            </w:pPr>
            <w:r w:rsidRPr="005A615E">
              <w:rPr>
                <w:rFonts w:ascii="Times New Roman" w:hAnsi="Times New Roman"/>
                <w:sz w:val="20"/>
              </w:rPr>
              <w:t>Додаток 34</w:t>
            </w:r>
            <w:r w:rsidRPr="005A615E">
              <w:rPr>
                <w:rFonts w:ascii="Times New Roman" w:hAnsi="Times New Roman"/>
                <w:sz w:val="20"/>
              </w:rPr>
              <w:br/>
              <w:t xml:space="preserve">до Порядку встановлення (формування) </w:t>
            </w:r>
          </w:p>
          <w:p w:rsidR="00CF2AC1" w:rsidRPr="005A615E" w:rsidRDefault="00CF2AC1" w:rsidP="00CF2AC1">
            <w:pPr>
              <w:ind w:leftChars="132" w:left="290"/>
              <w:rPr>
                <w:rFonts w:ascii="Times New Roman" w:hAnsi="Times New Roman"/>
                <w:sz w:val="20"/>
              </w:rPr>
            </w:pPr>
            <w:r w:rsidRPr="005A615E">
              <w:rPr>
                <w:rFonts w:ascii="Times New Roman" w:hAnsi="Times New Roman"/>
                <w:sz w:val="20"/>
              </w:rPr>
              <w:t xml:space="preserve">тарифів на послуги з розподілу </w:t>
            </w:r>
          </w:p>
          <w:p w:rsidR="00CF2AC1" w:rsidRPr="005A615E" w:rsidRDefault="00CF2AC1" w:rsidP="00CF2AC1">
            <w:pPr>
              <w:ind w:leftChars="132" w:left="290"/>
              <w:rPr>
                <w:rFonts w:ascii="Times New Roman" w:hAnsi="Times New Roman"/>
                <w:sz w:val="20"/>
              </w:rPr>
            </w:pPr>
            <w:r w:rsidRPr="005A615E">
              <w:rPr>
                <w:rFonts w:ascii="Times New Roman" w:hAnsi="Times New Roman"/>
                <w:sz w:val="20"/>
              </w:rPr>
              <w:t>електричної енергії</w:t>
            </w:r>
          </w:p>
          <w:p w:rsidR="00CF2AC1" w:rsidRPr="005A615E" w:rsidRDefault="00CF2AC1" w:rsidP="00CF2AC1">
            <w:pPr>
              <w:shd w:val="clear" w:color="auto" w:fill="FFFFFF"/>
              <w:spacing w:before="150" w:after="150"/>
              <w:ind w:left="36" w:right="450"/>
              <w:rPr>
                <w:rFonts w:ascii="Times New Roman" w:hAnsi="Times New Roman"/>
                <w:b/>
                <w:sz w:val="28"/>
                <w:szCs w:val="28"/>
              </w:rPr>
            </w:pPr>
            <w:r w:rsidRPr="005A615E">
              <w:rPr>
                <w:rFonts w:ascii="Times New Roman" w:hAnsi="Times New Roman"/>
                <w:sz w:val="24"/>
                <w:szCs w:val="24"/>
              </w:rPr>
              <w:t>ПЕРЕЛІК</w:t>
            </w:r>
            <w:r w:rsidRPr="005A615E">
              <w:rPr>
                <w:rFonts w:ascii="Times New Roman" w:hAnsi="Times New Roman"/>
                <w:sz w:val="24"/>
                <w:szCs w:val="24"/>
              </w:rPr>
              <w:br/>
              <w:t>операторів систем розподілу, до яких, зокрема не застосовується коригування необхідного доходу відповідно до даних виконання цільового завдання щодо досягнення показників якості послуг за 2027 рік</w:t>
            </w:r>
            <w:r w:rsidRPr="005A615E">
              <w:rPr>
                <w:rFonts w:ascii="Times New Roman" w:hAnsi="Times New Roman"/>
                <w:b/>
                <w:sz w:val="28"/>
                <w:szCs w:val="28"/>
              </w:rPr>
              <w:t xml:space="preserve"> </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«ДТЕК ДНІПРОВСЬКІ ЕЛЕКТРОМЕРЕЖІ»;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«ДТЕК ДОНЕЦЬКІ ЕЛЕКТРОМЕРЕЖІ»;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«ЗАПОРІЖЖЯОБЛЕНЕРГО»;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«МИКОЛАЇВОБЛЕНЕРГО»;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«ДТЕК ОДЕСЬКІ ЕЛЕКТРОМЕРЕЖІ»;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«СУМИОБЛЕНЕРГО»;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«ХАРКІВОБЛЕНЕРГО»;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«ЧЕРНІГІВОБЛЕНЕРГО»;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ТОВ «ДТЕК ВИСОКОВОЛЬТНІ 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ПРАТ «ПЕЕМ «ЦЕК»;</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ДПЕМ ПРАТ «АТОМСЕРВІС»;</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ПРАТ «ДТЕК ПЕМ-ЕНЕРГОВУГІЛЛЯ»;</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ТОВ «ЛУГАНСЬКЕ ЕНЕРГЕТИЧНЕ ОБ'ЄДНАННЯ»;</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ДП «РЕГІОНАЛЬНІ ЕЛЕКТРИЧНІ 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«УКРЗАЛІЗНИЦЯ»;</w:t>
            </w:r>
          </w:p>
          <w:p w:rsidR="00CF2AC1" w:rsidRPr="005A615E" w:rsidRDefault="00CF2AC1" w:rsidP="00CF2AC1">
            <w:pPr>
              <w:shd w:val="clear" w:color="auto" w:fill="FFFFFF"/>
              <w:ind w:left="178" w:right="448"/>
              <w:rPr>
                <w:rFonts w:ascii="Times New Roman" w:hAnsi="Times New Roman"/>
                <w:b/>
                <w:strike/>
                <w:lang w:eastAsia="uk-UA"/>
              </w:rPr>
            </w:pPr>
            <w:r w:rsidRPr="005A615E">
              <w:rPr>
                <w:rFonts w:ascii="Times New Roman" w:hAnsi="Times New Roman"/>
                <w:b/>
                <w:strike/>
                <w:lang w:eastAsia="uk-UA"/>
              </w:rPr>
              <w:t>ПРАТ «ДТЕК ПЕМ-ЕНЕРГОВУГІЛЛЯ».</w:t>
            </w:r>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hd w:val="clear" w:color="auto" w:fill="FFFFFF"/>
              <w:ind w:left="178" w:right="448"/>
              <w:rPr>
                <w:rFonts w:ascii="Times New Roman" w:hAnsi="Times New Roman"/>
                <w:shd w:val="clear" w:color="auto" w:fill="FFFFFF"/>
              </w:rPr>
            </w:pPr>
            <w:r w:rsidRPr="005A615E">
              <w:rPr>
                <w:rFonts w:ascii="Times New Roman" w:hAnsi="Times New Roman"/>
                <w:shd w:val="clear" w:color="auto" w:fill="FFFFFF"/>
              </w:rPr>
              <w:t>Виправлено технічну помилку</w:t>
            </w:r>
          </w:p>
          <w:p w:rsidR="00CF2AC1" w:rsidRPr="005A615E" w:rsidRDefault="00CF2AC1" w:rsidP="00CF2AC1">
            <w:pPr>
              <w:shd w:val="clear" w:color="auto" w:fill="FFFFFF"/>
              <w:ind w:left="178" w:right="448"/>
              <w:rPr>
                <w:rFonts w:ascii="Times New Roman" w:hAnsi="Times New Roman"/>
                <w:b/>
                <w:strike/>
                <w:lang w:eastAsia="uk-UA"/>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Громадська спілка «Розумні електромережі України» (лист від 24.07.2026  № 24-07/1)</w:t>
            </w:r>
          </w:p>
          <w:p w:rsidR="00CF2AC1" w:rsidRPr="005A615E" w:rsidRDefault="00CF2AC1" w:rsidP="00CF2AC1">
            <w:pPr>
              <w:shd w:val="clear" w:color="auto" w:fill="FFFFFF"/>
              <w:spacing w:before="150" w:after="150"/>
              <w:ind w:left="36" w:right="450"/>
              <w:rPr>
                <w:rFonts w:ascii="Times New Roman" w:hAnsi="Times New Roman"/>
                <w:b/>
                <w:sz w:val="28"/>
                <w:szCs w:val="28"/>
              </w:rPr>
            </w:pPr>
            <w:r w:rsidRPr="005A615E">
              <w:rPr>
                <w:rFonts w:ascii="Times New Roman" w:hAnsi="Times New Roman"/>
                <w:b/>
                <w:sz w:val="28"/>
                <w:szCs w:val="28"/>
              </w:rPr>
              <w:t>Додаток 34</w:t>
            </w:r>
          </w:p>
          <w:p w:rsidR="00CF2AC1" w:rsidRPr="005A615E" w:rsidRDefault="00CF2AC1" w:rsidP="00CF2AC1">
            <w:pPr>
              <w:ind w:leftChars="132" w:left="290"/>
              <w:rPr>
                <w:rFonts w:ascii="Times New Roman" w:hAnsi="Times New Roman"/>
                <w:sz w:val="20"/>
                <w:lang w:eastAsia="uk-UA"/>
              </w:rPr>
            </w:pPr>
            <w:r w:rsidRPr="005A615E">
              <w:rPr>
                <w:rFonts w:ascii="Times New Roman" w:hAnsi="Times New Roman"/>
                <w:sz w:val="20"/>
              </w:rPr>
              <w:t>Додаток 34</w:t>
            </w:r>
            <w:r w:rsidRPr="005A615E">
              <w:rPr>
                <w:rFonts w:ascii="Times New Roman" w:hAnsi="Times New Roman"/>
                <w:sz w:val="20"/>
              </w:rPr>
              <w:br/>
              <w:t xml:space="preserve">до Порядку встановлення (формування) </w:t>
            </w:r>
          </w:p>
          <w:p w:rsidR="00CF2AC1" w:rsidRPr="005A615E" w:rsidRDefault="00CF2AC1" w:rsidP="00CF2AC1">
            <w:pPr>
              <w:ind w:leftChars="132" w:left="290"/>
              <w:rPr>
                <w:rFonts w:ascii="Times New Roman" w:hAnsi="Times New Roman"/>
                <w:sz w:val="20"/>
              </w:rPr>
            </w:pPr>
            <w:r w:rsidRPr="005A615E">
              <w:rPr>
                <w:rFonts w:ascii="Times New Roman" w:hAnsi="Times New Roman"/>
                <w:sz w:val="20"/>
              </w:rPr>
              <w:t xml:space="preserve">тарифів на послуги з розподілу </w:t>
            </w:r>
          </w:p>
          <w:p w:rsidR="00CF2AC1" w:rsidRPr="005A615E" w:rsidRDefault="00CF2AC1" w:rsidP="00CF2AC1">
            <w:pPr>
              <w:ind w:leftChars="132" w:left="290"/>
              <w:rPr>
                <w:rFonts w:ascii="Times New Roman" w:hAnsi="Times New Roman"/>
                <w:sz w:val="20"/>
              </w:rPr>
            </w:pPr>
            <w:r w:rsidRPr="005A615E">
              <w:rPr>
                <w:rFonts w:ascii="Times New Roman" w:hAnsi="Times New Roman"/>
                <w:sz w:val="20"/>
              </w:rPr>
              <w:t>електричної енергії</w:t>
            </w:r>
          </w:p>
          <w:p w:rsidR="00CF2AC1" w:rsidRPr="005A615E" w:rsidRDefault="00CF2AC1" w:rsidP="00CF2AC1">
            <w:pPr>
              <w:shd w:val="clear" w:color="auto" w:fill="FFFFFF"/>
              <w:spacing w:before="150" w:after="150"/>
              <w:ind w:left="36" w:right="450"/>
              <w:rPr>
                <w:rFonts w:ascii="Times New Roman" w:hAnsi="Times New Roman"/>
                <w:b/>
                <w:sz w:val="28"/>
                <w:szCs w:val="28"/>
              </w:rPr>
            </w:pPr>
            <w:r w:rsidRPr="005A615E">
              <w:rPr>
                <w:rFonts w:ascii="Times New Roman" w:hAnsi="Times New Roman"/>
                <w:sz w:val="24"/>
                <w:szCs w:val="24"/>
              </w:rPr>
              <w:t>ПЕРЕЛІК</w:t>
            </w:r>
            <w:r w:rsidRPr="005A615E">
              <w:rPr>
                <w:rFonts w:ascii="Times New Roman" w:hAnsi="Times New Roman"/>
                <w:sz w:val="24"/>
                <w:szCs w:val="24"/>
              </w:rPr>
              <w:br/>
              <w:t>операторів систем розподілу, до яких, зокрема не застосовується коригування необхідного доходу відповідно до даних виконання цільового завдання щодо досягнення показників якості послуг за 2027 рік</w:t>
            </w:r>
            <w:r w:rsidRPr="005A615E">
              <w:rPr>
                <w:rFonts w:ascii="Times New Roman" w:hAnsi="Times New Roman"/>
                <w:b/>
                <w:sz w:val="28"/>
                <w:szCs w:val="28"/>
              </w:rPr>
              <w:t xml:space="preserve"> </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«ДТЕК ДНІПРОВСЬКІ ЕЛЕКТРОМЕРЕЖІ»;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«ДТЕК ДОНЕЦЬКІ ЕЛЕКТРОМЕРЕЖІ»;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«ЗАПОРІЖЖЯОБЛЕНЕРГО»;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«МИКОЛАЇВОБЛЕНЕРГО»;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«ДТЕК ОДЕСЬКІ ЕЛЕКТРОМЕРЕЖІ»;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«СУМИОБЛЕНЕРГО»;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«ХАРКІВОБЛЕНЕРГО»;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«ЧЕРНІГІВОБЛЕНЕРГО»;</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ТОВ «ДТЕК ВИСОКОВОЛЬТНІ 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ПРАТ «ПЕЕМ «ЦЕК»;</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ДПЕМ ПРАТ «АТОМСЕРВІС»;</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ПРАТ «ДТЕК ПЕМ-ЕНЕРГОВУГІЛЛЯ»;</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ТОВ «ЛУГАНСЬКЕ ЕНЕРГЕТИЧНЕ ОБ'ЄДНАННЯ»;</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ДП «РЕГІОНАЛЬНІ ЕЛЕКТРИЧНІ МЕРЕЖІ»;</w:t>
            </w:r>
          </w:p>
          <w:p w:rsidR="00CF2AC1" w:rsidRPr="005A615E" w:rsidRDefault="00CF2AC1" w:rsidP="00CF2AC1">
            <w:pPr>
              <w:shd w:val="clear" w:color="auto" w:fill="FFFFFF"/>
              <w:ind w:left="178" w:right="448"/>
              <w:rPr>
                <w:rFonts w:ascii="Times New Roman" w:hAnsi="Times New Roman"/>
                <w:lang w:eastAsia="uk-UA"/>
              </w:rPr>
            </w:pPr>
            <w:r w:rsidRPr="005A615E">
              <w:rPr>
                <w:rFonts w:ascii="Times New Roman" w:hAnsi="Times New Roman"/>
                <w:lang w:eastAsia="uk-UA"/>
              </w:rPr>
              <w:t>АТ «УКРЗАЛІЗНИЦЯ»;</w:t>
            </w:r>
          </w:p>
          <w:p w:rsidR="00CF2AC1" w:rsidRPr="005A615E" w:rsidRDefault="00CF2AC1" w:rsidP="00CF2AC1">
            <w:pPr>
              <w:ind w:firstLine="308"/>
              <w:jc w:val="both"/>
              <w:rPr>
                <w:rFonts w:ascii="Times New Roman" w:hAnsi="Times New Roman"/>
                <w:b/>
                <w:strike/>
                <w:lang w:eastAsia="uk-UA"/>
              </w:rPr>
            </w:pPr>
            <w:r w:rsidRPr="005A615E">
              <w:rPr>
                <w:rFonts w:ascii="Times New Roman" w:hAnsi="Times New Roman"/>
                <w:b/>
                <w:strike/>
                <w:lang w:eastAsia="uk-UA"/>
              </w:rPr>
              <w:t>ПРАТ «ДТЕК ПЕМ-ЕНЕРГОВУГІЛЛЯ».</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АТ «ХЕРСОНОБЛЕНЕРГО»;</w:t>
            </w:r>
          </w:p>
          <w:p w:rsidR="00CF2AC1" w:rsidRPr="005A615E" w:rsidRDefault="00CF2AC1" w:rsidP="00CF2AC1">
            <w:pPr>
              <w:pStyle w:val="rvps2"/>
              <w:spacing w:beforeAutospacing="0" w:afterAutospacing="0"/>
              <w:ind w:firstLine="343"/>
              <w:jc w:val="both"/>
              <w:rPr>
                <w:b/>
                <w:i/>
                <w:sz w:val="22"/>
                <w:szCs w:val="22"/>
                <w:u w:val="single"/>
                <w:lang w:val="uk-UA"/>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shd w:val="clear" w:color="auto" w:fill="FFFFFF"/>
              <w:ind w:left="178" w:right="448"/>
              <w:rPr>
                <w:rFonts w:ascii="Times New Roman" w:hAnsi="Times New Roman"/>
                <w:shd w:val="clear" w:color="auto" w:fill="FFFFFF"/>
              </w:rPr>
            </w:pPr>
            <w:r w:rsidRPr="005A615E">
              <w:rPr>
                <w:rFonts w:ascii="Times New Roman" w:hAnsi="Times New Roman"/>
                <w:shd w:val="clear" w:color="auto" w:fill="FFFFFF"/>
              </w:rPr>
              <w:t>Виправлено технічну помилку</w:t>
            </w:r>
          </w:p>
          <w:p w:rsidR="00CF2AC1" w:rsidRPr="005A615E" w:rsidRDefault="00CF2AC1" w:rsidP="00CF2AC1">
            <w:pPr>
              <w:shd w:val="clear" w:color="auto" w:fill="FFFFFF"/>
              <w:ind w:left="178" w:right="448"/>
              <w:rPr>
                <w:rFonts w:ascii="Times New Roman" w:hAnsi="Times New Roman"/>
                <w:b/>
                <w:sz w:val="28"/>
              </w:rPr>
            </w:pPr>
          </w:p>
        </w:tc>
        <w:tc>
          <w:tcPr>
            <w:tcW w:w="3969" w:type="dxa"/>
            <w:gridSpan w:val="2"/>
          </w:tcPr>
          <w:p w:rsidR="00CF2AC1" w:rsidRPr="005A615E" w:rsidRDefault="00CF2AC1" w:rsidP="00B84572">
            <w:pPr>
              <w:rPr>
                <w:rFonts w:ascii="Times New Roman" w:hAnsi="Times New Roman"/>
                <w:b/>
                <w:sz w:val="24"/>
                <w:szCs w:val="24"/>
              </w:rPr>
            </w:pPr>
            <w:r w:rsidRPr="005A615E">
              <w:rPr>
                <w:rFonts w:ascii="Times New Roman" w:hAnsi="Times New Roman"/>
                <w:b/>
                <w:sz w:val="24"/>
                <w:szCs w:val="24"/>
              </w:rPr>
              <w:t xml:space="preserve">Враховано </w:t>
            </w:r>
          </w:p>
          <w:p w:rsidR="00B84572" w:rsidRPr="005A615E" w:rsidRDefault="00B84572" w:rsidP="00B84572">
            <w:pPr>
              <w:rPr>
                <w:rFonts w:ascii="Times New Roman" w:hAnsi="Times New Roman"/>
                <w:b/>
                <w:sz w:val="24"/>
                <w:szCs w:val="24"/>
              </w:rPr>
            </w:pPr>
            <w:r w:rsidRPr="005A615E">
              <w:rPr>
                <w:rFonts w:ascii="Times New Roman" w:hAnsi="Times New Roman"/>
                <w:b/>
                <w:sz w:val="24"/>
                <w:szCs w:val="24"/>
              </w:rPr>
              <w:t>Запронована редакція</w:t>
            </w:r>
          </w:p>
          <w:p w:rsidR="00B84572" w:rsidRPr="005A615E" w:rsidRDefault="00B84572" w:rsidP="00B84572">
            <w:pPr>
              <w:shd w:val="clear" w:color="auto" w:fill="FFFFFF"/>
              <w:spacing w:before="150" w:after="150"/>
              <w:ind w:left="36" w:right="450"/>
              <w:rPr>
                <w:rFonts w:ascii="Times New Roman" w:hAnsi="Times New Roman"/>
                <w:b/>
                <w:sz w:val="24"/>
                <w:szCs w:val="24"/>
              </w:rPr>
            </w:pPr>
            <w:r w:rsidRPr="005A615E">
              <w:rPr>
                <w:rFonts w:ascii="Times New Roman" w:hAnsi="Times New Roman"/>
                <w:b/>
                <w:sz w:val="24"/>
                <w:szCs w:val="24"/>
              </w:rPr>
              <w:t>Додаток 34</w:t>
            </w:r>
          </w:p>
          <w:p w:rsidR="00B84572" w:rsidRPr="005A615E" w:rsidRDefault="00B84572" w:rsidP="00B84572">
            <w:pPr>
              <w:ind w:leftChars="132" w:left="290"/>
              <w:rPr>
                <w:rFonts w:ascii="Times New Roman" w:hAnsi="Times New Roman"/>
                <w:sz w:val="24"/>
                <w:szCs w:val="24"/>
                <w:lang w:eastAsia="uk-UA"/>
              </w:rPr>
            </w:pPr>
            <w:r w:rsidRPr="005A615E">
              <w:rPr>
                <w:rFonts w:ascii="Times New Roman" w:hAnsi="Times New Roman"/>
                <w:sz w:val="24"/>
                <w:szCs w:val="24"/>
              </w:rPr>
              <w:t>Додаток 34</w:t>
            </w:r>
            <w:r w:rsidRPr="005A615E">
              <w:rPr>
                <w:rFonts w:ascii="Times New Roman" w:hAnsi="Times New Roman"/>
                <w:sz w:val="24"/>
                <w:szCs w:val="24"/>
              </w:rPr>
              <w:br/>
              <w:t xml:space="preserve">до Порядку встановлення (формування) </w:t>
            </w:r>
          </w:p>
          <w:p w:rsidR="00B84572" w:rsidRPr="005A615E" w:rsidRDefault="00B84572" w:rsidP="00B84572">
            <w:pPr>
              <w:ind w:leftChars="132" w:left="290"/>
              <w:rPr>
                <w:rFonts w:ascii="Times New Roman" w:hAnsi="Times New Roman"/>
                <w:sz w:val="24"/>
                <w:szCs w:val="24"/>
              </w:rPr>
            </w:pPr>
            <w:r w:rsidRPr="005A615E">
              <w:rPr>
                <w:rFonts w:ascii="Times New Roman" w:hAnsi="Times New Roman"/>
                <w:sz w:val="24"/>
                <w:szCs w:val="24"/>
              </w:rPr>
              <w:t xml:space="preserve">тарифів на послуги з розподілу </w:t>
            </w:r>
          </w:p>
          <w:p w:rsidR="00B84572" w:rsidRPr="005A615E" w:rsidRDefault="00B84572" w:rsidP="00B84572">
            <w:pPr>
              <w:ind w:leftChars="132" w:left="290"/>
              <w:rPr>
                <w:rFonts w:ascii="Times New Roman" w:hAnsi="Times New Roman"/>
                <w:sz w:val="24"/>
                <w:szCs w:val="24"/>
              </w:rPr>
            </w:pPr>
            <w:r w:rsidRPr="005A615E">
              <w:rPr>
                <w:rFonts w:ascii="Times New Roman" w:hAnsi="Times New Roman"/>
                <w:sz w:val="24"/>
                <w:szCs w:val="24"/>
              </w:rPr>
              <w:t>електричної енергії</w:t>
            </w:r>
          </w:p>
          <w:p w:rsidR="00B84572" w:rsidRPr="005A615E" w:rsidRDefault="00B84572" w:rsidP="00B84572">
            <w:pPr>
              <w:shd w:val="clear" w:color="auto" w:fill="FFFFFF"/>
              <w:spacing w:before="150" w:after="150"/>
              <w:ind w:left="36" w:right="450"/>
              <w:rPr>
                <w:rFonts w:ascii="Times New Roman" w:hAnsi="Times New Roman"/>
                <w:b/>
                <w:sz w:val="24"/>
                <w:szCs w:val="24"/>
              </w:rPr>
            </w:pPr>
            <w:r w:rsidRPr="005A615E">
              <w:rPr>
                <w:rFonts w:ascii="Times New Roman" w:hAnsi="Times New Roman"/>
                <w:sz w:val="24"/>
                <w:szCs w:val="24"/>
              </w:rPr>
              <w:t>ПЕРЕЛІК</w:t>
            </w:r>
            <w:r w:rsidRPr="005A615E">
              <w:rPr>
                <w:rFonts w:ascii="Times New Roman" w:hAnsi="Times New Roman"/>
                <w:sz w:val="24"/>
                <w:szCs w:val="24"/>
              </w:rPr>
              <w:br/>
              <w:t>операторів систем розподілу, до яких, зокрема не застосовується коригування необхідного доходу відповідно до даних виконання цільового завдання щодо досягнення показників якості послуг за 2027 рік</w:t>
            </w:r>
            <w:r w:rsidRPr="005A615E">
              <w:rPr>
                <w:rFonts w:ascii="Times New Roman" w:hAnsi="Times New Roman"/>
                <w:b/>
                <w:sz w:val="24"/>
                <w:szCs w:val="24"/>
              </w:rPr>
              <w:t xml:space="preserve"> </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АТ «ДТЕК ДНІПРОВСЬКІ ЕЛЕКТРОМЕРЕЖІ»;</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АТ «ДТЕК ДОНЕЦЬКІ ЕЛЕКТРОМЕРЕЖІ»;</w:t>
            </w:r>
          </w:p>
          <w:p w:rsidR="00B84572" w:rsidRPr="005A615E" w:rsidRDefault="00B84572" w:rsidP="00F27F7A">
            <w:pPr>
              <w:shd w:val="clear" w:color="auto" w:fill="FFFFFF"/>
              <w:ind w:left="178" w:right="30"/>
              <w:rPr>
                <w:rFonts w:ascii="Times New Roman" w:hAnsi="Times New Roman"/>
                <w:sz w:val="24"/>
                <w:szCs w:val="24"/>
                <w:lang w:eastAsia="uk-UA"/>
              </w:rPr>
            </w:pPr>
            <w:r w:rsidRPr="005A615E">
              <w:rPr>
                <w:rFonts w:ascii="Times New Roman" w:hAnsi="Times New Roman"/>
                <w:sz w:val="24"/>
                <w:szCs w:val="24"/>
                <w:lang w:eastAsia="uk-UA"/>
              </w:rPr>
              <w:t>АТ «ЗАПОРІЖЖЯОБЛЕНЕРГО»;</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АТ «МИКОЛАЇВОБЛЕНЕРГО»;</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АТ «ДТЕК ОДЕСЬКІ ЕЛЕКТРОМЕРЕЖІ»;</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АТ «СУМИОБЛЕНЕРГО»;</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АТ «ХАРКІВОБЛЕНЕРГО»;</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АТ «ЧЕРНІГІВОБЛЕНЕРГО»;</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ТОВ «ДТЕК ВИСОКОВОЛЬТНІ МЕРЕЖІ»;</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ПРАТ «ПЕЕМ «ЦЕК»;</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ДПЕМ ПРАТ «АТОМСЕРВІС»;</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ПРАТ «ДТЕК ПЕМ-ЕНЕРГОВУГІЛЛЯ»;</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ТОВ «ЛУГАНСЬКЕ ЕНЕРГЕТИЧНЕ ОБ'ЄДНАННЯ»;</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ДП «РЕГІОНАЛЬНІ ЕЛЕКТРИЧНІ МЕРЕЖІ»;</w:t>
            </w:r>
          </w:p>
          <w:p w:rsidR="00B84572" w:rsidRPr="005A615E" w:rsidRDefault="00B84572" w:rsidP="00B84572">
            <w:pPr>
              <w:shd w:val="clear" w:color="auto" w:fill="FFFFFF"/>
              <w:ind w:left="178" w:right="448"/>
              <w:rPr>
                <w:rFonts w:ascii="Times New Roman" w:hAnsi="Times New Roman"/>
                <w:sz w:val="24"/>
                <w:szCs w:val="24"/>
                <w:lang w:eastAsia="uk-UA"/>
              </w:rPr>
            </w:pPr>
            <w:r w:rsidRPr="005A615E">
              <w:rPr>
                <w:rFonts w:ascii="Times New Roman" w:hAnsi="Times New Roman"/>
                <w:sz w:val="24"/>
                <w:szCs w:val="24"/>
                <w:lang w:eastAsia="uk-UA"/>
              </w:rPr>
              <w:t>АТ «УКРЗАЛІЗНИЦЯ»;</w:t>
            </w:r>
          </w:p>
          <w:p w:rsidR="00B84572" w:rsidRPr="005A615E" w:rsidRDefault="00B84572" w:rsidP="00B84572">
            <w:pPr>
              <w:shd w:val="clear" w:color="auto" w:fill="FFFFFF"/>
              <w:ind w:left="178" w:right="448"/>
              <w:rPr>
                <w:rFonts w:ascii="Times New Roman" w:hAnsi="Times New Roman"/>
                <w:b/>
                <w:sz w:val="24"/>
                <w:szCs w:val="24"/>
              </w:rPr>
            </w:pPr>
            <w:r w:rsidRPr="005A615E">
              <w:rPr>
                <w:rFonts w:ascii="Times New Roman" w:hAnsi="Times New Roman"/>
                <w:b/>
                <w:sz w:val="24"/>
                <w:szCs w:val="24"/>
                <w:lang w:eastAsia="uk-UA"/>
              </w:rPr>
              <w:t>АТ «ХЕРСОНОБЛЕНЕРГО»</w:t>
            </w:r>
          </w:p>
        </w:tc>
      </w:tr>
      <w:tr w:rsidR="00CF2AC1" w:rsidRPr="005A615E" w:rsidTr="00A56FEE">
        <w:tc>
          <w:tcPr>
            <w:tcW w:w="6232" w:type="dxa"/>
          </w:tcPr>
          <w:p w:rsidR="00CF2AC1" w:rsidRPr="005A615E" w:rsidRDefault="00CF2AC1" w:rsidP="00CF2AC1">
            <w:pPr>
              <w:shd w:val="clear" w:color="auto" w:fill="FFFFFF"/>
              <w:spacing w:before="150" w:after="150"/>
              <w:ind w:left="450" w:right="450"/>
              <w:rPr>
                <w:rFonts w:ascii="Times New Roman" w:hAnsi="Times New Roman"/>
                <w:b/>
                <w:sz w:val="28"/>
                <w:szCs w:val="28"/>
              </w:rPr>
            </w:pPr>
            <w:r w:rsidRPr="005A615E">
              <w:rPr>
                <w:rFonts w:ascii="Times New Roman" w:hAnsi="Times New Roman"/>
                <w:b/>
                <w:sz w:val="28"/>
                <w:szCs w:val="28"/>
              </w:rPr>
              <w:t>Додаток 35</w:t>
            </w:r>
          </w:p>
          <w:p w:rsidR="00CF2AC1" w:rsidRPr="005A615E" w:rsidRDefault="00CF2AC1" w:rsidP="00CF2AC1">
            <w:pPr>
              <w:ind w:leftChars="1787" w:left="3931"/>
              <w:rPr>
                <w:rFonts w:ascii="Times New Roman" w:eastAsia="Times New Roman" w:hAnsi="Times New Roman"/>
                <w:sz w:val="20"/>
                <w:szCs w:val="24"/>
                <w:lang w:eastAsia="ru-RU"/>
              </w:rPr>
            </w:pPr>
            <w:r w:rsidRPr="005A615E">
              <w:rPr>
                <w:rFonts w:ascii="Times New Roman" w:hAnsi="Times New Roman"/>
                <w:sz w:val="20"/>
              </w:rPr>
              <w:t>Додаток 35</w:t>
            </w:r>
            <w:r w:rsidRPr="005A615E">
              <w:rPr>
                <w:rFonts w:ascii="Times New Roman" w:hAnsi="Times New Roman"/>
                <w:sz w:val="20"/>
              </w:rPr>
              <w:br/>
              <w:t xml:space="preserve">до Порядку встановлення (формування) </w:t>
            </w:r>
          </w:p>
          <w:p w:rsidR="00CF2AC1" w:rsidRPr="005A615E" w:rsidRDefault="00CF2AC1" w:rsidP="00CF2AC1">
            <w:pPr>
              <w:ind w:leftChars="1787" w:left="3931"/>
              <w:rPr>
                <w:rFonts w:ascii="Times New Roman" w:hAnsi="Times New Roman"/>
                <w:sz w:val="20"/>
              </w:rPr>
            </w:pPr>
            <w:r w:rsidRPr="005A615E">
              <w:rPr>
                <w:rFonts w:ascii="Times New Roman" w:hAnsi="Times New Roman"/>
                <w:sz w:val="20"/>
              </w:rPr>
              <w:t xml:space="preserve">тарифів на послуги з розподілу </w:t>
            </w:r>
          </w:p>
          <w:p w:rsidR="00CF2AC1" w:rsidRPr="005A615E" w:rsidRDefault="00CF2AC1" w:rsidP="00CF2AC1">
            <w:pPr>
              <w:shd w:val="clear" w:color="auto" w:fill="FFFFFF"/>
              <w:ind w:leftChars="1787" w:left="3931" w:right="450"/>
              <w:rPr>
                <w:rFonts w:ascii="Times New Roman" w:hAnsi="Times New Roman"/>
                <w:b/>
                <w:szCs w:val="28"/>
              </w:rPr>
            </w:pPr>
            <w:r w:rsidRPr="005A615E">
              <w:rPr>
                <w:rFonts w:ascii="Times New Roman" w:hAnsi="Times New Roman"/>
                <w:sz w:val="20"/>
              </w:rPr>
              <w:t>електричної енергії</w:t>
            </w:r>
          </w:p>
          <w:p w:rsidR="00CF2AC1" w:rsidRPr="005A615E" w:rsidRDefault="00CF2AC1" w:rsidP="00CF2AC1">
            <w:pPr>
              <w:pStyle w:val="3"/>
              <w:spacing w:after="225"/>
              <w:outlineLvl w:val="2"/>
              <w:rPr>
                <w:rFonts w:ascii="Times New Roman" w:hAnsi="Times New Roman"/>
                <w:sz w:val="24"/>
                <w:szCs w:val="24"/>
                <w:lang w:val="uk-UA"/>
              </w:rPr>
            </w:pPr>
            <w:r w:rsidRPr="005A615E">
              <w:rPr>
                <w:rFonts w:ascii="Times New Roman" w:hAnsi="Times New Roman"/>
                <w:sz w:val="24"/>
                <w:szCs w:val="24"/>
                <w:lang w:val="uk-UA"/>
              </w:rPr>
              <w:t>ПЕРЕЛІК</w:t>
            </w:r>
            <w:r w:rsidRPr="005A615E">
              <w:rPr>
                <w:rFonts w:ascii="Times New Roman" w:hAnsi="Times New Roman"/>
                <w:sz w:val="24"/>
                <w:szCs w:val="24"/>
                <w:lang w:val="uk-UA"/>
              </w:rPr>
              <w:br/>
              <w:t>операторів систем розподілу, які здійснюють діяльність в особливих умовах та щодо яких застосовано економічні й обмежувальні заходи (санкції)</w:t>
            </w:r>
          </w:p>
          <w:p w:rsidR="00CF2AC1" w:rsidRPr="005A615E" w:rsidRDefault="00CF2AC1" w:rsidP="00CF2AC1">
            <w:pPr>
              <w:rPr>
                <w:rFonts w:ascii="Times New Roman" w:hAnsi="Times New Roman"/>
                <w:b/>
                <w:sz w:val="24"/>
                <w:szCs w:val="24"/>
              </w:rPr>
            </w:pPr>
          </w:p>
          <w:p w:rsidR="00CF2AC1" w:rsidRPr="005A615E" w:rsidRDefault="00CF2AC1" w:rsidP="00CF2AC1">
            <w:pPr>
              <w:spacing w:after="75"/>
              <w:ind w:firstLine="240"/>
              <w:jc w:val="both"/>
              <w:rPr>
                <w:rFonts w:ascii="Times New Roman" w:hAnsi="Times New Roman"/>
                <w:b/>
              </w:rPr>
            </w:pPr>
            <w:bookmarkStart w:id="11" w:name="23960"/>
            <w:bookmarkEnd w:id="11"/>
            <w:r w:rsidRPr="005A615E">
              <w:rPr>
                <w:rFonts w:ascii="Times New Roman" w:hAnsi="Times New Roman"/>
                <w:b/>
              </w:rPr>
              <w:t>АТ «ЖИТОМИРОБЛЕНЕРГО»;</w:t>
            </w:r>
          </w:p>
          <w:p w:rsidR="00CF2AC1" w:rsidRPr="005A615E" w:rsidRDefault="00CF2AC1" w:rsidP="00CF2AC1">
            <w:pPr>
              <w:spacing w:after="75"/>
              <w:ind w:firstLine="240"/>
              <w:jc w:val="both"/>
              <w:rPr>
                <w:rFonts w:ascii="Times New Roman" w:hAnsi="Times New Roman"/>
                <w:b/>
              </w:rPr>
            </w:pPr>
            <w:bookmarkStart w:id="12" w:name="23963"/>
            <w:bookmarkEnd w:id="12"/>
            <w:r w:rsidRPr="005A615E">
              <w:rPr>
                <w:rFonts w:ascii="Times New Roman" w:hAnsi="Times New Roman"/>
                <w:b/>
              </w:rPr>
              <w:t>ПРАТ «КІРОВОГРАДОБЛЕНЕРГО»;</w:t>
            </w:r>
          </w:p>
          <w:p w:rsidR="00CF2AC1" w:rsidRPr="005A615E" w:rsidRDefault="00CF2AC1" w:rsidP="00CF2AC1">
            <w:pPr>
              <w:spacing w:after="75"/>
              <w:ind w:firstLine="240"/>
              <w:jc w:val="both"/>
              <w:rPr>
                <w:rFonts w:ascii="Times New Roman" w:hAnsi="Times New Roman"/>
                <w:b/>
              </w:rPr>
            </w:pPr>
            <w:bookmarkStart w:id="13" w:name="23965"/>
            <w:bookmarkEnd w:id="13"/>
            <w:r w:rsidRPr="005A615E">
              <w:rPr>
                <w:rFonts w:ascii="Times New Roman" w:hAnsi="Times New Roman"/>
                <w:b/>
              </w:rPr>
              <w:t>ПРАТ «РІВНЕОБЛЕНЕРГО»;</w:t>
            </w:r>
          </w:p>
          <w:p w:rsidR="00CF2AC1" w:rsidRPr="005A615E" w:rsidRDefault="00CF2AC1" w:rsidP="00CF2AC1">
            <w:pPr>
              <w:spacing w:after="75"/>
              <w:ind w:firstLine="240"/>
              <w:jc w:val="both"/>
              <w:rPr>
                <w:rFonts w:ascii="Times New Roman" w:hAnsi="Times New Roman"/>
                <w:b/>
              </w:rPr>
            </w:pPr>
            <w:bookmarkStart w:id="14" w:name="23968"/>
            <w:bookmarkEnd w:id="14"/>
            <w:r w:rsidRPr="005A615E">
              <w:rPr>
                <w:rFonts w:ascii="Times New Roman" w:hAnsi="Times New Roman"/>
                <w:b/>
              </w:rPr>
              <w:t>АТ «ХЕРСОНОБЛЕНЕРГО»;</w:t>
            </w:r>
          </w:p>
          <w:p w:rsidR="00CF2AC1" w:rsidRPr="005A615E" w:rsidRDefault="00CF2AC1" w:rsidP="00CF2AC1">
            <w:pPr>
              <w:spacing w:after="75"/>
              <w:ind w:firstLine="240"/>
              <w:jc w:val="both"/>
              <w:rPr>
                <w:rFonts w:ascii="Times New Roman" w:hAnsi="Times New Roman"/>
                <w:b/>
              </w:rPr>
            </w:pPr>
            <w:bookmarkStart w:id="15" w:name="23970"/>
            <w:bookmarkStart w:id="16" w:name="23971"/>
            <w:bookmarkEnd w:id="15"/>
            <w:r w:rsidRPr="005A615E">
              <w:rPr>
                <w:rFonts w:ascii="Times New Roman" w:hAnsi="Times New Roman"/>
                <w:b/>
              </w:rPr>
              <w:t>АТ «ЧЕРНІВЦІОБЛЕНЕРГО».</w:t>
            </w:r>
            <w:bookmarkEnd w:id="16"/>
          </w:p>
          <w:p w:rsidR="00CF2AC1" w:rsidRPr="005A615E" w:rsidRDefault="00CF2AC1" w:rsidP="00CF2AC1">
            <w:pPr>
              <w:shd w:val="clear" w:color="auto" w:fill="FFFFFF"/>
              <w:spacing w:before="150" w:after="150"/>
              <w:ind w:left="450" w:right="450"/>
              <w:rPr>
                <w:rFonts w:ascii="Times New Roman" w:hAnsi="Times New Roman"/>
                <w:b/>
                <w:sz w:val="28"/>
                <w:szCs w:val="28"/>
              </w:rPr>
            </w:pPr>
          </w:p>
        </w:tc>
        <w:tc>
          <w:tcPr>
            <w:tcW w:w="5387" w:type="dxa"/>
          </w:tcPr>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ПрАТ «Рівнеобленерго» (лист від 24.07.2026 № 46-08/7070)</w:t>
            </w:r>
          </w:p>
          <w:p w:rsidR="00CF2AC1" w:rsidRPr="005A615E" w:rsidRDefault="00CF2AC1" w:rsidP="00CF2AC1">
            <w:pPr>
              <w:jc w:val="right"/>
              <w:rPr>
                <w:rFonts w:ascii="Times New Roman" w:hAnsi="Times New Roman"/>
              </w:rPr>
            </w:pPr>
            <w:r w:rsidRPr="005A615E">
              <w:rPr>
                <w:rFonts w:ascii="Times New Roman" w:hAnsi="Times New Roman"/>
              </w:rPr>
              <w:t>Додаток 35</w:t>
            </w:r>
            <w:r w:rsidRPr="005A615E">
              <w:rPr>
                <w:rFonts w:ascii="Times New Roman" w:hAnsi="Times New Roman"/>
              </w:rPr>
              <w:br/>
              <w:t>до Порядку встановлення (формування) тарифів на послуги з розподілу електричної енергії</w:t>
            </w:r>
          </w:p>
          <w:p w:rsidR="00CF2AC1" w:rsidRPr="005A615E" w:rsidRDefault="00CF2AC1" w:rsidP="00CF2AC1">
            <w:pPr>
              <w:spacing w:after="75"/>
              <w:ind w:left="6804"/>
              <w:jc w:val="both"/>
              <w:rPr>
                <w:rFonts w:ascii="Times New Roman" w:hAnsi="Times New Roman"/>
              </w:rPr>
            </w:pPr>
          </w:p>
          <w:p w:rsidR="00CF2AC1" w:rsidRPr="005A615E" w:rsidRDefault="00CF2AC1" w:rsidP="00CF2AC1">
            <w:pPr>
              <w:pStyle w:val="3"/>
              <w:spacing w:after="225"/>
              <w:outlineLvl w:val="2"/>
              <w:rPr>
                <w:rFonts w:ascii="Times New Roman" w:hAnsi="Times New Roman"/>
                <w:strike/>
                <w:sz w:val="24"/>
                <w:szCs w:val="24"/>
              </w:rPr>
            </w:pPr>
          </w:p>
          <w:p w:rsidR="00CF2AC1" w:rsidRPr="005A615E" w:rsidRDefault="00CF2AC1" w:rsidP="00CF2AC1">
            <w:pPr>
              <w:pStyle w:val="3"/>
              <w:spacing w:after="225"/>
              <w:outlineLvl w:val="2"/>
              <w:rPr>
                <w:rFonts w:ascii="Times New Roman" w:hAnsi="Times New Roman"/>
                <w:strike/>
                <w:sz w:val="24"/>
                <w:szCs w:val="24"/>
              </w:rPr>
            </w:pPr>
            <w:r w:rsidRPr="005A615E">
              <w:rPr>
                <w:rFonts w:ascii="Times New Roman" w:hAnsi="Times New Roman"/>
                <w:strike/>
                <w:sz w:val="24"/>
                <w:szCs w:val="24"/>
              </w:rPr>
              <w:t>ПЕРЕЛІК</w:t>
            </w:r>
            <w:r w:rsidRPr="005A615E">
              <w:rPr>
                <w:rFonts w:ascii="Times New Roman" w:hAnsi="Times New Roman"/>
                <w:strike/>
                <w:sz w:val="24"/>
                <w:szCs w:val="24"/>
              </w:rPr>
              <w:br/>
              <w:t>операторів систем розподілу, які здійснюють діяльність в особливих умовах та щодо яких застосовано економічні й обмежувальні заходи (санкції)</w:t>
            </w:r>
          </w:p>
          <w:p w:rsidR="00CF2AC1" w:rsidRPr="005A615E" w:rsidRDefault="00CF2AC1" w:rsidP="00CF2AC1">
            <w:pPr>
              <w:pStyle w:val="3"/>
              <w:spacing w:after="0"/>
              <w:outlineLvl w:val="2"/>
              <w:rPr>
                <w:rFonts w:ascii="Times New Roman" w:hAnsi="Times New Roman"/>
                <w:sz w:val="24"/>
                <w:szCs w:val="24"/>
              </w:rPr>
            </w:pPr>
            <w:r w:rsidRPr="005A615E">
              <w:rPr>
                <w:rFonts w:ascii="Times New Roman" w:hAnsi="Times New Roman"/>
                <w:sz w:val="24"/>
                <w:szCs w:val="24"/>
              </w:rPr>
              <w:t xml:space="preserve">ПЕРЕЛІК </w:t>
            </w:r>
          </w:p>
          <w:p w:rsidR="00CF2AC1" w:rsidRPr="005A615E" w:rsidRDefault="00CF2AC1" w:rsidP="00CF2AC1">
            <w:pPr>
              <w:pStyle w:val="3"/>
              <w:spacing w:before="0" w:after="0"/>
              <w:outlineLvl w:val="2"/>
              <w:rPr>
                <w:rFonts w:ascii="Times New Roman" w:hAnsi="Times New Roman"/>
                <w:strike/>
                <w:sz w:val="24"/>
                <w:szCs w:val="24"/>
              </w:rPr>
            </w:pPr>
            <w:r w:rsidRPr="005A615E">
              <w:rPr>
                <w:rFonts w:ascii="Times New Roman" w:hAnsi="Times New Roman"/>
                <w:sz w:val="24"/>
                <w:szCs w:val="24"/>
              </w:rPr>
              <w:t xml:space="preserve">операторів систем розподілу, які здійснюють діяльність в особливих умовах та щодо яких діють спеціальні економічні і регуляторні  обмеження </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АТ «ЖИТОМИРОБЛЕНЕРГО»;</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ПРАТ «КІРОВОГРАДОБЛЕНЕРГО»;</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ПРАТ «РІВНЕОБЛЕНЕРГО»;</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АТ «ХЕРСОНОБЛЕНЕРГО»;</w:t>
            </w:r>
          </w:p>
          <w:p w:rsidR="00CF2AC1" w:rsidRPr="005A615E" w:rsidRDefault="00CF2AC1" w:rsidP="00CF2AC1">
            <w:pPr>
              <w:spacing w:after="75"/>
              <w:ind w:firstLine="240"/>
              <w:jc w:val="both"/>
              <w:rPr>
                <w:rFonts w:ascii="Times New Roman" w:hAnsi="Times New Roman"/>
              </w:rPr>
            </w:pPr>
            <w:r w:rsidRPr="005A615E">
              <w:rPr>
                <w:rFonts w:ascii="Times New Roman" w:hAnsi="Times New Roman"/>
              </w:rPr>
              <w:t>АТ «ЧЕРНІВЦІОБЛЕНЕРГО».</w:t>
            </w:r>
          </w:p>
          <w:p w:rsidR="00CF2AC1" w:rsidRPr="005A615E" w:rsidRDefault="00CF2AC1" w:rsidP="00CF2AC1">
            <w:pPr>
              <w:jc w:val="both"/>
              <w:rPr>
                <w:rFonts w:ascii="Times New Roman" w:hAnsi="Times New Roman"/>
                <w:b/>
                <w:sz w:val="24"/>
                <w:u w:val="single"/>
              </w:rPr>
            </w:pPr>
          </w:p>
          <w:p w:rsidR="00CF2AC1" w:rsidRPr="005A615E" w:rsidRDefault="00CF2AC1" w:rsidP="00CF2AC1">
            <w:pPr>
              <w:rPr>
                <w:b/>
                <w:i/>
                <w:u w:val="single"/>
              </w:rPr>
            </w:pPr>
            <w:r w:rsidRPr="005A615E">
              <w:rPr>
                <w:b/>
                <w:i/>
                <w:u w:val="single"/>
              </w:rPr>
              <w:t>Обгрунтування</w:t>
            </w:r>
          </w:p>
          <w:p w:rsidR="00CF2AC1" w:rsidRPr="005A615E" w:rsidRDefault="00CF2AC1" w:rsidP="00CF2AC1">
            <w:pPr>
              <w:suppressAutoHyphens/>
              <w:ind w:firstLine="368"/>
              <w:jc w:val="both"/>
              <w:rPr>
                <w:rFonts w:ascii="Times New Roman" w:hAnsi="Times New Roman"/>
              </w:rPr>
            </w:pPr>
            <w:r w:rsidRPr="005A615E">
              <w:rPr>
                <w:rFonts w:ascii="Times New Roman" w:hAnsi="Times New Roman"/>
              </w:rPr>
              <w:t xml:space="preserve">Запропоноване формулювання назви Додатка 35 потребує уточнення та виключення слова «санкції» з огляду на невідповідність фактичним обставинам, юридичну некоректність та ризик неоднозначного тлумачення. </w:t>
            </w:r>
          </w:p>
          <w:p w:rsidR="00CF2AC1" w:rsidRPr="005A615E" w:rsidRDefault="00CF2AC1" w:rsidP="00CF2AC1">
            <w:pPr>
              <w:suppressAutoHyphens/>
              <w:ind w:firstLine="368"/>
              <w:jc w:val="both"/>
              <w:rPr>
                <w:rFonts w:ascii="Times New Roman" w:hAnsi="Times New Roman"/>
              </w:rPr>
            </w:pPr>
            <w:r w:rsidRPr="005A615E">
              <w:rPr>
                <w:rFonts w:ascii="Times New Roman" w:hAnsi="Times New Roman"/>
                <w:lang w:eastAsia="ar-SA"/>
              </w:rPr>
              <w:t xml:space="preserve">Перелік ОСР, кінцеві бенефіціарні власники (акціонери) яких перебувають під санкціями фактично ширший. Безпосередньо до ОСР, наведених у Додатку 35 запропонованого проєкту змін, не застосовано жодних персональних економічних чи інших обмежувальних заходів (санкцій) відповідно до рішень РНБОУ чи указів Президента України. </w:t>
            </w:r>
            <w:r w:rsidRPr="005A615E">
              <w:rPr>
                <w:rFonts w:ascii="Times New Roman" w:hAnsi="Times New Roman"/>
              </w:rPr>
              <w:t>Використання слова «санкції» у тексті офіційного документа Регулятора створює хибне уявлення стосовно ОСР у контрагентів та банківських установ про те, що сам ліцензіат є санкційним об'єктом, що може призвести до блокування поточних рахунків, відмов у постачанні критично важливого обладнання та зриву аварійно-відновлювальних робіт, що є неприпустимим в умовах воєнного стану.</w:t>
            </w:r>
          </w:p>
          <w:p w:rsidR="00CF2AC1" w:rsidRPr="005A615E" w:rsidRDefault="00CF2AC1" w:rsidP="00CF2AC1">
            <w:pPr>
              <w:rPr>
                <w:rFonts w:ascii="Times New Roman" w:hAnsi="Times New Roman"/>
              </w:rPr>
            </w:pPr>
            <w:r w:rsidRPr="005A615E">
              <w:rPr>
                <w:rFonts w:ascii="Times New Roman" w:hAnsi="Times New Roman"/>
                <w:b/>
              </w:rPr>
              <w:t>Пропонуємо змінити назву Додатку 35 для недопущення створення</w:t>
            </w:r>
            <w:r w:rsidRPr="005A615E">
              <w:rPr>
                <w:rFonts w:ascii="Times New Roman" w:hAnsi="Times New Roman"/>
                <w:b/>
                <w:lang w:eastAsia="ar-SA"/>
              </w:rPr>
              <w:t xml:space="preserve"> штучних бар'єрів у господарській діяльності ОСР та приведення термінології у відповідність до реального правового статусу ліцензіатів.</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АТ «ЧЕРНІВЦІОБЛЕНЕРГО» (лист від 24.07.2026  № 19/1-02/3604)</w:t>
            </w:r>
          </w:p>
          <w:p w:rsidR="00CF2AC1" w:rsidRPr="005A615E" w:rsidRDefault="00CF2AC1" w:rsidP="00CF2AC1">
            <w:pPr>
              <w:pStyle w:val="3"/>
              <w:spacing w:after="225"/>
              <w:outlineLvl w:val="2"/>
              <w:rPr>
                <w:rFonts w:ascii="Times New Roman" w:hAnsi="Times New Roman"/>
                <w:strike/>
                <w:sz w:val="24"/>
                <w:szCs w:val="24"/>
                <w:lang w:val="uk-UA"/>
              </w:rPr>
            </w:pPr>
            <w:r w:rsidRPr="005A615E">
              <w:rPr>
                <w:rFonts w:ascii="Times New Roman" w:hAnsi="Times New Roman"/>
                <w:strike/>
                <w:sz w:val="24"/>
                <w:szCs w:val="24"/>
                <w:lang w:val="uk-UA"/>
              </w:rPr>
              <w:t>ПЕРЕЛІК</w:t>
            </w:r>
            <w:r w:rsidRPr="005A615E">
              <w:rPr>
                <w:rFonts w:ascii="Times New Roman" w:hAnsi="Times New Roman"/>
                <w:strike/>
                <w:sz w:val="24"/>
                <w:szCs w:val="24"/>
                <w:lang w:val="uk-UA"/>
              </w:rPr>
              <w:br/>
              <w:t>операторів систем розподілу, які здійснюють діяльність в особливих умовах та щодо яких застосовано економічні й обмежувальні заходи (санкції)</w:t>
            </w:r>
          </w:p>
          <w:p w:rsidR="00CF2AC1" w:rsidRPr="005A615E" w:rsidRDefault="00CF2AC1" w:rsidP="00CF2AC1">
            <w:pPr>
              <w:keepNext/>
              <w:keepLines/>
              <w:spacing w:before="200" w:after="225" w:line="276" w:lineRule="auto"/>
              <w:jc w:val="both"/>
              <w:outlineLvl w:val="2"/>
              <w:rPr>
                <w:rFonts w:ascii="Times New Roman" w:hAnsi="Times New Roman"/>
                <w:b/>
                <w:lang w:eastAsia="uk-UA"/>
              </w:rPr>
            </w:pPr>
            <w:r w:rsidRPr="005A615E">
              <w:rPr>
                <w:rFonts w:ascii="Times New Roman" w:hAnsi="Times New Roman"/>
                <w:b/>
                <w:lang w:eastAsia="uk-UA"/>
              </w:rPr>
              <w:t>«ПЕРЕЛІК операторів систем розподілу до яких в першому регуляторному періоді НКРЕКП були застосовані індивідуальні умови тарифоутворення, а також до яких в 2024-2026 було застосовано нульову норму доходу на регуляторну базу активів»</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АТ «ЖИТОМИРОБЛЕНЕРГО»;</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ПРАТ «КІРОВОГРАДОБЛЕНЕРГО»;</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ПРАТ «РІВНЕОБЛЕНЕРГО»;</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АТ «ХЕРСОНОБЛЕНЕРГО»;</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АТ «ЧЕРНІВЦІОБЛЕНЕРГО».</w:t>
            </w:r>
          </w:p>
          <w:p w:rsidR="00CF2AC1" w:rsidRPr="005A615E" w:rsidRDefault="00CF2AC1" w:rsidP="00CF2AC1">
            <w:pPr>
              <w:jc w:val="both"/>
              <w:rPr>
                <w:rFonts w:ascii="Times New Roman" w:hAnsi="Times New Roman"/>
                <w:b/>
                <w:sz w:val="24"/>
                <w:u w:val="single"/>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bCs/>
                <w:i/>
                <w:iCs/>
              </w:rPr>
            </w:pPr>
            <w:r w:rsidRPr="005A615E">
              <w:rPr>
                <w:rFonts w:ascii="Times New Roman" w:hAnsi="Times New Roman"/>
                <w:bCs/>
                <w:i/>
                <w:iCs/>
              </w:rPr>
              <w:t>АТ «ЧЕРНІВЦІОБЛЕНЕРГО» заперечує щодо назви Додатка 35</w:t>
            </w:r>
          </w:p>
          <w:p w:rsidR="00CF2AC1" w:rsidRPr="005A615E" w:rsidRDefault="00CF2AC1" w:rsidP="00CF2AC1">
            <w:pPr>
              <w:jc w:val="both"/>
              <w:rPr>
                <w:rFonts w:ascii="Times New Roman" w:hAnsi="Times New Roman"/>
                <w:bCs/>
                <w:i/>
                <w:iCs/>
              </w:rPr>
            </w:pPr>
            <w:r w:rsidRPr="005A615E">
              <w:rPr>
                <w:rFonts w:ascii="Times New Roman" w:hAnsi="Times New Roman"/>
                <w:bCs/>
                <w:i/>
                <w:iCs/>
              </w:rPr>
              <w:t>Товариство, листом від 14.05.2026 №19/1-02/2644 повідомляло НКРЕКП про те, що відповідно до Витягу з Державного реєстру санкцій до Товариства не застосовано будь-яких персональних спеціальних економічних та інших обмежувальні заходів (санкції).</w:t>
            </w:r>
          </w:p>
          <w:p w:rsidR="00CF2AC1" w:rsidRPr="005A615E" w:rsidRDefault="00CF2AC1" w:rsidP="00CF2AC1">
            <w:pPr>
              <w:jc w:val="both"/>
              <w:rPr>
                <w:rFonts w:ascii="Times New Roman" w:hAnsi="Times New Roman"/>
                <w:sz w:val="24"/>
                <w:u w:val="single"/>
              </w:rPr>
            </w:pP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Громадська спілка «Розумні електромережі України» (лист від 24.07.2026  № 24-07/1), АТ «ЖИТОМИРОБЛЕНЕРГО» (лист від 27.07.2026  № 05/24560)</w:t>
            </w:r>
          </w:p>
          <w:p w:rsidR="00CF2AC1" w:rsidRPr="005A615E" w:rsidRDefault="00CF2AC1" w:rsidP="00CF2AC1">
            <w:pPr>
              <w:jc w:val="both"/>
              <w:rPr>
                <w:rFonts w:ascii="Times New Roman" w:hAnsi="Times New Roman"/>
                <w:b/>
                <w:sz w:val="24"/>
                <w:u w:val="single"/>
              </w:rPr>
            </w:pPr>
          </w:p>
          <w:p w:rsidR="00CF2AC1" w:rsidRPr="005A615E" w:rsidRDefault="00CF2AC1" w:rsidP="00CF2AC1">
            <w:pPr>
              <w:shd w:val="clear" w:color="auto" w:fill="FFFFFF"/>
              <w:spacing w:before="150" w:after="150"/>
              <w:ind w:left="450" w:right="450"/>
              <w:rPr>
                <w:rFonts w:ascii="Times New Roman" w:hAnsi="Times New Roman"/>
                <w:b/>
                <w:sz w:val="28"/>
                <w:szCs w:val="28"/>
              </w:rPr>
            </w:pPr>
            <w:r w:rsidRPr="005A615E">
              <w:rPr>
                <w:rFonts w:ascii="Times New Roman" w:hAnsi="Times New Roman"/>
                <w:b/>
                <w:sz w:val="28"/>
                <w:szCs w:val="28"/>
              </w:rPr>
              <w:t>Додаток 35</w:t>
            </w:r>
          </w:p>
          <w:p w:rsidR="00CF2AC1" w:rsidRPr="005A615E" w:rsidRDefault="00CF2AC1" w:rsidP="00CF2AC1">
            <w:pPr>
              <w:ind w:leftChars="250" w:left="550"/>
              <w:rPr>
                <w:rFonts w:ascii="Times New Roman" w:hAnsi="Times New Roman"/>
                <w:sz w:val="20"/>
              </w:rPr>
            </w:pPr>
            <w:r w:rsidRPr="005A615E">
              <w:rPr>
                <w:rFonts w:ascii="Times New Roman" w:hAnsi="Times New Roman"/>
                <w:sz w:val="20"/>
              </w:rPr>
              <w:t>Додаток 35</w:t>
            </w:r>
            <w:r w:rsidRPr="005A615E">
              <w:rPr>
                <w:rFonts w:ascii="Times New Roman" w:hAnsi="Times New Roman"/>
                <w:sz w:val="20"/>
              </w:rPr>
              <w:br/>
              <w:t xml:space="preserve">до Порядку встановлення (формування) </w:t>
            </w:r>
          </w:p>
          <w:p w:rsidR="00CF2AC1" w:rsidRPr="005A615E" w:rsidRDefault="00CF2AC1" w:rsidP="00CF2AC1">
            <w:pPr>
              <w:ind w:leftChars="250" w:left="550"/>
              <w:rPr>
                <w:rFonts w:ascii="Times New Roman" w:hAnsi="Times New Roman"/>
                <w:sz w:val="20"/>
              </w:rPr>
            </w:pPr>
            <w:r w:rsidRPr="005A615E">
              <w:rPr>
                <w:rFonts w:ascii="Times New Roman" w:hAnsi="Times New Roman"/>
                <w:sz w:val="20"/>
              </w:rPr>
              <w:t xml:space="preserve">тарифів на послуги з розподілу </w:t>
            </w:r>
          </w:p>
          <w:p w:rsidR="00CF2AC1" w:rsidRPr="005A615E" w:rsidRDefault="00CF2AC1" w:rsidP="00CF2AC1">
            <w:pPr>
              <w:shd w:val="clear" w:color="auto" w:fill="FFFFFF"/>
              <w:ind w:leftChars="250" w:left="550" w:right="450"/>
              <w:rPr>
                <w:rFonts w:ascii="Times New Roman" w:hAnsi="Times New Roman"/>
                <w:sz w:val="20"/>
              </w:rPr>
            </w:pPr>
            <w:r w:rsidRPr="005A615E">
              <w:rPr>
                <w:rFonts w:ascii="Times New Roman" w:hAnsi="Times New Roman"/>
                <w:sz w:val="20"/>
              </w:rPr>
              <w:t>електричної енергії</w:t>
            </w:r>
          </w:p>
          <w:p w:rsidR="00CF2AC1" w:rsidRPr="005A615E" w:rsidRDefault="00CF2AC1" w:rsidP="00CF2AC1">
            <w:pPr>
              <w:shd w:val="clear" w:color="auto" w:fill="FFFFFF"/>
              <w:ind w:leftChars="250" w:left="550" w:right="450"/>
              <w:rPr>
                <w:rFonts w:ascii="Times New Roman" w:hAnsi="Times New Roman"/>
                <w:b/>
                <w:bCs/>
                <w:sz w:val="24"/>
                <w:szCs w:val="24"/>
              </w:rPr>
            </w:pPr>
            <w:r w:rsidRPr="005A615E">
              <w:rPr>
                <w:rFonts w:ascii="Times New Roman" w:hAnsi="Times New Roman"/>
                <w:b/>
                <w:bCs/>
                <w:sz w:val="24"/>
                <w:szCs w:val="24"/>
              </w:rPr>
              <w:t>ПЕРЕЛІК</w:t>
            </w:r>
          </w:p>
          <w:p w:rsidR="00CF2AC1" w:rsidRPr="005A615E" w:rsidRDefault="00CF2AC1" w:rsidP="00CF2AC1">
            <w:pPr>
              <w:shd w:val="clear" w:color="auto" w:fill="FFFFFF"/>
              <w:ind w:leftChars="250" w:left="550" w:right="450"/>
              <w:rPr>
                <w:rFonts w:ascii="Times New Roman" w:hAnsi="Times New Roman"/>
                <w:b/>
                <w:bCs/>
                <w:sz w:val="24"/>
                <w:szCs w:val="24"/>
              </w:rPr>
            </w:pPr>
            <w:r w:rsidRPr="005A615E">
              <w:rPr>
                <w:rFonts w:ascii="Times New Roman" w:hAnsi="Times New Roman"/>
                <w:b/>
                <w:bCs/>
                <w:sz w:val="24"/>
                <w:szCs w:val="24"/>
              </w:rPr>
              <w:t>операторів систем розподілу, які здійснюють діяльність в особливих умовах та щодо яких діють спеціальні регуляторні  обмеження встановлені НКРЕКП</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АТ «ЖИТОМИРОБЛЕНЕРГО»;</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ПРАТ «КІРОВОГРАДОБЛЕНЕРГО»;</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ПРАТ «РІВНЕОБЛЕНЕРГО»;</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АТ «ХЕРСОНОБЛЕНЕРГО»;</w:t>
            </w:r>
          </w:p>
          <w:p w:rsidR="00CF2AC1" w:rsidRPr="005A615E" w:rsidRDefault="00CF2AC1" w:rsidP="00CF2AC1">
            <w:pPr>
              <w:spacing w:after="75"/>
              <w:ind w:firstLine="240"/>
              <w:jc w:val="both"/>
              <w:rPr>
                <w:rFonts w:ascii="Times New Roman" w:hAnsi="Times New Roman"/>
                <w:b/>
              </w:rPr>
            </w:pPr>
            <w:r w:rsidRPr="005A615E">
              <w:rPr>
                <w:rFonts w:ascii="Times New Roman" w:hAnsi="Times New Roman"/>
                <w:b/>
              </w:rPr>
              <w:t>АТ «ЧЕРНІВЦІОБЛЕНЕРГО».</w:t>
            </w: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Запропоноване формулювання назви Додатка 35 потребує уточнення та виключення слова «санкції» з огляду на невідповідність фактичним обставинам, юридичну некоректність та ризик неоднозначного тлумачення.</w:t>
            </w:r>
          </w:p>
          <w:p w:rsidR="00CF2AC1" w:rsidRPr="005A615E" w:rsidRDefault="00CF2AC1" w:rsidP="00CF2AC1">
            <w:pPr>
              <w:ind w:firstLine="308"/>
              <w:jc w:val="both"/>
              <w:rPr>
                <w:rFonts w:ascii="Times New Roman" w:hAnsi="Times New Roman"/>
                <w:shd w:val="clear" w:color="auto" w:fill="FFFFFF"/>
              </w:rPr>
            </w:pPr>
            <w:r w:rsidRPr="005A615E">
              <w:rPr>
                <w:rFonts w:ascii="Times New Roman" w:hAnsi="Times New Roman"/>
                <w:shd w:val="clear" w:color="auto" w:fill="FFFFFF"/>
              </w:rPr>
              <w:t>Безпосередньо до ОСР, наведених у Додатку 35 запропонованого проєкту змін, не застосовано жодних персональних економічних чи інших обмежувальних заходів (санкцій) відповідно до рішень РНБОУ чи указів Президента України. Це підтверджується Витягами з Державного реєстру санкцій (додаються). Використання слова «санкції» у тексті офіційного документа Регулятора створює хибне уявлення стосовно ОСР у контрагентів та банківських установ про те, що ліцензіати є санкційними об'єктами, що може призвести до блокування поточних рахунків, відмов у постачанні критично важливого обладнання та зриву аварійно-відновлювальних робіт, що є неприпустимим в умовах воєнного стану.</w:t>
            </w:r>
          </w:p>
          <w:p w:rsidR="00CF2AC1" w:rsidRPr="005A615E" w:rsidRDefault="00CF2AC1" w:rsidP="00CF2AC1">
            <w:pPr>
              <w:ind w:firstLine="308"/>
              <w:jc w:val="both"/>
              <w:rPr>
                <w:rFonts w:ascii="Times New Roman" w:hAnsi="Times New Roman"/>
                <w:b/>
                <w:bCs/>
                <w:shd w:val="clear" w:color="auto" w:fill="FFFFFF"/>
              </w:rPr>
            </w:pPr>
            <w:r w:rsidRPr="005A615E">
              <w:rPr>
                <w:rFonts w:ascii="Times New Roman" w:hAnsi="Times New Roman"/>
                <w:b/>
                <w:bCs/>
                <w:shd w:val="clear" w:color="auto" w:fill="FFFFFF"/>
              </w:rPr>
              <w:t>Пропонуємо змінити назву Додатку 35 для недопущення створення штучних бар'єрів у господарській діяльності ОСР та приведення термінології у відповідність до реального правового статусу ліцензіатів.</w:t>
            </w:r>
          </w:p>
          <w:p w:rsidR="00CF2AC1" w:rsidRPr="005A615E" w:rsidRDefault="00CF2AC1" w:rsidP="00CF2AC1">
            <w:pPr>
              <w:ind w:firstLine="308"/>
              <w:jc w:val="both"/>
              <w:rPr>
                <w:rFonts w:ascii="Times New Roman" w:hAnsi="Times New Roman"/>
                <w:shd w:val="clear" w:color="auto" w:fill="FFFFFF"/>
              </w:rPr>
            </w:pPr>
          </w:p>
          <w:p w:rsidR="00CF2AC1" w:rsidRPr="005A615E" w:rsidRDefault="00CF2AC1" w:rsidP="00CF2AC1">
            <w:pPr>
              <w:jc w:val="both"/>
              <w:rPr>
                <w:b/>
                <w:i/>
                <w:u w:val="single"/>
              </w:rPr>
            </w:pPr>
            <w:r w:rsidRPr="005A615E">
              <w:rPr>
                <w:b/>
                <w:i/>
                <w:u w:val="single"/>
              </w:rPr>
              <w:t>Обгрунтування</w:t>
            </w:r>
          </w:p>
          <w:p w:rsidR="00CF2AC1" w:rsidRPr="005A615E" w:rsidRDefault="00CF2AC1" w:rsidP="00CF2AC1">
            <w:pPr>
              <w:jc w:val="both"/>
              <w:rPr>
                <w:rFonts w:ascii="Times New Roman" w:hAnsi="Times New Roman"/>
                <w:b/>
                <w:sz w:val="24"/>
                <w:u w:val="single"/>
              </w:rPr>
            </w:pPr>
            <w:r w:rsidRPr="005A615E">
              <w:rPr>
                <w:rFonts w:ascii="Times New Roman" w:hAnsi="Times New Roman"/>
                <w:b/>
                <w:sz w:val="24"/>
                <w:u w:val="single"/>
              </w:rPr>
              <w:t xml:space="preserve">АТ «ЖИТОМИРОБЛЕНЕРГО» </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rPr>
              <w:t>Відсутність застосування будь-яких санкцій до АТ «ЖИТОМИРОБЛЕНЕРГО» підтверджується витягом з державного реєстру санкцій від 22.07.2026 року за номером DRS-246ba4f1-9879-4503-ac10-215295873235</w:t>
            </w:r>
          </w:p>
        </w:tc>
        <w:tc>
          <w:tcPr>
            <w:tcW w:w="3969" w:type="dxa"/>
            <w:gridSpan w:val="2"/>
          </w:tcPr>
          <w:p w:rsidR="00E71ABB" w:rsidRPr="005A615E" w:rsidRDefault="00E71ABB" w:rsidP="00E71ABB">
            <w:pPr>
              <w:rPr>
                <w:rFonts w:ascii="Times New Roman" w:hAnsi="Times New Roman"/>
                <w:b/>
                <w:sz w:val="24"/>
              </w:rPr>
            </w:pPr>
            <w:r w:rsidRPr="005A615E">
              <w:rPr>
                <w:rFonts w:ascii="Times New Roman" w:hAnsi="Times New Roman"/>
                <w:b/>
                <w:sz w:val="24"/>
              </w:rPr>
              <w:t>Не враховано</w:t>
            </w:r>
          </w:p>
          <w:p w:rsidR="00CF2AC1" w:rsidRPr="005A615E" w:rsidRDefault="00CF2AC1" w:rsidP="00CF2AC1">
            <w:pPr>
              <w:rPr>
                <w:rFonts w:ascii="Times New Roman" w:hAnsi="Times New Roman"/>
                <w:b/>
                <w:sz w:val="24"/>
              </w:rPr>
            </w:pPr>
            <w:r w:rsidRPr="005A615E">
              <w:rPr>
                <w:rFonts w:ascii="Times New Roman" w:hAnsi="Times New Roman"/>
                <w:b/>
                <w:sz w:val="24"/>
              </w:rPr>
              <w:t>Загальна позиція</w:t>
            </w:r>
          </w:p>
          <w:p w:rsidR="00CF2AC1" w:rsidRPr="005A615E" w:rsidRDefault="00CF2AC1" w:rsidP="00CF2AC1">
            <w:pPr>
              <w:rPr>
                <w:rFonts w:ascii="Times New Roman" w:hAnsi="Times New Roman"/>
                <w:b/>
                <w:sz w:val="24"/>
              </w:rPr>
            </w:pPr>
            <w:r w:rsidRPr="005A615E">
              <w:rPr>
                <w:rFonts w:ascii="Times New Roman" w:hAnsi="Times New Roman"/>
                <w:b/>
                <w:sz w:val="24"/>
              </w:rPr>
              <w:t>Недостатньо обгрунтова позиція</w:t>
            </w:r>
          </w:p>
          <w:p w:rsidR="00E71ABB" w:rsidRPr="005A615E" w:rsidRDefault="00E71ABB" w:rsidP="00E71ABB">
            <w:pPr>
              <w:shd w:val="clear" w:color="auto" w:fill="FFFFFF"/>
              <w:spacing w:line="257" w:lineRule="auto"/>
              <w:ind w:right="448"/>
              <w:rPr>
                <w:rFonts w:ascii="Times New Roman" w:hAnsi="Times New Roman"/>
                <w:b/>
                <w:sz w:val="24"/>
                <w:szCs w:val="24"/>
              </w:rPr>
            </w:pPr>
            <w:r w:rsidRPr="005A615E">
              <w:rPr>
                <w:rFonts w:ascii="Times New Roman" w:hAnsi="Times New Roman"/>
                <w:b/>
                <w:sz w:val="24"/>
                <w:szCs w:val="24"/>
              </w:rPr>
              <w:t>Пропонується редакція</w:t>
            </w:r>
          </w:p>
          <w:p w:rsidR="00B84572" w:rsidRPr="005A615E" w:rsidRDefault="00B84572" w:rsidP="00B84572">
            <w:pPr>
              <w:shd w:val="clear" w:color="auto" w:fill="FFFFFF"/>
              <w:spacing w:before="150" w:after="150"/>
              <w:ind w:left="450" w:right="450"/>
              <w:rPr>
                <w:rFonts w:ascii="Times New Roman" w:hAnsi="Times New Roman"/>
                <w:b/>
                <w:sz w:val="28"/>
                <w:szCs w:val="28"/>
              </w:rPr>
            </w:pPr>
            <w:r w:rsidRPr="005A615E">
              <w:rPr>
                <w:rFonts w:ascii="Times New Roman" w:hAnsi="Times New Roman"/>
                <w:b/>
                <w:sz w:val="28"/>
                <w:szCs w:val="28"/>
              </w:rPr>
              <w:t>Додаток 35</w:t>
            </w:r>
          </w:p>
          <w:p w:rsidR="00B84572" w:rsidRPr="005A615E" w:rsidRDefault="00B84572" w:rsidP="00B84572">
            <w:pPr>
              <w:ind w:leftChars="250" w:left="550"/>
              <w:rPr>
                <w:rFonts w:ascii="Times New Roman" w:hAnsi="Times New Roman"/>
                <w:sz w:val="20"/>
              </w:rPr>
            </w:pPr>
            <w:r w:rsidRPr="005A615E">
              <w:rPr>
                <w:rFonts w:ascii="Times New Roman" w:hAnsi="Times New Roman"/>
                <w:sz w:val="20"/>
              </w:rPr>
              <w:t>Додаток 35</w:t>
            </w:r>
            <w:r w:rsidRPr="005A615E">
              <w:rPr>
                <w:rFonts w:ascii="Times New Roman" w:hAnsi="Times New Roman"/>
                <w:sz w:val="20"/>
              </w:rPr>
              <w:br/>
              <w:t xml:space="preserve">до Порядку встановлення (формування) </w:t>
            </w:r>
          </w:p>
          <w:p w:rsidR="00B84572" w:rsidRPr="005A615E" w:rsidRDefault="00B84572" w:rsidP="00B84572">
            <w:pPr>
              <w:ind w:leftChars="250" w:left="550"/>
              <w:rPr>
                <w:rFonts w:ascii="Times New Roman" w:hAnsi="Times New Roman"/>
                <w:sz w:val="20"/>
              </w:rPr>
            </w:pPr>
            <w:r w:rsidRPr="005A615E">
              <w:rPr>
                <w:rFonts w:ascii="Times New Roman" w:hAnsi="Times New Roman"/>
                <w:sz w:val="20"/>
              </w:rPr>
              <w:t xml:space="preserve">тарифів на послуги з розподілу </w:t>
            </w:r>
          </w:p>
          <w:p w:rsidR="00B84572" w:rsidRPr="005A615E" w:rsidRDefault="00B84572" w:rsidP="00B84572">
            <w:pPr>
              <w:shd w:val="clear" w:color="auto" w:fill="FFFFFF"/>
              <w:ind w:leftChars="250" w:left="550" w:right="450"/>
              <w:rPr>
                <w:rFonts w:ascii="Times New Roman" w:hAnsi="Times New Roman"/>
                <w:sz w:val="20"/>
              </w:rPr>
            </w:pPr>
            <w:r w:rsidRPr="005A615E">
              <w:rPr>
                <w:rFonts w:ascii="Times New Roman" w:hAnsi="Times New Roman"/>
                <w:sz w:val="20"/>
              </w:rPr>
              <w:t>електричної енергії</w:t>
            </w:r>
          </w:p>
          <w:p w:rsidR="00B84572" w:rsidRPr="005A615E" w:rsidRDefault="00B84572" w:rsidP="00B84572">
            <w:pPr>
              <w:pStyle w:val="3"/>
              <w:spacing w:after="0"/>
              <w:outlineLvl w:val="2"/>
              <w:rPr>
                <w:rFonts w:ascii="Times New Roman" w:hAnsi="Times New Roman"/>
                <w:sz w:val="24"/>
                <w:szCs w:val="24"/>
                <w:lang w:val="uk-UA"/>
              </w:rPr>
            </w:pPr>
            <w:r w:rsidRPr="005A615E">
              <w:rPr>
                <w:rFonts w:ascii="Times New Roman" w:hAnsi="Times New Roman"/>
                <w:sz w:val="24"/>
                <w:szCs w:val="24"/>
                <w:lang w:val="uk-UA"/>
              </w:rPr>
              <w:t xml:space="preserve">ПЕРЕЛІК </w:t>
            </w:r>
          </w:p>
          <w:p w:rsidR="00B84572" w:rsidRPr="005A615E" w:rsidRDefault="00B84572" w:rsidP="00B84572">
            <w:pPr>
              <w:pStyle w:val="3"/>
              <w:spacing w:before="0" w:after="0"/>
              <w:outlineLvl w:val="2"/>
              <w:rPr>
                <w:rFonts w:ascii="Times New Roman" w:hAnsi="Times New Roman"/>
                <w:strike/>
                <w:sz w:val="24"/>
                <w:szCs w:val="24"/>
                <w:lang w:val="uk-UA"/>
              </w:rPr>
            </w:pPr>
            <w:r w:rsidRPr="005A615E">
              <w:rPr>
                <w:rFonts w:ascii="Times New Roman" w:hAnsi="Times New Roman"/>
                <w:sz w:val="24"/>
                <w:szCs w:val="24"/>
                <w:lang w:val="uk-UA"/>
              </w:rPr>
              <w:t xml:space="preserve">операторів систем розподілу, які здійснюють діяльність в особливих умовах та щодо яких діють спеціальні економічні і регуляторні  обмеження </w:t>
            </w:r>
          </w:p>
          <w:p w:rsidR="00B84572" w:rsidRPr="005A615E" w:rsidRDefault="00B84572" w:rsidP="00B84572">
            <w:pPr>
              <w:spacing w:after="75"/>
              <w:ind w:firstLine="240"/>
              <w:jc w:val="both"/>
              <w:rPr>
                <w:rFonts w:ascii="Times New Roman" w:hAnsi="Times New Roman"/>
                <w:b/>
              </w:rPr>
            </w:pPr>
            <w:r w:rsidRPr="005A615E">
              <w:rPr>
                <w:rFonts w:ascii="Times New Roman" w:hAnsi="Times New Roman"/>
                <w:b/>
              </w:rPr>
              <w:t>АТ «ЖИТОМИРОБЛЕНЕРГО»;</w:t>
            </w:r>
          </w:p>
          <w:p w:rsidR="00B84572" w:rsidRPr="005A615E" w:rsidRDefault="00B84572" w:rsidP="00B84572">
            <w:pPr>
              <w:spacing w:after="75"/>
              <w:ind w:firstLine="240"/>
              <w:jc w:val="both"/>
              <w:rPr>
                <w:rFonts w:ascii="Times New Roman" w:hAnsi="Times New Roman"/>
                <w:b/>
              </w:rPr>
            </w:pPr>
            <w:r w:rsidRPr="005A615E">
              <w:rPr>
                <w:rFonts w:ascii="Times New Roman" w:hAnsi="Times New Roman"/>
                <w:b/>
              </w:rPr>
              <w:t>ПРАТ «КІРОВОГРАДОБЛЕНЕРГО»;</w:t>
            </w:r>
          </w:p>
          <w:p w:rsidR="00B84572" w:rsidRPr="005A615E" w:rsidRDefault="00B84572" w:rsidP="00B84572">
            <w:pPr>
              <w:spacing w:after="75"/>
              <w:ind w:firstLine="240"/>
              <w:jc w:val="both"/>
              <w:rPr>
                <w:rFonts w:ascii="Times New Roman" w:hAnsi="Times New Roman"/>
                <w:b/>
              </w:rPr>
            </w:pPr>
            <w:r w:rsidRPr="005A615E">
              <w:rPr>
                <w:rFonts w:ascii="Times New Roman" w:hAnsi="Times New Roman"/>
                <w:b/>
              </w:rPr>
              <w:t>ПРАТ «РІВНЕОБЛЕНЕРГО»;</w:t>
            </w:r>
          </w:p>
          <w:p w:rsidR="00B84572" w:rsidRPr="005A615E" w:rsidRDefault="00B84572" w:rsidP="00B84572">
            <w:pPr>
              <w:spacing w:after="75"/>
              <w:ind w:firstLine="240"/>
              <w:jc w:val="both"/>
              <w:rPr>
                <w:rFonts w:ascii="Times New Roman" w:hAnsi="Times New Roman"/>
                <w:b/>
              </w:rPr>
            </w:pPr>
            <w:r w:rsidRPr="005A615E">
              <w:rPr>
                <w:rFonts w:ascii="Times New Roman" w:hAnsi="Times New Roman"/>
                <w:b/>
              </w:rPr>
              <w:t>АТ «ХЕРСОНОБЛЕНЕРГО»;</w:t>
            </w:r>
          </w:p>
          <w:p w:rsidR="00B84572" w:rsidRPr="005A615E" w:rsidRDefault="00B84572" w:rsidP="00B84572">
            <w:pPr>
              <w:spacing w:after="75"/>
              <w:ind w:firstLine="240"/>
              <w:jc w:val="both"/>
              <w:rPr>
                <w:rFonts w:ascii="Times New Roman" w:hAnsi="Times New Roman"/>
                <w:b/>
              </w:rPr>
            </w:pPr>
            <w:r w:rsidRPr="005A615E">
              <w:rPr>
                <w:rFonts w:ascii="Times New Roman" w:hAnsi="Times New Roman"/>
                <w:b/>
              </w:rPr>
              <w:t>АТ «ЧЕРНІВЦІОБЛЕНЕРГО».</w:t>
            </w:r>
          </w:p>
          <w:p w:rsidR="00CF2AC1" w:rsidRPr="005A615E" w:rsidRDefault="00CF2AC1" w:rsidP="00CF2AC1">
            <w:pPr>
              <w:rPr>
                <w:rFonts w:ascii="Times New Roman" w:hAnsi="Times New Roman"/>
                <w:b/>
                <w:sz w:val="28"/>
              </w:rPr>
            </w:pPr>
          </w:p>
        </w:tc>
      </w:tr>
      <w:tr w:rsidR="00CF2AC1" w:rsidRPr="005A615E" w:rsidTr="00A56FEE">
        <w:tc>
          <w:tcPr>
            <w:tcW w:w="6232" w:type="dxa"/>
          </w:tcPr>
          <w:p w:rsidR="00CF2AC1" w:rsidRPr="005A615E" w:rsidRDefault="00CF2AC1" w:rsidP="00CF2AC1">
            <w:pPr>
              <w:shd w:val="clear" w:color="auto" w:fill="FFFFFF"/>
              <w:spacing w:before="150" w:after="150"/>
              <w:ind w:left="450" w:right="450"/>
              <w:rPr>
                <w:b/>
                <w:sz w:val="28"/>
                <w:szCs w:val="28"/>
              </w:rPr>
            </w:pPr>
            <w:r w:rsidRPr="005A615E">
              <w:rPr>
                <w:b/>
                <w:sz w:val="28"/>
                <w:szCs w:val="28"/>
              </w:rPr>
              <w:t>Додаток 36</w:t>
            </w:r>
          </w:p>
          <w:p w:rsidR="00CF2AC1" w:rsidRPr="005A615E" w:rsidRDefault="00CF2AC1" w:rsidP="00CF2AC1">
            <w:pPr>
              <w:ind w:leftChars="1787" w:left="3931"/>
              <w:rPr>
                <w:rFonts w:eastAsia="Times New Roman"/>
                <w:sz w:val="20"/>
                <w:szCs w:val="24"/>
                <w:lang w:eastAsia="ru-RU"/>
              </w:rPr>
            </w:pPr>
            <w:r w:rsidRPr="005A615E">
              <w:rPr>
                <w:sz w:val="20"/>
              </w:rPr>
              <w:t>Додаток 36</w:t>
            </w:r>
            <w:r w:rsidRPr="005A615E">
              <w:rPr>
                <w:sz w:val="20"/>
              </w:rPr>
              <w:br/>
              <w:t xml:space="preserve">до Порядку встановлення (формування) </w:t>
            </w:r>
          </w:p>
          <w:p w:rsidR="00CF2AC1" w:rsidRPr="005A615E" w:rsidRDefault="00CF2AC1" w:rsidP="00CF2AC1">
            <w:pPr>
              <w:ind w:leftChars="1787" w:left="3931"/>
              <w:rPr>
                <w:sz w:val="20"/>
              </w:rPr>
            </w:pPr>
            <w:r w:rsidRPr="005A615E">
              <w:rPr>
                <w:sz w:val="20"/>
              </w:rPr>
              <w:t xml:space="preserve">тарифів на послуги з розподілу </w:t>
            </w:r>
          </w:p>
          <w:p w:rsidR="00CF2AC1" w:rsidRPr="005A615E" w:rsidRDefault="00CF2AC1" w:rsidP="00CF2AC1">
            <w:pPr>
              <w:shd w:val="clear" w:color="auto" w:fill="FFFFFF"/>
              <w:ind w:leftChars="1787" w:left="3931" w:right="450"/>
              <w:rPr>
                <w:b/>
                <w:szCs w:val="28"/>
              </w:rPr>
            </w:pPr>
            <w:r w:rsidRPr="005A615E">
              <w:rPr>
                <w:sz w:val="20"/>
              </w:rPr>
              <w:t>електричної енергії</w:t>
            </w:r>
          </w:p>
          <w:p w:rsidR="00CF2AC1" w:rsidRPr="005A615E" w:rsidRDefault="00CF2AC1" w:rsidP="00CF2AC1">
            <w:pPr>
              <w:shd w:val="clear" w:color="auto" w:fill="FFFFFF"/>
              <w:spacing w:before="150" w:after="150"/>
              <w:ind w:left="450" w:right="450"/>
              <w:rPr>
                <w:rFonts w:eastAsia="Times New Roman"/>
                <w:b/>
                <w:sz w:val="24"/>
                <w:szCs w:val="24"/>
                <w:lang w:eastAsia="uk-UA"/>
              </w:rPr>
            </w:pPr>
            <w:r w:rsidRPr="005A615E">
              <w:rPr>
                <w:b/>
                <w:lang w:eastAsia="uk-UA"/>
              </w:rPr>
              <w:t>Розрахунок коригування необхідного доходу відповідно до індексу щодо даних комерційного обліку на рік t (починаючи з першого року другого регуляторного періоду за рік t-2)</w:t>
            </w:r>
          </w:p>
          <w:tbl>
            <w:tblPr>
              <w:tblW w:w="5966" w:type="dxa"/>
              <w:tblLayout w:type="fixed"/>
              <w:tblLook w:val="04A0" w:firstRow="1" w:lastRow="0" w:firstColumn="1" w:lastColumn="0" w:noHBand="0" w:noVBand="1"/>
            </w:tblPr>
            <w:tblGrid>
              <w:gridCol w:w="336"/>
              <w:gridCol w:w="410"/>
              <w:gridCol w:w="400"/>
              <w:gridCol w:w="425"/>
              <w:gridCol w:w="426"/>
              <w:gridCol w:w="425"/>
              <w:gridCol w:w="425"/>
              <w:gridCol w:w="425"/>
              <w:gridCol w:w="425"/>
              <w:gridCol w:w="426"/>
              <w:gridCol w:w="426"/>
              <w:gridCol w:w="424"/>
              <w:gridCol w:w="426"/>
              <w:gridCol w:w="567"/>
            </w:tblGrid>
            <w:tr w:rsidR="00CF2AC1" w:rsidRPr="005A615E" w:rsidTr="003C14E3">
              <w:trPr>
                <w:trHeight w:val="690"/>
              </w:trPr>
              <w:tc>
                <w:tcPr>
                  <w:tcW w:w="5966" w:type="dxa"/>
                  <w:gridSpan w:val="14"/>
                  <w:tcBorders>
                    <w:top w:val="single" w:sz="8" w:space="0" w:color="auto"/>
                    <w:left w:val="single" w:sz="8" w:space="0" w:color="auto"/>
                    <w:bottom w:val="single" w:sz="8" w:space="0" w:color="auto"/>
                    <w:right w:val="single" w:sz="8" w:space="0" w:color="auto"/>
                  </w:tcBorders>
                  <w:vAlign w:val="bottom"/>
                  <w:hideMark/>
                </w:tcPr>
                <w:p w:rsidR="00CF2AC1" w:rsidRPr="005A615E" w:rsidRDefault="00CF2AC1" w:rsidP="00CF2AC1">
                  <w:pPr>
                    <w:rPr>
                      <w:sz w:val="16"/>
                      <w:lang w:eastAsia="uk-UA"/>
                    </w:rPr>
                  </w:pPr>
                  <w:r w:rsidRPr="005A615E">
                    <w:rPr>
                      <w:sz w:val="16"/>
                      <w:lang w:eastAsia="uk-UA"/>
                    </w:rPr>
                    <w:t>Дані комерційного обліку щодо обсягів перетоків електричної енергії, сформовані по всіх точках комерційного обліку з можливістю погодинного обліку та дистанційного зчитування даних, де ОСР є стороною відповідальною за точку комерційного обліку, тис. кВт*год.</w:t>
                  </w:r>
                </w:p>
              </w:tc>
            </w:tr>
            <w:tr w:rsidR="00CF2AC1" w:rsidRPr="005A615E" w:rsidTr="003C14E3">
              <w:trPr>
                <w:trHeight w:val="456"/>
              </w:trPr>
              <w:tc>
                <w:tcPr>
                  <w:tcW w:w="336" w:type="dxa"/>
                  <w:vMerge w:val="restart"/>
                  <w:tcBorders>
                    <w:top w:val="single" w:sz="8" w:space="0" w:color="auto"/>
                    <w:left w:val="single" w:sz="8" w:space="0" w:color="auto"/>
                    <w:bottom w:val="single" w:sz="8" w:space="0" w:color="000000"/>
                    <w:right w:val="nil"/>
                  </w:tcBorders>
                  <w:vAlign w:val="center"/>
                  <w:hideMark/>
                </w:tcPr>
                <w:p w:rsidR="00CF2AC1" w:rsidRPr="005A615E" w:rsidRDefault="00CF2AC1" w:rsidP="00CF2AC1">
                  <w:pPr>
                    <w:rPr>
                      <w:sz w:val="10"/>
                      <w:lang w:eastAsia="uk-UA"/>
                    </w:rPr>
                  </w:pPr>
                  <w:r w:rsidRPr="005A615E">
                    <w:rPr>
                      <w:sz w:val="10"/>
                      <w:lang w:eastAsia="uk-UA"/>
                    </w:rPr>
                    <w:t>№ з/п</w:t>
                  </w:r>
                </w:p>
              </w:tc>
              <w:tc>
                <w:tcPr>
                  <w:tcW w:w="410" w:type="dxa"/>
                  <w:vMerge w:val="restart"/>
                  <w:tcBorders>
                    <w:top w:val="single" w:sz="8" w:space="0" w:color="auto"/>
                    <w:left w:val="nil"/>
                    <w:bottom w:val="single" w:sz="8" w:space="0" w:color="000000"/>
                    <w:right w:val="nil"/>
                  </w:tcBorders>
                  <w:vAlign w:val="bottom"/>
                  <w:hideMark/>
                </w:tcPr>
                <w:p w:rsidR="00CF2AC1" w:rsidRPr="005A615E" w:rsidRDefault="00CF2AC1" w:rsidP="00CF2AC1">
                  <w:pPr>
                    <w:rPr>
                      <w:sz w:val="10"/>
                      <w:lang w:eastAsia="uk-UA"/>
                    </w:rPr>
                  </w:pPr>
                  <w:r w:rsidRPr="005A615E">
                    <w:rPr>
                      <w:sz w:val="10"/>
                      <w:lang w:eastAsia="uk-UA"/>
                    </w:rPr>
                    <w:t> </w:t>
                  </w:r>
                </w:p>
              </w:tc>
              <w:tc>
                <w:tcPr>
                  <w:tcW w:w="400" w:type="dxa"/>
                  <w:tcBorders>
                    <w:top w:val="single" w:sz="8" w:space="0" w:color="auto"/>
                    <w:left w:val="single" w:sz="8" w:space="0" w:color="auto"/>
                    <w:bottom w:val="single" w:sz="8" w:space="0" w:color="auto"/>
                    <w:right w:val="single" w:sz="4" w:space="0" w:color="auto"/>
                  </w:tcBorders>
                  <w:vAlign w:val="bottom"/>
                  <w:hideMark/>
                </w:tcPr>
                <w:p w:rsidR="00CF2AC1" w:rsidRPr="005A615E" w:rsidRDefault="00CF2AC1" w:rsidP="00CF2AC1">
                  <w:pPr>
                    <w:rPr>
                      <w:sz w:val="8"/>
                      <w:lang w:eastAsia="uk-UA"/>
                    </w:rPr>
                  </w:pPr>
                  <w:r w:rsidRPr="005A615E">
                    <w:rPr>
                      <w:sz w:val="8"/>
                      <w:lang w:eastAsia="uk-UA"/>
                    </w:rPr>
                    <w:t xml:space="preserve"> версія 2*</w:t>
                  </w:r>
                </w:p>
              </w:tc>
              <w:tc>
                <w:tcPr>
                  <w:tcW w:w="425" w:type="dxa"/>
                  <w:tcBorders>
                    <w:top w:val="single" w:sz="8" w:space="0" w:color="auto"/>
                    <w:left w:val="nil"/>
                    <w:bottom w:val="single" w:sz="8" w:space="0" w:color="auto"/>
                    <w:right w:val="single" w:sz="8" w:space="0" w:color="auto"/>
                  </w:tcBorders>
                  <w:vAlign w:val="bottom"/>
                  <w:hideMark/>
                </w:tcPr>
                <w:p w:rsidR="00CF2AC1" w:rsidRPr="005A615E" w:rsidRDefault="00CF2AC1" w:rsidP="00CF2AC1">
                  <w:pPr>
                    <w:rPr>
                      <w:sz w:val="8"/>
                      <w:lang w:eastAsia="uk-UA"/>
                    </w:rPr>
                  </w:pPr>
                  <w:r w:rsidRPr="005A615E">
                    <w:rPr>
                      <w:sz w:val="8"/>
                      <w:lang w:eastAsia="uk-UA"/>
                    </w:rPr>
                    <w:t>остаточна</w:t>
                  </w:r>
                </w:p>
              </w:tc>
              <w:tc>
                <w:tcPr>
                  <w:tcW w:w="426" w:type="dxa"/>
                  <w:tcBorders>
                    <w:top w:val="single" w:sz="8" w:space="0" w:color="auto"/>
                    <w:left w:val="nil"/>
                    <w:bottom w:val="single" w:sz="8" w:space="0" w:color="auto"/>
                    <w:right w:val="single" w:sz="4" w:space="0" w:color="auto"/>
                  </w:tcBorders>
                  <w:vAlign w:val="bottom"/>
                  <w:hideMark/>
                </w:tcPr>
                <w:p w:rsidR="00CF2AC1" w:rsidRPr="005A615E" w:rsidRDefault="00CF2AC1" w:rsidP="00CF2AC1">
                  <w:pPr>
                    <w:rPr>
                      <w:sz w:val="8"/>
                      <w:lang w:eastAsia="uk-UA"/>
                    </w:rPr>
                  </w:pPr>
                  <w:r w:rsidRPr="005A615E">
                    <w:rPr>
                      <w:sz w:val="8"/>
                      <w:lang w:eastAsia="uk-UA"/>
                    </w:rPr>
                    <w:t xml:space="preserve"> версія 2</w:t>
                  </w:r>
                </w:p>
              </w:tc>
              <w:tc>
                <w:tcPr>
                  <w:tcW w:w="425" w:type="dxa"/>
                  <w:tcBorders>
                    <w:top w:val="single" w:sz="8" w:space="0" w:color="auto"/>
                    <w:left w:val="nil"/>
                    <w:bottom w:val="single" w:sz="8" w:space="0" w:color="auto"/>
                    <w:right w:val="single" w:sz="8" w:space="0" w:color="auto"/>
                  </w:tcBorders>
                  <w:vAlign w:val="bottom"/>
                  <w:hideMark/>
                </w:tcPr>
                <w:p w:rsidR="00CF2AC1" w:rsidRPr="005A615E" w:rsidRDefault="00CF2AC1" w:rsidP="00CF2AC1">
                  <w:pPr>
                    <w:rPr>
                      <w:sz w:val="8"/>
                      <w:lang w:eastAsia="uk-UA"/>
                    </w:rPr>
                  </w:pPr>
                  <w:r w:rsidRPr="005A615E">
                    <w:rPr>
                      <w:sz w:val="8"/>
                      <w:lang w:eastAsia="uk-UA"/>
                    </w:rPr>
                    <w:t>остаточна</w:t>
                  </w:r>
                </w:p>
              </w:tc>
              <w:tc>
                <w:tcPr>
                  <w:tcW w:w="425" w:type="dxa"/>
                  <w:tcBorders>
                    <w:top w:val="single" w:sz="8" w:space="0" w:color="auto"/>
                    <w:left w:val="nil"/>
                    <w:bottom w:val="single" w:sz="8" w:space="0" w:color="auto"/>
                    <w:right w:val="single" w:sz="4" w:space="0" w:color="auto"/>
                  </w:tcBorders>
                  <w:vAlign w:val="bottom"/>
                  <w:hideMark/>
                </w:tcPr>
                <w:p w:rsidR="00CF2AC1" w:rsidRPr="005A615E" w:rsidRDefault="00CF2AC1" w:rsidP="00CF2AC1">
                  <w:pPr>
                    <w:rPr>
                      <w:sz w:val="8"/>
                      <w:lang w:eastAsia="uk-UA"/>
                    </w:rPr>
                  </w:pPr>
                  <w:r w:rsidRPr="005A615E">
                    <w:rPr>
                      <w:sz w:val="8"/>
                      <w:lang w:eastAsia="uk-UA"/>
                    </w:rPr>
                    <w:t xml:space="preserve"> версія 2</w:t>
                  </w:r>
                </w:p>
              </w:tc>
              <w:tc>
                <w:tcPr>
                  <w:tcW w:w="425" w:type="dxa"/>
                  <w:tcBorders>
                    <w:top w:val="single" w:sz="8" w:space="0" w:color="auto"/>
                    <w:left w:val="nil"/>
                    <w:bottom w:val="single" w:sz="8" w:space="0" w:color="auto"/>
                    <w:right w:val="single" w:sz="8" w:space="0" w:color="auto"/>
                  </w:tcBorders>
                  <w:vAlign w:val="bottom"/>
                  <w:hideMark/>
                </w:tcPr>
                <w:p w:rsidR="00CF2AC1" w:rsidRPr="005A615E" w:rsidRDefault="00CF2AC1" w:rsidP="00CF2AC1">
                  <w:pPr>
                    <w:rPr>
                      <w:sz w:val="8"/>
                      <w:lang w:eastAsia="uk-UA"/>
                    </w:rPr>
                  </w:pPr>
                  <w:r w:rsidRPr="005A615E">
                    <w:rPr>
                      <w:sz w:val="8"/>
                      <w:lang w:eastAsia="uk-UA"/>
                    </w:rPr>
                    <w:t>остаточна</w:t>
                  </w:r>
                </w:p>
              </w:tc>
              <w:tc>
                <w:tcPr>
                  <w:tcW w:w="425" w:type="dxa"/>
                  <w:tcBorders>
                    <w:top w:val="single" w:sz="8" w:space="0" w:color="auto"/>
                    <w:left w:val="nil"/>
                    <w:bottom w:val="single" w:sz="8" w:space="0" w:color="auto"/>
                    <w:right w:val="single" w:sz="4" w:space="0" w:color="auto"/>
                  </w:tcBorders>
                  <w:vAlign w:val="bottom"/>
                  <w:hideMark/>
                </w:tcPr>
                <w:p w:rsidR="00CF2AC1" w:rsidRPr="005A615E" w:rsidRDefault="00CF2AC1" w:rsidP="00CF2AC1">
                  <w:pPr>
                    <w:rPr>
                      <w:sz w:val="8"/>
                      <w:lang w:eastAsia="uk-UA"/>
                    </w:rPr>
                  </w:pPr>
                  <w:r w:rsidRPr="005A615E">
                    <w:rPr>
                      <w:sz w:val="8"/>
                      <w:lang w:eastAsia="uk-UA"/>
                    </w:rPr>
                    <w:t xml:space="preserve"> версія 2</w:t>
                  </w:r>
                </w:p>
              </w:tc>
              <w:tc>
                <w:tcPr>
                  <w:tcW w:w="426" w:type="dxa"/>
                  <w:tcBorders>
                    <w:top w:val="single" w:sz="8" w:space="0" w:color="auto"/>
                    <w:left w:val="nil"/>
                    <w:bottom w:val="single" w:sz="8" w:space="0" w:color="auto"/>
                    <w:right w:val="single" w:sz="8" w:space="0" w:color="auto"/>
                  </w:tcBorders>
                  <w:vAlign w:val="bottom"/>
                  <w:hideMark/>
                </w:tcPr>
                <w:p w:rsidR="00CF2AC1" w:rsidRPr="005A615E" w:rsidRDefault="00CF2AC1" w:rsidP="00CF2AC1">
                  <w:pPr>
                    <w:rPr>
                      <w:sz w:val="8"/>
                      <w:lang w:eastAsia="uk-UA"/>
                    </w:rPr>
                  </w:pPr>
                  <w:r w:rsidRPr="005A615E">
                    <w:rPr>
                      <w:sz w:val="8"/>
                      <w:lang w:eastAsia="uk-UA"/>
                    </w:rPr>
                    <w:t>остаточна</w:t>
                  </w:r>
                </w:p>
              </w:tc>
              <w:tc>
                <w:tcPr>
                  <w:tcW w:w="426" w:type="dxa"/>
                  <w:tcBorders>
                    <w:top w:val="single" w:sz="8" w:space="0" w:color="auto"/>
                    <w:left w:val="nil"/>
                    <w:bottom w:val="single" w:sz="8" w:space="0" w:color="auto"/>
                    <w:right w:val="single" w:sz="4" w:space="0" w:color="auto"/>
                  </w:tcBorders>
                  <w:vAlign w:val="bottom"/>
                  <w:hideMark/>
                </w:tcPr>
                <w:p w:rsidR="00CF2AC1" w:rsidRPr="005A615E" w:rsidRDefault="00CF2AC1" w:rsidP="00CF2AC1">
                  <w:pPr>
                    <w:rPr>
                      <w:sz w:val="8"/>
                      <w:lang w:eastAsia="uk-UA"/>
                    </w:rPr>
                  </w:pPr>
                  <w:r w:rsidRPr="005A615E">
                    <w:rPr>
                      <w:sz w:val="8"/>
                      <w:lang w:eastAsia="uk-UA"/>
                    </w:rPr>
                    <w:t xml:space="preserve"> версія 2</w:t>
                  </w:r>
                </w:p>
              </w:tc>
              <w:tc>
                <w:tcPr>
                  <w:tcW w:w="424" w:type="dxa"/>
                  <w:tcBorders>
                    <w:top w:val="single" w:sz="8" w:space="0" w:color="auto"/>
                    <w:left w:val="nil"/>
                    <w:bottom w:val="single" w:sz="8" w:space="0" w:color="auto"/>
                    <w:right w:val="single" w:sz="8" w:space="0" w:color="auto"/>
                  </w:tcBorders>
                  <w:vAlign w:val="bottom"/>
                  <w:hideMark/>
                </w:tcPr>
                <w:p w:rsidR="00CF2AC1" w:rsidRPr="005A615E" w:rsidRDefault="00CF2AC1" w:rsidP="00CF2AC1">
                  <w:pPr>
                    <w:rPr>
                      <w:sz w:val="8"/>
                      <w:lang w:eastAsia="uk-UA"/>
                    </w:rPr>
                  </w:pPr>
                  <w:r w:rsidRPr="005A615E">
                    <w:rPr>
                      <w:sz w:val="8"/>
                      <w:lang w:eastAsia="uk-UA"/>
                    </w:rPr>
                    <w:t>остаточна</w:t>
                  </w:r>
                </w:p>
              </w:tc>
              <w:tc>
                <w:tcPr>
                  <w:tcW w:w="426" w:type="dxa"/>
                  <w:vMerge w:val="restart"/>
                  <w:tcBorders>
                    <w:top w:val="single" w:sz="8" w:space="0" w:color="auto"/>
                    <w:left w:val="single" w:sz="8" w:space="0" w:color="auto"/>
                    <w:bottom w:val="single" w:sz="8" w:space="0" w:color="000000"/>
                    <w:right w:val="single" w:sz="8" w:space="0" w:color="auto"/>
                  </w:tcBorders>
                  <w:vAlign w:val="center"/>
                  <w:hideMark/>
                </w:tcPr>
                <w:p w:rsidR="00CF2AC1" w:rsidRPr="005A615E" w:rsidRDefault="00CF2AC1" w:rsidP="00CF2AC1">
                  <w:pPr>
                    <w:rPr>
                      <w:sz w:val="10"/>
                      <w:lang w:eastAsia="uk-UA"/>
                    </w:rPr>
                  </w:pPr>
                  <w:r w:rsidRPr="005A615E">
                    <w:rPr>
                      <w:sz w:val="10"/>
                      <w:lang w:eastAsia="uk-UA"/>
                    </w:rPr>
                    <w:t>Фактичний індекс якості даних</w:t>
                  </w:r>
                </w:p>
              </w:tc>
              <w:tc>
                <w:tcPr>
                  <w:tcW w:w="567" w:type="dxa"/>
                  <w:vMerge w:val="restart"/>
                  <w:tcBorders>
                    <w:top w:val="single" w:sz="8" w:space="0" w:color="auto"/>
                    <w:left w:val="single" w:sz="8" w:space="0" w:color="auto"/>
                    <w:bottom w:val="single" w:sz="8" w:space="0" w:color="000000"/>
                    <w:right w:val="single" w:sz="8" w:space="0" w:color="auto"/>
                  </w:tcBorders>
                  <w:vAlign w:val="center"/>
                  <w:hideMark/>
                </w:tcPr>
                <w:p w:rsidR="00CF2AC1" w:rsidRPr="005A615E" w:rsidRDefault="00CF2AC1" w:rsidP="00CF2AC1">
                  <w:pPr>
                    <w:rPr>
                      <w:sz w:val="10"/>
                      <w:lang w:eastAsia="uk-UA"/>
                    </w:rPr>
                  </w:pPr>
                  <w:r w:rsidRPr="005A615E">
                    <w:rPr>
                      <w:sz w:val="10"/>
                      <w:lang w:eastAsia="uk-UA"/>
                    </w:rPr>
                    <w:t>Необхідний індекс якості даних</w:t>
                  </w:r>
                </w:p>
              </w:tc>
            </w:tr>
            <w:tr w:rsidR="00CF2AC1" w:rsidRPr="005A615E" w:rsidTr="003C14E3">
              <w:trPr>
                <w:trHeight w:val="593"/>
              </w:trPr>
              <w:tc>
                <w:tcPr>
                  <w:tcW w:w="336" w:type="dxa"/>
                  <w:vMerge/>
                  <w:tcBorders>
                    <w:top w:val="single" w:sz="8" w:space="0" w:color="auto"/>
                    <w:left w:val="single" w:sz="8" w:space="0" w:color="auto"/>
                    <w:bottom w:val="single" w:sz="8" w:space="0" w:color="000000"/>
                    <w:right w:val="nil"/>
                  </w:tcBorders>
                  <w:vAlign w:val="center"/>
                  <w:hideMark/>
                </w:tcPr>
                <w:p w:rsidR="00CF2AC1" w:rsidRPr="005A615E" w:rsidRDefault="00CF2AC1" w:rsidP="00CF2AC1">
                  <w:pPr>
                    <w:rPr>
                      <w:rFonts w:ascii="Times New Roman" w:eastAsia="Times New Roman" w:hAnsi="Times New Roman"/>
                      <w:sz w:val="10"/>
                      <w:szCs w:val="24"/>
                      <w:lang w:eastAsia="uk-UA"/>
                    </w:rPr>
                  </w:pPr>
                </w:p>
              </w:tc>
              <w:tc>
                <w:tcPr>
                  <w:tcW w:w="410" w:type="dxa"/>
                  <w:vMerge/>
                  <w:tcBorders>
                    <w:top w:val="single" w:sz="8" w:space="0" w:color="auto"/>
                    <w:left w:val="nil"/>
                    <w:bottom w:val="single" w:sz="8" w:space="0" w:color="000000"/>
                    <w:right w:val="nil"/>
                  </w:tcBorders>
                  <w:vAlign w:val="center"/>
                  <w:hideMark/>
                </w:tcPr>
                <w:p w:rsidR="00CF2AC1" w:rsidRPr="005A615E" w:rsidRDefault="00CF2AC1" w:rsidP="00CF2AC1">
                  <w:pPr>
                    <w:rPr>
                      <w:rFonts w:ascii="Times New Roman" w:eastAsia="Times New Roman" w:hAnsi="Times New Roman"/>
                      <w:sz w:val="10"/>
                      <w:szCs w:val="24"/>
                      <w:lang w:eastAsia="uk-UA"/>
                    </w:rPr>
                  </w:pPr>
                </w:p>
              </w:tc>
              <w:tc>
                <w:tcPr>
                  <w:tcW w:w="400" w:type="dxa"/>
                  <w:tcBorders>
                    <w:top w:val="nil"/>
                    <w:left w:val="single" w:sz="8" w:space="0" w:color="auto"/>
                    <w:bottom w:val="single" w:sz="8" w:space="0" w:color="auto"/>
                    <w:right w:val="single" w:sz="4" w:space="0" w:color="auto"/>
                  </w:tcBorders>
                  <w:vAlign w:val="center"/>
                  <w:hideMark/>
                </w:tcPr>
                <w:p w:rsidR="00CF2AC1" w:rsidRPr="005A615E" w:rsidRDefault="00CF2AC1" w:rsidP="00CF2AC1">
                  <w:pPr>
                    <w:rPr>
                      <w:sz w:val="8"/>
                      <w:lang w:eastAsia="uk-UA"/>
                    </w:rPr>
                  </w:pPr>
                  <w:r w:rsidRPr="005A615E">
                    <w:rPr>
                      <w:sz w:val="8"/>
                      <w:lang w:eastAsia="uk-UA"/>
                    </w:rPr>
                    <w:t xml:space="preserve"> січень t-2</w:t>
                  </w:r>
                </w:p>
              </w:tc>
              <w:tc>
                <w:tcPr>
                  <w:tcW w:w="425" w:type="dxa"/>
                  <w:tcBorders>
                    <w:top w:val="nil"/>
                    <w:left w:val="nil"/>
                    <w:bottom w:val="single" w:sz="8" w:space="0" w:color="auto"/>
                    <w:right w:val="single" w:sz="8" w:space="0" w:color="auto"/>
                  </w:tcBorders>
                  <w:vAlign w:val="center"/>
                  <w:hideMark/>
                </w:tcPr>
                <w:p w:rsidR="00CF2AC1" w:rsidRPr="005A615E" w:rsidRDefault="00CF2AC1" w:rsidP="00CF2AC1">
                  <w:pPr>
                    <w:rPr>
                      <w:sz w:val="8"/>
                      <w:lang w:eastAsia="uk-UA"/>
                    </w:rPr>
                  </w:pPr>
                  <w:r w:rsidRPr="005A615E">
                    <w:rPr>
                      <w:sz w:val="8"/>
                      <w:lang w:eastAsia="uk-UA"/>
                    </w:rPr>
                    <w:t xml:space="preserve"> січень t-2</w:t>
                  </w:r>
                </w:p>
              </w:tc>
              <w:tc>
                <w:tcPr>
                  <w:tcW w:w="426" w:type="dxa"/>
                  <w:tcBorders>
                    <w:top w:val="nil"/>
                    <w:left w:val="nil"/>
                    <w:bottom w:val="single" w:sz="8" w:space="0" w:color="auto"/>
                    <w:right w:val="single" w:sz="4" w:space="0" w:color="auto"/>
                  </w:tcBorders>
                  <w:vAlign w:val="center"/>
                  <w:hideMark/>
                </w:tcPr>
                <w:p w:rsidR="00CF2AC1" w:rsidRPr="005A615E" w:rsidRDefault="00CF2AC1" w:rsidP="00CF2AC1">
                  <w:pPr>
                    <w:rPr>
                      <w:sz w:val="8"/>
                      <w:lang w:eastAsia="uk-UA"/>
                    </w:rPr>
                  </w:pPr>
                  <w:r w:rsidRPr="005A615E">
                    <w:rPr>
                      <w:sz w:val="8"/>
                      <w:lang w:eastAsia="uk-UA"/>
                    </w:rPr>
                    <w:t xml:space="preserve"> лютий t-2</w:t>
                  </w:r>
                </w:p>
              </w:tc>
              <w:tc>
                <w:tcPr>
                  <w:tcW w:w="425" w:type="dxa"/>
                  <w:tcBorders>
                    <w:top w:val="nil"/>
                    <w:left w:val="nil"/>
                    <w:bottom w:val="single" w:sz="8" w:space="0" w:color="auto"/>
                    <w:right w:val="single" w:sz="8" w:space="0" w:color="auto"/>
                  </w:tcBorders>
                  <w:vAlign w:val="center"/>
                  <w:hideMark/>
                </w:tcPr>
                <w:p w:rsidR="00CF2AC1" w:rsidRPr="005A615E" w:rsidRDefault="00CF2AC1" w:rsidP="00CF2AC1">
                  <w:pPr>
                    <w:rPr>
                      <w:sz w:val="8"/>
                      <w:lang w:eastAsia="uk-UA"/>
                    </w:rPr>
                  </w:pPr>
                  <w:r w:rsidRPr="005A615E">
                    <w:rPr>
                      <w:sz w:val="8"/>
                      <w:lang w:eastAsia="uk-UA"/>
                    </w:rPr>
                    <w:t>лютий t-2</w:t>
                  </w:r>
                </w:p>
              </w:tc>
              <w:tc>
                <w:tcPr>
                  <w:tcW w:w="425" w:type="dxa"/>
                  <w:tcBorders>
                    <w:top w:val="nil"/>
                    <w:left w:val="nil"/>
                    <w:bottom w:val="single" w:sz="8" w:space="0" w:color="auto"/>
                    <w:right w:val="single" w:sz="4" w:space="0" w:color="auto"/>
                  </w:tcBorders>
                  <w:vAlign w:val="center"/>
                  <w:hideMark/>
                </w:tcPr>
                <w:p w:rsidR="00CF2AC1" w:rsidRPr="005A615E" w:rsidRDefault="00CF2AC1" w:rsidP="00CF2AC1">
                  <w:pPr>
                    <w:rPr>
                      <w:sz w:val="8"/>
                      <w:lang w:eastAsia="uk-UA"/>
                    </w:rPr>
                  </w:pPr>
                  <w:r w:rsidRPr="005A615E">
                    <w:rPr>
                      <w:sz w:val="8"/>
                      <w:lang w:eastAsia="uk-UA"/>
                    </w:rPr>
                    <w:t>березень t-2</w:t>
                  </w:r>
                </w:p>
              </w:tc>
              <w:tc>
                <w:tcPr>
                  <w:tcW w:w="425" w:type="dxa"/>
                  <w:tcBorders>
                    <w:top w:val="nil"/>
                    <w:left w:val="nil"/>
                    <w:bottom w:val="single" w:sz="8" w:space="0" w:color="auto"/>
                    <w:right w:val="single" w:sz="8" w:space="0" w:color="auto"/>
                  </w:tcBorders>
                  <w:vAlign w:val="center"/>
                  <w:hideMark/>
                </w:tcPr>
                <w:p w:rsidR="00CF2AC1" w:rsidRPr="005A615E" w:rsidRDefault="00CF2AC1" w:rsidP="00CF2AC1">
                  <w:pPr>
                    <w:rPr>
                      <w:sz w:val="8"/>
                      <w:lang w:eastAsia="uk-UA"/>
                    </w:rPr>
                  </w:pPr>
                  <w:r w:rsidRPr="005A615E">
                    <w:rPr>
                      <w:sz w:val="8"/>
                      <w:lang w:eastAsia="uk-UA"/>
                    </w:rPr>
                    <w:t xml:space="preserve"> березень t-2</w:t>
                  </w:r>
                </w:p>
              </w:tc>
              <w:tc>
                <w:tcPr>
                  <w:tcW w:w="425" w:type="dxa"/>
                  <w:tcBorders>
                    <w:top w:val="nil"/>
                    <w:left w:val="nil"/>
                    <w:bottom w:val="single" w:sz="8" w:space="0" w:color="auto"/>
                    <w:right w:val="single" w:sz="4" w:space="0" w:color="auto"/>
                  </w:tcBorders>
                  <w:vAlign w:val="center"/>
                  <w:hideMark/>
                </w:tcPr>
                <w:p w:rsidR="00CF2AC1" w:rsidRPr="005A615E" w:rsidRDefault="00CF2AC1" w:rsidP="00CF2AC1">
                  <w:pPr>
                    <w:rPr>
                      <w:sz w:val="8"/>
                      <w:lang w:eastAsia="uk-UA"/>
                    </w:rPr>
                  </w:pPr>
                  <w:r w:rsidRPr="005A615E">
                    <w:rPr>
                      <w:sz w:val="8"/>
                      <w:lang w:eastAsia="uk-UA"/>
                    </w:rPr>
                    <w:t>…</w:t>
                  </w:r>
                </w:p>
              </w:tc>
              <w:tc>
                <w:tcPr>
                  <w:tcW w:w="426" w:type="dxa"/>
                  <w:tcBorders>
                    <w:top w:val="nil"/>
                    <w:left w:val="nil"/>
                    <w:bottom w:val="single" w:sz="8" w:space="0" w:color="auto"/>
                    <w:right w:val="nil"/>
                  </w:tcBorders>
                  <w:vAlign w:val="center"/>
                  <w:hideMark/>
                </w:tcPr>
                <w:p w:rsidR="00CF2AC1" w:rsidRPr="005A615E" w:rsidRDefault="00CF2AC1" w:rsidP="00CF2AC1">
                  <w:pPr>
                    <w:rPr>
                      <w:sz w:val="8"/>
                      <w:lang w:eastAsia="uk-UA"/>
                    </w:rPr>
                  </w:pPr>
                  <w:r w:rsidRPr="005A615E">
                    <w:rPr>
                      <w:sz w:val="8"/>
                      <w:lang w:eastAsia="uk-UA"/>
                    </w:rPr>
                    <w:t xml:space="preserve"> …</w:t>
                  </w:r>
                </w:p>
              </w:tc>
              <w:tc>
                <w:tcPr>
                  <w:tcW w:w="426" w:type="dxa"/>
                  <w:tcBorders>
                    <w:top w:val="nil"/>
                    <w:left w:val="single" w:sz="8" w:space="0" w:color="auto"/>
                    <w:bottom w:val="single" w:sz="8" w:space="0" w:color="auto"/>
                    <w:right w:val="single" w:sz="4" w:space="0" w:color="auto"/>
                  </w:tcBorders>
                  <w:vAlign w:val="center"/>
                  <w:hideMark/>
                </w:tcPr>
                <w:p w:rsidR="00CF2AC1" w:rsidRPr="005A615E" w:rsidRDefault="00CF2AC1" w:rsidP="00CF2AC1">
                  <w:pPr>
                    <w:rPr>
                      <w:sz w:val="8"/>
                      <w:lang w:eastAsia="uk-UA"/>
                    </w:rPr>
                  </w:pPr>
                  <w:r w:rsidRPr="005A615E">
                    <w:rPr>
                      <w:sz w:val="8"/>
                      <w:lang w:eastAsia="uk-UA"/>
                    </w:rPr>
                    <w:t>грудень  t-2</w:t>
                  </w:r>
                </w:p>
              </w:tc>
              <w:tc>
                <w:tcPr>
                  <w:tcW w:w="424" w:type="dxa"/>
                  <w:tcBorders>
                    <w:top w:val="nil"/>
                    <w:left w:val="nil"/>
                    <w:bottom w:val="single" w:sz="8" w:space="0" w:color="auto"/>
                    <w:right w:val="single" w:sz="8" w:space="0" w:color="auto"/>
                  </w:tcBorders>
                  <w:vAlign w:val="center"/>
                  <w:hideMark/>
                </w:tcPr>
                <w:p w:rsidR="00CF2AC1" w:rsidRPr="005A615E" w:rsidRDefault="00CF2AC1" w:rsidP="00CF2AC1">
                  <w:pPr>
                    <w:rPr>
                      <w:sz w:val="8"/>
                      <w:lang w:eastAsia="uk-UA"/>
                    </w:rPr>
                  </w:pPr>
                  <w:r w:rsidRPr="005A615E">
                    <w:rPr>
                      <w:sz w:val="8"/>
                      <w:lang w:eastAsia="uk-UA"/>
                    </w:rPr>
                    <w:t>грудень  t-2</w:t>
                  </w:r>
                </w:p>
              </w:tc>
              <w:tc>
                <w:tcPr>
                  <w:tcW w:w="426" w:type="dxa"/>
                  <w:vMerge/>
                  <w:tcBorders>
                    <w:top w:val="single" w:sz="8" w:space="0" w:color="auto"/>
                    <w:left w:val="single" w:sz="8" w:space="0" w:color="auto"/>
                    <w:bottom w:val="single" w:sz="8" w:space="0" w:color="000000"/>
                    <w:right w:val="single" w:sz="8"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p>
              </w:tc>
            </w:tr>
            <w:tr w:rsidR="00CF2AC1" w:rsidRPr="005A615E" w:rsidTr="003C14E3">
              <w:trPr>
                <w:trHeight w:val="585"/>
              </w:trPr>
              <w:tc>
                <w:tcPr>
                  <w:tcW w:w="336" w:type="dxa"/>
                  <w:tcBorders>
                    <w:top w:val="nil"/>
                    <w:left w:val="single" w:sz="8" w:space="0" w:color="auto"/>
                    <w:bottom w:val="single" w:sz="8" w:space="0" w:color="auto"/>
                    <w:right w:val="single" w:sz="8" w:space="0" w:color="auto"/>
                  </w:tcBorders>
                  <w:vAlign w:val="center"/>
                  <w:hideMark/>
                </w:tcPr>
                <w:p w:rsidR="00CF2AC1" w:rsidRPr="005A615E" w:rsidRDefault="00CF2AC1" w:rsidP="00CF2AC1">
                  <w:pPr>
                    <w:rPr>
                      <w:sz w:val="10"/>
                      <w:lang w:eastAsia="uk-UA"/>
                    </w:rPr>
                  </w:pPr>
                  <w:r w:rsidRPr="005A615E">
                    <w:rPr>
                      <w:sz w:val="10"/>
                      <w:lang w:eastAsia="uk-UA"/>
                    </w:rPr>
                    <w:t>А</w:t>
                  </w:r>
                </w:p>
              </w:tc>
              <w:tc>
                <w:tcPr>
                  <w:tcW w:w="410" w:type="dxa"/>
                  <w:tcBorders>
                    <w:top w:val="nil"/>
                    <w:left w:val="nil"/>
                    <w:bottom w:val="single" w:sz="8" w:space="0" w:color="auto"/>
                    <w:right w:val="single" w:sz="8" w:space="0" w:color="auto"/>
                  </w:tcBorders>
                  <w:vAlign w:val="center"/>
                  <w:hideMark/>
                </w:tcPr>
                <w:p w:rsidR="00CF2AC1" w:rsidRPr="005A615E" w:rsidRDefault="00CF2AC1" w:rsidP="00CF2AC1">
                  <w:pPr>
                    <w:rPr>
                      <w:sz w:val="10"/>
                      <w:lang w:eastAsia="uk-UA"/>
                    </w:rPr>
                  </w:pPr>
                  <w:r w:rsidRPr="005A615E">
                    <w:rPr>
                      <w:sz w:val="10"/>
                      <w:lang w:eastAsia="uk-UA"/>
                    </w:rPr>
                    <w:t>Б</w:t>
                  </w:r>
                </w:p>
              </w:tc>
              <w:tc>
                <w:tcPr>
                  <w:tcW w:w="400" w:type="dxa"/>
                  <w:tcBorders>
                    <w:top w:val="nil"/>
                    <w:left w:val="nil"/>
                    <w:bottom w:val="single" w:sz="8" w:space="0" w:color="auto"/>
                    <w:right w:val="single" w:sz="4" w:space="0" w:color="auto"/>
                  </w:tcBorders>
                  <w:vAlign w:val="center"/>
                  <w:hideMark/>
                </w:tcPr>
                <w:p w:rsidR="00CF2AC1" w:rsidRPr="005A615E" w:rsidRDefault="00CF2AC1" w:rsidP="00CF2AC1">
                  <w:pPr>
                    <w:rPr>
                      <w:sz w:val="10"/>
                      <w:lang w:eastAsia="uk-UA"/>
                    </w:rPr>
                  </w:pPr>
                  <w:r w:rsidRPr="005A615E">
                    <w:rPr>
                      <w:sz w:val="10"/>
                      <w:lang w:eastAsia="uk-UA"/>
                    </w:rPr>
                    <w:t>1</w:t>
                  </w:r>
                </w:p>
              </w:tc>
              <w:tc>
                <w:tcPr>
                  <w:tcW w:w="425" w:type="dxa"/>
                  <w:tcBorders>
                    <w:top w:val="nil"/>
                    <w:left w:val="nil"/>
                    <w:bottom w:val="single" w:sz="8" w:space="0" w:color="auto"/>
                    <w:right w:val="single" w:sz="4" w:space="0" w:color="auto"/>
                  </w:tcBorders>
                  <w:vAlign w:val="center"/>
                  <w:hideMark/>
                </w:tcPr>
                <w:p w:rsidR="00CF2AC1" w:rsidRPr="005A615E" w:rsidRDefault="00CF2AC1" w:rsidP="00CF2AC1">
                  <w:pPr>
                    <w:rPr>
                      <w:sz w:val="10"/>
                      <w:lang w:eastAsia="uk-UA"/>
                    </w:rPr>
                  </w:pPr>
                  <w:r w:rsidRPr="005A615E">
                    <w:rPr>
                      <w:sz w:val="10"/>
                      <w:lang w:eastAsia="uk-UA"/>
                    </w:rPr>
                    <w:t>2</w:t>
                  </w:r>
                </w:p>
              </w:tc>
              <w:tc>
                <w:tcPr>
                  <w:tcW w:w="426" w:type="dxa"/>
                  <w:tcBorders>
                    <w:top w:val="nil"/>
                    <w:left w:val="nil"/>
                    <w:bottom w:val="single" w:sz="8" w:space="0" w:color="auto"/>
                    <w:right w:val="single" w:sz="4" w:space="0" w:color="auto"/>
                  </w:tcBorders>
                  <w:vAlign w:val="center"/>
                  <w:hideMark/>
                </w:tcPr>
                <w:p w:rsidR="00CF2AC1" w:rsidRPr="005A615E" w:rsidRDefault="00CF2AC1" w:rsidP="00CF2AC1">
                  <w:pPr>
                    <w:rPr>
                      <w:sz w:val="10"/>
                      <w:lang w:eastAsia="uk-UA"/>
                    </w:rPr>
                  </w:pPr>
                  <w:r w:rsidRPr="005A615E">
                    <w:rPr>
                      <w:sz w:val="10"/>
                      <w:lang w:eastAsia="uk-UA"/>
                    </w:rPr>
                    <w:t>3</w:t>
                  </w:r>
                </w:p>
              </w:tc>
              <w:tc>
                <w:tcPr>
                  <w:tcW w:w="425" w:type="dxa"/>
                  <w:tcBorders>
                    <w:top w:val="nil"/>
                    <w:left w:val="nil"/>
                    <w:bottom w:val="single" w:sz="8" w:space="0" w:color="auto"/>
                    <w:right w:val="single" w:sz="4" w:space="0" w:color="auto"/>
                  </w:tcBorders>
                  <w:vAlign w:val="center"/>
                  <w:hideMark/>
                </w:tcPr>
                <w:p w:rsidR="00CF2AC1" w:rsidRPr="005A615E" w:rsidRDefault="00CF2AC1" w:rsidP="00CF2AC1">
                  <w:pPr>
                    <w:rPr>
                      <w:sz w:val="10"/>
                      <w:lang w:eastAsia="uk-UA"/>
                    </w:rPr>
                  </w:pPr>
                  <w:r w:rsidRPr="005A615E">
                    <w:rPr>
                      <w:sz w:val="10"/>
                      <w:lang w:eastAsia="uk-UA"/>
                    </w:rPr>
                    <w:t>4</w:t>
                  </w:r>
                </w:p>
              </w:tc>
              <w:tc>
                <w:tcPr>
                  <w:tcW w:w="425" w:type="dxa"/>
                  <w:tcBorders>
                    <w:top w:val="nil"/>
                    <w:left w:val="nil"/>
                    <w:bottom w:val="single" w:sz="8" w:space="0" w:color="auto"/>
                    <w:right w:val="single" w:sz="4" w:space="0" w:color="auto"/>
                  </w:tcBorders>
                  <w:vAlign w:val="center"/>
                  <w:hideMark/>
                </w:tcPr>
                <w:p w:rsidR="00CF2AC1" w:rsidRPr="005A615E" w:rsidRDefault="00CF2AC1" w:rsidP="00CF2AC1">
                  <w:pPr>
                    <w:rPr>
                      <w:sz w:val="10"/>
                      <w:lang w:eastAsia="uk-UA"/>
                    </w:rPr>
                  </w:pPr>
                  <w:r w:rsidRPr="005A615E">
                    <w:rPr>
                      <w:sz w:val="10"/>
                      <w:lang w:eastAsia="uk-UA"/>
                    </w:rPr>
                    <w:t>5</w:t>
                  </w:r>
                </w:p>
              </w:tc>
              <w:tc>
                <w:tcPr>
                  <w:tcW w:w="425" w:type="dxa"/>
                  <w:tcBorders>
                    <w:top w:val="nil"/>
                    <w:left w:val="nil"/>
                    <w:bottom w:val="single" w:sz="8" w:space="0" w:color="auto"/>
                    <w:right w:val="single" w:sz="4" w:space="0" w:color="auto"/>
                  </w:tcBorders>
                  <w:vAlign w:val="center"/>
                  <w:hideMark/>
                </w:tcPr>
                <w:p w:rsidR="00CF2AC1" w:rsidRPr="005A615E" w:rsidRDefault="00CF2AC1" w:rsidP="00CF2AC1">
                  <w:pPr>
                    <w:rPr>
                      <w:sz w:val="10"/>
                      <w:lang w:eastAsia="uk-UA"/>
                    </w:rPr>
                  </w:pPr>
                  <w:r w:rsidRPr="005A615E">
                    <w:rPr>
                      <w:sz w:val="10"/>
                      <w:lang w:eastAsia="uk-UA"/>
                    </w:rPr>
                    <w:t>6</w:t>
                  </w:r>
                </w:p>
              </w:tc>
              <w:tc>
                <w:tcPr>
                  <w:tcW w:w="425" w:type="dxa"/>
                  <w:tcBorders>
                    <w:top w:val="nil"/>
                    <w:left w:val="single" w:sz="4" w:space="0" w:color="auto"/>
                    <w:bottom w:val="single" w:sz="8" w:space="0" w:color="auto"/>
                    <w:right w:val="nil"/>
                  </w:tcBorders>
                  <w:vAlign w:val="center"/>
                  <w:hideMark/>
                </w:tcPr>
                <w:p w:rsidR="00CF2AC1" w:rsidRPr="005A615E" w:rsidRDefault="00CF2AC1" w:rsidP="00CF2AC1">
                  <w:pPr>
                    <w:rPr>
                      <w:sz w:val="10"/>
                      <w:lang w:eastAsia="uk-UA"/>
                    </w:rPr>
                  </w:pPr>
                  <w:r w:rsidRPr="005A615E">
                    <w:rPr>
                      <w:sz w:val="10"/>
                      <w:lang w:eastAsia="uk-UA"/>
                    </w:rPr>
                    <w:t>..</w:t>
                  </w:r>
                </w:p>
              </w:tc>
              <w:tc>
                <w:tcPr>
                  <w:tcW w:w="426" w:type="dxa"/>
                  <w:tcBorders>
                    <w:top w:val="nil"/>
                    <w:left w:val="single" w:sz="4" w:space="0" w:color="auto"/>
                    <w:bottom w:val="single" w:sz="8" w:space="0" w:color="auto"/>
                    <w:right w:val="nil"/>
                  </w:tcBorders>
                  <w:vAlign w:val="center"/>
                  <w:hideMark/>
                </w:tcPr>
                <w:p w:rsidR="00CF2AC1" w:rsidRPr="005A615E" w:rsidRDefault="00CF2AC1" w:rsidP="00CF2AC1">
                  <w:pPr>
                    <w:rPr>
                      <w:sz w:val="10"/>
                      <w:lang w:eastAsia="uk-UA"/>
                    </w:rPr>
                  </w:pPr>
                  <w:r w:rsidRPr="005A615E">
                    <w:rPr>
                      <w:sz w:val="10"/>
                      <w:lang w:eastAsia="uk-UA"/>
                    </w:rPr>
                    <w:t>…</w:t>
                  </w:r>
                </w:p>
              </w:tc>
              <w:tc>
                <w:tcPr>
                  <w:tcW w:w="426" w:type="dxa"/>
                  <w:tcBorders>
                    <w:top w:val="nil"/>
                    <w:left w:val="single" w:sz="4" w:space="0" w:color="auto"/>
                    <w:bottom w:val="single" w:sz="8" w:space="0" w:color="auto"/>
                    <w:right w:val="nil"/>
                  </w:tcBorders>
                  <w:vAlign w:val="center"/>
                  <w:hideMark/>
                </w:tcPr>
                <w:p w:rsidR="00CF2AC1" w:rsidRPr="005A615E" w:rsidRDefault="00CF2AC1" w:rsidP="00CF2AC1">
                  <w:pPr>
                    <w:rPr>
                      <w:sz w:val="10"/>
                      <w:lang w:eastAsia="uk-UA"/>
                    </w:rPr>
                  </w:pPr>
                  <w:r w:rsidRPr="005A615E">
                    <w:rPr>
                      <w:sz w:val="10"/>
                      <w:lang w:eastAsia="uk-UA"/>
                    </w:rPr>
                    <w:t>23</w:t>
                  </w:r>
                </w:p>
              </w:tc>
              <w:tc>
                <w:tcPr>
                  <w:tcW w:w="424" w:type="dxa"/>
                  <w:tcBorders>
                    <w:top w:val="nil"/>
                    <w:left w:val="single" w:sz="4" w:space="0" w:color="auto"/>
                    <w:bottom w:val="single" w:sz="8" w:space="0" w:color="auto"/>
                    <w:right w:val="nil"/>
                  </w:tcBorders>
                  <w:vAlign w:val="center"/>
                  <w:hideMark/>
                </w:tcPr>
                <w:p w:rsidR="00CF2AC1" w:rsidRPr="005A615E" w:rsidRDefault="00CF2AC1" w:rsidP="00CF2AC1">
                  <w:pPr>
                    <w:rPr>
                      <w:sz w:val="10"/>
                      <w:lang w:eastAsia="uk-UA"/>
                    </w:rPr>
                  </w:pPr>
                  <w:r w:rsidRPr="005A615E">
                    <w:rPr>
                      <w:sz w:val="10"/>
                      <w:lang w:eastAsia="uk-UA"/>
                    </w:rPr>
                    <w:t>24</w:t>
                  </w:r>
                </w:p>
              </w:tc>
              <w:tc>
                <w:tcPr>
                  <w:tcW w:w="426" w:type="dxa"/>
                  <w:tcBorders>
                    <w:top w:val="nil"/>
                    <w:left w:val="single" w:sz="4" w:space="0" w:color="auto"/>
                    <w:bottom w:val="single" w:sz="8" w:space="0" w:color="auto"/>
                    <w:right w:val="nil"/>
                  </w:tcBorders>
                  <w:vAlign w:val="center"/>
                  <w:hideMark/>
                </w:tcPr>
                <w:p w:rsidR="00CF2AC1" w:rsidRPr="005A615E" w:rsidRDefault="00CF2AC1" w:rsidP="00CF2AC1">
                  <w:pPr>
                    <w:rPr>
                      <w:sz w:val="10"/>
                      <w:lang w:eastAsia="uk-UA"/>
                    </w:rPr>
                  </w:pPr>
                  <w:r w:rsidRPr="005A615E">
                    <w:rPr>
                      <w:sz w:val="10"/>
                      <w:lang w:eastAsia="uk-UA"/>
                    </w:rPr>
                    <w:t>25</w:t>
                  </w:r>
                </w:p>
              </w:tc>
              <w:tc>
                <w:tcPr>
                  <w:tcW w:w="567" w:type="dxa"/>
                  <w:tcBorders>
                    <w:top w:val="nil"/>
                    <w:left w:val="single" w:sz="4" w:space="0" w:color="auto"/>
                    <w:bottom w:val="single" w:sz="8" w:space="0" w:color="auto"/>
                    <w:right w:val="single" w:sz="8" w:space="0" w:color="auto"/>
                  </w:tcBorders>
                  <w:vAlign w:val="center"/>
                  <w:hideMark/>
                </w:tcPr>
                <w:p w:rsidR="00CF2AC1" w:rsidRPr="005A615E" w:rsidRDefault="00CF2AC1" w:rsidP="00CF2AC1">
                  <w:pPr>
                    <w:rPr>
                      <w:sz w:val="10"/>
                      <w:lang w:eastAsia="uk-UA"/>
                    </w:rPr>
                  </w:pPr>
                  <w:r w:rsidRPr="005A615E">
                    <w:rPr>
                      <w:sz w:val="10"/>
                      <w:lang w:eastAsia="uk-UA"/>
                    </w:rPr>
                    <w:t>26</w:t>
                  </w:r>
                </w:p>
              </w:tc>
            </w:tr>
            <w:tr w:rsidR="00CF2AC1" w:rsidRPr="005A615E" w:rsidTr="003C14E3">
              <w:trPr>
                <w:trHeight w:val="466"/>
              </w:trPr>
              <w:tc>
                <w:tcPr>
                  <w:tcW w:w="336" w:type="dxa"/>
                  <w:tcBorders>
                    <w:top w:val="nil"/>
                    <w:left w:val="single" w:sz="8" w:space="0" w:color="auto"/>
                    <w:bottom w:val="single" w:sz="4" w:space="0" w:color="auto"/>
                    <w:right w:val="single" w:sz="8" w:space="0" w:color="auto"/>
                  </w:tcBorders>
                  <w:vAlign w:val="center"/>
                  <w:hideMark/>
                </w:tcPr>
                <w:p w:rsidR="00CF2AC1" w:rsidRPr="005A615E" w:rsidRDefault="00CF2AC1" w:rsidP="00CF2AC1">
                  <w:pPr>
                    <w:rPr>
                      <w:sz w:val="10"/>
                      <w:lang w:eastAsia="uk-UA"/>
                    </w:rPr>
                  </w:pPr>
                  <w:r w:rsidRPr="005A615E">
                    <w:rPr>
                      <w:sz w:val="10"/>
                      <w:lang w:eastAsia="uk-UA"/>
                    </w:rPr>
                    <w:t>1</w:t>
                  </w:r>
                </w:p>
              </w:tc>
              <w:tc>
                <w:tcPr>
                  <w:tcW w:w="410" w:type="dxa"/>
                  <w:tcBorders>
                    <w:top w:val="nil"/>
                    <w:left w:val="nil"/>
                    <w:bottom w:val="single" w:sz="4" w:space="0" w:color="auto"/>
                    <w:right w:val="single" w:sz="8" w:space="0" w:color="auto"/>
                  </w:tcBorders>
                  <w:vAlign w:val="center"/>
                  <w:hideMark/>
                </w:tcPr>
                <w:p w:rsidR="00CF2AC1" w:rsidRPr="005A615E" w:rsidRDefault="00CF2AC1" w:rsidP="00CF2AC1">
                  <w:pPr>
                    <w:rPr>
                      <w:sz w:val="10"/>
                      <w:lang w:eastAsia="uk-UA"/>
                    </w:rPr>
                  </w:pPr>
                  <w:r w:rsidRPr="005A615E">
                    <w:rPr>
                      <w:sz w:val="10"/>
                      <w:lang w:eastAsia="uk-UA"/>
                    </w:rPr>
                    <w:t>ОСР</w:t>
                  </w:r>
                </w:p>
              </w:tc>
              <w:tc>
                <w:tcPr>
                  <w:tcW w:w="400" w:type="dxa"/>
                  <w:tcBorders>
                    <w:top w:val="nil"/>
                    <w:left w:val="single" w:sz="4" w:space="0" w:color="auto"/>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6"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6"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6"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4"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6" w:type="dxa"/>
                  <w:tcBorders>
                    <w:top w:val="nil"/>
                    <w:left w:val="nil"/>
                    <w:bottom w:val="single" w:sz="4" w:space="0" w:color="auto"/>
                    <w:right w:val="nil"/>
                  </w:tcBorders>
                  <w:noWrap/>
                  <w:vAlign w:val="center"/>
                  <w:hideMark/>
                </w:tcPr>
                <w:p w:rsidR="00CF2AC1" w:rsidRPr="005A615E" w:rsidRDefault="00CF2AC1" w:rsidP="00CF2AC1">
                  <w:pPr>
                    <w:rPr>
                      <w:sz w:val="10"/>
                      <w:lang w:eastAsia="uk-UA"/>
                    </w:rPr>
                  </w:pPr>
                  <w:r w:rsidRPr="005A615E">
                    <w:rPr>
                      <w:sz w:val="10"/>
                      <w:lang w:eastAsia="uk-UA"/>
                    </w:rPr>
                    <w:t>#DIV/0!</w:t>
                  </w:r>
                </w:p>
              </w:tc>
              <w:tc>
                <w:tcPr>
                  <w:tcW w:w="567" w:type="dxa"/>
                  <w:tcBorders>
                    <w:top w:val="nil"/>
                    <w:left w:val="single" w:sz="4" w:space="0" w:color="auto"/>
                    <w:bottom w:val="single" w:sz="4" w:space="0" w:color="auto"/>
                    <w:right w:val="single" w:sz="8" w:space="0" w:color="auto"/>
                  </w:tcBorders>
                  <w:noWrap/>
                  <w:vAlign w:val="center"/>
                  <w:hideMark/>
                </w:tcPr>
                <w:p w:rsidR="00CF2AC1" w:rsidRPr="005A615E" w:rsidRDefault="00CF2AC1" w:rsidP="00CF2AC1">
                  <w:pPr>
                    <w:rPr>
                      <w:sz w:val="10"/>
                      <w:lang w:eastAsia="uk-UA"/>
                    </w:rPr>
                  </w:pPr>
                  <w:r w:rsidRPr="005A615E">
                    <w:rPr>
                      <w:sz w:val="10"/>
                      <w:lang w:eastAsia="uk-UA"/>
                    </w:rPr>
                    <w:t>0,98</w:t>
                  </w:r>
                </w:p>
              </w:tc>
            </w:tr>
            <w:tr w:rsidR="00CF2AC1" w:rsidRPr="005A615E" w:rsidTr="003C14E3">
              <w:trPr>
                <w:trHeight w:val="260"/>
              </w:trPr>
              <w:tc>
                <w:tcPr>
                  <w:tcW w:w="336" w:type="dxa"/>
                  <w:tcBorders>
                    <w:top w:val="single" w:sz="8" w:space="0" w:color="auto"/>
                    <w:left w:val="single" w:sz="8" w:space="0" w:color="auto"/>
                    <w:bottom w:val="single" w:sz="8" w:space="0" w:color="auto"/>
                    <w:right w:val="single" w:sz="8" w:space="0" w:color="auto"/>
                  </w:tcBorders>
                  <w:vAlign w:val="center"/>
                  <w:hideMark/>
                </w:tcPr>
                <w:p w:rsidR="00CF2AC1" w:rsidRPr="005A615E" w:rsidRDefault="00CF2AC1" w:rsidP="00CF2AC1">
                  <w:pPr>
                    <w:rPr>
                      <w:b/>
                      <w:bCs/>
                      <w:sz w:val="10"/>
                      <w:lang w:eastAsia="uk-UA"/>
                    </w:rPr>
                  </w:pPr>
                  <w:r w:rsidRPr="005A615E">
                    <w:rPr>
                      <w:b/>
                      <w:bCs/>
                      <w:sz w:val="10"/>
                      <w:lang w:eastAsia="uk-UA"/>
                    </w:rPr>
                    <w:t>2</w:t>
                  </w:r>
                </w:p>
              </w:tc>
              <w:tc>
                <w:tcPr>
                  <w:tcW w:w="410" w:type="dxa"/>
                  <w:tcBorders>
                    <w:top w:val="single" w:sz="8" w:space="0" w:color="auto"/>
                    <w:left w:val="nil"/>
                    <w:bottom w:val="single" w:sz="8" w:space="0" w:color="auto"/>
                    <w:right w:val="single" w:sz="8" w:space="0" w:color="auto"/>
                  </w:tcBorders>
                  <w:vAlign w:val="center"/>
                  <w:hideMark/>
                </w:tcPr>
                <w:p w:rsidR="00CF2AC1" w:rsidRPr="005A615E" w:rsidRDefault="00CF2AC1" w:rsidP="00CF2AC1">
                  <w:pPr>
                    <w:rPr>
                      <w:b/>
                      <w:bCs/>
                      <w:sz w:val="10"/>
                      <w:lang w:eastAsia="uk-UA"/>
                    </w:rPr>
                  </w:pPr>
                  <w:r w:rsidRPr="005A615E">
                    <w:rPr>
                      <w:b/>
                      <w:bCs/>
                      <w:sz w:val="10"/>
                      <w:lang w:eastAsia="uk-UA"/>
                    </w:rPr>
                    <w:t> </w:t>
                  </w:r>
                </w:p>
              </w:tc>
              <w:tc>
                <w:tcPr>
                  <w:tcW w:w="400" w:type="dxa"/>
                  <w:tcBorders>
                    <w:top w:val="nil"/>
                    <w:left w:val="single" w:sz="4" w:space="0" w:color="auto"/>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6"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nil"/>
                    <w:bottom w:val="single" w:sz="8" w:space="0" w:color="auto"/>
                    <w:right w:val="single" w:sz="4"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5" w:type="dxa"/>
                  <w:tcBorders>
                    <w:top w:val="nil"/>
                    <w:left w:val="single" w:sz="4" w:space="0" w:color="auto"/>
                    <w:bottom w:val="single" w:sz="8" w:space="0" w:color="auto"/>
                    <w:right w:val="nil"/>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6" w:type="dxa"/>
                  <w:tcBorders>
                    <w:top w:val="nil"/>
                    <w:left w:val="single" w:sz="4" w:space="0" w:color="auto"/>
                    <w:bottom w:val="single" w:sz="8" w:space="0" w:color="auto"/>
                    <w:right w:val="nil"/>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6" w:type="dxa"/>
                  <w:tcBorders>
                    <w:top w:val="nil"/>
                    <w:left w:val="single" w:sz="4" w:space="0" w:color="auto"/>
                    <w:bottom w:val="single" w:sz="8" w:space="0" w:color="auto"/>
                    <w:right w:val="nil"/>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4" w:type="dxa"/>
                  <w:tcBorders>
                    <w:top w:val="nil"/>
                    <w:left w:val="single" w:sz="4" w:space="0" w:color="auto"/>
                    <w:bottom w:val="single" w:sz="8" w:space="0" w:color="auto"/>
                    <w:right w:val="nil"/>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426" w:type="dxa"/>
                  <w:tcBorders>
                    <w:top w:val="single" w:sz="8" w:space="0" w:color="auto"/>
                    <w:left w:val="single" w:sz="4" w:space="0" w:color="auto"/>
                    <w:bottom w:val="single" w:sz="8" w:space="0" w:color="auto"/>
                    <w:right w:val="nil"/>
                  </w:tcBorders>
                  <w:noWrap/>
                  <w:vAlign w:val="center"/>
                  <w:hideMark/>
                </w:tcPr>
                <w:p w:rsidR="00CF2AC1" w:rsidRPr="005A615E" w:rsidRDefault="00CF2AC1" w:rsidP="00CF2AC1">
                  <w:pPr>
                    <w:rPr>
                      <w:b/>
                      <w:bCs/>
                      <w:sz w:val="10"/>
                      <w:lang w:eastAsia="uk-UA"/>
                    </w:rPr>
                  </w:pPr>
                  <w:r w:rsidRPr="005A615E">
                    <w:rPr>
                      <w:b/>
                      <w:bCs/>
                      <w:sz w:val="10"/>
                      <w:lang w:eastAsia="uk-UA"/>
                    </w:rPr>
                    <w:t> </w:t>
                  </w:r>
                </w:p>
              </w:tc>
              <w:tc>
                <w:tcPr>
                  <w:tcW w:w="567" w:type="dxa"/>
                  <w:tcBorders>
                    <w:top w:val="single" w:sz="8" w:space="0" w:color="auto"/>
                    <w:left w:val="single" w:sz="4" w:space="0" w:color="auto"/>
                    <w:bottom w:val="single" w:sz="8" w:space="0" w:color="auto"/>
                    <w:right w:val="single" w:sz="8" w:space="0" w:color="auto"/>
                  </w:tcBorders>
                  <w:noWrap/>
                  <w:vAlign w:val="center"/>
                  <w:hideMark/>
                </w:tcPr>
                <w:p w:rsidR="00CF2AC1" w:rsidRPr="005A615E" w:rsidRDefault="00CF2AC1" w:rsidP="00CF2AC1">
                  <w:pPr>
                    <w:rPr>
                      <w:b/>
                      <w:bCs/>
                      <w:sz w:val="10"/>
                      <w:lang w:eastAsia="uk-UA"/>
                    </w:rPr>
                  </w:pPr>
                  <w:r w:rsidRPr="005A615E">
                    <w:rPr>
                      <w:b/>
                      <w:bCs/>
                      <w:sz w:val="10"/>
                      <w:lang w:eastAsia="uk-UA"/>
                    </w:rPr>
                    <w:t> </w:t>
                  </w:r>
                </w:p>
              </w:tc>
            </w:tr>
          </w:tbl>
          <w:p w:rsidR="00CF2AC1" w:rsidRPr="005A615E" w:rsidRDefault="00CF2AC1" w:rsidP="00CF2AC1">
            <w:pPr>
              <w:jc w:val="both"/>
              <w:rPr>
                <w:rFonts w:eastAsia="Times New Roman"/>
                <w:sz w:val="14"/>
                <w:lang w:eastAsia="uk-UA"/>
              </w:rPr>
            </w:pPr>
            <w:r w:rsidRPr="005A615E">
              <w:rPr>
                <w:sz w:val="14"/>
                <w:lang w:eastAsia="uk-UA"/>
              </w:rPr>
              <w:t xml:space="preserve">* зазначаються завантажені на Датахаб обсяги електричної енергії сформовані по всіх точках комерційного обліку з можливістю погодинного обліку та дистанційного зчитування даних, де ОСР є стороною відповідальною за точку комерційного обліку по останньому релізу версії 2  </w:t>
            </w:r>
          </w:p>
          <w:p w:rsidR="00CF2AC1" w:rsidRPr="005A615E" w:rsidRDefault="00CF2AC1" w:rsidP="00CF2AC1">
            <w:pPr>
              <w:jc w:val="both"/>
              <w:rPr>
                <w:sz w:val="14"/>
                <w:lang w:eastAsia="uk-UA"/>
              </w:rPr>
            </w:pPr>
          </w:p>
          <w:p w:rsidR="00CF2AC1" w:rsidRPr="005A615E" w:rsidRDefault="00CF2AC1" w:rsidP="00CF2AC1">
            <w:pPr>
              <w:jc w:val="both"/>
              <w:rPr>
                <w:sz w:val="14"/>
                <w:lang w:eastAsia="uk-UA"/>
              </w:rPr>
            </w:pPr>
          </w:p>
          <w:p w:rsidR="00CF2AC1" w:rsidRPr="005A615E" w:rsidRDefault="00CF2AC1" w:rsidP="00CF2AC1">
            <w:pPr>
              <w:jc w:val="both"/>
              <w:rPr>
                <w:sz w:val="14"/>
                <w:lang w:eastAsia="uk-UA"/>
              </w:rPr>
            </w:pPr>
            <w:r w:rsidRPr="005A615E">
              <w:rPr>
                <w:sz w:val="14"/>
                <w:lang w:eastAsia="uk-UA"/>
              </w:rPr>
              <w:t>Керівник суб'єкта господарювання      ________________</w:t>
            </w:r>
          </w:p>
          <w:p w:rsidR="00CF2AC1" w:rsidRPr="005A615E" w:rsidRDefault="00CF2AC1" w:rsidP="00CF2AC1">
            <w:pPr>
              <w:jc w:val="both"/>
              <w:rPr>
                <w:sz w:val="14"/>
                <w:lang w:eastAsia="uk-UA"/>
              </w:rPr>
            </w:pPr>
            <w:r w:rsidRPr="005A615E">
              <w:rPr>
                <w:sz w:val="14"/>
                <w:lang w:eastAsia="uk-UA"/>
              </w:rPr>
              <w:t>(або особа, яка його заміщує)                      (підпис)</w:t>
            </w:r>
          </w:p>
          <w:p w:rsidR="00CF2AC1" w:rsidRPr="005A615E" w:rsidRDefault="00CF2AC1" w:rsidP="00CF2AC1">
            <w:pPr>
              <w:rPr>
                <w:rFonts w:ascii="Times New Roman" w:hAnsi="Times New Roman"/>
                <w:b/>
                <w:sz w:val="28"/>
              </w:rPr>
            </w:pPr>
          </w:p>
        </w:tc>
        <w:tc>
          <w:tcPr>
            <w:tcW w:w="5387" w:type="dxa"/>
          </w:tcPr>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 xml:space="preserve">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 «Прикарпаттяобленерго» (лист </w:t>
            </w:r>
            <w:r w:rsidRPr="005A615E">
              <w:rPr>
                <w:rFonts w:ascii="Times New Roman" w:hAnsi="Times New Roman"/>
                <w:b/>
                <w:sz w:val="24"/>
                <w:u w:val="single"/>
              </w:rPr>
              <w:br/>
              <w:t>від 27.07.2026 № 50012257/12), ПрАТ «Львівобленерго» (лист</w:t>
            </w:r>
            <w:r w:rsidRPr="005A615E">
              <w:rPr>
                <w:rFonts w:ascii="Times New Roman" w:hAnsi="Times New Roman"/>
                <w:b/>
                <w:sz w:val="24"/>
                <w:u w:val="single"/>
              </w:rPr>
              <w:br/>
              <w:t>від 27.07.2026 № 122-07-5357), АТ «ХМЕЛЬНИЦЬКОБЛЕНЕРГО» (лист від 27.07.2026 № 4-6209-0201/26), АТ «ЧЕРКАСИОБЛЕНЕРГО»</w:t>
            </w:r>
            <w:r w:rsidRPr="005A615E">
              <w:rPr>
                <w:rFonts w:ascii="Times New Roman" w:eastAsia="Times New Roman" w:hAnsi="Times New Roman"/>
                <w:sz w:val="24"/>
                <w:szCs w:val="24"/>
                <w:u w:val="single"/>
                <w:lang w:eastAsia="ru-RU"/>
              </w:rPr>
              <w:t xml:space="preserve"> </w:t>
            </w:r>
            <w:r w:rsidRPr="005A615E">
              <w:rPr>
                <w:rFonts w:ascii="Times New Roman" w:hAnsi="Times New Roman"/>
                <w:b/>
                <w:sz w:val="24"/>
                <w:u w:val="single"/>
              </w:rPr>
              <w:t>(лист від 30.07.2026 № 6957/04/2026 (ПОДАНО НЕ В СТРОК)</w:t>
            </w:r>
            <w:r w:rsidRPr="005A615E">
              <w:rPr>
                <w:rFonts w:ascii="Times New Roman" w:eastAsia="Times New Roman" w:hAnsi="Times New Roman"/>
                <w:sz w:val="24"/>
                <w:szCs w:val="24"/>
                <w:lang w:eastAsia="ru-RU"/>
              </w:rPr>
              <w:t xml:space="preserve">   </w:t>
            </w:r>
          </w:p>
          <w:p w:rsidR="00CF2AC1" w:rsidRPr="005A615E" w:rsidRDefault="00CF2AC1" w:rsidP="00CF2AC1">
            <w:pPr>
              <w:pStyle w:val="rvps2"/>
              <w:spacing w:beforeAutospacing="0" w:afterAutospacing="0"/>
              <w:ind w:firstLine="343"/>
              <w:jc w:val="both"/>
              <w:rPr>
                <w:b/>
                <w:sz w:val="22"/>
                <w:szCs w:val="22"/>
                <w:lang w:val="uk-UA"/>
              </w:rPr>
            </w:pPr>
          </w:p>
          <w:p w:rsidR="00CF2AC1" w:rsidRPr="005A615E" w:rsidRDefault="00CF2AC1" w:rsidP="00CF2AC1">
            <w:pPr>
              <w:pStyle w:val="rvps2"/>
              <w:spacing w:beforeAutospacing="0" w:afterAutospacing="0"/>
              <w:ind w:firstLine="343"/>
              <w:jc w:val="both"/>
              <w:rPr>
                <w:b/>
                <w:sz w:val="22"/>
                <w:szCs w:val="22"/>
              </w:rPr>
            </w:pPr>
            <w:r w:rsidRPr="005A615E">
              <w:rPr>
                <w:b/>
                <w:sz w:val="22"/>
                <w:szCs w:val="22"/>
              </w:rPr>
              <w:t>Додаток 36 вилучити</w:t>
            </w:r>
          </w:p>
          <w:p w:rsidR="00CF2AC1" w:rsidRPr="005A615E" w:rsidRDefault="00CF2AC1" w:rsidP="00CF2AC1">
            <w:pPr>
              <w:pStyle w:val="rvps2"/>
              <w:spacing w:beforeAutospacing="0" w:afterAutospacing="0"/>
              <w:ind w:firstLine="343"/>
              <w:jc w:val="both"/>
              <w:rPr>
                <w:b/>
                <w:sz w:val="22"/>
                <w:szCs w:val="22"/>
              </w:rPr>
            </w:pP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 xml:space="preserve"> 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1.Згідно з Порядком забезпечення стандартів якості (затверджений постановою НКРЕКП від 12 червня 2018 року N 375) передбачено необхідність виплати адресних компенсацій за недотримання показників якості у разі порущень ОСР встановлених строків або стандартів напруги. </w:t>
            </w:r>
          </w:p>
          <w:p w:rsidR="00CF2AC1" w:rsidRPr="005A615E" w:rsidRDefault="00CF2AC1" w:rsidP="00CF2AC1">
            <w:pPr>
              <w:jc w:val="both"/>
              <w:rPr>
                <w:rFonts w:ascii="Times New Roman" w:hAnsi="Times New Roman"/>
              </w:rPr>
            </w:pPr>
            <w:r w:rsidRPr="005A615E">
              <w:rPr>
                <w:rFonts w:ascii="Times New Roman" w:hAnsi="Times New Roman"/>
              </w:rPr>
              <w:t xml:space="preserve">2. </w:t>
            </w:r>
            <w:hyperlink r:id="rId393" w:tgtFrame="_blank" w:history="1">
              <w:r w:rsidRPr="005A615E">
                <w:rPr>
                  <w:rStyle w:val="a9"/>
                  <w:rFonts w:ascii="Times New Roman" w:hAnsi="Times New Roman"/>
                  <w:color w:val="auto"/>
                </w:rPr>
                <w:t>Кодексом системи розподілу</w:t>
              </w:r>
            </w:hyperlink>
            <w:r w:rsidRPr="005A615E">
              <w:rPr>
                <w:rFonts w:ascii="Times New Roman" w:hAnsi="Times New Roman"/>
              </w:rPr>
              <w:t xml:space="preserve"> передбачено механізм захисту прав споживача шляхом зниження вартості послуги, якщо ОСР протермінував виконання робіт із приєднання. Також, НКРЕКП за результатами перевірки накладає ОСР фінансовий штраф у разі порушення надання послуги з приєднання.</w:t>
            </w:r>
          </w:p>
          <w:p w:rsidR="00CF2AC1" w:rsidRPr="005A615E" w:rsidRDefault="00CF2AC1" w:rsidP="00CF2AC1">
            <w:pPr>
              <w:jc w:val="both"/>
              <w:rPr>
                <w:rFonts w:ascii="Times New Roman" w:hAnsi="Times New Roman"/>
              </w:rPr>
            </w:pPr>
            <w:r w:rsidRPr="005A615E">
              <w:rPr>
                <w:rFonts w:ascii="Times New Roman" w:hAnsi="Times New Roman"/>
              </w:rPr>
              <w:t>3. Вимоги із забезпечення автоматизованого дистанційного зчитуванням даних з вузлів обліку регулюється Кодексом комерційного обліку електричної енергії (ККОЕЕ). Відповідно до п. 2.3 Ліцензійних умов, ОСР має забезпечувати та здійснювати комерційний облік електричної енергії та обмін даними комерційного обліку відповідно до правил ринку та </w:t>
            </w:r>
            <w:hyperlink r:id="rId394" w:anchor="n9" w:tgtFrame="_blank" w:history="1">
              <w:r w:rsidRPr="005A615E">
                <w:rPr>
                  <w:rStyle w:val="a9"/>
                  <w:rFonts w:ascii="Times New Roman" w:hAnsi="Times New Roman"/>
                  <w:color w:val="auto"/>
                </w:rPr>
                <w:t>кодексу комерційного обліку</w:t>
              </w:r>
            </w:hyperlink>
            <w:r w:rsidRPr="005A615E">
              <w:rPr>
                <w:rFonts w:ascii="Times New Roman" w:hAnsi="Times New Roman"/>
              </w:rPr>
              <w:t>. Недотримання цієї вимоги вважається невиконанням Ліцензійних умов, за результатами чого застосовуються штрафи за результатами перевірок.</w:t>
            </w:r>
          </w:p>
          <w:p w:rsidR="00CF2AC1" w:rsidRPr="005A615E" w:rsidRDefault="00CF2AC1" w:rsidP="00CF2AC1">
            <w:pPr>
              <w:jc w:val="both"/>
              <w:rPr>
                <w:rFonts w:ascii="Times New Roman" w:hAnsi="Times New Roman"/>
              </w:rPr>
            </w:pPr>
            <w:r w:rsidRPr="005A615E">
              <w:rPr>
                <w:rFonts w:ascii="Times New Roman" w:hAnsi="Times New Roman"/>
              </w:rPr>
              <w:t>4. Вимоги щодо періодичності контрольних оглядів вузлів обліку електричної енергії визначаються Кодексом комерційного обліку електричної енергії. Порушення ККОЕЕ є порушенням ліцензійних умов діяльності ОСР, за результатами перевірок  застосовуються штрафні санкції до ОСР.</w:t>
            </w:r>
          </w:p>
          <w:p w:rsidR="00CF2AC1" w:rsidRPr="005A615E" w:rsidRDefault="00CF2AC1" w:rsidP="00CF2AC1">
            <w:pPr>
              <w:jc w:val="both"/>
              <w:rPr>
                <w:rFonts w:ascii="Times New Roman" w:hAnsi="Times New Roman"/>
              </w:rPr>
            </w:pPr>
            <w:r w:rsidRPr="005A615E">
              <w:rPr>
                <w:rFonts w:ascii="Times New Roman" w:hAnsi="Times New Roman"/>
              </w:rPr>
              <w:t xml:space="preserve">5. Відповідно до ПНКРЕКП від 12.06.2018 №375 до загальних стандартів якості надання послуг ОСР належать рівень сервісу кол-центру протягом 30 секунд (відсоток дзвінків, з'єднаних з оператором кол-центру протягом 30 секунд) у звітному році - не менше 75 %, індекс відсотка втрачених у черзі дзвінків кол-центру у звітному році ≤ 10 %. Питання функціонування кол-центрів включено до ліцензійних вимог провадження діяльності з розподілу, у разі його невиконання передбачені штрафи за результатами перевірок.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Таким чином за результатами щорічних перевірок ліцензованої діяльності згідно Порядку нарахування штрафів (постанова №1800 від 29.09.2023) нараховується штраф за кожний вид порушення з урахуванням кількості споживачів, тривалості тощо.</w:t>
            </w:r>
          </w:p>
          <w:p w:rsidR="00CF2AC1" w:rsidRPr="005A615E" w:rsidRDefault="00CF2AC1" w:rsidP="00CF2AC1">
            <w:pPr>
              <w:shd w:val="clear" w:color="auto" w:fill="FFFFFF"/>
              <w:jc w:val="both"/>
              <w:rPr>
                <w:rFonts w:ascii="Times New Roman" w:hAnsi="Times New Roman"/>
                <w:b/>
                <w:bCs/>
              </w:rPr>
            </w:pPr>
            <w:r w:rsidRPr="005A615E">
              <w:rPr>
                <w:rFonts w:ascii="Times New Roman" w:hAnsi="Times New Roman"/>
                <w:b/>
                <w:bCs/>
              </w:rPr>
              <w:t xml:space="preserve">Таким чином, вищезазначені в підпункті 9 показники якості  регулюються положеннями вже діючих документів. Додаткова фіксація цих вимог в іншому документі НКРЕКП призведе до подвоєння штрафів за однакові порушення. </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У разі запровадження індексів, що визначаються по запропонованим формулам, коригування необхідного доходу на значення цих індексів, може перевищувати тарифний рівень річного доходу ОСР.</w:t>
            </w:r>
          </w:p>
          <w:p w:rsidR="00CF2AC1" w:rsidRPr="005A615E" w:rsidRDefault="00CF2AC1" w:rsidP="00CF2AC1">
            <w:pPr>
              <w:jc w:val="both"/>
              <w:rPr>
                <w:rFonts w:ascii="Times New Roman" w:hAnsi="Times New Roman"/>
                <w:b/>
              </w:rPr>
            </w:pPr>
          </w:p>
          <w:p w:rsidR="00CF2AC1" w:rsidRPr="005A615E" w:rsidRDefault="00CF2AC1" w:rsidP="00CF2AC1">
            <w:pPr>
              <w:shd w:val="clear" w:color="auto" w:fill="FFFFFF"/>
              <w:tabs>
                <w:tab w:val="num" w:pos="720"/>
              </w:tabs>
              <w:jc w:val="both"/>
              <w:rPr>
                <w:rFonts w:ascii="Times New Roman" w:hAnsi="Times New Roman"/>
                <w:b/>
                <w:sz w:val="24"/>
                <w:u w:val="single"/>
              </w:rPr>
            </w:pPr>
            <w:r w:rsidRPr="005A615E">
              <w:rPr>
                <w:rFonts w:ascii="Times New Roman" w:hAnsi="Times New Roman"/>
                <w:b/>
                <w:sz w:val="24"/>
                <w:u w:val="single"/>
              </w:rPr>
              <w:t>НЕК «УКРЕНЕРГО» (лист від 24.07.2026  № 01/46416)</w:t>
            </w:r>
          </w:p>
          <w:p w:rsidR="00CF2AC1" w:rsidRPr="005A615E" w:rsidRDefault="00CF2AC1" w:rsidP="00CF2AC1">
            <w:pPr>
              <w:ind w:leftChars="15" w:left="33"/>
              <w:jc w:val="right"/>
              <w:rPr>
                <w:rFonts w:eastAsia="Times New Roman" w:cstheme="minorHAnsi"/>
                <w:sz w:val="24"/>
                <w:szCs w:val="24"/>
                <w:lang w:eastAsia="ru-RU"/>
              </w:rPr>
            </w:pPr>
            <w:r w:rsidRPr="005A615E">
              <w:rPr>
                <w:rFonts w:eastAsia="Times New Roman" w:cstheme="minorHAnsi"/>
                <w:sz w:val="24"/>
                <w:szCs w:val="24"/>
                <w:lang w:eastAsia="ru-RU"/>
              </w:rPr>
              <w:t>Додаток 36</w:t>
            </w:r>
            <w:r w:rsidRPr="005A615E">
              <w:rPr>
                <w:rFonts w:eastAsia="Times New Roman" w:cstheme="minorHAnsi"/>
                <w:sz w:val="24"/>
                <w:szCs w:val="24"/>
                <w:lang w:eastAsia="ru-RU"/>
              </w:rPr>
              <w:br/>
              <w:t xml:space="preserve">до Порядку встановлення (формування) </w:t>
            </w:r>
          </w:p>
          <w:p w:rsidR="00CF2AC1" w:rsidRPr="005A615E" w:rsidRDefault="00CF2AC1" w:rsidP="00CF2AC1">
            <w:pPr>
              <w:ind w:leftChars="15" w:left="33"/>
              <w:jc w:val="right"/>
              <w:rPr>
                <w:rFonts w:eastAsia="Times New Roman" w:cstheme="minorHAnsi"/>
                <w:sz w:val="24"/>
                <w:szCs w:val="24"/>
                <w:lang w:eastAsia="ru-RU"/>
              </w:rPr>
            </w:pPr>
            <w:r w:rsidRPr="005A615E">
              <w:rPr>
                <w:rFonts w:eastAsia="Times New Roman" w:cstheme="minorHAnsi"/>
                <w:sz w:val="24"/>
                <w:szCs w:val="24"/>
                <w:lang w:eastAsia="ru-RU"/>
              </w:rPr>
              <w:t xml:space="preserve">тарифів на послуги з розподілу </w:t>
            </w:r>
          </w:p>
          <w:p w:rsidR="00CF2AC1" w:rsidRPr="005A615E" w:rsidRDefault="00CF2AC1" w:rsidP="00CF2AC1">
            <w:pPr>
              <w:shd w:val="clear" w:color="auto" w:fill="FFFFFF"/>
              <w:ind w:leftChars="15" w:left="33" w:right="450"/>
              <w:jc w:val="right"/>
              <w:rPr>
                <w:rFonts w:cstheme="minorHAnsi"/>
                <w:b/>
                <w:sz w:val="24"/>
                <w:szCs w:val="24"/>
              </w:rPr>
            </w:pPr>
            <w:r w:rsidRPr="005A615E">
              <w:rPr>
                <w:rFonts w:eastAsia="Times New Roman" w:cstheme="minorHAnsi"/>
                <w:sz w:val="24"/>
                <w:szCs w:val="24"/>
                <w:lang w:eastAsia="ru-RU"/>
              </w:rPr>
              <w:t>електричної енергії</w:t>
            </w:r>
          </w:p>
          <w:p w:rsidR="00CF2AC1" w:rsidRPr="005A615E" w:rsidRDefault="00CF2AC1" w:rsidP="00CF2AC1">
            <w:pPr>
              <w:shd w:val="clear" w:color="auto" w:fill="FFFFFF"/>
              <w:spacing w:before="150" w:after="150"/>
              <w:ind w:leftChars="15" w:left="33" w:right="450"/>
              <w:rPr>
                <w:rFonts w:eastAsia="Times New Roman" w:cstheme="minorHAnsi"/>
                <w:b/>
                <w:sz w:val="24"/>
                <w:szCs w:val="24"/>
                <w:lang w:eastAsia="uk-UA"/>
              </w:rPr>
            </w:pPr>
            <w:r w:rsidRPr="005A615E">
              <w:rPr>
                <w:rFonts w:eastAsia="Times New Roman" w:cstheme="minorHAnsi"/>
                <w:b/>
                <w:sz w:val="24"/>
                <w:szCs w:val="24"/>
                <w:lang w:eastAsia="uk-UA"/>
              </w:rPr>
              <w:t>Розрахунок коригування необхідного доходу відповідно до індексу щодо даних комерційного обліку на рік t (починаючи з першого року другого регуляторного періоду за рік t-2)</w:t>
            </w:r>
          </w:p>
          <w:tbl>
            <w:tblPr>
              <w:tblW w:w="4851" w:type="dxa"/>
              <w:tblLayout w:type="fixed"/>
              <w:tblLook w:val="04A0" w:firstRow="1" w:lastRow="0" w:firstColumn="1" w:lastColumn="0" w:noHBand="0" w:noVBand="1"/>
            </w:tblPr>
            <w:tblGrid>
              <w:gridCol w:w="236"/>
              <w:gridCol w:w="236"/>
              <w:gridCol w:w="544"/>
              <w:gridCol w:w="425"/>
              <w:gridCol w:w="425"/>
              <w:gridCol w:w="425"/>
              <w:gridCol w:w="426"/>
              <w:gridCol w:w="425"/>
              <w:gridCol w:w="567"/>
              <w:gridCol w:w="567"/>
              <w:gridCol w:w="575"/>
            </w:tblGrid>
            <w:tr w:rsidR="00CF2AC1" w:rsidRPr="005A615E" w:rsidTr="00A049A6">
              <w:trPr>
                <w:trHeight w:val="690"/>
              </w:trPr>
              <w:tc>
                <w:tcPr>
                  <w:tcW w:w="4851" w:type="dxa"/>
                  <w:gridSpan w:val="11"/>
                  <w:tcBorders>
                    <w:top w:val="single" w:sz="8" w:space="0" w:color="auto"/>
                    <w:left w:val="single" w:sz="8" w:space="0" w:color="auto"/>
                    <w:bottom w:val="single" w:sz="8" w:space="0" w:color="auto"/>
                    <w:right w:val="single" w:sz="8" w:space="0" w:color="auto"/>
                  </w:tcBorders>
                  <w:vAlign w:val="bottom"/>
                  <w:hideMark/>
                </w:tcPr>
                <w:p w:rsidR="00CF2AC1" w:rsidRPr="005A615E" w:rsidRDefault="00CF2AC1" w:rsidP="00CF2AC1">
                  <w:pPr>
                    <w:rPr>
                      <w:rFonts w:eastAsia="Times New Roman" w:cstheme="minorHAnsi"/>
                      <w:sz w:val="10"/>
                      <w:szCs w:val="10"/>
                      <w:lang w:eastAsia="uk-UA"/>
                    </w:rPr>
                  </w:pPr>
                  <w:r w:rsidRPr="005A615E">
                    <w:rPr>
                      <w:rFonts w:eastAsia="Times New Roman" w:cstheme="minorHAnsi"/>
                      <w:sz w:val="10"/>
                      <w:szCs w:val="10"/>
                      <w:lang w:eastAsia="uk-UA"/>
                    </w:rPr>
                    <w:t xml:space="preserve">Дані комерційного обліку щодо обсягів перетоків електричної енергії, сформовані по всіх точках комерційного обліку з можливістю </w:t>
                  </w:r>
                  <w:r w:rsidRPr="005A615E">
                    <w:rPr>
                      <w:rFonts w:eastAsia="Times New Roman" w:cstheme="minorHAnsi"/>
                      <w:b/>
                      <w:strike/>
                      <w:sz w:val="10"/>
                      <w:szCs w:val="10"/>
                      <w:lang w:eastAsia="uk-UA"/>
                    </w:rPr>
                    <w:t>погодинного обліку та</w:t>
                  </w:r>
                  <w:r w:rsidRPr="005A615E">
                    <w:rPr>
                      <w:rFonts w:eastAsia="Times New Roman" w:cstheme="minorHAnsi"/>
                      <w:sz w:val="10"/>
                      <w:szCs w:val="10"/>
                      <w:lang w:eastAsia="uk-UA"/>
                    </w:rPr>
                    <w:t xml:space="preserve"> дистанційного зчитування даних, де ОСР є </w:t>
                  </w:r>
                  <w:r w:rsidRPr="005A615E">
                    <w:rPr>
                      <w:rFonts w:eastAsia="Times New Roman" w:cstheme="minorHAnsi"/>
                      <w:b/>
                      <w:sz w:val="10"/>
                      <w:szCs w:val="10"/>
                      <w:lang w:eastAsia="uk-UA"/>
                    </w:rPr>
                    <w:t>ОДКО</w:t>
                  </w:r>
                  <w:r w:rsidRPr="005A615E">
                    <w:rPr>
                      <w:rFonts w:eastAsia="Times New Roman" w:cstheme="minorHAnsi"/>
                      <w:sz w:val="10"/>
                      <w:szCs w:val="10"/>
                      <w:lang w:eastAsia="uk-UA"/>
                    </w:rPr>
                    <w:t xml:space="preserve"> </w:t>
                  </w:r>
                  <w:r w:rsidRPr="005A615E">
                    <w:rPr>
                      <w:rFonts w:eastAsia="Times New Roman" w:cstheme="minorHAnsi"/>
                      <w:b/>
                      <w:strike/>
                      <w:sz w:val="10"/>
                      <w:szCs w:val="10"/>
                      <w:lang w:eastAsia="uk-UA"/>
                    </w:rPr>
                    <w:t>стороною відповідальною за точку комерційного обліку</w:t>
                  </w:r>
                  <w:r w:rsidRPr="005A615E">
                    <w:rPr>
                      <w:rFonts w:eastAsia="Times New Roman" w:cstheme="minorHAnsi"/>
                      <w:sz w:val="10"/>
                      <w:szCs w:val="10"/>
                      <w:lang w:eastAsia="uk-UA"/>
                    </w:rPr>
                    <w:t>, тис. кВт*год.</w:t>
                  </w:r>
                </w:p>
              </w:tc>
            </w:tr>
            <w:tr w:rsidR="00CF2AC1" w:rsidRPr="005A615E" w:rsidTr="00A049A6">
              <w:trPr>
                <w:trHeight w:val="456"/>
              </w:trPr>
              <w:tc>
                <w:tcPr>
                  <w:tcW w:w="236" w:type="dxa"/>
                  <w:vMerge w:val="restart"/>
                  <w:tcBorders>
                    <w:top w:val="single" w:sz="8" w:space="0" w:color="auto"/>
                    <w:left w:val="single" w:sz="8" w:space="0" w:color="auto"/>
                    <w:bottom w:val="single" w:sz="8" w:space="0" w:color="auto"/>
                    <w:right w:val="nil"/>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 з/п</w:t>
                  </w:r>
                </w:p>
              </w:tc>
              <w:tc>
                <w:tcPr>
                  <w:tcW w:w="236" w:type="dxa"/>
                  <w:vMerge w:val="restart"/>
                  <w:tcBorders>
                    <w:top w:val="single" w:sz="8" w:space="0" w:color="auto"/>
                    <w:left w:val="nil"/>
                    <w:bottom w:val="single" w:sz="8" w:space="0" w:color="auto"/>
                    <w:right w:val="single" w:sz="8" w:space="0" w:color="auto"/>
                  </w:tcBorders>
                  <w:vAlign w:val="bottom"/>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 </w:t>
                  </w:r>
                </w:p>
              </w:tc>
              <w:tc>
                <w:tcPr>
                  <w:tcW w:w="544" w:type="dxa"/>
                  <w:tcBorders>
                    <w:top w:val="single" w:sz="8" w:space="0" w:color="auto"/>
                    <w:left w:val="single" w:sz="8" w:space="0" w:color="auto"/>
                    <w:bottom w:val="single" w:sz="8" w:space="0" w:color="auto"/>
                    <w:right w:val="single" w:sz="4" w:space="0" w:color="auto"/>
                  </w:tcBorders>
                  <w:vAlign w:val="bottom"/>
                  <w:hideMark/>
                </w:tcPr>
                <w:p w:rsidR="00CF2AC1" w:rsidRPr="005A615E" w:rsidRDefault="00CF2AC1" w:rsidP="00CF2AC1">
                  <w:pPr>
                    <w:rPr>
                      <w:rFonts w:ascii="Times New Roman" w:eastAsia="Times New Roman" w:hAnsi="Times New Roman"/>
                      <w:b/>
                      <w:sz w:val="8"/>
                      <w:szCs w:val="24"/>
                      <w:lang w:eastAsia="uk-UA"/>
                    </w:rPr>
                  </w:pPr>
                  <w:r w:rsidRPr="005A615E">
                    <w:rPr>
                      <w:rFonts w:ascii="Times New Roman" w:eastAsia="Times New Roman" w:hAnsi="Times New Roman"/>
                      <w:b/>
                      <w:sz w:val="8"/>
                      <w:szCs w:val="24"/>
                      <w:lang w:eastAsia="uk-UA"/>
                    </w:rPr>
                    <w:t>Кількість ТКО</w:t>
                  </w:r>
                </w:p>
              </w:tc>
              <w:tc>
                <w:tcPr>
                  <w:tcW w:w="425" w:type="dxa"/>
                  <w:tcBorders>
                    <w:top w:val="single" w:sz="8" w:space="0" w:color="auto"/>
                    <w:left w:val="single" w:sz="4" w:space="0" w:color="auto"/>
                    <w:bottom w:val="single" w:sz="8" w:space="0" w:color="auto"/>
                    <w:right w:val="single" w:sz="4" w:space="0" w:color="auto"/>
                  </w:tcBorders>
                  <w:vAlign w:val="bottom"/>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версія 2*</w:t>
                  </w:r>
                </w:p>
              </w:tc>
              <w:tc>
                <w:tcPr>
                  <w:tcW w:w="425" w:type="dxa"/>
                  <w:tcBorders>
                    <w:top w:val="single" w:sz="8" w:space="0" w:color="auto"/>
                    <w:left w:val="single" w:sz="4" w:space="0" w:color="auto"/>
                    <w:bottom w:val="single" w:sz="8" w:space="0" w:color="auto"/>
                    <w:right w:val="single" w:sz="4" w:space="0" w:color="auto"/>
                  </w:tcBorders>
                  <w:vAlign w:val="bottom"/>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остаточна</w:t>
                  </w:r>
                </w:p>
              </w:tc>
              <w:tc>
                <w:tcPr>
                  <w:tcW w:w="425" w:type="dxa"/>
                  <w:tcBorders>
                    <w:top w:val="single" w:sz="8" w:space="0" w:color="auto"/>
                    <w:left w:val="single" w:sz="4" w:space="0" w:color="auto"/>
                    <w:bottom w:val="single" w:sz="8" w:space="0" w:color="auto"/>
                    <w:right w:val="single" w:sz="4" w:space="0" w:color="auto"/>
                  </w:tcBorders>
                  <w:vAlign w:val="bottom"/>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b/>
                      <w:sz w:val="8"/>
                      <w:szCs w:val="24"/>
                      <w:lang w:eastAsia="uk-UA"/>
                    </w:rPr>
                    <w:t>Кількість ТКО</w:t>
                  </w:r>
                </w:p>
              </w:tc>
              <w:tc>
                <w:tcPr>
                  <w:tcW w:w="426" w:type="dxa"/>
                  <w:tcBorders>
                    <w:top w:val="single" w:sz="8" w:space="0" w:color="auto"/>
                    <w:left w:val="single" w:sz="4" w:space="0" w:color="auto"/>
                    <w:bottom w:val="single" w:sz="8" w:space="0" w:color="auto"/>
                    <w:right w:val="single" w:sz="4" w:space="0" w:color="auto"/>
                  </w:tcBorders>
                  <w:vAlign w:val="bottom"/>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версія 2*</w:t>
                  </w:r>
                </w:p>
              </w:tc>
              <w:tc>
                <w:tcPr>
                  <w:tcW w:w="425" w:type="dxa"/>
                  <w:tcBorders>
                    <w:top w:val="single" w:sz="8" w:space="0" w:color="auto"/>
                    <w:left w:val="single" w:sz="4" w:space="0" w:color="auto"/>
                    <w:bottom w:val="single" w:sz="8" w:space="0" w:color="auto"/>
                    <w:right w:val="single" w:sz="8" w:space="0" w:color="auto"/>
                  </w:tcBorders>
                  <w:vAlign w:val="bottom"/>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остаточна</w:t>
                  </w:r>
                </w:p>
              </w:tc>
              <w:tc>
                <w:tcPr>
                  <w:tcW w:w="567" w:type="dxa"/>
                  <w:tcBorders>
                    <w:top w:val="single" w:sz="8" w:space="0" w:color="auto"/>
                    <w:left w:val="single" w:sz="8" w:space="0" w:color="auto"/>
                    <w:bottom w:val="single" w:sz="8" w:space="0" w:color="auto"/>
                    <w:right w:val="single" w:sz="8" w:space="0" w:color="auto"/>
                  </w:tcBorders>
                  <w:vAlign w:val="bottom"/>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w:t>
                  </w:r>
                </w:p>
              </w:tc>
              <w:tc>
                <w:tcPr>
                  <w:tcW w:w="567" w:type="dxa"/>
                  <w:tcBorders>
                    <w:top w:val="single" w:sz="8" w:space="0" w:color="auto"/>
                    <w:left w:val="single" w:sz="8" w:space="0" w:color="auto"/>
                    <w:bottom w:val="single" w:sz="8" w:space="0" w:color="auto"/>
                    <w:right w:val="single" w:sz="8" w:space="0" w:color="auto"/>
                  </w:tcBorders>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10"/>
                      <w:szCs w:val="10"/>
                      <w:lang w:eastAsia="uk-UA"/>
                    </w:rPr>
                    <w:t>Фактичний індекс якості даних</w:t>
                  </w:r>
                </w:p>
              </w:tc>
              <w:tc>
                <w:tcPr>
                  <w:tcW w:w="571" w:type="dxa"/>
                  <w:tcBorders>
                    <w:top w:val="single" w:sz="8" w:space="0" w:color="auto"/>
                    <w:left w:val="single" w:sz="8" w:space="0" w:color="auto"/>
                    <w:bottom w:val="single" w:sz="8" w:space="0" w:color="auto"/>
                    <w:right w:val="single" w:sz="8" w:space="0" w:color="auto"/>
                  </w:tcBorders>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10"/>
                      <w:szCs w:val="24"/>
                      <w:lang w:eastAsia="uk-UA"/>
                    </w:rPr>
                    <w:t>Необхідний індекс якості даних</w:t>
                  </w:r>
                </w:p>
              </w:tc>
            </w:tr>
            <w:tr w:rsidR="00CF2AC1" w:rsidRPr="005A615E" w:rsidTr="00A049A6">
              <w:trPr>
                <w:trHeight w:val="593"/>
              </w:trPr>
              <w:tc>
                <w:tcPr>
                  <w:tcW w:w="236" w:type="dxa"/>
                  <w:vMerge/>
                  <w:tcBorders>
                    <w:top w:val="single" w:sz="8" w:space="0" w:color="auto"/>
                    <w:left w:val="single" w:sz="8" w:space="0" w:color="auto"/>
                    <w:bottom w:val="single" w:sz="8" w:space="0" w:color="auto"/>
                    <w:right w:val="nil"/>
                  </w:tcBorders>
                  <w:vAlign w:val="center"/>
                  <w:hideMark/>
                </w:tcPr>
                <w:p w:rsidR="00CF2AC1" w:rsidRPr="005A615E" w:rsidRDefault="00CF2AC1" w:rsidP="00CF2AC1">
                  <w:pPr>
                    <w:rPr>
                      <w:rFonts w:ascii="Times New Roman" w:eastAsia="Times New Roman" w:hAnsi="Times New Roman"/>
                      <w:sz w:val="10"/>
                      <w:szCs w:val="24"/>
                      <w:lang w:eastAsia="uk-UA"/>
                    </w:rPr>
                  </w:pPr>
                </w:p>
              </w:tc>
              <w:tc>
                <w:tcPr>
                  <w:tcW w:w="236" w:type="dxa"/>
                  <w:vMerge/>
                  <w:tcBorders>
                    <w:top w:val="single" w:sz="8" w:space="0" w:color="auto"/>
                    <w:left w:val="nil"/>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p>
              </w:tc>
              <w:tc>
                <w:tcPr>
                  <w:tcW w:w="544" w:type="dxa"/>
                  <w:tcBorders>
                    <w:top w:val="single" w:sz="8" w:space="0" w:color="auto"/>
                    <w:left w:val="single" w:sz="8" w:space="0" w:color="auto"/>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b/>
                      <w:sz w:val="8"/>
                      <w:szCs w:val="24"/>
                      <w:lang w:eastAsia="uk-UA"/>
                    </w:rPr>
                  </w:pPr>
                  <w:r w:rsidRPr="005A615E">
                    <w:rPr>
                      <w:rFonts w:ascii="Times New Roman" w:eastAsia="Times New Roman" w:hAnsi="Times New Roman"/>
                      <w:b/>
                      <w:sz w:val="8"/>
                      <w:szCs w:val="24"/>
                      <w:lang w:eastAsia="uk-UA"/>
                    </w:rPr>
                    <w:t>січень</w:t>
                  </w:r>
                </w:p>
              </w:tc>
              <w:tc>
                <w:tcPr>
                  <w:tcW w:w="425" w:type="dxa"/>
                  <w:tcBorders>
                    <w:top w:val="single" w:sz="8" w:space="0" w:color="auto"/>
                    <w:left w:val="single" w:sz="4" w:space="0" w:color="auto"/>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січень t-2</w:t>
                  </w:r>
                </w:p>
              </w:tc>
              <w:tc>
                <w:tcPr>
                  <w:tcW w:w="425" w:type="dxa"/>
                  <w:tcBorders>
                    <w:top w:val="single" w:sz="8" w:space="0" w:color="auto"/>
                    <w:left w:val="single" w:sz="4" w:space="0" w:color="auto"/>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січень t-2</w:t>
                  </w:r>
                </w:p>
              </w:tc>
              <w:tc>
                <w:tcPr>
                  <w:tcW w:w="425" w:type="dxa"/>
                  <w:tcBorders>
                    <w:top w:val="single" w:sz="8" w:space="0" w:color="auto"/>
                    <w:left w:val="single" w:sz="4" w:space="0" w:color="auto"/>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b/>
                      <w:sz w:val="8"/>
                      <w:szCs w:val="24"/>
                      <w:lang w:eastAsia="uk-UA"/>
                    </w:rPr>
                  </w:pPr>
                  <w:r w:rsidRPr="005A615E">
                    <w:rPr>
                      <w:rFonts w:ascii="Times New Roman" w:eastAsia="Times New Roman" w:hAnsi="Times New Roman"/>
                      <w:b/>
                      <w:sz w:val="8"/>
                      <w:szCs w:val="24"/>
                      <w:lang w:eastAsia="uk-UA"/>
                    </w:rPr>
                    <w:t>лютий</w:t>
                  </w:r>
                </w:p>
              </w:tc>
              <w:tc>
                <w:tcPr>
                  <w:tcW w:w="426" w:type="dxa"/>
                  <w:tcBorders>
                    <w:top w:val="single" w:sz="8" w:space="0" w:color="auto"/>
                    <w:left w:val="single" w:sz="4" w:space="0" w:color="auto"/>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лютий t-2</w:t>
                  </w:r>
                </w:p>
              </w:tc>
              <w:tc>
                <w:tcPr>
                  <w:tcW w:w="425" w:type="dxa"/>
                  <w:tcBorders>
                    <w:top w:val="single" w:sz="8" w:space="0" w:color="auto"/>
                    <w:left w:val="single" w:sz="4" w:space="0" w:color="auto"/>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лютий t-2</w:t>
                  </w:r>
                </w:p>
              </w:tc>
              <w:tc>
                <w:tcPr>
                  <w:tcW w:w="567" w:type="dxa"/>
                  <w:tcBorders>
                    <w:top w:val="single" w:sz="8" w:space="0" w:color="auto"/>
                    <w:left w:val="single" w:sz="8" w:space="0" w:color="auto"/>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sz w:val="8"/>
                      <w:szCs w:val="24"/>
                      <w:lang w:eastAsia="uk-UA"/>
                    </w:rPr>
                  </w:pPr>
                  <w:r w:rsidRPr="005A615E">
                    <w:rPr>
                      <w:rFonts w:ascii="Times New Roman" w:eastAsia="Times New Roman" w:hAnsi="Times New Roman"/>
                      <w:sz w:val="8"/>
                      <w:szCs w:val="24"/>
                      <w:lang w:eastAsia="uk-UA"/>
                    </w:rPr>
                    <w:t>…</w:t>
                  </w:r>
                </w:p>
              </w:tc>
              <w:tc>
                <w:tcPr>
                  <w:tcW w:w="567" w:type="dxa"/>
                  <w:tcBorders>
                    <w:top w:val="single" w:sz="8" w:space="0" w:color="auto"/>
                    <w:left w:val="single" w:sz="8" w:space="0" w:color="auto"/>
                    <w:bottom w:val="single" w:sz="8" w:space="0" w:color="auto"/>
                    <w:right w:val="single" w:sz="8" w:space="0" w:color="auto"/>
                  </w:tcBorders>
                </w:tcPr>
                <w:p w:rsidR="00CF2AC1" w:rsidRPr="005A615E" w:rsidRDefault="00CF2AC1" w:rsidP="00CF2AC1">
                  <w:pPr>
                    <w:rPr>
                      <w:rFonts w:ascii="Times New Roman" w:eastAsia="Times New Roman" w:hAnsi="Times New Roman"/>
                      <w:sz w:val="8"/>
                      <w:szCs w:val="24"/>
                      <w:lang w:eastAsia="uk-UA"/>
                    </w:rPr>
                  </w:pPr>
                </w:p>
              </w:tc>
              <w:tc>
                <w:tcPr>
                  <w:tcW w:w="571" w:type="dxa"/>
                  <w:tcBorders>
                    <w:top w:val="single" w:sz="8" w:space="0" w:color="auto"/>
                    <w:left w:val="single" w:sz="8" w:space="0" w:color="auto"/>
                    <w:bottom w:val="single" w:sz="8" w:space="0" w:color="auto"/>
                    <w:right w:val="single" w:sz="8" w:space="0" w:color="auto"/>
                  </w:tcBorders>
                </w:tcPr>
                <w:p w:rsidR="00CF2AC1" w:rsidRPr="005A615E" w:rsidRDefault="00CF2AC1" w:rsidP="00CF2AC1">
                  <w:pPr>
                    <w:rPr>
                      <w:rFonts w:ascii="Times New Roman" w:eastAsia="Times New Roman" w:hAnsi="Times New Roman"/>
                      <w:sz w:val="8"/>
                      <w:szCs w:val="24"/>
                      <w:lang w:eastAsia="uk-UA"/>
                    </w:rPr>
                  </w:pPr>
                </w:p>
              </w:tc>
            </w:tr>
            <w:tr w:rsidR="00CF2AC1" w:rsidRPr="005A615E" w:rsidTr="00A049A6">
              <w:trPr>
                <w:trHeight w:val="585"/>
              </w:trPr>
              <w:tc>
                <w:tcPr>
                  <w:tcW w:w="236" w:type="dxa"/>
                  <w:tcBorders>
                    <w:top w:val="single" w:sz="8" w:space="0" w:color="auto"/>
                    <w:left w:val="single" w:sz="8" w:space="0" w:color="auto"/>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А</w:t>
                  </w:r>
                </w:p>
              </w:tc>
              <w:tc>
                <w:tcPr>
                  <w:tcW w:w="236" w:type="dxa"/>
                  <w:tcBorders>
                    <w:top w:val="single" w:sz="8" w:space="0" w:color="auto"/>
                    <w:left w:val="nil"/>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Б</w:t>
                  </w:r>
                </w:p>
              </w:tc>
              <w:tc>
                <w:tcPr>
                  <w:tcW w:w="544" w:type="dxa"/>
                  <w:tcBorders>
                    <w:top w:val="single" w:sz="8" w:space="0" w:color="auto"/>
                    <w:left w:val="nil"/>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1</w:t>
                  </w:r>
                </w:p>
              </w:tc>
              <w:tc>
                <w:tcPr>
                  <w:tcW w:w="425" w:type="dxa"/>
                  <w:tcBorders>
                    <w:top w:val="single" w:sz="8" w:space="0" w:color="auto"/>
                    <w:left w:val="nil"/>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2</w:t>
                  </w:r>
                </w:p>
              </w:tc>
              <w:tc>
                <w:tcPr>
                  <w:tcW w:w="425" w:type="dxa"/>
                  <w:tcBorders>
                    <w:top w:val="single" w:sz="8" w:space="0" w:color="auto"/>
                    <w:left w:val="nil"/>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3</w:t>
                  </w:r>
                </w:p>
              </w:tc>
              <w:tc>
                <w:tcPr>
                  <w:tcW w:w="425" w:type="dxa"/>
                  <w:tcBorders>
                    <w:top w:val="single" w:sz="8" w:space="0" w:color="auto"/>
                    <w:left w:val="nil"/>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4</w:t>
                  </w:r>
                </w:p>
              </w:tc>
              <w:tc>
                <w:tcPr>
                  <w:tcW w:w="426" w:type="dxa"/>
                  <w:tcBorders>
                    <w:top w:val="single" w:sz="8" w:space="0" w:color="auto"/>
                    <w:left w:val="nil"/>
                    <w:bottom w:val="single" w:sz="8" w:space="0" w:color="auto"/>
                    <w:right w:val="single" w:sz="4"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5</w:t>
                  </w:r>
                </w:p>
              </w:tc>
              <w:tc>
                <w:tcPr>
                  <w:tcW w:w="425" w:type="dxa"/>
                  <w:tcBorders>
                    <w:top w:val="single" w:sz="8" w:space="0" w:color="auto"/>
                    <w:left w:val="nil"/>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6</w:t>
                  </w:r>
                </w:p>
              </w:tc>
              <w:tc>
                <w:tcPr>
                  <w:tcW w:w="567" w:type="dxa"/>
                  <w:tcBorders>
                    <w:top w:val="single" w:sz="8" w:space="0" w:color="auto"/>
                    <w:left w:val="single" w:sz="8" w:space="0" w:color="auto"/>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w:t>
                  </w:r>
                </w:p>
              </w:tc>
              <w:tc>
                <w:tcPr>
                  <w:tcW w:w="567" w:type="dxa"/>
                  <w:tcBorders>
                    <w:top w:val="single" w:sz="8" w:space="0" w:color="auto"/>
                    <w:left w:val="single" w:sz="4" w:space="0" w:color="auto"/>
                    <w:bottom w:val="single" w:sz="8" w:space="0" w:color="auto"/>
                    <w:right w:val="single" w:sz="8" w:space="0" w:color="auto"/>
                  </w:tcBorders>
                </w:tcPr>
                <w:p w:rsidR="00CF2AC1" w:rsidRPr="005A615E" w:rsidRDefault="00CF2AC1" w:rsidP="00CF2AC1">
                  <w:pPr>
                    <w:rPr>
                      <w:rFonts w:ascii="Times New Roman" w:eastAsia="Times New Roman" w:hAnsi="Times New Roman"/>
                      <w:sz w:val="10"/>
                      <w:szCs w:val="24"/>
                      <w:lang w:eastAsia="uk-UA"/>
                    </w:rPr>
                  </w:pPr>
                </w:p>
                <w:p w:rsidR="00CF2AC1" w:rsidRPr="005A615E" w:rsidRDefault="00CF2AC1" w:rsidP="00CF2AC1">
                  <w:pPr>
                    <w:rPr>
                      <w:rFonts w:ascii="Times New Roman" w:eastAsia="Times New Roman" w:hAnsi="Times New Roman"/>
                      <w:sz w:val="10"/>
                      <w:szCs w:val="24"/>
                      <w:lang w:eastAsia="uk-UA"/>
                    </w:rPr>
                  </w:pPr>
                </w:p>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37</w:t>
                  </w:r>
                </w:p>
              </w:tc>
              <w:tc>
                <w:tcPr>
                  <w:tcW w:w="571" w:type="dxa"/>
                  <w:tcBorders>
                    <w:top w:val="single" w:sz="8" w:space="0" w:color="auto"/>
                    <w:left w:val="single" w:sz="4" w:space="0" w:color="auto"/>
                    <w:bottom w:val="single" w:sz="8" w:space="0" w:color="auto"/>
                    <w:right w:val="single" w:sz="8" w:space="0" w:color="auto"/>
                  </w:tcBorders>
                </w:tcPr>
                <w:p w:rsidR="00CF2AC1" w:rsidRPr="005A615E" w:rsidRDefault="00CF2AC1" w:rsidP="00CF2AC1">
                  <w:pPr>
                    <w:rPr>
                      <w:rFonts w:ascii="Times New Roman" w:eastAsia="Times New Roman" w:hAnsi="Times New Roman"/>
                      <w:sz w:val="10"/>
                      <w:szCs w:val="24"/>
                      <w:lang w:eastAsia="uk-UA"/>
                    </w:rPr>
                  </w:pPr>
                </w:p>
                <w:p w:rsidR="00CF2AC1" w:rsidRPr="005A615E" w:rsidRDefault="00CF2AC1" w:rsidP="00CF2AC1">
                  <w:pPr>
                    <w:rPr>
                      <w:rFonts w:ascii="Times New Roman" w:eastAsia="Times New Roman" w:hAnsi="Times New Roman"/>
                      <w:sz w:val="10"/>
                      <w:szCs w:val="24"/>
                      <w:lang w:eastAsia="uk-UA"/>
                    </w:rPr>
                  </w:pPr>
                </w:p>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38</w:t>
                  </w:r>
                </w:p>
              </w:tc>
            </w:tr>
            <w:tr w:rsidR="00CF2AC1" w:rsidRPr="005A615E" w:rsidTr="00A049A6">
              <w:trPr>
                <w:trHeight w:val="466"/>
              </w:trPr>
              <w:tc>
                <w:tcPr>
                  <w:tcW w:w="236" w:type="dxa"/>
                  <w:tcBorders>
                    <w:top w:val="single" w:sz="8" w:space="0" w:color="auto"/>
                    <w:left w:val="single" w:sz="8" w:space="0" w:color="auto"/>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1</w:t>
                  </w:r>
                </w:p>
              </w:tc>
              <w:tc>
                <w:tcPr>
                  <w:tcW w:w="236" w:type="dxa"/>
                  <w:tcBorders>
                    <w:top w:val="single" w:sz="8" w:space="0" w:color="auto"/>
                    <w:left w:val="nil"/>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sz w:val="10"/>
                      <w:szCs w:val="24"/>
                      <w:lang w:eastAsia="uk-UA"/>
                    </w:rPr>
                  </w:pPr>
                  <w:r w:rsidRPr="005A615E">
                    <w:rPr>
                      <w:rFonts w:ascii="Times New Roman" w:eastAsia="Times New Roman" w:hAnsi="Times New Roman"/>
                      <w:sz w:val="10"/>
                      <w:szCs w:val="24"/>
                      <w:lang w:eastAsia="uk-UA"/>
                    </w:rPr>
                    <w:t>ОСР</w:t>
                  </w:r>
                </w:p>
              </w:tc>
              <w:tc>
                <w:tcPr>
                  <w:tcW w:w="544" w:type="dxa"/>
                  <w:tcBorders>
                    <w:top w:val="single" w:sz="8" w:space="0" w:color="auto"/>
                    <w:left w:val="single" w:sz="4" w:space="0" w:color="auto"/>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5" w:type="dxa"/>
                  <w:tcBorders>
                    <w:top w:val="single" w:sz="8" w:space="0" w:color="auto"/>
                    <w:left w:val="nil"/>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5" w:type="dxa"/>
                  <w:tcBorders>
                    <w:top w:val="single" w:sz="8" w:space="0" w:color="auto"/>
                    <w:left w:val="nil"/>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5" w:type="dxa"/>
                  <w:tcBorders>
                    <w:top w:val="single" w:sz="8" w:space="0" w:color="auto"/>
                    <w:left w:val="nil"/>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6" w:type="dxa"/>
                  <w:tcBorders>
                    <w:top w:val="single" w:sz="8" w:space="0" w:color="auto"/>
                    <w:left w:val="nil"/>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5" w:type="dxa"/>
                  <w:tcBorders>
                    <w:top w:val="single" w:sz="8" w:space="0" w:color="auto"/>
                    <w:left w:val="nil"/>
                    <w:bottom w:val="single" w:sz="8" w:space="0" w:color="auto"/>
                    <w:right w:val="single" w:sz="8"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567" w:type="dxa"/>
                  <w:tcBorders>
                    <w:top w:val="single" w:sz="8" w:space="0" w:color="auto"/>
                    <w:left w:val="nil"/>
                    <w:bottom w:val="single" w:sz="8" w:space="0" w:color="auto"/>
                    <w:right w:val="single" w:sz="8" w:space="0" w:color="auto"/>
                  </w:tcBorders>
                </w:tcPr>
                <w:p w:rsidR="00CF2AC1" w:rsidRPr="005A615E" w:rsidRDefault="00CF2AC1" w:rsidP="00CF2AC1">
                  <w:pPr>
                    <w:rPr>
                      <w:rFonts w:ascii="Times New Roman" w:eastAsia="Times New Roman" w:hAnsi="Times New Roman"/>
                      <w:b/>
                      <w:bCs/>
                      <w:sz w:val="10"/>
                      <w:szCs w:val="24"/>
                      <w:lang w:eastAsia="uk-UA"/>
                    </w:rPr>
                  </w:pPr>
                </w:p>
              </w:tc>
              <w:tc>
                <w:tcPr>
                  <w:tcW w:w="571" w:type="dxa"/>
                  <w:tcBorders>
                    <w:top w:val="single" w:sz="8" w:space="0" w:color="auto"/>
                    <w:left w:val="nil"/>
                    <w:bottom w:val="single" w:sz="8" w:space="0" w:color="auto"/>
                    <w:right w:val="single" w:sz="8" w:space="0" w:color="auto"/>
                  </w:tcBorders>
                </w:tcPr>
                <w:p w:rsidR="00CF2AC1" w:rsidRPr="005A615E" w:rsidRDefault="00CF2AC1" w:rsidP="00CF2AC1">
                  <w:pPr>
                    <w:rPr>
                      <w:rFonts w:ascii="Times New Roman" w:eastAsia="Times New Roman" w:hAnsi="Times New Roman"/>
                      <w:b/>
                      <w:bCs/>
                      <w:sz w:val="10"/>
                      <w:szCs w:val="24"/>
                      <w:lang w:eastAsia="uk-UA"/>
                    </w:rPr>
                  </w:pPr>
                </w:p>
              </w:tc>
            </w:tr>
            <w:tr w:rsidR="00CF2AC1" w:rsidRPr="005A615E" w:rsidTr="00A049A6">
              <w:trPr>
                <w:trHeight w:val="260"/>
              </w:trPr>
              <w:tc>
                <w:tcPr>
                  <w:tcW w:w="236" w:type="dxa"/>
                  <w:tcBorders>
                    <w:top w:val="single" w:sz="8" w:space="0" w:color="auto"/>
                    <w:left w:val="single" w:sz="8" w:space="0" w:color="auto"/>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2</w:t>
                  </w:r>
                </w:p>
              </w:tc>
              <w:tc>
                <w:tcPr>
                  <w:tcW w:w="236" w:type="dxa"/>
                  <w:tcBorders>
                    <w:top w:val="single" w:sz="8" w:space="0" w:color="auto"/>
                    <w:left w:val="nil"/>
                    <w:bottom w:val="single" w:sz="8" w:space="0" w:color="auto"/>
                    <w:right w:val="single" w:sz="8" w:space="0" w:color="auto"/>
                  </w:tcBorders>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544" w:type="dxa"/>
                  <w:tcBorders>
                    <w:top w:val="single" w:sz="8" w:space="0" w:color="auto"/>
                    <w:left w:val="single" w:sz="4" w:space="0" w:color="auto"/>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5" w:type="dxa"/>
                  <w:tcBorders>
                    <w:top w:val="single" w:sz="8" w:space="0" w:color="auto"/>
                    <w:left w:val="nil"/>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5" w:type="dxa"/>
                  <w:tcBorders>
                    <w:top w:val="single" w:sz="8" w:space="0" w:color="auto"/>
                    <w:left w:val="nil"/>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5" w:type="dxa"/>
                  <w:tcBorders>
                    <w:top w:val="single" w:sz="8" w:space="0" w:color="auto"/>
                    <w:left w:val="nil"/>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6" w:type="dxa"/>
                  <w:tcBorders>
                    <w:top w:val="single" w:sz="8" w:space="0" w:color="auto"/>
                    <w:left w:val="nil"/>
                    <w:bottom w:val="single" w:sz="8" w:space="0" w:color="auto"/>
                    <w:right w:val="single" w:sz="4"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425" w:type="dxa"/>
                  <w:tcBorders>
                    <w:top w:val="single" w:sz="8" w:space="0" w:color="auto"/>
                    <w:left w:val="nil"/>
                    <w:bottom w:val="single" w:sz="8" w:space="0" w:color="auto"/>
                    <w:right w:val="single" w:sz="8"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rsidR="00CF2AC1" w:rsidRPr="005A615E" w:rsidRDefault="00CF2AC1" w:rsidP="00CF2AC1">
                  <w:pPr>
                    <w:rPr>
                      <w:rFonts w:ascii="Times New Roman" w:eastAsia="Times New Roman" w:hAnsi="Times New Roman"/>
                      <w:b/>
                      <w:bCs/>
                      <w:sz w:val="10"/>
                      <w:szCs w:val="24"/>
                      <w:lang w:eastAsia="uk-UA"/>
                    </w:rPr>
                  </w:pPr>
                  <w:r w:rsidRPr="005A615E">
                    <w:rPr>
                      <w:rFonts w:ascii="Times New Roman" w:eastAsia="Times New Roman" w:hAnsi="Times New Roman"/>
                      <w:b/>
                      <w:bCs/>
                      <w:sz w:val="10"/>
                      <w:szCs w:val="24"/>
                      <w:lang w:eastAsia="uk-UA"/>
                    </w:rPr>
                    <w:t> …</w:t>
                  </w:r>
                </w:p>
              </w:tc>
              <w:tc>
                <w:tcPr>
                  <w:tcW w:w="567" w:type="dxa"/>
                  <w:tcBorders>
                    <w:top w:val="single" w:sz="8" w:space="0" w:color="auto"/>
                    <w:left w:val="single" w:sz="4" w:space="0" w:color="auto"/>
                    <w:bottom w:val="single" w:sz="8" w:space="0" w:color="auto"/>
                    <w:right w:val="single" w:sz="8" w:space="0" w:color="auto"/>
                  </w:tcBorders>
                </w:tcPr>
                <w:p w:rsidR="00CF2AC1" w:rsidRPr="005A615E" w:rsidRDefault="00CF2AC1" w:rsidP="00CF2AC1">
                  <w:pPr>
                    <w:rPr>
                      <w:rFonts w:ascii="Times New Roman" w:eastAsia="Times New Roman" w:hAnsi="Times New Roman"/>
                      <w:b/>
                      <w:bCs/>
                      <w:sz w:val="10"/>
                      <w:szCs w:val="24"/>
                      <w:lang w:eastAsia="uk-UA"/>
                    </w:rPr>
                  </w:pPr>
                </w:p>
              </w:tc>
              <w:tc>
                <w:tcPr>
                  <w:tcW w:w="571" w:type="dxa"/>
                  <w:tcBorders>
                    <w:top w:val="single" w:sz="8" w:space="0" w:color="auto"/>
                    <w:left w:val="single" w:sz="4" w:space="0" w:color="auto"/>
                    <w:bottom w:val="single" w:sz="8" w:space="0" w:color="auto"/>
                    <w:right w:val="single" w:sz="8" w:space="0" w:color="auto"/>
                  </w:tcBorders>
                </w:tcPr>
                <w:p w:rsidR="00CF2AC1" w:rsidRPr="005A615E" w:rsidRDefault="00CF2AC1" w:rsidP="00CF2AC1">
                  <w:pPr>
                    <w:rPr>
                      <w:rFonts w:ascii="Times New Roman" w:eastAsia="Times New Roman" w:hAnsi="Times New Roman"/>
                      <w:b/>
                      <w:bCs/>
                      <w:sz w:val="10"/>
                      <w:szCs w:val="24"/>
                      <w:lang w:eastAsia="uk-UA"/>
                    </w:rPr>
                  </w:pPr>
                </w:p>
              </w:tc>
            </w:tr>
          </w:tbl>
          <w:p w:rsidR="00CF2AC1" w:rsidRPr="005A615E" w:rsidRDefault="00CF2AC1" w:rsidP="00CF2AC1">
            <w:pPr>
              <w:jc w:val="both"/>
              <w:rPr>
                <w:rFonts w:eastAsia="Times New Roman" w:cstheme="minorHAnsi"/>
                <w:sz w:val="14"/>
                <w:szCs w:val="24"/>
                <w:lang w:eastAsia="uk-UA"/>
              </w:rPr>
            </w:pPr>
            <w:r w:rsidRPr="005A615E">
              <w:rPr>
                <w:rFonts w:eastAsia="Times New Roman" w:cstheme="minorHAnsi"/>
                <w:sz w:val="14"/>
                <w:szCs w:val="24"/>
                <w:lang w:eastAsia="uk-UA"/>
              </w:rPr>
              <w:t xml:space="preserve">* зазначаються завантажені на Датахаб обсяги електричної енергії сформовані по всіх точках комерційного обліку з можливістю </w:t>
            </w:r>
            <w:r w:rsidRPr="005A615E">
              <w:rPr>
                <w:rFonts w:eastAsia="Times New Roman" w:cstheme="minorHAnsi"/>
                <w:b/>
                <w:strike/>
                <w:sz w:val="14"/>
                <w:szCs w:val="24"/>
                <w:lang w:eastAsia="uk-UA"/>
              </w:rPr>
              <w:t>погодинного обліку та</w:t>
            </w:r>
            <w:r w:rsidRPr="005A615E">
              <w:rPr>
                <w:rFonts w:eastAsia="Times New Roman" w:cstheme="minorHAnsi"/>
                <w:sz w:val="14"/>
                <w:szCs w:val="24"/>
                <w:lang w:eastAsia="uk-UA"/>
              </w:rPr>
              <w:t xml:space="preserve"> дистанційного зчитування даних, де ОСР є </w:t>
            </w:r>
            <w:r w:rsidRPr="005A615E">
              <w:rPr>
                <w:rFonts w:eastAsia="Times New Roman" w:cstheme="minorHAnsi"/>
                <w:b/>
                <w:sz w:val="14"/>
                <w:szCs w:val="24"/>
                <w:lang w:eastAsia="uk-UA"/>
              </w:rPr>
              <w:t>ОДКО</w:t>
            </w:r>
            <w:r w:rsidRPr="005A615E">
              <w:rPr>
                <w:rFonts w:eastAsia="Times New Roman" w:cstheme="minorHAnsi"/>
                <w:sz w:val="14"/>
                <w:szCs w:val="24"/>
                <w:lang w:eastAsia="uk-UA"/>
              </w:rPr>
              <w:t xml:space="preserve"> </w:t>
            </w:r>
            <w:r w:rsidRPr="005A615E">
              <w:rPr>
                <w:rFonts w:eastAsia="Times New Roman" w:cstheme="minorHAnsi"/>
                <w:b/>
                <w:strike/>
                <w:sz w:val="14"/>
                <w:szCs w:val="24"/>
                <w:lang w:eastAsia="uk-UA"/>
              </w:rPr>
              <w:t>стороною відповідальною за точку комерційного обліку</w:t>
            </w:r>
            <w:r w:rsidRPr="005A615E">
              <w:rPr>
                <w:rFonts w:eastAsia="Times New Roman" w:cstheme="minorHAnsi"/>
                <w:sz w:val="14"/>
                <w:szCs w:val="24"/>
                <w:lang w:eastAsia="uk-UA"/>
              </w:rPr>
              <w:t xml:space="preserve"> по останньому релізу версії 2</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b/>
              </w:rPr>
            </w:pPr>
            <w:r w:rsidRPr="005A615E">
              <w:rPr>
                <w:rFonts w:ascii="Times New Roman" w:hAnsi="Times New Roman"/>
              </w:rPr>
              <w:t xml:space="preserve">Таблицю доповнено додатковим стовпчиком з назвою – «Кількість ТКО» </w:t>
            </w:r>
            <w:r w:rsidRPr="005A615E">
              <w:rPr>
                <w:rFonts w:ascii="Times New Roman" w:hAnsi="Times New Roman"/>
                <w:i/>
              </w:rPr>
              <w:t>(по кожному місяцю, січень-грудень)</w:t>
            </w:r>
            <w:r w:rsidRPr="005A615E">
              <w:rPr>
                <w:rFonts w:ascii="Times New Roman" w:hAnsi="Times New Roman"/>
              </w:rPr>
              <w:t xml:space="preserve"> для подальшого моніторингу динаміки ТКО з дистанційним зчитуванням.</w:t>
            </w:r>
          </w:p>
        </w:tc>
        <w:tc>
          <w:tcPr>
            <w:tcW w:w="3969" w:type="dxa"/>
            <w:gridSpan w:val="2"/>
          </w:tcPr>
          <w:p w:rsidR="00CF2AC1" w:rsidRPr="005A615E" w:rsidRDefault="00CF2AC1" w:rsidP="00CF2AC1">
            <w:pPr>
              <w:rPr>
                <w:rFonts w:ascii="Times New Roman" w:hAnsi="Times New Roman"/>
                <w:b/>
              </w:rPr>
            </w:pPr>
            <w:r w:rsidRPr="005A615E">
              <w:rPr>
                <w:rFonts w:ascii="Times New Roman" w:hAnsi="Times New Roman"/>
                <w:b/>
              </w:rPr>
              <w:t>ОБГОВОРЕННЯ</w:t>
            </w:r>
          </w:p>
        </w:tc>
      </w:tr>
      <w:tr w:rsidR="00CF2AC1" w:rsidRPr="005A615E" w:rsidTr="00A56FEE">
        <w:tc>
          <w:tcPr>
            <w:tcW w:w="6232" w:type="dxa"/>
            <w:shd w:val="clear" w:color="auto" w:fill="auto"/>
          </w:tcPr>
          <w:p w:rsidR="00CF2AC1" w:rsidRPr="005A615E" w:rsidRDefault="00CF2AC1" w:rsidP="00CF2AC1">
            <w:pPr>
              <w:shd w:val="clear" w:color="auto" w:fill="FFFFFF"/>
              <w:spacing w:before="150" w:after="150"/>
              <w:ind w:left="450" w:right="450"/>
              <w:rPr>
                <w:b/>
                <w:sz w:val="28"/>
                <w:szCs w:val="28"/>
              </w:rPr>
            </w:pPr>
            <w:r w:rsidRPr="005A615E">
              <w:rPr>
                <w:b/>
                <w:sz w:val="28"/>
                <w:szCs w:val="28"/>
              </w:rPr>
              <w:t>Додаток 37</w:t>
            </w:r>
          </w:p>
          <w:p w:rsidR="00CF2AC1" w:rsidRPr="005A615E" w:rsidRDefault="00CF2AC1" w:rsidP="00CF2AC1">
            <w:pPr>
              <w:ind w:leftChars="1787" w:left="3931"/>
              <w:rPr>
                <w:rFonts w:eastAsia="Times New Roman"/>
                <w:sz w:val="20"/>
                <w:szCs w:val="24"/>
                <w:lang w:eastAsia="ru-RU"/>
              </w:rPr>
            </w:pPr>
            <w:r w:rsidRPr="005A615E">
              <w:rPr>
                <w:sz w:val="20"/>
              </w:rPr>
              <w:t>Додаток 37</w:t>
            </w:r>
            <w:r w:rsidRPr="005A615E">
              <w:rPr>
                <w:sz w:val="20"/>
              </w:rPr>
              <w:br/>
              <w:t xml:space="preserve">до Порядку встановлення (формування) </w:t>
            </w:r>
          </w:p>
          <w:p w:rsidR="00CF2AC1" w:rsidRPr="005A615E" w:rsidRDefault="00CF2AC1" w:rsidP="00CF2AC1">
            <w:pPr>
              <w:ind w:leftChars="1787" w:left="3931"/>
              <w:rPr>
                <w:sz w:val="20"/>
              </w:rPr>
            </w:pPr>
            <w:r w:rsidRPr="005A615E">
              <w:rPr>
                <w:sz w:val="20"/>
              </w:rPr>
              <w:t xml:space="preserve">тарифів на послуги з розподілу </w:t>
            </w:r>
          </w:p>
          <w:p w:rsidR="00CF2AC1" w:rsidRPr="005A615E" w:rsidRDefault="00CF2AC1" w:rsidP="00CF2AC1">
            <w:pPr>
              <w:shd w:val="clear" w:color="auto" w:fill="FFFFFF"/>
              <w:ind w:leftChars="1787" w:left="3931" w:right="450"/>
              <w:rPr>
                <w:b/>
                <w:szCs w:val="28"/>
              </w:rPr>
            </w:pPr>
            <w:r w:rsidRPr="005A615E">
              <w:rPr>
                <w:sz w:val="20"/>
              </w:rPr>
              <w:t>електричної енергії</w:t>
            </w:r>
          </w:p>
          <w:p w:rsidR="00CF2AC1" w:rsidRPr="005A615E" w:rsidRDefault="00CF2AC1" w:rsidP="00CF2AC1">
            <w:pPr>
              <w:pBdr>
                <w:bottom w:val="single" w:sz="12" w:space="1" w:color="auto"/>
              </w:pBdr>
              <w:shd w:val="clear" w:color="auto" w:fill="FFFFFF"/>
              <w:spacing w:before="150" w:after="150"/>
              <w:ind w:left="450" w:right="450"/>
              <w:rPr>
                <w:b/>
                <w:sz w:val="24"/>
                <w:szCs w:val="28"/>
              </w:rPr>
            </w:pPr>
            <w:r w:rsidRPr="005A615E">
              <w:rPr>
                <w:b/>
                <w:szCs w:val="28"/>
              </w:rPr>
              <w:t>Розрахунок проведення контрольних оглядів засобів комерційного обліку електричної енергії споживачів за рік t-2</w:t>
            </w:r>
          </w:p>
          <w:p w:rsidR="00CF2AC1" w:rsidRPr="005A615E" w:rsidRDefault="00CF2AC1" w:rsidP="00CF2AC1">
            <w:pPr>
              <w:shd w:val="clear" w:color="auto" w:fill="FFFFFF"/>
              <w:spacing w:before="150" w:after="150"/>
              <w:ind w:left="450" w:right="450"/>
              <w:rPr>
                <w:sz w:val="20"/>
                <w:szCs w:val="28"/>
              </w:rPr>
            </w:pPr>
            <w:r w:rsidRPr="005A615E">
              <w:rPr>
                <w:sz w:val="20"/>
                <w:szCs w:val="28"/>
              </w:rPr>
              <w:t>(назва оператора системи розподілу)</w:t>
            </w:r>
          </w:p>
          <w:p w:rsidR="00CF2AC1" w:rsidRPr="005A615E" w:rsidRDefault="00CF2AC1" w:rsidP="00CF2AC1">
            <w:pPr>
              <w:rPr>
                <w:rFonts w:ascii="Times New Roman" w:hAnsi="Times New Roman"/>
                <w:b/>
                <w:sz w:val="28"/>
              </w:rPr>
            </w:pPr>
          </w:p>
        </w:tc>
        <w:tc>
          <w:tcPr>
            <w:tcW w:w="5387" w:type="dxa"/>
          </w:tcPr>
          <w:p w:rsidR="00CF2AC1" w:rsidRPr="005A615E" w:rsidRDefault="00CF2AC1" w:rsidP="00CF2AC1">
            <w:pPr>
              <w:spacing w:after="75" w:line="259" w:lineRule="auto"/>
              <w:ind w:firstLine="240"/>
              <w:jc w:val="both"/>
              <w:rPr>
                <w:rFonts w:ascii="Times New Roman" w:eastAsia="Times New Roman" w:hAnsi="Times New Roman"/>
                <w:sz w:val="24"/>
                <w:szCs w:val="24"/>
                <w:lang w:eastAsia="ru-RU"/>
              </w:rPr>
            </w:pPr>
            <w:r w:rsidRPr="005A615E">
              <w:rPr>
                <w:rFonts w:ascii="Times New Roman" w:hAnsi="Times New Roman"/>
                <w:b/>
                <w:sz w:val="24"/>
                <w:u w:val="single"/>
              </w:rPr>
              <w:t xml:space="preserve">АТ «ДТЕК ДОНЕЦЬКІ ЕЛЕКТРОМЕРЕЖІ» (лист від 22.07.2026 № 06/8954-вих), АТ «ДТЕК Одеські електромережі» (лист від 22.07.2026 № 101/04/03-9309), АТ «ДТЕК ДНІПРОВСЬКІ ЕЛЕКТРОМЕРЕЖІ» (лист від 22.07.2026 № 38539/1001), АТ «ТЕРНОПІЛЬОБЛЕНЕРГО» (лист від 24.07.2026 № 4428/7), Громадська спілка «Розумні електромережі України» (лист від 24.07.2026  № 24-07/1), АТ «Харківобленерго» (лист від 27.07.2026 № 02-34/7102), АТ «УКРАЇНСЬКІ РОЗПОДІЛЬНІ МЕРЕЖІ» (лист від 27.07.2026 № 27/07/26-2), АТ «Прикарпаттяобленерго» (лист </w:t>
            </w:r>
            <w:r w:rsidRPr="005A615E">
              <w:rPr>
                <w:rFonts w:ascii="Times New Roman" w:hAnsi="Times New Roman"/>
                <w:b/>
                <w:sz w:val="24"/>
                <w:u w:val="single"/>
              </w:rPr>
              <w:br/>
              <w:t xml:space="preserve">від 27.07.2026 № 50012257/12), ПрАТ «Львівобленерго» (лист </w:t>
            </w:r>
            <w:r w:rsidRPr="005A615E">
              <w:rPr>
                <w:rFonts w:ascii="Times New Roman" w:hAnsi="Times New Roman"/>
                <w:b/>
                <w:sz w:val="24"/>
                <w:u w:val="single"/>
              </w:rPr>
              <w:br/>
              <w:t>від 27.07.2026 № 122-07-5357), АТ «ХМЕЛЬНИЦЬКОБЛЕНЕРГО» (лист від 27.07.2026 № 4-6209-0201/26)</w:t>
            </w:r>
            <w:r w:rsidRPr="005A615E">
              <w:rPr>
                <w:rFonts w:ascii="Times New Roman" w:eastAsia="Times New Roman" w:hAnsi="Times New Roman"/>
                <w:sz w:val="24"/>
                <w:szCs w:val="24"/>
                <w:lang w:eastAsia="ru-RU"/>
              </w:rPr>
              <w:t xml:space="preserve">   </w:t>
            </w:r>
          </w:p>
          <w:p w:rsidR="00CF2AC1" w:rsidRPr="005A615E" w:rsidRDefault="00CF2AC1" w:rsidP="00CF2AC1">
            <w:pPr>
              <w:pStyle w:val="rvps2"/>
              <w:spacing w:beforeAutospacing="0" w:afterAutospacing="0"/>
              <w:ind w:firstLine="343"/>
              <w:jc w:val="both"/>
              <w:rPr>
                <w:b/>
                <w:sz w:val="22"/>
                <w:szCs w:val="22"/>
                <w:lang w:val="uk-UA"/>
              </w:rPr>
            </w:pPr>
          </w:p>
          <w:p w:rsidR="00CF2AC1" w:rsidRPr="005A615E" w:rsidRDefault="00CF2AC1" w:rsidP="00CF2AC1">
            <w:pPr>
              <w:pStyle w:val="rvps2"/>
              <w:spacing w:beforeAutospacing="0" w:afterAutospacing="0"/>
              <w:ind w:firstLine="343"/>
              <w:jc w:val="both"/>
              <w:rPr>
                <w:b/>
                <w:sz w:val="22"/>
                <w:szCs w:val="22"/>
              </w:rPr>
            </w:pPr>
            <w:r w:rsidRPr="005A615E">
              <w:rPr>
                <w:b/>
                <w:sz w:val="22"/>
                <w:szCs w:val="22"/>
              </w:rPr>
              <w:t>Додаток 3</w:t>
            </w:r>
            <w:r w:rsidRPr="005A615E">
              <w:rPr>
                <w:b/>
                <w:sz w:val="22"/>
                <w:szCs w:val="22"/>
                <w:lang w:val="uk-UA"/>
              </w:rPr>
              <w:t>7</w:t>
            </w:r>
            <w:r w:rsidRPr="005A615E">
              <w:rPr>
                <w:b/>
                <w:sz w:val="22"/>
                <w:szCs w:val="22"/>
              </w:rPr>
              <w:t xml:space="preserve"> вилучити</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 xml:space="preserve"> </w:t>
            </w:r>
          </w:p>
          <w:p w:rsidR="00CF2AC1" w:rsidRPr="005A615E" w:rsidRDefault="00CF2AC1" w:rsidP="00CF2AC1">
            <w:pPr>
              <w:pStyle w:val="rvps2"/>
              <w:spacing w:beforeAutospacing="0" w:afterAutospacing="0"/>
              <w:ind w:firstLine="343"/>
              <w:jc w:val="both"/>
              <w:rPr>
                <w:b/>
                <w:i/>
                <w:sz w:val="22"/>
                <w:szCs w:val="22"/>
                <w:u w:val="single"/>
                <w:lang w:val="uk-UA"/>
              </w:rPr>
            </w:pPr>
            <w:r w:rsidRPr="005A615E">
              <w:rPr>
                <w:b/>
                <w:i/>
                <w:sz w:val="22"/>
                <w:szCs w:val="22"/>
                <w:u w:val="single"/>
                <w:lang w:val="uk-UA"/>
              </w:rPr>
              <w:t>Обгрунтування</w:t>
            </w:r>
          </w:p>
          <w:p w:rsidR="00CF2AC1" w:rsidRPr="005A615E" w:rsidRDefault="00CF2AC1" w:rsidP="00CF2AC1">
            <w:pPr>
              <w:jc w:val="both"/>
              <w:rPr>
                <w:rFonts w:ascii="Times New Roman" w:hAnsi="Times New Roman"/>
              </w:rPr>
            </w:pPr>
            <w:r w:rsidRPr="005A615E">
              <w:rPr>
                <w:rFonts w:ascii="Times New Roman" w:hAnsi="Times New Roman"/>
              </w:rPr>
              <w:t xml:space="preserve">1.Згідно з Порядком забезпечення стандартів якості (затверджений постановою НКРЕКП від 12 червня 2018 року N 375) передбачено необхідність виплати адресних компенсацій за недотримання показників якості у разі порущень ОСР встановлених строків або стандартів напруги. </w:t>
            </w:r>
          </w:p>
          <w:p w:rsidR="00CF2AC1" w:rsidRPr="005A615E" w:rsidRDefault="00CF2AC1" w:rsidP="00CF2AC1">
            <w:pPr>
              <w:jc w:val="both"/>
              <w:rPr>
                <w:rFonts w:ascii="Times New Roman" w:hAnsi="Times New Roman"/>
              </w:rPr>
            </w:pPr>
            <w:r w:rsidRPr="005A615E">
              <w:rPr>
                <w:rFonts w:ascii="Times New Roman" w:hAnsi="Times New Roman"/>
              </w:rPr>
              <w:t xml:space="preserve">2. </w:t>
            </w:r>
            <w:hyperlink r:id="rId395" w:tgtFrame="_blank" w:history="1">
              <w:r w:rsidRPr="005A615E">
                <w:rPr>
                  <w:rStyle w:val="a9"/>
                  <w:rFonts w:ascii="Times New Roman" w:hAnsi="Times New Roman"/>
                  <w:color w:val="auto"/>
                </w:rPr>
                <w:t>Кодексом системи розподілу</w:t>
              </w:r>
            </w:hyperlink>
            <w:r w:rsidRPr="005A615E">
              <w:rPr>
                <w:rFonts w:ascii="Times New Roman" w:hAnsi="Times New Roman"/>
              </w:rPr>
              <w:t xml:space="preserve"> передбачено механізм захисту прав споживача шляхом зниження вартості послуги, якщо ОСР протермінував виконання робіт із приєднання. Також, НКРЕКП за результатами перевірки накладає ОСР фінансовий штраф у разі порушення надання послуги з приєднання.</w:t>
            </w:r>
          </w:p>
          <w:p w:rsidR="00CF2AC1" w:rsidRPr="005A615E" w:rsidRDefault="00CF2AC1" w:rsidP="00CF2AC1">
            <w:pPr>
              <w:jc w:val="both"/>
              <w:rPr>
                <w:rFonts w:ascii="Times New Roman" w:hAnsi="Times New Roman"/>
              </w:rPr>
            </w:pPr>
            <w:r w:rsidRPr="005A615E">
              <w:rPr>
                <w:rFonts w:ascii="Times New Roman" w:hAnsi="Times New Roman"/>
              </w:rPr>
              <w:t>3. Вимоги із забезпечення автоматизованого дистанційного зчитуванням даних з вузлів обліку регулюється Кодексом комерційного обліку електричної енергії (ККОЕЕ). Відповідно до п. 2.3 Ліцензійних умов, ОСР має забезпечувати та здійснювати комерційний облік електричної енергії та обмін даними комерційного обліку відповідно до правил ринку та </w:t>
            </w:r>
            <w:hyperlink r:id="rId396" w:anchor="n9" w:tgtFrame="_blank" w:history="1">
              <w:r w:rsidRPr="005A615E">
                <w:rPr>
                  <w:rStyle w:val="a9"/>
                  <w:rFonts w:ascii="Times New Roman" w:hAnsi="Times New Roman"/>
                  <w:color w:val="auto"/>
                </w:rPr>
                <w:t>кодексу комерційного обліку</w:t>
              </w:r>
            </w:hyperlink>
            <w:r w:rsidRPr="005A615E">
              <w:rPr>
                <w:rFonts w:ascii="Times New Roman" w:hAnsi="Times New Roman"/>
              </w:rPr>
              <w:t>. Недотримання цієї вимоги вважається невиконанням Ліцензійних умов, за результатами чого застосовуються штрафи за результатами перевірок.</w:t>
            </w:r>
          </w:p>
          <w:p w:rsidR="00CF2AC1" w:rsidRPr="005A615E" w:rsidRDefault="00CF2AC1" w:rsidP="00CF2AC1">
            <w:pPr>
              <w:jc w:val="both"/>
              <w:rPr>
                <w:rFonts w:ascii="Times New Roman" w:hAnsi="Times New Roman"/>
              </w:rPr>
            </w:pPr>
            <w:r w:rsidRPr="005A615E">
              <w:rPr>
                <w:rFonts w:ascii="Times New Roman" w:hAnsi="Times New Roman"/>
              </w:rPr>
              <w:t>4. Вимоги щодо періодичності контрольних оглядів вузлів обліку електричної енергії визначаються Кодексом комерційного обліку електричної енергії. Порушення ККОЕЕ є порушенням ліцензійних умов діяльності ОСР, за результатами перевірок  застосовуються штрафні санкції до ОСР.</w:t>
            </w:r>
          </w:p>
          <w:p w:rsidR="00CF2AC1" w:rsidRPr="005A615E" w:rsidRDefault="00CF2AC1" w:rsidP="00CF2AC1">
            <w:pPr>
              <w:jc w:val="both"/>
              <w:rPr>
                <w:rFonts w:ascii="Times New Roman" w:hAnsi="Times New Roman"/>
              </w:rPr>
            </w:pPr>
            <w:r w:rsidRPr="005A615E">
              <w:rPr>
                <w:rFonts w:ascii="Times New Roman" w:hAnsi="Times New Roman"/>
              </w:rPr>
              <w:t xml:space="preserve">5. Відповідно до ПНКРЕКП від 12.06.2018 №375 до загальних стандартів якості надання послуг ОСР належать рівень сервісу кол-центру протягом 30 секунд (відсоток дзвінків, з'єднаних з оператором кол-центру протягом 30 секунд) у звітному році - не менше 75 %, індекс відсотка втрачених у черзі дзвінків кол-центру у звітному році ≤ 10 %. Питання функціонування кол-центрів включено до ліцензійних вимог провадження діяльності з розподілу, у разі його невиконання передбачені штрафи за результатами перевірок. </w:t>
            </w:r>
          </w:p>
          <w:p w:rsidR="00CF2AC1" w:rsidRPr="005A615E" w:rsidRDefault="00CF2AC1" w:rsidP="00CF2AC1">
            <w:pPr>
              <w:shd w:val="clear" w:color="auto" w:fill="FFFFFF"/>
              <w:jc w:val="both"/>
              <w:rPr>
                <w:rFonts w:ascii="Times New Roman" w:hAnsi="Times New Roman"/>
              </w:rPr>
            </w:pPr>
            <w:r w:rsidRPr="005A615E">
              <w:rPr>
                <w:rFonts w:ascii="Times New Roman" w:hAnsi="Times New Roman"/>
              </w:rPr>
              <w:t>Таким чином за результатами щорічних перевірок ліцензованої діяльності згідно Порядку нарахування штрафів (постанова №1800 від 29.09.2023) нараховується штраф за кожний вид порушення з урахуванням кількості споживачів, тривалості тощо.</w:t>
            </w:r>
          </w:p>
          <w:p w:rsidR="00CF2AC1" w:rsidRPr="005A615E" w:rsidRDefault="00CF2AC1" w:rsidP="00CF2AC1">
            <w:pPr>
              <w:shd w:val="clear" w:color="auto" w:fill="FFFFFF"/>
              <w:jc w:val="both"/>
              <w:rPr>
                <w:rFonts w:ascii="Times New Roman" w:hAnsi="Times New Roman"/>
                <w:b/>
                <w:bCs/>
              </w:rPr>
            </w:pPr>
            <w:r w:rsidRPr="005A615E">
              <w:rPr>
                <w:rFonts w:ascii="Times New Roman" w:hAnsi="Times New Roman"/>
                <w:b/>
                <w:bCs/>
              </w:rPr>
              <w:t xml:space="preserve">Таким чином, вищезазначені в підпункті 9 показники якості  регулюються положеннями вже діючих документів. Додаткова фіксація цих вимог в іншому документі НКРЕКП призведе до подвоєння штрафів за однакові порушення. </w:t>
            </w:r>
          </w:p>
          <w:p w:rsidR="00CF2AC1" w:rsidRPr="005A615E" w:rsidRDefault="00CF2AC1" w:rsidP="00C722CC">
            <w:pPr>
              <w:jc w:val="both"/>
              <w:rPr>
                <w:rFonts w:ascii="Times New Roman" w:hAnsi="Times New Roman"/>
                <w:b/>
                <w:sz w:val="28"/>
              </w:rPr>
            </w:pPr>
            <w:r w:rsidRPr="005A615E">
              <w:rPr>
                <w:rFonts w:ascii="Times New Roman" w:hAnsi="Times New Roman"/>
                <w:shd w:val="clear" w:color="auto" w:fill="FFFFFF"/>
              </w:rPr>
              <w:t>У разі запровадження індексів, що визначаються по запропонованим формулам, коригування необхідного доходу на значення цих індексів, може перевищувати тарифний рівень річного доходу ОСР.</w:t>
            </w:r>
          </w:p>
        </w:tc>
        <w:tc>
          <w:tcPr>
            <w:tcW w:w="3969" w:type="dxa"/>
            <w:gridSpan w:val="2"/>
          </w:tcPr>
          <w:p w:rsidR="00EE761E" w:rsidRPr="005A615E" w:rsidRDefault="00EE761E" w:rsidP="00EE761E">
            <w:pPr>
              <w:rPr>
                <w:rFonts w:ascii="Times New Roman" w:hAnsi="Times New Roman"/>
                <w:b/>
                <w:sz w:val="24"/>
              </w:rPr>
            </w:pPr>
            <w:r w:rsidRPr="005A615E">
              <w:rPr>
                <w:rFonts w:ascii="Times New Roman" w:hAnsi="Times New Roman"/>
                <w:b/>
                <w:sz w:val="24"/>
              </w:rPr>
              <w:t>Враховано</w:t>
            </w:r>
          </w:p>
          <w:p w:rsidR="00CF2AC1" w:rsidRPr="005A615E" w:rsidRDefault="00EE761E" w:rsidP="00EE761E">
            <w:pPr>
              <w:rPr>
                <w:rFonts w:ascii="Times New Roman" w:hAnsi="Times New Roman"/>
                <w:b/>
                <w:sz w:val="28"/>
              </w:rPr>
            </w:pPr>
            <w:r w:rsidRPr="005A615E">
              <w:rPr>
                <w:rFonts w:ascii="Times New Roman" w:hAnsi="Times New Roman"/>
                <w:b/>
                <w:sz w:val="28"/>
              </w:rPr>
              <w:t xml:space="preserve"> </w:t>
            </w:r>
          </w:p>
        </w:tc>
      </w:tr>
      <w:tr w:rsidR="00C722CC" w:rsidRPr="005A615E" w:rsidTr="00A56FEE">
        <w:tc>
          <w:tcPr>
            <w:tcW w:w="6232" w:type="dxa"/>
            <w:shd w:val="clear" w:color="auto" w:fill="auto"/>
          </w:tcPr>
          <w:p w:rsidR="00C722CC" w:rsidRPr="005A615E" w:rsidRDefault="00C722CC" w:rsidP="00CF2AC1">
            <w:pPr>
              <w:shd w:val="clear" w:color="auto" w:fill="FFFFFF"/>
              <w:spacing w:before="150" w:after="150"/>
              <w:ind w:left="450" w:right="450"/>
              <w:rPr>
                <w:rFonts w:ascii="Times New Roman" w:hAnsi="Times New Roman" w:cs="Times New Roman"/>
                <w:b/>
                <w:sz w:val="28"/>
                <w:szCs w:val="28"/>
              </w:rPr>
            </w:pPr>
            <w:r w:rsidRPr="005A615E">
              <w:rPr>
                <w:rFonts w:ascii="Times New Roman" w:hAnsi="Times New Roman" w:cs="Times New Roman"/>
                <w:b/>
                <w:szCs w:val="28"/>
              </w:rPr>
              <w:t>Зміни не пропонувались</w:t>
            </w:r>
          </w:p>
        </w:tc>
        <w:tc>
          <w:tcPr>
            <w:tcW w:w="5387" w:type="dxa"/>
          </w:tcPr>
          <w:p w:rsidR="00C722CC" w:rsidRPr="005A615E" w:rsidRDefault="00C722CC" w:rsidP="00C722CC">
            <w:pPr>
              <w:spacing w:after="75"/>
              <w:ind w:firstLine="240"/>
              <w:jc w:val="both"/>
              <w:rPr>
                <w:rFonts w:ascii="Times New Roman" w:hAnsi="Times New Roman"/>
                <w:b/>
                <w:u w:val="single"/>
              </w:rPr>
            </w:pPr>
            <w:r w:rsidRPr="005A615E">
              <w:rPr>
                <w:rFonts w:ascii="Times New Roman" w:hAnsi="Times New Roman"/>
                <w:b/>
                <w:u w:val="single"/>
              </w:rPr>
              <w:t xml:space="preserve">НКРЕКП </w:t>
            </w:r>
          </w:p>
          <w:p w:rsidR="00C722CC" w:rsidRPr="005A615E" w:rsidRDefault="00C722CC" w:rsidP="00C722CC">
            <w:pPr>
              <w:spacing w:after="75"/>
              <w:ind w:firstLine="240"/>
              <w:jc w:val="both"/>
              <w:rPr>
                <w:rFonts w:ascii="Times New Roman" w:hAnsi="Times New Roman"/>
                <w:b/>
              </w:rPr>
            </w:pPr>
            <w:r w:rsidRPr="005A615E">
              <w:rPr>
                <w:rFonts w:ascii="Times New Roman" w:hAnsi="Times New Roman"/>
                <w:b/>
              </w:rPr>
              <w:t>У звязку зі змінами складових витрат тарифів та необхідності забезпечення прозорого розрахунку складових НКРЕКП пропонує Переглянути редакцію існуючих додаткив до Порядку № 1175 та доповнити додатковими, зокрема:</w:t>
            </w:r>
          </w:p>
          <w:p w:rsidR="00C722CC" w:rsidRPr="005A615E" w:rsidRDefault="00C722CC" w:rsidP="00C722CC">
            <w:pPr>
              <w:spacing w:after="75"/>
              <w:ind w:firstLine="240"/>
              <w:jc w:val="both"/>
              <w:rPr>
                <w:rFonts w:ascii="Times New Roman" w:hAnsi="Times New Roman"/>
                <w:b/>
              </w:rPr>
            </w:pPr>
            <w:r w:rsidRPr="005A615E">
              <w:rPr>
                <w:rFonts w:ascii="Times New Roman" w:hAnsi="Times New Roman"/>
                <w:b/>
              </w:rPr>
              <w:t>Додаток 3 «Розрахунок прогнозованого необхідного доходу  від здійснення діяльності з розподілу електричної енергії на регуляторний період»</w:t>
            </w:r>
          </w:p>
          <w:p w:rsidR="00C722CC" w:rsidRPr="005A615E" w:rsidRDefault="00C722CC" w:rsidP="00C722CC">
            <w:pPr>
              <w:spacing w:after="75"/>
              <w:ind w:firstLine="240"/>
              <w:jc w:val="both"/>
              <w:rPr>
                <w:rFonts w:ascii="Times New Roman" w:hAnsi="Times New Roman"/>
                <w:b/>
              </w:rPr>
            </w:pPr>
            <w:r w:rsidRPr="005A615E">
              <w:rPr>
                <w:rFonts w:ascii="Times New Roman" w:hAnsi="Times New Roman"/>
                <w:b/>
              </w:rPr>
              <w:t>Додаток 5</w:t>
            </w:r>
            <w:r w:rsidRPr="005A615E">
              <w:t xml:space="preserve"> «</w:t>
            </w:r>
            <w:r w:rsidRPr="005A615E">
              <w:rPr>
                <w:rFonts w:ascii="Times New Roman" w:hAnsi="Times New Roman"/>
                <w:b/>
              </w:rPr>
              <w:t>Розрахунок фонду оплати праці на послуги з розподілу електричної енергії на кожен рік регуляторного періоду»</w:t>
            </w:r>
          </w:p>
          <w:p w:rsidR="00C722CC" w:rsidRPr="005A615E" w:rsidRDefault="00C722CC" w:rsidP="00C722CC">
            <w:pPr>
              <w:spacing w:after="75"/>
              <w:ind w:firstLine="240"/>
              <w:jc w:val="both"/>
              <w:rPr>
                <w:rFonts w:ascii="Times New Roman" w:hAnsi="Times New Roman"/>
                <w:b/>
              </w:rPr>
            </w:pPr>
            <w:r w:rsidRPr="005A615E">
              <w:rPr>
                <w:rFonts w:ascii="Times New Roman" w:hAnsi="Times New Roman"/>
                <w:b/>
              </w:rPr>
              <w:t>Додаток 6 «Розрахунок операційних неконтрольованих витрат на послуги з розподілу електричної енергії  на кожен  рік регуляторного періоду»</w:t>
            </w:r>
          </w:p>
          <w:p w:rsidR="00C722CC" w:rsidRPr="005A615E" w:rsidRDefault="00C722CC" w:rsidP="00C722CC">
            <w:pPr>
              <w:spacing w:after="75"/>
              <w:ind w:firstLine="240"/>
              <w:jc w:val="both"/>
              <w:rPr>
                <w:rFonts w:ascii="Times New Roman" w:hAnsi="Times New Roman"/>
                <w:b/>
              </w:rPr>
            </w:pPr>
            <w:r w:rsidRPr="005A615E">
              <w:rPr>
                <w:rFonts w:ascii="Times New Roman" w:hAnsi="Times New Roman"/>
                <w:b/>
              </w:rPr>
              <w:t>Додаток 17 «Розрахунок коригування необхідного доходу відповідно до даних  виконання цільового завдання щодо досягнення показників якості послуг з розподілу електричної  енергії»</w:t>
            </w:r>
          </w:p>
          <w:p w:rsidR="00C722CC" w:rsidRPr="005A615E" w:rsidRDefault="00C722CC" w:rsidP="00C722CC">
            <w:pPr>
              <w:spacing w:after="75"/>
              <w:ind w:firstLine="240"/>
              <w:jc w:val="both"/>
              <w:rPr>
                <w:rFonts w:ascii="Times New Roman" w:hAnsi="Times New Roman"/>
                <w:b/>
              </w:rPr>
            </w:pPr>
            <w:r w:rsidRPr="005A615E">
              <w:rPr>
                <w:rFonts w:ascii="Times New Roman" w:hAnsi="Times New Roman"/>
                <w:b/>
              </w:rPr>
              <w:t>Додаток 29 «Розрахунок тарифів на послуги з розподілу електричної енергії  (у разі застосування  стимулюючого регулювання) на прогнозний регуляторний період»</w:t>
            </w:r>
          </w:p>
          <w:p w:rsidR="00C722CC" w:rsidRPr="005A615E" w:rsidRDefault="00C722CC" w:rsidP="00C722CC">
            <w:pPr>
              <w:spacing w:after="75" w:line="259" w:lineRule="auto"/>
              <w:ind w:firstLine="240"/>
              <w:jc w:val="both"/>
              <w:rPr>
                <w:rFonts w:ascii="Times New Roman" w:hAnsi="Times New Roman"/>
                <w:b/>
                <w:sz w:val="24"/>
                <w:u w:val="single"/>
              </w:rPr>
            </w:pPr>
            <w:r w:rsidRPr="005A615E">
              <w:rPr>
                <w:rFonts w:ascii="Times New Roman" w:hAnsi="Times New Roman"/>
                <w:b/>
              </w:rPr>
              <w:t>Додаток 37 «Розрахунок базових операційних контрольованих витрат на послуги з розподілу електричної енергії на перший (другий) рік другого та наступних регуляторних періодів»</w:t>
            </w:r>
            <w:r w:rsidRPr="005A615E">
              <w:rPr>
                <w:rFonts w:ascii="Times New Roman" w:hAnsi="Times New Roman"/>
                <w:b/>
                <w:lang w:val="ru-RU"/>
              </w:rPr>
              <w:t xml:space="preserve"> (</w:t>
            </w:r>
            <w:r w:rsidRPr="005A615E">
              <w:rPr>
                <w:rFonts w:ascii="Times New Roman" w:hAnsi="Times New Roman"/>
                <w:b/>
              </w:rPr>
              <w:t>новий, взамін запропонованого проєктом постанови</w:t>
            </w:r>
            <w:r w:rsidRPr="005A615E">
              <w:rPr>
                <w:rFonts w:ascii="Times New Roman" w:hAnsi="Times New Roman"/>
                <w:b/>
                <w:lang w:val="ru-RU"/>
              </w:rPr>
              <w:t>)</w:t>
            </w:r>
          </w:p>
        </w:tc>
        <w:tc>
          <w:tcPr>
            <w:tcW w:w="3969" w:type="dxa"/>
            <w:gridSpan w:val="2"/>
          </w:tcPr>
          <w:p w:rsidR="00C722CC" w:rsidRPr="005A615E" w:rsidRDefault="00C722CC" w:rsidP="00D9773C">
            <w:pPr>
              <w:rPr>
                <w:rFonts w:ascii="Times New Roman" w:hAnsi="Times New Roman"/>
                <w:b/>
                <w:sz w:val="24"/>
              </w:rPr>
            </w:pPr>
            <w:r w:rsidRPr="005A615E">
              <w:rPr>
                <w:rFonts w:ascii="Times New Roman" w:hAnsi="Times New Roman"/>
                <w:b/>
                <w:sz w:val="24"/>
              </w:rPr>
              <w:t>Додатки див. нижче</w:t>
            </w:r>
          </w:p>
        </w:tc>
      </w:tr>
      <w:tr w:rsidR="00C722CC" w:rsidRPr="005A615E" w:rsidTr="00A56FEE">
        <w:tc>
          <w:tcPr>
            <w:tcW w:w="15588" w:type="dxa"/>
            <w:gridSpan w:val="4"/>
          </w:tcPr>
          <w:tbl>
            <w:tblPr>
              <w:tblW w:w="15486" w:type="dxa"/>
              <w:tblLayout w:type="fixed"/>
              <w:tblLook w:val="04A0" w:firstRow="1" w:lastRow="0" w:firstColumn="1" w:lastColumn="0" w:noHBand="0" w:noVBand="1"/>
            </w:tblPr>
            <w:tblGrid>
              <w:gridCol w:w="580"/>
              <w:gridCol w:w="4262"/>
              <w:gridCol w:w="708"/>
              <w:gridCol w:w="1134"/>
              <w:gridCol w:w="709"/>
              <w:gridCol w:w="992"/>
              <w:gridCol w:w="851"/>
              <w:gridCol w:w="709"/>
              <w:gridCol w:w="708"/>
              <w:gridCol w:w="709"/>
              <w:gridCol w:w="709"/>
              <w:gridCol w:w="90"/>
              <w:gridCol w:w="760"/>
              <w:gridCol w:w="105"/>
              <w:gridCol w:w="604"/>
              <w:gridCol w:w="120"/>
              <w:gridCol w:w="1616"/>
              <w:gridCol w:w="15"/>
              <w:gridCol w:w="15"/>
              <w:gridCol w:w="90"/>
            </w:tblGrid>
            <w:tr w:rsidR="00C722CC" w:rsidRPr="005A615E" w:rsidTr="00C722CC">
              <w:trPr>
                <w:gridAfter w:val="3"/>
                <w:wAfter w:w="120" w:type="dxa"/>
                <w:trHeight w:val="315"/>
              </w:trPr>
              <w:tc>
                <w:tcPr>
                  <w:tcW w:w="58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bookmarkStart w:id="17" w:name="RANGE!A1:N29"/>
                  <w:bookmarkEnd w:id="17"/>
                </w:p>
              </w:tc>
              <w:tc>
                <w:tcPr>
                  <w:tcW w:w="426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Додаток 3</w:t>
                  </w: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p>
              </w:tc>
              <w:tc>
                <w:tcPr>
                  <w:tcW w:w="173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r>
            <w:tr w:rsidR="00C722CC" w:rsidRPr="005A615E" w:rsidTr="00C722CC">
              <w:trPr>
                <w:gridAfter w:val="1"/>
                <w:wAfter w:w="90" w:type="dxa"/>
                <w:trHeight w:val="1020"/>
              </w:trPr>
              <w:tc>
                <w:tcPr>
                  <w:tcW w:w="58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426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992"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1"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3325" w:type="dxa"/>
                  <w:gridSpan w:val="8"/>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xml:space="preserve">до Порядку встановлення (формування) тарифів на послуги з розподілу електричної енергії </w:t>
                  </w:r>
                </w:p>
              </w:tc>
            </w:tr>
            <w:tr w:rsidR="00C722CC" w:rsidRPr="005A615E" w:rsidTr="00C722CC">
              <w:trPr>
                <w:trHeight w:val="405"/>
              </w:trPr>
              <w:tc>
                <w:tcPr>
                  <w:tcW w:w="15486" w:type="dxa"/>
                  <w:gridSpan w:val="20"/>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xml:space="preserve">Розрахунок прогнозованого необхідного доходу  від здійснення діяльності з розподілу електричної енергії на регуляторний період </w:t>
                  </w:r>
                </w:p>
              </w:tc>
            </w:tr>
            <w:tr w:rsidR="00C722CC" w:rsidRPr="005A615E" w:rsidTr="00C722CC">
              <w:trPr>
                <w:trHeight w:val="510"/>
              </w:trPr>
              <w:tc>
                <w:tcPr>
                  <w:tcW w:w="58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p>
              </w:tc>
              <w:tc>
                <w:tcPr>
                  <w:tcW w:w="14906" w:type="dxa"/>
                  <w:gridSpan w:val="19"/>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0"/>
                      <w:lang w:eastAsia="uk-UA"/>
                    </w:rPr>
                  </w:pPr>
                </w:p>
              </w:tc>
            </w:tr>
            <w:tr w:rsidR="00C722CC" w:rsidRPr="005A615E" w:rsidTr="00C722CC">
              <w:trPr>
                <w:gridAfter w:val="2"/>
                <w:wAfter w:w="105" w:type="dxa"/>
                <w:trHeight w:val="33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з\п</w:t>
                  </w:r>
                </w:p>
              </w:tc>
              <w:tc>
                <w:tcPr>
                  <w:tcW w:w="4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Складові необхідного доходу</w:t>
                  </w:r>
                </w:p>
              </w:tc>
              <w:tc>
                <w:tcPr>
                  <w:tcW w:w="18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Рік t</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Рік t+1</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Рік t+2</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Рік t+3</w:t>
                  </w:r>
                </w:p>
              </w:tc>
              <w:tc>
                <w:tcPr>
                  <w:tcW w:w="1559" w:type="dxa"/>
                  <w:gridSpan w:val="3"/>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Рік t+4</w:t>
                  </w:r>
                </w:p>
              </w:tc>
              <w:tc>
                <w:tcPr>
                  <w:tcW w:w="2460" w:type="dxa"/>
                  <w:gridSpan w:val="5"/>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Рік t+5</w:t>
                  </w:r>
                </w:p>
              </w:tc>
            </w:tr>
            <w:tr w:rsidR="00C722CC" w:rsidRPr="005A615E" w:rsidTr="00C722CC">
              <w:trPr>
                <w:gridAfter w:val="3"/>
                <w:wAfter w:w="120" w:type="dxa"/>
                <w:trHeight w:val="1005"/>
              </w:trPr>
              <w:tc>
                <w:tcPr>
                  <w:tcW w:w="580"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p>
              </w:tc>
              <w:tc>
                <w:tcPr>
                  <w:tcW w:w="4262"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w:t>
                  </w:r>
                </w:p>
              </w:tc>
              <w:tc>
                <w:tcPr>
                  <w:tcW w:w="113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 (уточнений)</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 (уточнений)</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 (уточнений)</w:t>
                  </w: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 (уточнений)</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 (уточнений)</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w:t>
                  </w:r>
                </w:p>
              </w:tc>
              <w:tc>
                <w:tcPr>
                  <w:tcW w:w="173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прогнозований (уточнений)</w:t>
                  </w:r>
                </w:p>
              </w:tc>
            </w:tr>
            <w:tr w:rsidR="00C722CC" w:rsidRPr="005A615E" w:rsidTr="00C722CC">
              <w:trPr>
                <w:gridAfter w:val="3"/>
                <w:wAfter w:w="120"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А</w:t>
                  </w:r>
                </w:p>
              </w:tc>
              <w:tc>
                <w:tcPr>
                  <w:tcW w:w="426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Б</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1</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2</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3</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4</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5</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6</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7</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8</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9</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10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11</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12</w:t>
                  </w:r>
                </w:p>
              </w:tc>
            </w:tr>
            <w:tr w:rsidR="00C722CC" w:rsidRPr="005A615E" w:rsidTr="00C722CC">
              <w:trPr>
                <w:gridAfter w:val="3"/>
                <w:wAfter w:w="120" w:type="dxa"/>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1</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Операційні контрольовані витрати</w:t>
                  </w:r>
                  <w:r w:rsidRPr="005A615E">
                    <w:rPr>
                      <w:rFonts w:ascii="Times New Roman" w:eastAsia="Times New Roman" w:hAnsi="Times New Roman" w:cs="Times New Roman"/>
                      <w:b/>
                      <w:bCs/>
                      <w:sz w:val="16"/>
                      <w:szCs w:val="24"/>
                      <w:lang w:eastAsia="uk-UA"/>
                    </w:rPr>
                    <w:t xml:space="preserve"> (ОКВ)</w:t>
                  </w:r>
                  <w:r w:rsidRPr="005A615E">
                    <w:rPr>
                      <w:rFonts w:ascii="Times New Roman" w:eastAsia="Times New Roman" w:hAnsi="Times New Roman" w:cs="Times New Roman"/>
                      <w:sz w:val="16"/>
                      <w:szCs w:val="24"/>
                      <w:lang w:eastAsia="uk-UA"/>
                    </w:rPr>
                    <w:t>,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2</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у т. ч. фонд оплати праці (</w:t>
                  </w:r>
                  <w:r w:rsidRPr="005A615E">
                    <w:rPr>
                      <w:rFonts w:ascii="Times New Roman" w:eastAsia="Times New Roman" w:hAnsi="Times New Roman" w:cs="Times New Roman"/>
                      <w:b/>
                      <w:bCs/>
                      <w:sz w:val="16"/>
                      <w:szCs w:val="24"/>
                      <w:lang w:eastAsia="uk-UA"/>
                    </w:rPr>
                    <w:t>ФОП</w:t>
                  </w:r>
                  <w:r w:rsidRPr="005A615E">
                    <w:rPr>
                      <w:rFonts w:ascii="Times New Roman" w:eastAsia="Times New Roman" w:hAnsi="Times New Roman" w:cs="Times New Roman"/>
                      <w:sz w:val="16"/>
                      <w:szCs w:val="24"/>
                      <w:lang w:eastAsia="uk-UA"/>
                    </w:rPr>
                    <w:t>),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3</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Операційні неконтрольовані витрати (</w:t>
                  </w:r>
                  <w:r w:rsidRPr="005A615E">
                    <w:rPr>
                      <w:rFonts w:ascii="Times New Roman" w:eastAsia="Times New Roman" w:hAnsi="Times New Roman" w:cs="Times New Roman"/>
                      <w:b/>
                      <w:bCs/>
                      <w:sz w:val="16"/>
                      <w:szCs w:val="24"/>
                      <w:lang w:eastAsia="uk-UA"/>
                    </w:rPr>
                    <w:t>ОНВ</w:t>
                  </w:r>
                  <w:r w:rsidRPr="005A615E">
                    <w:rPr>
                      <w:rFonts w:ascii="Times New Roman" w:eastAsia="Times New Roman" w:hAnsi="Times New Roman" w:cs="Times New Roman"/>
                      <w:sz w:val="16"/>
                      <w:szCs w:val="24"/>
                      <w:lang w:eastAsia="uk-UA"/>
                    </w:rPr>
                    <w:t xml:space="preserve">), тис. грн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4</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xml:space="preserve"> у т. ч. єдиний соціальний внесок на загальнообов’язкове державне соціальне страхування (</w:t>
                  </w:r>
                  <w:r w:rsidRPr="005A615E">
                    <w:rPr>
                      <w:rFonts w:ascii="Times New Roman" w:eastAsia="Times New Roman" w:hAnsi="Times New Roman" w:cs="Times New Roman"/>
                      <w:b/>
                      <w:bCs/>
                      <w:sz w:val="16"/>
                      <w:szCs w:val="24"/>
                      <w:lang w:eastAsia="uk-UA"/>
                    </w:rPr>
                    <w:t>Нфоп</w:t>
                  </w:r>
                  <w:r w:rsidRPr="005A615E">
                    <w:rPr>
                      <w:rFonts w:ascii="Times New Roman" w:eastAsia="Times New Roman" w:hAnsi="Times New Roman" w:cs="Times New Roman"/>
                      <w:sz w:val="16"/>
                      <w:szCs w:val="24"/>
                      <w:lang w:eastAsia="uk-UA"/>
                    </w:rPr>
                    <w:t>),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5</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Вартість прогнозованих витрат, пов’язаних з купівлею електричної енергії з метою компенсації технологічних витрат електричної енергії на її розподіл (</w:t>
                  </w:r>
                  <w:r w:rsidRPr="005A615E">
                    <w:rPr>
                      <w:rFonts w:ascii="Times New Roman" w:eastAsia="Times New Roman" w:hAnsi="Times New Roman" w:cs="Times New Roman"/>
                      <w:b/>
                      <w:bCs/>
                      <w:sz w:val="16"/>
                      <w:szCs w:val="24"/>
                      <w:lang w:eastAsia="uk-UA"/>
                    </w:rPr>
                    <w:t>ВТ</w:t>
                  </w:r>
                  <w:r w:rsidRPr="005A615E">
                    <w:rPr>
                      <w:rFonts w:ascii="Times New Roman" w:eastAsia="Times New Roman" w:hAnsi="Times New Roman" w:cs="Times New Roman"/>
                      <w:sz w:val="16"/>
                      <w:szCs w:val="24"/>
                      <w:lang w:eastAsia="uk-UA"/>
                    </w:rPr>
                    <w:t xml:space="preserve">) </w:t>
                  </w:r>
                  <w:r w:rsidRPr="005A615E">
                    <w:rPr>
                      <w:rFonts w:ascii="Times New Roman" w:eastAsia="Times New Roman" w:hAnsi="Times New Roman" w:cs="Times New Roman"/>
                      <w:b/>
                      <w:bCs/>
                      <w:sz w:val="16"/>
                      <w:szCs w:val="24"/>
                      <w:lang w:eastAsia="uk-UA"/>
                    </w:rPr>
                    <w:t>усього</w:t>
                  </w:r>
                  <w:r w:rsidRPr="005A615E">
                    <w:rPr>
                      <w:rFonts w:ascii="Times New Roman" w:eastAsia="Times New Roman" w:hAnsi="Times New Roman" w:cs="Times New Roman"/>
                      <w:sz w:val="16"/>
                      <w:szCs w:val="24"/>
                      <w:lang w:eastAsia="uk-UA"/>
                    </w:rPr>
                    <w:t>,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5.1.</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у тому числі на першому класі напруги,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5.2.</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у тому числі на першому класі напруги,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1260"/>
              </w:trPr>
              <w:tc>
                <w:tcPr>
                  <w:tcW w:w="580" w:type="dxa"/>
                  <w:tcBorders>
                    <w:top w:val="nil"/>
                    <w:left w:val="single" w:sz="4" w:space="0" w:color="auto"/>
                    <w:bottom w:val="single" w:sz="4" w:space="0" w:color="auto"/>
                    <w:right w:val="single" w:sz="4" w:space="0" w:color="auto"/>
                  </w:tcBorders>
                  <w:shd w:val="clear" w:color="000000" w:fill="FFFF00"/>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5.3.</w:t>
                  </w:r>
                </w:p>
              </w:tc>
              <w:tc>
                <w:tcPr>
                  <w:tcW w:w="4262" w:type="dxa"/>
                  <w:tcBorders>
                    <w:top w:val="nil"/>
                    <w:left w:val="nil"/>
                    <w:bottom w:val="single" w:sz="4" w:space="0" w:color="auto"/>
                    <w:right w:val="single" w:sz="4" w:space="0" w:color="auto"/>
                  </w:tcBorders>
                  <w:shd w:val="clear" w:color="000000" w:fill="FFFF00"/>
                  <w:vAlign w:val="center"/>
                  <w:hideMark/>
                </w:tcPr>
                <w:p w:rsidR="00C722CC" w:rsidRPr="005A615E" w:rsidRDefault="00C722CC" w:rsidP="00C722CC">
                  <w:pPr>
                    <w:spacing w:after="0" w:line="240" w:lineRule="auto"/>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у тому числі вартість прогнозованих витрат, пов'язаних з перевищенням обсягу фактичних витрат електричної енергії над обсягом нормативно-фактичних технологічних витрат електричної енергії у році t-2</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6</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Амортизація (</w:t>
                  </w:r>
                  <w:r w:rsidRPr="005A615E">
                    <w:rPr>
                      <w:rFonts w:ascii="Times New Roman" w:eastAsia="Times New Roman" w:hAnsi="Times New Roman" w:cs="Times New Roman"/>
                      <w:b/>
                      <w:bCs/>
                      <w:sz w:val="16"/>
                      <w:szCs w:val="24"/>
                      <w:lang w:eastAsia="uk-UA"/>
                    </w:rPr>
                    <w:t>А</w:t>
                  </w:r>
                  <w:r w:rsidRPr="005A615E">
                    <w:rPr>
                      <w:rFonts w:ascii="Times New Roman" w:eastAsia="Times New Roman" w:hAnsi="Times New Roman" w:cs="Times New Roman"/>
                      <w:sz w:val="16"/>
                      <w:szCs w:val="24"/>
                      <w:lang w:eastAsia="uk-UA"/>
                    </w:rPr>
                    <w:t>),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7</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Прибуток (</w:t>
                  </w:r>
                  <w:r w:rsidRPr="005A615E">
                    <w:rPr>
                      <w:rFonts w:ascii="Times New Roman" w:eastAsia="Times New Roman" w:hAnsi="Times New Roman" w:cs="Times New Roman"/>
                      <w:b/>
                      <w:bCs/>
                      <w:sz w:val="16"/>
                      <w:szCs w:val="24"/>
                      <w:lang w:eastAsia="uk-UA"/>
                    </w:rPr>
                    <w:t>П</w:t>
                  </w:r>
                  <w:r w:rsidRPr="005A615E">
                    <w:rPr>
                      <w:rFonts w:ascii="Times New Roman" w:eastAsia="Times New Roman" w:hAnsi="Times New Roman" w:cs="Times New Roman"/>
                      <w:sz w:val="16"/>
                      <w:szCs w:val="24"/>
                      <w:lang w:eastAsia="uk-UA"/>
                    </w:rPr>
                    <w:t>) усього у тому числі,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7.1.</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у тому числі прибуток на регуляторну базу активів, яка створена на дату переходу до стимулюючого регулювання,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7.2.</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у тому числі прибуток на регуляторну базу активів, яка створена після переходу до стимулюючого регулювання,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8</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Податок  на прибуток (</w:t>
                  </w:r>
                  <w:r w:rsidRPr="005A615E">
                    <w:rPr>
                      <w:rFonts w:ascii="Times New Roman" w:eastAsia="Times New Roman" w:hAnsi="Times New Roman" w:cs="Times New Roman"/>
                      <w:b/>
                      <w:bCs/>
                      <w:sz w:val="16"/>
                      <w:szCs w:val="24"/>
                      <w:lang w:eastAsia="uk-UA"/>
                    </w:rPr>
                    <w:t>ПП</w:t>
                  </w:r>
                  <w:r w:rsidRPr="005A615E">
                    <w:rPr>
                      <w:rFonts w:ascii="Times New Roman" w:eastAsia="Times New Roman" w:hAnsi="Times New Roman" w:cs="Times New Roman"/>
                      <w:sz w:val="16"/>
                      <w:szCs w:val="24"/>
                      <w:lang w:eastAsia="uk-UA"/>
                    </w:rPr>
                    <w:t>),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9</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Дефіцит або профіцит коштів у частині надходження та витрат, пов'язаних із наданням послуг з приєднання електроустановок замовників до електричних мереж (</w:t>
                  </w:r>
                  <w:r w:rsidRPr="005A615E">
                    <w:rPr>
                      <w:rFonts w:ascii="Times New Roman" w:eastAsia="Times New Roman" w:hAnsi="Times New Roman" w:cs="Times New Roman"/>
                      <w:b/>
                      <w:bCs/>
                      <w:sz w:val="16"/>
                      <w:szCs w:val="24"/>
                      <w:lang w:eastAsia="uk-UA"/>
                    </w:rPr>
                    <w:t>ПР</w:t>
                  </w:r>
                  <w:r w:rsidRPr="005A615E">
                    <w:rPr>
                      <w:rFonts w:ascii="Times New Roman" w:eastAsia="Times New Roman" w:hAnsi="Times New Roman" w:cs="Times New Roman"/>
                      <w:sz w:val="16"/>
                      <w:szCs w:val="24"/>
                      <w:lang w:eastAsia="uk-UA"/>
                    </w:rPr>
                    <w:t>),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10</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Коригування необхідного доходу відповідно до  даних виконання цільового завдання щодо досягнення показників якості послуг (</w:t>
                  </w:r>
                  <w:r w:rsidRPr="005A615E">
                    <w:rPr>
                      <w:rFonts w:ascii="Times New Roman" w:eastAsia="Times New Roman" w:hAnsi="Times New Roman" w:cs="Times New Roman"/>
                      <w:b/>
                      <w:bCs/>
                      <w:sz w:val="16"/>
                      <w:szCs w:val="24"/>
                      <w:lang w:eastAsia="uk-UA"/>
                    </w:rPr>
                    <w:t>КЯ</w:t>
                  </w:r>
                  <w:r w:rsidRPr="005A615E">
                    <w:rPr>
                      <w:rFonts w:ascii="Times New Roman" w:eastAsia="Times New Roman" w:hAnsi="Times New Roman" w:cs="Times New Roman"/>
                      <w:sz w:val="16"/>
                      <w:szCs w:val="24"/>
                      <w:lang w:eastAsia="uk-UA"/>
                    </w:rPr>
                    <w:t>),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11</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Коригування доходу (витрат) (вилучення або компенсація ліцензіату за результатами його діяльності) (</w:t>
                  </w:r>
                  <w:r w:rsidRPr="005A615E">
                    <w:rPr>
                      <w:rFonts w:ascii="Times New Roman" w:eastAsia="Times New Roman" w:hAnsi="Times New Roman" w:cs="Times New Roman"/>
                      <w:b/>
                      <w:bCs/>
                      <w:sz w:val="16"/>
                      <w:szCs w:val="24"/>
                      <w:lang w:eastAsia="uk-UA"/>
                    </w:rPr>
                    <w:t>КД</w:t>
                  </w:r>
                  <w:r w:rsidRPr="005A615E">
                    <w:rPr>
                      <w:rFonts w:ascii="Times New Roman" w:eastAsia="Times New Roman" w:hAnsi="Times New Roman" w:cs="Times New Roman"/>
                      <w:sz w:val="16"/>
                      <w:szCs w:val="24"/>
                      <w:lang w:eastAsia="uk-UA"/>
                    </w:rPr>
                    <w:t>),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r>
            <w:tr w:rsidR="00C722CC" w:rsidRPr="005A615E" w:rsidTr="00C722CC">
              <w:trPr>
                <w:gridAfter w:val="3"/>
                <w:wAfter w:w="120" w:type="dxa"/>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12</w:t>
                  </w:r>
                </w:p>
              </w:tc>
              <w:tc>
                <w:tcPr>
                  <w:tcW w:w="426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Необхідний дохід (НД), тис. грн</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c>
                <w:tcPr>
                  <w:tcW w:w="173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sz w:val="16"/>
                      <w:szCs w:val="24"/>
                      <w:lang w:eastAsia="uk-UA"/>
                    </w:rPr>
                  </w:pPr>
                  <w:r w:rsidRPr="005A615E">
                    <w:rPr>
                      <w:rFonts w:ascii="Times New Roman" w:eastAsia="Times New Roman" w:hAnsi="Times New Roman" w:cs="Times New Roman"/>
                      <w:b/>
                      <w:bCs/>
                      <w:sz w:val="16"/>
                      <w:szCs w:val="24"/>
                      <w:lang w:eastAsia="uk-UA"/>
                    </w:rPr>
                    <w:t> </w:t>
                  </w:r>
                </w:p>
              </w:tc>
            </w:tr>
            <w:tr w:rsidR="00C722CC" w:rsidRPr="005A615E" w:rsidTr="00C722CC">
              <w:trPr>
                <w:trHeight w:val="750"/>
              </w:trPr>
              <w:tc>
                <w:tcPr>
                  <w:tcW w:w="12161" w:type="dxa"/>
                  <w:gridSpan w:val="1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8"/>
                      <w:lang w:eastAsia="uk-UA"/>
                    </w:rPr>
                  </w:pPr>
                  <w:r w:rsidRPr="005A615E">
                    <w:rPr>
                      <w:rFonts w:ascii="Times New Roman" w:eastAsia="Times New Roman" w:hAnsi="Times New Roman" w:cs="Times New Roman"/>
                      <w:sz w:val="16"/>
                      <w:szCs w:val="28"/>
                      <w:lang w:eastAsia="uk-UA"/>
                    </w:rPr>
                    <w:t xml:space="preserve">Розрахунок прогнозованого необхідного доходу на період регулювання здійснюється один раз при встановленні тарифів на послуги з розподілу електричної енергії  на всі роки регуляторного періоду.  </w:t>
                  </w:r>
                </w:p>
              </w:tc>
              <w:tc>
                <w:tcPr>
                  <w:tcW w:w="865" w:type="dxa"/>
                  <w:gridSpan w:val="2"/>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sz w:val="16"/>
                      <w:szCs w:val="28"/>
                      <w:lang w:eastAsia="uk-UA"/>
                    </w:rPr>
                  </w:pPr>
                </w:p>
              </w:tc>
              <w:tc>
                <w:tcPr>
                  <w:tcW w:w="724" w:type="dxa"/>
                  <w:gridSpan w:val="2"/>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736" w:type="dxa"/>
                  <w:gridSpan w:val="4"/>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r>
            <w:tr w:rsidR="00C722CC" w:rsidRPr="005A615E" w:rsidTr="00C722CC">
              <w:trPr>
                <w:trHeight w:val="315"/>
              </w:trPr>
              <w:tc>
                <w:tcPr>
                  <w:tcW w:w="12161" w:type="dxa"/>
                  <w:gridSpan w:val="12"/>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sz w:val="16"/>
                      <w:szCs w:val="28"/>
                      <w:lang w:eastAsia="uk-UA"/>
                    </w:rPr>
                  </w:pPr>
                  <w:r w:rsidRPr="005A615E">
                    <w:rPr>
                      <w:rFonts w:ascii="Times New Roman" w:eastAsia="Times New Roman" w:hAnsi="Times New Roman" w:cs="Times New Roman"/>
                      <w:sz w:val="16"/>
                      <w:szCs w:val="28"/>
                      <w:lang w:eastAsia="uk-UA"/>
                    </w:rPr>
                    <w:t xml:space="preserve">Розрахунок прогнозованого (уточненого)  необхідного доходу здійснюється щороку при уточненні тарифів на послуги з розподілу електричної енергії  на наступний рік регуляторного періоду.   </w:t>
                  </w:r>
                </w:p>
              </w:tc>
              <w:tc>
                <w:tcPr>
                  <w:tcW w:w="865" w:type="dxa"/>
                  <w:gridSpan w:val="2"/>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sz w:val="16"/>
                      <w:szCs w:val="28"/>
                      <w:lang w:eastAsia="uk-UA"/>
                    </w:rPr>
                  </w:pPr>
                </w:p>
              </w:tc>
              <w:tc>
                <w:tcPr>
                  <w:tcW w:w="724" w:type="dxa"/>
                  <w:gridSpan w:val="2"/>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736" w:type="dxa"/>
                  <w:gridSpan w:val="4"/>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r>
            <w:tr w:rsidR="00C722CC" w:rsidRPr="005A615E" w:rsidTr="00C722CC">
              <w:trPr>
                <w:gridAfter w:val="3"/>
                <w:wAfter w:w="120" w:type="dxa"/>
                <w:trHeight w:val="315"/>
              </w:trPr>
              <w:tc>
                <w:tcPr>
                  <w:tcW w:w="58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426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73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r>
            <w:tr w:rsidR="00C722CC" w:rsidRPr="005A615E" w:rsidTr="00C722CC">
              <w:trPr>
                <w:gridAfter w:val="3"/>
                <w:wAfter w:w="120" w:type="dxa"/>
                <w:trHeight w:val="469"/>
              </w:trPr>
              <w:tc>
                <w:tcPr>
                  <w:tcW w:w="58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4262"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73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r>
            <w:tr w:rsidR="00C722CC" w:rsidRPr="005A615E" w:rsidTr="00C722CC">
              <w:trPr>
                <w:gridAfter w:val="3"/>
                <w:wAfter w:w="120" w:type="dxa"/>
                <w:trHeight w:val="315"/>
              </w:trPr>
              <w:tc>
                <w:tcPr>
                  <w:tcW w:w="58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426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0</w:t>
                  </w:r>
                </w:p>
              </w:tc>
              <w:tc>
                <w:tcPr>
                  <w:tcW w:w="708" w:type="dxa"/>
                  <w:tcBorders>
                    <w:top w:val="nil"/>
                    <w:left w:val="nil"/>
                    <w:bottom w:val="single" w:sz="4" w:space="0" w:color="auto"/>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w:t>
                  </w: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p>
              </w:tc>
              <w:tc>
                <w:tcPr>
                  <w:tcW w:w="2552" w:type="dxa"/>
                  <w:gridSpan w:val="3"/>
                  <w:tcBorders>
                    <w:top w:val="nil"/>
                    <w:left w:val="nil"/>
                    <w:bottom w:val="single" w:sz="4" w:space="0" w:color="auto"/>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0</w:t>
                  </w: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p>
              </w:tc>
              <w:tc>
                <w:tcPr>
                  <w:tcW w:w="1417"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sz w:val="16"/>
                      <w:szCs w:val="20"/>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73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r>
            <w:tr w:rsidR="00C722CC" w:rsidRPr="005A615E" w:rsidTr="00C722CC">
              <w:trPr>
                <w:gridAfter w:val="3"/>
                <w:wAfter w:w="120" w:type="dxa"/>
                <w:trHeight w:val="315"/>
              </w:trPr>
              <w:tc>
                <w:tcPr>
                  <w:tcW w:w="58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426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(підпис)</w:t>
                  </w: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sz w:val="16"/>
                      <w:szCs w:val="24"/>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843"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 xml:space="preserve"> (ініціали, прізвище)</w:t>
                  </w: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73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r>
            <w:tr w:rsidR="00C722CC" w:rsidRPr="005A615E" w:rsidTr="00C722CC">
              <w:trPr>
                <w:gridAfter w:val="3"/>
                <w:wAfter w:w="120" w:type="dxa"/>
                <w:trHeight w:val="315"/>
              </w:trPr>
              <w:tc>
                <w:tcPr>
                  <w:tcW w:w="58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426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r w:rsidRPr="005A615E">
                    <w:rPr>
                      <w:rFonts w:ascii="Times New Roman" w:eastAsia="Times New Roman" w:hAnsi="Times New Roman" w:cs="Times New Roman"/>
                      <w:sz w:val="16"/>
                      <w:szCs w:val="24"/>
                      <w:lang w:eastAsia="uk-UA"/>
                    </w:rPr>
                    <w:t>"____" вересня 2026р.</w:t>
                  </w: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4"/>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c>
                <w:tcPr>
                  <w:tcW w:w="173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sz w:val="16"/>
                      <w:szCs w:val="20"/>
                      <w:lang w:eastAsia="uk-UA"/>
                    </w:rPr>
                  </w:pPr>
                </w:p>
              </w:tc>
            </w:tr>
          </w:tbl>
          <w:p w:rsidR="00C722CC" w:rsidRPr="005A615E" w:rsidRDefault="00C722CC" w:rsidP="00CF2AC1">
            <w:pPr>
              <w:rPr>
                <w:rFonts w:ascii="Times New Roman" w:hAnsi="Times New Roman"/>
                <w:b/>
                <w:sz w:val="28"/>
              </w:rPr>
            </w:pPr>
          </w:p>
        </w:tc>
      </w:tr>
      <w:tr w:rsidR="00C722CC" w:rsidRPr="005A615E" w:rsidTr="00A56FEE">
        <w:tc>
          <w:tcPr>
            <w:tcW w:w="15588" w:type="dxa"/>
            <w:gridSpan w:val="4"/>
          </w:tcPr>
          <w:tbl>
            <w:tblPr>
              <w:tblW w:w="14728" w:type="dxa"/>
              <w:tblLayout w:type="fixed"/>
              <w:tblLook w:val="04A0" w:firstRow="1" w:lastRow="0" w:firstColumn="1" w:lastColumn="0" w:noHBand="0" w:noVBand="1"/>
            </w:tblPr>
            <w:tblGrid>
              <w:gridCol w:w="560"/>
              <w:gridCol w:w="6040"/>
              <w:gridCol w:w="2020"/>
              <w:gridCol w:w="2036"/>
              <w:gridCol w:w="2036"/>
              <w:gridCol w:w="2036"/>
            </w:tblGrid>
            <w:tr w:rsidR="00C722CC" w:rsidRPr="005A615E" w:rsidTr="00C722CC">
              <w:trPr>
                <w:trHeight w:val="315"/>
              </w:trPr>
              <w:tc>
                <w:tcPr>
                  <w:tcW w:w="56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bookmarkStart w:id="18" w:name="RANGE!A1:F52"/>
                  <w:bookmarkEnd w:id="18"/>
                </w:p>
              </w:tc>
              <w:tc>
                <w:tcPr>
                  <w:tcW w:w="604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Додаток 37</w:t>
                  </w: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855"/>
              </w:trPr>
              <w:tc>
                <w:tcPr>
                  <w:tcW w:w="56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108" w:type="dxa"/>
                  <w:gridSpan w:val="3"/>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до Порядку встановлення (формування) тарифів на послуги з розподілу електричної енергії </w:t>
                  </w:r>
                </w:p>
              </w:tc>
            </w:tr>
            <w:tr w:rsidR="00C722CC" w:rsidRPr="005A615E" w:rsidTr="00C722CC">
              <w:trPr>
                <w:trHeight w:val="855"/>
              </w:trPr>
              <w:tc>
                <w:tcPr>
                  <w:tcW w:w="14728" w:type="dxa"/>
                  <w:gridSpan w:val="6"/>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xml:space="preserve">Розрахунок базових операційних контрольованих витрат на послуги з розподілу електричної енергії на перший (другий) рік регуляторного періоду  </w:t>
                  </w:r>
                </w:p>
              </w:tc>
            </w:tr>
            <w:tr w:rsidR="00C722CC" w:rsidRPr="005A615E" w:rsidTr="00C722CC">
              <w:trPr>
                <w:trHeight w:val="420"/>
              </w:trPr>
              <w:tc>
                <w:tcPr>
                  <w:tcW w:w="14728" w:type="dxa"/>
                  <w:gridSpan w:val="6"/>
                  <w:tcBorders>
                    <w:top w:val="nil"/>
                    <w:left w:val="nil"/>
                    <w:bottom w:val="nil"/>
                    <w:right w:val="nil"/>
                  </w:tcBorders>
                  <w:shd w:val="clear" w:color="auto" w:fill="auto"/>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0</w:t>
                  </w:r>
                </w:p>
              </w:tc>
            </w:tr>
            <w:tr w:rsidR="00C722CC" w:rsidRPr="005A615E" w:rsidTr="00C722CC">
              <w:trPr>
                <w:trHeight w:val="507"/>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6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Показник</w:t>
                  </w:r>
                </w:p>
              </w:tc>
              <w:tc>
                <w:tcPr>
                  <w:tcW w:w="4056"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t+1</w:t>
                  </w:r>
                </w:p>
              </w:tc>
              <w:tc>
                <w:tcPr>
                  <w:tcW w:w="4072"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t+2</w:t>
                  </w:r>
                </w:p>
              </w:tc>
            </w:tr>
            <w:tr w:rsidR="00C722CC" w:rsidRPr="005A615E" w:rsidTr="00C722CC">
              <w:trPr>
                <w:trHeight w:val="1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r>
            <w:tr w:rsidR="00C722CC" w:rsidRPr="005A615E" w:rsidTr="00C722CC">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r>
            <w:tr w:rsidR="00C722CC" w:rsidRPr="005A615E" w:rsidTr="00C722CC">
              <w:trPr>
                <w:trHeight w:val="94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Операційні контрольовані витрати (</w:t>
                  </w:r>
                  <w:r w:rsidRPr="005A615E">
                    <w:rPr>
                      <w:rFonts w:ascii="Times New Roman" w:eastAsia="Times New Roman" w:hAnsi="Times New Roman" w:cs="Times New Roman"/>
                      <w:b/>
                      <w:bCs/>
                      <w:lang w:eastAsia="uk-UA"/>
                    </w:rPr>
                    <w:t>ОКВ</w:t>
                  </w:r>
                  <w:r w:rsidRPr="005A615E">
                    <w:rPr>
                      <w:rFonts w:ascii="Times New Roman" w:eastAsia="Times New Roman" w:hAnsi="Times New Roman" w:cs="Times New Roman"/>
                      <w:lang w:eastAsia="uk-UA"/>
                    </w:rPr>
                    <w:t xml:space="preserve">) </w:t>
                  </w:r>
                  <w:r w:rsidRPr="005A615E">
                    <w:rPr>
                      <w:rFonts w:ascii="Times New Roman" w:eastAsia="Times New Roman" w:hAnsi="Times New Roman" w:cs="Times New Roman"/>
                      <w:lang w:eastAsia="uk-UA"/>
                    </w:rPr>
                    <w:br/>
                    <w:t>в останньому році першого регуляторного періоду, тис. грн</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79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Фонд оплати праці (</w:t>
                  </w:r>
                  <w:r w:rsidRPr="005A615E">
                    <w:rPr>
                      <w:rFonts w:ascii="Times New Roman" w:eastAsia="Times New Roman" w:hAnsi="Times New Roman" w:cs="Times New Roman"/>
                      <w:b/>
                      <w:bCs/>
                      <w:lang w:eastAsia="uk-UA"/>
                    </w:rPr>
                    <w:t>ФОП</w:t>
                  </w:r>
                  <w:r w:rsidRPr="005A615E">
                    <w:rPr>
                      <w:rFonts w:ascii="Times New Roman" w:eastAsia="Times New Roman" w:hAnsi="Times New Roman" w:cs="Times New Roman"/>
                      <w:lang w:eastAsia="uk-UA"/>
                    </w:rPr>
                    <w:t>) у році  t-1, тис. грн</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112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Тарифна чисельність працівників, урахована на дату встановлення  тарифу в останньому році першого регуляторного періоду (</w:t>
                  </w:r>
                  <w:r w:rsidRPr="005A615E">
                    <w:rPr>
                      <w:rFonts w:ascii="Times New Roman" w:eastAsia="Times New Roman" w:hAnsi="Times New Roman" w:cs="Times New Roman"/>
                      <w:b/>
                      <w:bCs/>
                      <w:lang w:eastAsia="uk-UA"/>
                    </w:rPr>
                    <w:t>ТЧПi тар</w:t>
                  </w:r>
                  <w:r w:rsidRPr="005A615E">
                    <w:rPr>
                      <w:rFonts w:ascii="Times New Roman" w:eastAsia="Times New Roman" w:hAnsi="Times New Roman" w:cs="Times New Roman"/>
                      <w:lang w:eastAsia="uk-UA"/>
                    </w:rPr>
                    <w:t>)</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13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Кількість років попереднього регуляторного періоду, протягом яких застосовувався загальний показник ефективності для операційних контрольованих витрат, встановлений НКРЕКП (</w:t>
                  </w:r>
                  <w:r w:rsidRPr="005A615E">
                    <w:rPr>
                      <w:rFonts w:ascii="Times New Roman" w:eastAsia="Times New Roman" w:hAnsi="Times New Roman" w:cs="Times New Roman"/>
                      <w:b/>
                      <w:bCs/>
                      <w:lang w:eastAsia="uk-UA"/>
                    </w:rPr>
                    <w:t>n</w:t>
                  </w:r>
                  <w:r w:rsidRPr="005A615E">
                    <w:rPr>
                      <w:rFonts w:ascii="Times New Roman" w:eastAsia="Times New Roman" w:hAnsi="Times New Roman" w:cs="Times New Roman"/>
                      <w:lang w:eastAsia="uk-UA"/>
                    </w:rPr>
                    <w:t>)</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4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Загальний показник ефективності (</w:t>
                  </w:r>
                  <w:r w:rsidRPr="005A615E">
                    <w:rPr>
                      <w:rFonts w:ascii="Times New Roman" w:eastAsia="Times New Roman" w:hAnsi="Times New Roman" w:cs="Times New Roman"/>
                      <w:b/>
                      <w:bCs/>
                      <w:lang w:eastAsia="uk-UA"/>
                    </w:rPr>
                    <w:t>ПЕз</w:t>
                  </w:r>
                  <w:r w:rsidRPr="005A615E">
                    <w:rPr>
                      <w:rFonts w:ascii="Times New Roman" w:eastAsia="Times New Roman" w:hAnsi="Times New Roman" w:cs="Times New Roman"/>
                      <w:lang w:eastAsia="uk-UA"/>
                    </w:rPr>
                    <w:t>), %</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79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Коефіцієнт поправки на зміну кількості умовних одиниць обладнання (</w:t>
                  </w:r>
                  <w:r w:rsidRPr="005A615E">
                    <w:rPr>
                      <w:rFonts w:ascii="Times New Roman" w:eastAsia="Times New Roman" w:hAnsi="Times New Roman" w:cs="Times New Roman"/>
                      <w:b/>
                      <w:bCs/>
                      <w:lang w:eastAsia="uk-UA"/>
                    </w:rPr>
                    <w:t>КУ</w:t>
                  </w:r>
                  <w:r w:rsidRPr="005A615E">
                    <w:rPr>
                      <w:rFonts w:ascii="Times New Roman" w:eastAsia="Times New Roman" w:hAnsi="Times New Roman" w:cs="Times New Roman"/>
                      <w:lang w:eastAsia="uk-UA"/>
                    </w:rPr>
                    <w:t>)</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79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Кількість років попереднього регуляторного періоду, k</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133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Кількість умовних одиниць  енергетичного обладнання  активів на початок першого року попереднього регуляторного періоду </w:t>
                  </w:r>
                  <w:r w:rsidRPr="005A615E">
                    <w:rPr>
                      <w:rFonts w:ascii="Times New Roman" w:eastAsia="Times New Roman" w:hAnsi="Times New Roman" w:cs="Times New Roman"/>
                      <w:lang w:eastAsia="uk-UA"/>
                    </w:rPr>
                    <w:br/>
                    <w:t>(</w:t>
                  </w:r>
                  <w:r w:rsidRPr="005A615E">
                    <w:rPr>
                      <w:rFonts w:ascii="Times New Roman" w:eastAsia="Times New Roman" w:hAnsi="Times New Roman" w:cs="Times New Roman"/>
                      <w:b/>
                      <w:bCs/>
                      <w:lang w:eastAsia="uk-UA"/>
                    </w:rPr>
                    <w:t>УО поч t=1</w:t>
                  </w:r>
                  <w:r w:rsidRPr="005A615E">
                    <w:rPr>
                      <w:rFonts w:ascii="Times New Roman" w:eastAsia="Times New Roman" w:hAnsi="Times New Roman" w:cs="Times New Roman"/>
                      <w:lang w:eastAsia="uk-UA"/>
                    </w:rPr>
                    <w:t>)*, відн. од.</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136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Кількість умовних одиниць  енергетичного обладнання  активів на кінець звітного року попереднього регуляторного періоду</w:t>
                  </w:r>
                  <w:r w:rsidRPr="005A615E">
                    <w:rPr>
                      <w:rFonts w:ascii="Times New Roman" w:eastAsia="Times New Roman" w:hAnsi="Times New Roman" w:cs="Times New Roman"/>
                      <w:lang w:eastAsia="uk-UA"/>
                    </w:rPr>
                    <w:br/>
                    <w:t>(</w:t>
                  </w:r>
                  <w:r w:rsidRPr="005A615E">
                    <w:rPr>
                      <w:rFonts w:ascii="Times New Roman" w:eastAsia="Times New Roman" w:hAnsi="Times New Roman" w:cs="Times New Roman"/>
                      <w:b/>
                      <w:bCs/>
                      <w:lang w:eastAsia="uk-UA"/>
                    </w:rPr>
                    <w:t>УО кін t=5(6)</w:t>
                  </w:r>
                  <w:r w:rsidRPr="005A615E">
                    <w:rPr>
                      <w:rFonts w:ascii="Times New Roman" w:eastAsia="Times New Roman" w:hAnsi="Times New Roman" w:cs="Times New Roman"/>
                      <w:lang w:eastAsia="uk-UA"/>
                    </w:rPr>
                    <w:t>)*, відн. од.</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94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Зміна фактичної кількості умовних одиниць енергетичного обладнання протягом попереднього регуляторного періоду (</w:t>
                  </w:r>
                  <w:r w:rsidRPr="005A615E">
                    <w:rPr>
                      <w:rFonts w:ascii="Times New Roman" w:eastAsia="Times New Roman" w:hAnsi="Times New Roman" w:cs="Times New Roman"/>
                      <w:b/>
                      <w:bCs/>
                      <w:lang w:eastAsia="uk-UA"/>
                    </w:rPr>
                    <w:t>ΔУО</w:t>
                  </w:r>
                  <w:r w:rsidRPr="005A615E">
                    <w:rPr>
                      <w:rFonts w:ascii="Times New Roman" w:eastAsia="Times New Roman" w:hAnsi="Times New Roman" w:cs="Times New Roman"/>
                      <w:lang w:eastAsia="uk-UA"/>
                    </w:rPr>
                    <w:t>)*, відн. од.</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Коригуючий коефіцієнт зміни фактичних умовних одиниць енергетичного обладнання (</w:t>
                  </w:r>
                  <w:r w:rsidRPr="005A615E">
                    <w:rPr>
                      <w:rFonts w:ascii="Times New Roman" w:eastAsia="Times New Roman" w:hAnsi="Times New Roman" w:cs="Times New Roman"/>
                      <w:b/>
                      <w:bCs/>
                      <w:lang w:eastAsia="uk-UA"/>
                    </w:rPr>
                    <w:t>Кyo</w:t>
                  </w:r>
                  <w:r w:rsidRPr="005A615E">
                    <w:rPr>
                      <w:rFonts w:ascii="Times New Roman" w:eastAsia="Times New Roman" w:hAnsi="Times New Roman" w:cs="Times New Roman"/>
                      <w:lang w:eastAsia="uk-UA"/>
                    </w:rPr>
                    <w:t>)*, відн. од.</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705"/>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Сума позитивних показників економії операційних контрольованих витрат (</w:t>
                  </w:r>
                  <w:r w:rsidRPr="005A615E">
                    <w:rPr>
                      <w:rFonts w:ascii="Calibri" w:eastAsia="Times New Roman" w:hAnsi="Calibri" w:cs="Calibri"/>
                      <w:b/>
                      <w:bCs/>
                      <w:lang w:eastAsia="uk-UA"/>
                    </w:rPr>
                    <w:t>∑ max (</w:t>
                  </w:r>
                  <w:r w:rsidRPr="005A615E">
                    <w:rPr>
                      <w:rFonts w:ascii="Times New Roman" w:eastAsia="Times New Roman" w:hAnsi="Times New Roman" w:cs="Times New Roman"/>
                      <w:b/>
                      <w:bCs/>
                      <w:lang w:eastAsia="uk-UA"/>
                    </w:rPr>
                    <w:t>ЕОКВ,0))</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r>
            <w:tr w:rsidR="00C722CC" w:rsidRPr="005A615E" w:rsidTr="00C722CC">
              <w:trPr>
                <w:trHeight w:val="855"/>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Рівень фактичних операційних контрольованих витрат (ОКВф t=1)</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765"/>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уточнених операційних контрольованих витрат (ОКВ у t=1)</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економії операційних контрольованих витрат (</w:t>
                  </w:r>
                  <w:r w:rsidRPr="005A615E">
                    <w:rPr>
                      <w:rFonts w:ascii="Times New Roman" w:eastAsia="Times New Roman" w:hAnsi="Times New Roman" w:cs="Times New Roman"/>
                      <w:b/>
                      <w:bCs/>
                      <w:lang w:eastAsia="uk-UA"/>
                    </w:rPr>
                    <w:t>max ЕОКВ t=1</w:t>
                  </w:r>
                  <w:r w:rsidRPr="005A615E">
                    <w:rPr>
                      <w:rFonts w:ascii="Times New Roman" w:eastAsia="Times New Roman" w:hAnsi="Times New Roman" w:cs="Times New Roman"/>
                      <w:lang w:eastAsia="uk-UA"/>
                    </w:rPr>
                    <w:t>)</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Рівень фактичних операційних контрольованих витрат (ОКВф t=2)</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уточнених операційних контрольованих витрат (ОКВ у t=2)</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економії операційних контрольованих витрат (</w:t>
                  </w:r>
                  <w:r w:rsidRPr="005A615E">
                    <w:rPr>
                      <w:rFonts w:ascii="Times New Roman" w:eastAsia="Times New Roman" w:hAnsi="Times New Roman" w:cs="Times New Roman"/>
                      <w:b/>
                      <w:bCs/>
                      <w:lang w:eastAsia="uk-UA"/>
                    </w:rPr>
                    <w:t>max ЕОКВ t=2</w:t>
                  </w:r>
                  <w:r w:rsidRPr="005A615E">
                    <w:rPr>
                      <w:rFonts w:ascii="Times New Roman" w:eastAsia="Times New Roman" w:hAnsi="Times New Roman" w:cs="Times New Roman"/>
                      <w:lang w:eastAsia="uk-UA"/>
                    </w:rPr>
                    <w:t>)</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Рівень фактичних операційних контрольованих витрат (ОКВф t=3)</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уточнених операційних контрольованих витрат (ОКВ у t=3)</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економії операційних контрольованих витрат (</w:t>
                  </w:r>
                  <w:r w:rsidRPr="005A615E">
                    <w:rPr>
                      <w:rFonts w:ascii="Times New Roman" w:eastAsia="Times New Roman" w:hAnsi="Times New Roman" w:cs="Times New Roman"/>
                      <w:b/>
                      <w:bCs/>
                      <w:lang w:eastAsia="uk-UA"/>
                    </w:rPr>
                    <w:t>max ЕОКВ t=3</w:t>
                  </w:r>
                  <w:r w:rsidRPr="005A615E">
                    <w:rPr>
                      <w:rFonts w:ascii="Times New Roman" w:eastAsia="Times New Roman" w:hAnsi="Times New Roman" w:cs="Times New Roman"/>
                      <w:lang w:eastAsia="uk-UA"/>
                    </w:rPr>
                    <w:t>)</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Рівень фактичних операційних контрольованих витрат (ОКВф t=4)</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уточнених операційних контрольованих витрат (ОКВ у t=4)</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економії операційних контрольованих витрат (</w:t>
                  </w:r>
                  <w:r w:rsidRPr="005A615E">
                    <w:rPr>
                      <w:rFonts w:ascii="Times New Roman" w:eastAsia="Times New Roman" w:hAnsi="Times New Roman" w:cs="Times New Roman"/>
                      <w:b/>
                      <w:bCs/>
                      <w:lang w:eastAsia="uk-UA"/>
                    </w:rPr>
                    <w:t>max ЕОКВ t=4</w:t>
                  </w:r>
                  <w:r w:rsidRPr="005A615E">
                    <w:rPr>
                      <w:rFonts w:ascii="Times New Roman" w:eastAsia="Times New Roman" w:hAnsi="Times New Roman" w:cs="Times New Roman"/>
                      <w:lang w:eastAsia="uk-UA"/>
                    </w:rPr>
                    <w:t>)</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Рівень фактичних операційних контрольованих витрат (ОКВф t=5)</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уточнених операційних контрольованих витрат (ОКВ у t=5)</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економії операційних контрольованих витрат (</w:t>
                  </w:r>
                  <w:r w:rsidRPr="005A615E">
                    <w:rPr>
                      <w:rFonts w:ascii="Times New Roman" w:eastAsia="Times New Roman" w:hAnsi="Times New Roman" w:cs="Times New Roman"/>
                      <w:b/>
                      <w:bCs/>
                      <w:lang w:eastAsia="uk-UA"/>
                    </w:rPr>
                    <w:t>max ЕОКВ t=5</w:t>
                  </w:r>
                  <w:r w:rsidRPr="005A615E">
                    <w:rPr>
                      <w:rFonts w:ascii="Times New Roman" w:eastAsia="Times New Roman" w:hAnsi="Times New Roman" w:cs="Times New Roman"/>
                      <w:lang w:eastAsia="uk-UA"/>
                    </w:rPr>
                    <w:t>)</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Рівень фактичних операційних контрольованих витрат (ОКВф t=6)</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уточнених операційних контрольованих витрат (ОКВ у t=6)</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економії операційних контрольованих витрат (</w:t>
                  </w:r>
                  <w:r w:rsidRPr="005A615E">
                    <w:rPr>
                      <w:rFonts w:ascii="Times New Roman" w:eastAsia="Times New Roman" w:hAnsi="Times New Roman" w:cs="Times New Roman"/>
                      <w:b/>
                      <w:bCs/>
                      <w:lang w:eastAsia="uk-UA"/>
                    </w:rPr>
                    <w:t>max ЕОКВ t=6</w:t>
                  </w:r>
                  <w:r w:rsidRPr="005A615E">
                    <w:rPr>
                      <w:rFonts w:ascii="Times New Roman" w:eastAsia="Times New Roman" w:hAnsi="Times New Roman" w:cs="Times New Roman"/>
                      <w:lang w:eastAsia="uk-UA"/>
                    </w:rPr>
                    <w:t>)</w:t>
                  </w:r>
                </w:p>
              </w:tc>
              <w:tc>
                <w:tcPr>
                  <w:tcW w:w="202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036"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70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12</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Базовий рівень операційно контрольованих витрат (ОКВ</w:t>
                  </w:r>
                  <w:r w:rsidRPr="005A615E">
                    <w:rPr>
                      <w:rFonts w:ascii="Times New Roman" w:eastAsia="Times New Roman" w:hAnsi="Times New Roman" w:cs="Times New Roman"/>
                      <w:b/>
                      <w:bCs/>
                      <w:vertAlign w:val="subscript"/>
                      <w:lang w:eastAsia="uk-UA"/>
                    </w:rPr>
                    <w:t>0</w:t>
                  </w:r>
                  <w:r w:rsidRPr="005A615E">
                    <w:rPr>
                      <w:rFonts w:ascii="Times New Roman" w:eastAsia="Times New Roman" w:hAnsi="Times New Roman" w:cs="Times New Roman"/>
                      <w:b/>
                      <w:bCs/>
                      <w:lang w:eastAsia="uk-UA"/>
                    </w:rPr>
                    <w:t>) у році t, тис. грн</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r>
            <w:tr w:rsidR="00C722CC" w:rsidRPr="005A615E" w:rsidTr="00C722CC">
              <w:trPr>
                <w:trHeight w:val="106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Уточнений фонд оплати праці (ФОП)  під базовий рівень операційно контрольовані витрати, тис. грн</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r>
            <w:tr w:rsidR="00C722CC" w:rsidRPr="005A615E" w:rsidTr="00C722CC">
              <w:trPr>
                <w:trHeight w:val="6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604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Планова тарифна чисельність працівників (ТЧПi тар t)</w:t>
                  </w:r>
                </w:p>
              </w:tc>
              <w:tc>
                <w:tcPr>
                  <w:tcW w:w="202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2036"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r>
            <w:tr w:rsidR="00C722CC" w:rsidRPr="005A615E" w:rsidTr="00C722CC">
              <w:trPr>
                <w:trHeight w:val="315"/>
              </w:trPr>
              <w:tc>
                <w:tcPr>
                  <w:tcW w:w="14728" w:type="dxa"/>
                  <w:gridSpan w:val="6"/>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умовні одиниці енергетичного обладнання на контрольованій території держави</w:t>
                  </w:r>
                </w:p>
              </w:tc>
            </w:tr>
            <w:tr w:rsidR="00C722CC" w:rsidRPr="005A615E" w:rsidTr="00C722CC">
              <w:trPr>
                <w:trHeight w:val="540"/>
              </w:trPr>
              <w:tc>
                <w:tcPr>
                  <w:tcW w:w="56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2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612"/>
              </w:trPr>
              <w:tc>
                <w:tcPr>
                  <w:tcW w:w="56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315"/>
              </w:trPr>
              <w:tc>
                <w:tcPr>
                  <w:tcW w:w="56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604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c>
                <w:tcPr>
                  <w:tcW w:w="405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________________________</w:t>
                  </w:r>
                </w:p>
              </w:tc>
              <w:tc>
                <w:tcPr>
                  <w:tcW w:w="4072" w:type="dxa"/>
                  <w:gridSpan w:val="2"/>
                  <w:tcBorders>
                    <w:top w:val="nil"/>
                    <w:left w:val="nil"/>
                    <w:bottom w:val="single" w:sz="4" w:space="0" w:color="auto"/>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C722CC">
              <w:trPr>
                <w:trHeight w:val="315"/>
              </w:trPr>
              <w:tc>
                <w:tcPr>
                  <w:tcW w:w="56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604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405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(підпис)</w:t>
                  </w: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r>
            <w:tr w:rsidR="00C722CC" w:rsidRPr="005A615E" w:rsidTr="00C722CC">
              <w:trPr>
                <w:trHeight w:val="315"/>
              </w:trPr>
              <w:tc>
                <w:tcPr>
                  <w:tcW w:w="56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604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"____" вересня 2026р.</w:t>
                  </w:r>
                </w:p>
              </w:tc>
              <w:tc>
                <w:tcPr>
                  <w:tcW w:w="20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20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r>
          </w:tbl>
          <w:p w:rsidR="00C722CC" w:rsidRPr="005A615E" w:rsidRDefault="00C722CC" w:rsidP="00CF2AC1">
            <w:pPr>
              <w:rPr>
                <w:rFonts w:ascii="Times New Roman" w:hAnsi="Times New Roman"/>
                <w:b/>
                <w:sz w:val="28"/>
              </w:rPr>
            </w:pPr>
          </w:p>
        </w:tc>
      </w:tr>
      <w:tr w:rsidR="00C722CC" w:rsidRPr="005A615E" w:rsidTr="00A56FEE">
        <w:tc>
          <w:tcPr>
            <w:tcW w:w="15588" w:type="dxa"/>
            <w:gridSpan w:val="4"/>
          </w:tcPr>
          <w:tbl>
            <w:tblPr>
              <w:tblW w:w="14772" w:type="dxa"/>
              <w:tblLayout w:type="fixed"/>
              <w:tblLook w:val="04A0" w:firstRow="1" w:lastRow="0" w:firstColumn="1" w:lastColumn="0" w:noHBand="0" w:noVBand="1"/>
            </w:tblPr>
            <w:tblGrid>
              <w:gridCol w:w="544"/>
              <w:gridCol w:w="4294"/>
              <w:gridCol w:w="850"/>
              <w:gridCol w:w="1065"/>
              <w:gridCol w:w="13"/>
              <w:gridCol w:w="768"/>
              <w:gridCol w:w="850"/>
              <w:gridCol w:w="708"/>
              <w:gridCol w:w="851"/>
              <w:gridCol w:w="14"/>
              <w:gridCol w:w="695"/>
              <w:gridCol w:w="14"/>
              <w:gridCol w:w="694"/>
              <w:gridCol w:w="14"/>
              <w:gridCol w:w="555"/>
              <w:gridCol w:w="709"/>
              <w:gridCol w:w="140"/>
              <w:gridCol w:w="710"/>
              <w:gridCol w:w="146"/>
              <w:gridCol w:w="988"/>
              <w:gridCol w:w="150"/>
            </w:tblGrid>
            <w:tr w:rsidR="00C722CC" w:rsidRPr="005A615E" w:rsidTr="00C722CC">
              <w:trPr>
                <w:gridAfter w:val="1"/>
                <w:wAfter w:w="150" w:type="dxa"/>
                <w:trHeight w:val="435"/>
              </w:trPr>
              <w:tc>
                <w:tcPr>
                  <w:tcW w:w="54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bookmarkStart w:id="19" w:name="RANGE!A1:N28"/>
                  <w:bookmarkEnd w:id="19"/>
                </w:p>
              </w:tc>
              <w:tc>
                <w:tcPr>
                  <w:tcW w:w="429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06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8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000000" w:fill="FFFFFF"/>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Додаток 5</w:t>
                  </w:r>
                </w:p>
              </w:tc>
              <w:tc>
                <w:tcPr>
                  <w:tcW w:w="850" w:type="dxa"/>
                  <w:gridSpan w:val="2"/>
                  <w:tcBorders>
                    <w:top w:val="nil"/>
                    <w:left w:val="nil"/>
                    <w:bottom w:val="nil"/>
                    <w:right w:val="nil"/>
                  </w:tcBorders>
                  <w:shd w:val="clear" w:color="000000" w:fill="FFFFFF"/>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nil"/>
                    <w:right w:val="nil"/>
                  </w:tcBorders>
                  <w:shd w:val="clear" w:color="000000" w:fill="FFFFFF"/>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1080"/>
              </w:trPr>
              <w:tc>
                <w:tcPr>
                  <w:tcW w:w="54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429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06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8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93" w:type="dxa"/>
                  <w:gridSpan w:val="5"/>
                  <w:tcBorders>
                    <w:top w:val="nil"/>
                    <w:left w:val="nil"/>
                    <w:bottom w:val="nil"/>
                    <w:right w:val="nil"/>
                  </w:tcBorders>
                  <w:shd w:val="clear" w:color="000000" w:fill="FFFFFF"/>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до Порядку встановлення (формування) тарифів на послуги з розподілу електричної енергії </w:t>
                  </w:r>
                </w:p>
              </w:tc>
            </w:tr>
            <w:tr w:rsidR="00C722CC" w:rsidRPr="005A615E" w:rsidTr="00C722CC">
              <w:trPr>
                <w:gridAfter w:val="1"/>
                <w:wAfter w:w="150" w:type="dxa"/>
                <w:trHeight w:val="285"/>
              </w:trPr>
              <w:tc>
                <w:tcPr>
                  <w:tcW w:w="54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429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065"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8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807"/>
              </w:trPr>
              <w:tc>
                <w:tcPr>
                  <w:tcW w:w="14772" w:type="dxa"/>
                  <w:gridSpan w:val="21"/>
                  <w:tcBorders>
                    <w:top w:val="nil"/>
                    <w:left w:val="nil"/>
                    <w:bottom w:val="nil"/>
                    <w:right w:val="nil"/>
                  </w:tcBorders>
                  <w:shd w:val="clear" w:color="auto" w:fill="auto"/>
                  <w:vAlign w:val="bottom"/>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xml:space="preserve">Розрахунок фонду оплати праці на послуги з розподілу електричної енергії на кожен рік регуляторного періоду </w:t>
                  </w:r>
                </w:p>
              </w:tc>
            </w:tr>
            <w:tr w:rsidR="00C722CC" w:rsidRPr="005A615E" w:rsidTr="00C722CC">
              <w:trPr>
                <w:trHeight w:val="405"/>
              </w:trPr>
              <w:tc>
                <w:tcPr>
                  <w:tcW w:w="14772" w:type="dxa"/>
                  <w:gridSpan w:val="21"/>
                  <w:tcBorders>
                    <w:top w:val="nil"/>
                    <w:left w:val="nil"/>
                    <w:bottom w:val="nil"/>
                    <w:right w:val="nil"/>
                  </w:tcBorders>
                  <w:shd w:val="clear" w:color="auto" w:fill="auto"/>
                  <w:vAlign w:val="bottom"/>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p>
              </w:tc>
            </w:tr>
            <w:tr w:rsidR="00C722CC" w:rsidRPr="005A615E" w:rsidTr="00C722CC">
              <w:trPr>
                <w:gridAfter w:val="1"/>
                <w:wAfter w:w="150" w:type="dxa"/>
                <w:trHeight w:val="315"/>
              </w:trPr>
              <w:tc>
                <w:tcPr>
                  <w:tcW w:w="54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429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06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8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150" w:type="dxa"/>
                <w:trHeight w:val="315"/>
              </w:trPr>
              <w:tc>
                <w:tcPr>
                  <w:tcW w:w="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4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Показник</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w:t>
                  </w:r>
                </w:p>
              </w:tc>
              <w:tc>
                <w:tcPr>
                  <w:tcW w:w="16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t+1</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t+2</w:t>
                  </w:r>
                </w:p>
              </w:tc>
              <w:tc>
                <w:tcPr>
                  <w:tcW w:w="1417" w:type="dxa"/>
                  <w:gridSpan w:val="4"/>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t+3</w:t>
                  </w:r>
                </w:p>
              </w:tc>
              <w:tc>
                <w:tcPr>
                  <w:tcW w:w="1278" w:type="dxa"/>
                  <w:gridSpan w:val="3"/>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t+4</w:t>
                  </w:r>
                </w:p>
              </w:tc>
              <w:tc>
                <w:tcPr>
                  <w:tcW w:w="1984" w:type="dxa"/>
                  <w:gridSpan w:val="4"/>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t+5</w:t>
                  </w:r>
                </w:p>
              </w:tc>
            </w:tr>
            <w:tr w:rsidR="00C722CC" w:rsidRPr="005A615E" w:rsidTr="00C722CC">
              <w:trPr>
                <w:gridAfter w:val="1"/>
                <w:wAfter w:w="150" w:type="dxa"/>
                <w:trHeight w:val="1260"/>
              </w:trPr>
              <w:tc>
                <w:tcPr>
                  <w:tcW w:w="544"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4294"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106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78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r>
            <w:tr w:rsidR="00C722CC" w:rsidRPr="005A615E" w:rsidTr="00C722CC">
              <w:trPr>
                <w:gridAfter w:val="1"/>
                <w:wAfter w:w="150" w:type="dxa"/>
                <w:trHeight w:val="315"/>
              </w:trPr>
              <w:tc>
                <w:tcPr>
                  <w:tcW w:w="544"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85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1065"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78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85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56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12</w:t>
                  </w:r>
                </w:p>
              </w:tc>
            </w:tr>
            <w:tr w:rsidR="00C722CC" w:rsidRPr="005A615E" w:rsidTr="00C722CC">
              <w:trPr>
                <w:gridAfter w:val="1"/>
                <w:wAfter w:w="150" w:type="dxa"/>
                <w:trHeight w:val="645"/>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Фонд оплати праці  (</w:t>
                  </w:r>
                  <w:r w:rsidRPr="005A615E">
                    <w:rPr>
                      <w:rFonts w:ascii="Times New Roman" w:eastAsia="Times New Roman" w:hAnsi="Times New Roman" w:cs="Times New Roman"/>
                      <w:b/>
                      <w:bCs/>
                      <w:lang w:eastAsia="uk-UA"/>
                    </w:rPr>
                    <w:t>ФОП</w:t>
                  </w:r>
                  <w:r w:rsidRPr="005A615E">
                    <w:rPr>
                      <w:rFonts w:ascii="Times New Roman" w:eastAsia="Times New Roman" w:hAnsi="Times New Roman" w:cs="Times New Roman"/>
                      <w:lang w:eastAsia="uk-UA"/>
                    </w:rPr>
                    <w:t>) у році t-1, тис. грн</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63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both"/>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Тарифна середня заробітна плата в розрахунку на одного працівника i-го ліцензіата (</w:t>
                  </w:r>
                  <w:r w:rsidRPr="005A615E">
                    <w:rPr>
                      <w:rFonts w:ascii="Times New Roman" w:eastAsia="Times New Roman" w:hAnsi="Times New Roman" w:cs="Times New Roman"/>
                      <w:b/>
                      <w:bCs/>
                      <w:lang w:eastAsia="uk-UA"/>
                    </w:rPr>
                    <w:t>ТЗПi тар t-1</w:t>
                  </w:r>
                  <w:r w:rsidRPr="005A615E">
                    <w:rPr>
                      <w:rFonts w:ascii="Times New Roman" w:eastAsia="Times New Roman" w:hAnsi="Times New Roman" w:cs="Times New Roman"/>
                      <w:lang w:eastAsia="uk-UA"/>
                    </w:rPr>
                    <w:t>)</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63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429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both"/>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Тарифна чисельність працівників i-го ліцензіата, урахована на дату встановлення відповідного тарифу (</w:t>
                  </w:r>
                  <w:r w:rsidRPr="005A615E">
                    <w:rPr>
                      <w:rFonts w:ascii="Times New Roman" w:eastAsia="Times New Roman" w:hAnsi="Times New Roman" w:cs="Times New Roman"/>
                      <w:b/>
                      <w:bCs/>
                      <w:lang w:eastAsia="uk-UA"/>
                    </w:rPr>
                    <w:t>ТЧПi тар t-1</w:t>
                  </w:r>
                  <w:r w:rsidRPr="005A615E">
                    <w:rPr>
                      <w:rFonts w:ascii="Times New Roman" w:eastAsia="Times New Roman" w:hAnsi="Times New Roman" w:cs="Times New Roman"/>
                      <w:lang w:eastAsia="uk-UA"/>
                    </w:rPr>
                    <w:t>)</w:t>
                  </w:r>
                </w:p>
              </w:tc>
              <w:tc>
                <w:tcPr>
                  <w:tcW w:w="850"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72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Прогнозний річний індекс зростання номінальної заробітної плати  (</w:t>
                  </w:r>
                  <w:r w:rsidRPr="005A615E">
                    <w:rPr>
                      <w:rFonts w:ascii="Times New Roman" w:eastAsia="Times New Roman" w:hAnsi="Times New Roman" w:cs="Times New Roman"/>
                      <w:b/>
                      <w:bCs/>
                      <w:lang w:eastAsia="uk-UA"/>
                    </w:rPr>
                    <w:t>ІЗП</w:t>
                  </w:r>
                  <w:r w:rsidRPr="005A615E">
                    <w:rPr>
                      <w:rFonts w:ascii="Times New Roman" w:eastAsia="Times New Roman" w:hAnsi="Times New Roman" w:cs="Times New Roman"/>
                      <w:lang w:eastAsia="uk-UA"/>
                    </w:rPr>
                    <w:t>) у році t, відн. од. %</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923"/>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4294" w:type="dxa"/>
                  <w:tcBorders>
                    <w:top w:val="nil"/>
                    <w:left w:val="nil"/>
                    <w:bottom w:val="single" w:sz="4" w:space="0" w:color="auto"/>
                    <w:right w:val="single" w:sz="4" w:space="0" w:color="auto"/>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Коефіцієнт співвідношення тарифної середньої заробітної плати працівників у сфері електроенергетики до рівня середньої заробітної плати у розрахунку на одного штатного працівника, зайнятого в промисловості (</w:t>
                  </w:r>
                  <w:r w:rsidRPr="005A615E">
                    <w:rPr>
                      <w:rFonts w:ascii="Times New Roman" w:eastAsia="Times New Roman" w:hAnsi="Times New Roman" w:cs="Times New Roman"/>
                      <w:b/>
                      <w:bCs/>
                      <w:lang w:eastAsia="uk-UA"/>
                    </w:rPr>
                    <w:t>a</w:t>
                  </w:r>
                  <w:r w:rsidRPr="005A615E">
                    <w:rPr>
                      <w:rFonts w:ascii="Times New Roman" w:eastAsia="Times New Roman" w:hAnsi="Times New Roman" w:cs="Times New Roman"/>
                      <w:lang w:eastAsia="uk-UA"/>
                    </w:rPr>
                    <w:t>), у році t, відн. од.</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57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Коефіцієнт зростання фонду оплати праці (</w:t>
                  </w:r>
                  <w:r w:rsidRPr="005A615E">
                    <w:rPr>
                      <w:rFonts w:ascii="Times New Roman" w:eastAsia="Times New Roman" w:hAnsi="Times New Roman" w:cs="Times New Roman"/>
                      <w:b/>
                      <w:bCs/>
                      <w:lang w:eastAsia="uk-UA"/>
                    </w:rPr>
                    <w:t>ki</w:t>
                  </w:r>
                  <w:r w:rsidRPr="005A615E">
                    <w:rPr>
                      <w:rFonts w:ascii="Times New Roman" w:eastAsia="Times New Roman" w:hAnsi="Times New Roman" w:cs="Times New Roman"/>
                      <w:lang w:eastAsia="uk-UA"/>
                    </w:rPr>
                    <w:t>) на рік t, відн. од.</w:t>
                  </w:r>
                </w:p>
              </w:tc>
              <w:tc>
                <w:tcPr>
                  <w:tcW w:w="850"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1665"/>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Cередня заробітна плата з розрахунку на одного штатного працівника, зайнятого у промисловості на території діяльності ліцензіата (на 2025-2026 роки рівень середньомісячної заробітної плати штатних працівників у промисловості України наростаючим підсумком за період із січня по серпень 2021 року) (</w:t>
                  </w:r>
                  <w:r w:rsidRPr="005A615E">
                    <w:rPr>
                      <w:rFonts w:ascii="Times New Roman" w:eastAsia="Times New Roman" w:hAnsi="Times New Roman" w:cs="Times New Roman"/>
                      <w:b/>
                      <w:bCs/>
                      <w:lang w:eastAsia="uk-UA"/>
                    </w:rPr>
                    <w:t>ЗПi пром</w:t>
                  </w:r>
                  <w:r w:rsidRPr="005A615E">
                    <w:rPr>
                      <w:rFonts w:ascii="Times New Roman" w:eastAsia="Times New Roman" w:hAnsi="Times New Roman" w:cs="Times New Roman"/>
                      <w:lang w:eastAsia="uk-UA"/>
                    </w:rPr>
                    <w:t xml:space="preserve">), </w:t>
                  </w:r>
                  <w:r w:rsidRPr="005A615E">
                    <w:rPr>
                      <w:rFonts w:ascii="Times New Roman" w:eastAsia="Times New Roman" w:hAnsi="Times New Roman" w:cs="Times New Roman"/>
                      <w:lang w:eastAsia="uk-UA"/>
                    </w:rPr>
                    <w:br/>
                    <w:t xml:space="preserve">у році t, тис. грн </w:t>
                  </w:r>
                </w:p>
              </w:tc>
              <w:tc>
                <w:tcPr>
                  <w:tcW w:w="85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63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Cередня заробітна плата  з розрахунку на одного штатного працівника, зайнятого у промисловості на території діяльності ліцензіата (</w:t>
                  </w:r>
                  <w:r w:rsidRPr="005A615E">
                    <w:rPr>
                      <w:rFonts w:ascii="Times New Roman" w:eastAsia="Times New Roman" w:hAnsi="Times New Roman" w:cs="Times New Roman"/>
                      <w:b/>
                      <w:bCs/>
                      <w:lang w:eastAsia="uk-UA"/>
                    </w:rPr>
                    <w:t>ЗПi пром</w:t>
                  </w:r>
                  <w:r w:rsidRPr="005A615E">
                    <w:rPr>
                      <w:rFonts w:ascii="Times New Roman" w:eastAsia="Times New Roman" w:hAnsi="Times New Roman" w:cs="Times New Roman"/>
                      <w:lang w:eastAsia="uk-UA"/>
                    </w:rPr>
                    <w:t xml:space="preserve">),  у році t-1, тис. грн </w:t>
                  </w:r>
                </w:p>
              </w:tc>
              <w:tc>
                <w:tcPr>
                  <w:tcW w:w="850"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1455"/>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Cередня заробітна плата з розрахунку на одного штатного працівника, зайнятого у промисловості України (</w:t>
                  </w:r>
                  <w:r w:rsidRPr="005A615E">
                    <w:rPr>
                      <w:rFonts w:ascii="Times New Roman" w:eastAsia="Times New Roman" w:hAnsi="Times New Roman" w:cs="Times New Roman"/>
                      <w:b/>
                      <w:bCs/>
                      <w:lang w:eastAsia="uk-UA"/>
                    </w:rPr>
                    <w:t>ЗПср пром</w:t>
                  </w:r>
                  <w:r w:rsidRPr="005A615E">
                    <w:rPr>
                      <w:rFonts w:ascii="Times New Roman" w:eastAsia="Times New Roman" w:hAnsi="Times New Roman" w:cs="Times New Roman"/>
                      <w:lang w:eastAsia="uk-UA"/>
                    </w:rPr>
                    <w:t>). (на 2025-2026 роки рівень середньомісячної заробітної плати штатних працівників у промисловості регіону наростаючим підсумком за період із січня по серпень 2021 року), у році t, тис. грн</w:t>
                  </w:r>
                </w:p>
              </w:tc>
              <w:tc>
                <w:tcPr>
                  <w:tcW w:w="85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63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Cередня заробітна плата з розрахунку на одного штатного працівника, зайнятого у промисловості України  (</w:t>
                  </w:r>
                  <w:r w:rsidRPr="005A615E">
                    <w:rPr>
                      <w:rFonts w:ascii="Times New Roman" w:eastAsia="Times New Roman" w:hAnsi="Times New Roman" w:cs="Times New Roman"/>
                      <w:b/>
                      <w:bCs/>
                      <w:lang w:eastAsia="uk-UA"/>
                    </w:rPr>
                    <w:t>ЗПср пром</w:t>
                  </w:r>
                  <w:r w:rsidRPr="005A615E">
                    <w:rPr>
                      <w:rFonts w:ascii="Times New Roman" w:eastAsia="Times New Roman" w:hAnsi="Times New Roman" w:cs="Times New Roman"/>
                      <w:lang w:eastAsia="uk-UA"/>
                    </w:rPr>
                    <w:t>), у році t-1, тис. грн</w:t>
                  </w:r>
                </w:p>
              </w:tc>
              <w:tc>
                <w:tcPr>
                  <w:tcW w:w="850"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63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Коригуючий коефіцієнт зміни фактичних умовних одиниць енергетичного обладнання, що знаходиться на контрольованій території держави (</w:t>
                  </w:r>
                  <w:r w:rsidRPr="005A615E">
                    <w:rPr>
                      <w:rFonts w:ascii="Times New Roman" w:eastAsia="Times New Roman" w:hAnsi="Times New Roman" w:cs="Times New Roman"/>
                      <w:b/>
                      <w:bCs/>
                      <w:lang w:eastAsia="uk-UA"/>
                    </w:rPr>
                    <w:t>КФУ</w:t>
                  </w:r>
                  <w:r w:rsidRPr="005A615E">
                    <w:rPr>
                      <w:rFonts w:ascii="Times New Roman" w:eastAsia="Times New Roman" w:hAnsi="Times New Roman" w:cs="Times New Roman"/>
                      <w:lang w:eastAsia="uk-UA"/>
                    </w:rPr>
                    <w:t>)*, відн. од.</w:t>
                  </w:r>
                </w:p>
              </w:tc>
              <w:tc>
                <w:tcPr>
                  <w:tcW w:w="85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63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12</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Тарифна середня заробітна плата в розрахунку на одного працівника i-го ліцензіата (</w:t>
                  </w:r>
                  <w:r w:rsidRPr="005A615E">
                    <w:rPr>
                      <w:rFonts w:ascii="Times New Roman" w:eastAsia="Times New Roman" w:hAnsi="Times New Roman" w:cs="Times New Roman"/>
                      <w:b/>
                      <w:bCs/>
                      <w:lang w:eastAsia="uk-UA"/>
                    </w:rPr>
                    <w:t>ТЗПi тар t</w:t>
                  </w:r>
                  <w:r w:rsidRPr="005A615E">
                    <w:rPr>
                      <w:rFonts w:ascii="Times New Roman" w:eastAsia="Times New Roman" w:hAnsi="Times New Roman" w:cs="Times New Roman"/>
                      <w:lang w:eastAsia="uk-UA"/>
                    </w:rPr>
                    <w:t>)</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63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13</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Тарифна чисельність працівників i-го ліцензіата, урахована на дату встановлення відповідного тарифу (</w:t>
                  </w:r>
                  <w:r w:rsidRPr="005A615E">
                    <w:rPr>
                      <w:rFonts w:ascii="Times New Roman" w:eastAsia="Times New Roman" w:hAnsi="Times New Roman" w:cs="Times New Roman"/>
                      <w:b/>
                      <w:bCs/>
                      <w:lang w:eastAsia="uk-UA"/>
                    </w:rPr>
                    <w:t>ТЧПi тар t</w:t>
                  </w:r>
                  <w:r w:rsidRPr="005A615E">
                    <w:rPr>
                      <w:rFonts w:ascii="Times New Roman" w:eastAsia="Times New Roman" w:hAnsi="Times New Roman" w:cs="Times New Roman"/>
                      <w:lang w:eastAsia="uk-UA"/>
                    </w:rPr>
                    <w:t>)</w:t>
                  </w:r>
                </w:p>
              </w:tc>
              <w:tc>
                <w:tcPr>
                  <w:tcW w:w="850"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405"/>
              </w:trPr>
              <w:tc>
                <w:tcPr>
                  <w:tcW w:w="544" w:type="dxa"/>
                  <w:tcBorders>
                    <w:top w:val="nil"/>
                    <w:left w:val="single" w:sz="4" w:space="0" w:color="auto"/>
                    <w:bottom w:val="single" w:sz="4"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14</w:t>
                  </w:r>
                </w:p>
              </w:tc>
              <w:tc>
                <w:tcPr>
                  <w:tcW w:w="4294" w:type="dxa"/>
                  <w:tcBorders>
                    <w:top w:val="nil"/>
                    <w:left w:val="nil"/>
                    <w:bottom w:val="single" w:sz="4" w:space="0" w:color="auto"/>
                    <w:right w:val="single" w:sz="4" w:space="0" w:color="auto"/>
                  </w:tcBorders>
                  <w:shd w:val="clear" w:color="000000" w:fill="FFFF00"/>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Загальний показник ефективності (ПЕз), %</w:t>
                  </w:r>
                </w:p>
              </w:tc>
              <w:tc>
                <w:tcPr>
                  <w:tcW w:w="850"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065"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81"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569"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150" w:type="dxa"/>
                <w:trHeight w:val="765"/>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15</w:t>
                  </w:r>
                </w:p>
              </w:tc>
              <w:tc>
                <w:tcPr>
                  <w:tcW w:w="429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Фонд оплати праці (ФОП) у році t, тис. грн</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1065"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8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1"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08"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56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0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r>
            <w:tr w:rsidR="00C722CC" w:rsidRPr="005A615E" w:rsidTr="00C722CC">
              <w:trPr>
                <w:trHeight w:val="743"/>
              </w:trPr>
              <w:tc>
                <w:tcPr>
                  <w:tcW w:w="14772" w:type="dxa"/>
                  <w:gridSpan w:val="21"/>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Розрахунок прогнозованого необхідного доходу на період регулювання здійснюється один раз при встановленні тарифів на послуги з розподілу електричної енергії  на всі роки регуляторного періоду.  </w:t>
                  </w:r>
                </w:p>
              </w:tc>
            </w:tr>
            <w:tr w:rsidR="00C722CC" w:rsidRPr="005A615E" w:rsidTr="00C722CC">
              <w:trPr>
                <w:trHeight w:val="315"/>
              </w:trPr>
              <w:tc>
                <w:tcPr>
                  <w:tcW w:w="12778" w:type="dxa"/>
                  <w:gridSpan w:val="17"/>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Розрахунок прогнозованого (уточненого)  необхідного доходу здійснюється щороку при уточненні тарифів на послуги з розподілу електричної енергії  на наступний рік регуляторного періоду.   </w:t>
                  </w:r>
                </w:p>
              </w:tc>
              <w:tc>
                <w:tcPr>
                  <w:tcW w:w="856"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8"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150" w:type="dxa"/>
                <w:trHeight w:val="323"/>
              </w:trPr>
              <w:tc>
                <w:tcPr>
                  <w:tcW w:w="483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 Заповнюється ліцензіатами, перелік яких наведено в додатку 30 до цього Порядку </w:t>
                  </w:r>
                </w:p>
              </w:tc>
              <w:tc>
                <w:tcPr>
                  <w:tcW w:w="850"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065"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81"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150" w:type="dxa"/>
                <w:trHeight w:val="319"/>
              </w:trPr>
              <w:tc>
                <w:tcPr>
                  <w:tcW w:w="54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4294"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065"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81"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150" w:type="dxa"/>
                <w:trHeight w:val="499"/>
              </w:trPr>
              <w:tc>
                <w:tcPr>
                  <w:tcW w:w="54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429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106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8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2423" w:type="dxa"/>
                  <w:gridSpan w:val="4"/>
                  <w:tcBorders>
                    <w:top w:val="nil"/>
                    <w:left w:val="nil"/>
                    <w:bottom w:val="single" w:sz="4" w:space="0" w:color="auto"/>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5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150" w:type="dxa"/>
                <w:trHeight w:val="499"/>
              </w:trPr>
              <w:tc>
                <w:tcPr>
                  <w:tcW w:w="54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429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06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(підпис)</w:t>
                  </w:r>
                </w:p>
              </w:tc>
              <w:tc>
                <w:tcPr>
                  <w:tcW w:w="78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150" w:type="dxa"/>
                <w:trHeight w:val="315"/>
              </w:trPr>
              <w:tc>
                <w:tcPr>
                  <w:tcW w:w="54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429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"____" вересня 2026р.</w:t>
                  </w: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06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8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bl>
          <w:p w:rsidR="00C722CC" w:rsidRPr="005A615E" w:rsidRDefault="00C722CC" w:rsidP="00CF2AC1">
            <w:pPr>
              <w:rPr>
                <w:rFonts w:ascii="Times New Roman" w:hAnsi="Times New Roman"/>
                <w:b/>
                <w:sz w:val="28"/>
              </w:rPr>
            </w:pPr>
          </w:p>
        </w:tc>
      </w:tr>
      <w:tr w:rsidR="00C722CC" w:rsidRPr="005A615E" w:rsidTr="00A56FEE">
        <w:tc>
          <w:tcPr>
            <w:tcW w:w="15588" w:type="dxa"/>
            <w:gridSpan w:val="4"/>
          </w:tcPr>
          <w:tbl>
            <w:tblPr>
              <w:tblW w:w="15331" w:type="dxa"/>
              <w:tblLayout w:type="fixed"/>
              <w:tblLook w:val="04A0" w:firstRow="1" w:lastRow="0" w:firstColumn="1" w:lastColumn="0" w:noHBand="0" w:noVBand="1"/>
            </w:tblPr>
            <w:tblGrid>
              <w:gridCol w:w="589"/>
              <w:gridCol w:w="2957"/>
              <w:gridCol w:w="992"/>
              <w:gridCol w:w="12"/>
              <w:gridCol w:w="838"/>
              <w:gridCol w:w="12"/>
              <w:gridCol w:w="1122"/>
              <w:gridCol w:w="12"/>
              <w:gridCol w:w="1264"/>
              <w:gridCol w:w="12"/>
              <w:gridCol w:w="838"/>
              <w:gridCol w:w="12"/>
              <w:gridCol w:w="1122"/>
              <w:gridCol w:w="12"/>
              <w:gridCol w:w="697"/>
              <w:gridCol w:w="12"/>
              <w:gridCol w:w="1267"/>
              <w:gridCol w:w="12"/>
              <w:gridCol w:w="838"/>
              <w:gridCol w:w="12"/>
              <w:gridCol w:w="839"/>
              <w:gridCol w:w="12"/>
              <w:gridCol w:w="714"/>
              <w:gridCol w:w="1134"/>
            </w:tblGrid>
            <w:tr w:rsidR="00C722CC" w:rsidRPr="005A615E" w:rsidTr="00C722CC">
              <w:trPr>
                <w:trHeight w:val="435"/>
              </w:trPr>
              <w:tc>
                <w:tcPr>
                  <w:tcW w:w="58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bookmarkStart w:id="20" w:name="RANGE!A1:N32"/>
                  <w:bookmarkEnd w:id="20"/>
                </w:p>
              </w:tc>
              <w:tc>
                <w:tcPr>
                  <w:tcW w:w="295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Додаток 6</w:t>
                  </w:r>
                </w:p>
              </w:tc>
              <w:tc>
                <w:tcPr>
                  <w:tcW w:w="72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975"/>
              </w:trPr>
              <w:tc>
                <w:tcPr>
                  <w:tcW w:w="58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95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711" w:type="dxa"/>
                  <w:gridSpan w:val="5"/>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до Порядку встановлення (формування) тарифів на послуги з розподілу електричної енергії </w:t>
                  </w:r>
                </w:p>
              </w:tc>
            </w:tr>
            <w:tr w:rsidR="00C722CC" w:rsidRPr="005A615E" w:rsidTr="00C722CC">
              <w:trPr>
                <w:trHeight w:val="375"/>
              </w:trPr>
              <w:tc>
                <w:tcPr>
                  <w:tcW w:w="15331" w:type="dxa"/>
                  <w:gridSpan w:val="24"/>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xml:space="preserve">Розрахунок операційних неконтрольованих витрат на послуги з розподілу електричної енергії  на кожен  рік регуляторного періоду </w:t>
                  </w:r>
                </w:p>
              </w:tc>
            </w:tr>
            <w:tr w:rsidR="00C722CC" w:rsidRPr="005A615E" w:rsidTr="00C722CC">
              <w:trPr>
                <w:trHeight w:val="315"/>
              </w:trPr>
              <w:tc>
                <w:tcPr>
                  <w:tcW w:w="15331" w:type="dxa"/>
                  <w:gridSpan w:val="24"/>
                  <w:tcBorders>
                    <w:top w:val="nil"/>
                    <w:left w:val="nil"/>
                    <w:bottom w:val="nil"/>
                    <w:right w:val="nil"/>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p>
              </w:tc>
            </w:tr>
            <w:tr w:rsidR="00C722CC" w:rsidRPr="005A615E" w:rsidTr="00C722CC">
              <w:trPr>
                <w:trHeight w:val="150"/>
              </w:trPr>
              <w:tc>
                <w:tcPr>
                  <w:tcW w:w="589"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2957"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276"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279"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1"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26" w:type="dxa"/>
                  <w:gridSpan w:val="2"/>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r>
            <w:tr w:rsidR="00C722CC" w:rsidRPr="005A615E" w:rsidTr="00C722CC">
              <w:trPr>
                <w:trHeight w:val="315"/>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29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Показник</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w:t>
                  </w:r>
                </w:p>
              </w:tc>
              <w:tc>
                <w:tcPr>
                  <w:tcW w:w="2410" w:type="dxa"/>
                  <w:gridSpan w:val="4"/>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t+1</w:t>
                  </w:r>
                </w:p>
              </w:tc>
              <w:tc>
                <w:tcPr>
                  <w:tcW w:w="1984" w:type="dxa"/>
                  <w:gridSpan w:val="4"/>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t+2</w:t>
                  </w:r>
                </w:p>
              </w:tc>
              <w:tc>
                <w:tcPr>
                  <w:tcW w:w="1988" w:type="dxa"/>
                  <w:gridSpan w:val="4"/>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t+3</w:t>
                  </w:r>
                </w:p>
              </w:tc>
              <w:tc>
                <w:tcPr>
                  <w:tcW w:w="1701" w:type="dxa"/>
                  <w:gridSpan w:val="4"/>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t+4</w:t>
                  </w:r>
                </w:p>
              </w:tc>
              <w:tc>
                <w:tcPr>
                  <w:tcW w:w="1860" w:type="dxa"/>
                  <w:gridSpan w:val="3"/>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t+5</w:t>
                  </w:r>
                </w:p>
              </w:tc>
            </w:tr>
            <w:tr w:rsidR="00C722CC" w:rsidRPr="005A615E" w:rsidTr="00C722CC">
              <w:trPr>
                <w:trHeight w:val="840"/>
              </w:trPr>
              <w:tc>
                <w:tcPr>
                  <w:tcW w:w="589"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957"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127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127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113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r>
            <w:tr w:rsidR="00C722CC" w:rsidRPr="005A615E" w:rsidTr="00C722CC">
              <w:trPr>
                <w:trHeight w:val="435"/>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72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12</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Операційні неконтрольовані витрати (</w:t>
                  </w:r>
                  <w:r w:rsidRPr="005A615E">
                    <w:rPr>
                      <w:rFonts w:ascii="Times New Roman" w:eastAsia="Times New Roman" w:hAnsi="Times New Roman" w:cs="Times New Roman"/>
                      <w:b/>
                      <w:bCs/>
                      <w:lang w:eastAsia="uk-UA"/>
                    </w:rPr>
                    <w:t>ОНВ</w:t>
                  </w:r>
                  <w:r w:rsidRPr="005A615E">
                    <w:rPr>
                      <w:rFonts w:ascii="Times New Roman" w:eastAsia="Times New Roman" w:hAnsi="Times New Roman" w:cs="Times New Roman"/>
                      <w:lang w:eastAsia="uk-UA"/>
                    </w:rPr>
                    <w:t>)</w:t>
                  </w:r>
                  <w:r w:rsidRPr="005A615E">
                    <w:rPr>
                      <w:rFonts w:ascii="Times New Roman" w:eastAsia="Times New Roman" w:hAnsi="Times New Roman" w:cs="Times New Roman"/>
                      <w:lang w:eastAsia="uk-UA"/>
                    </w:rPr>
                    <w:br/>
                    <w:t>у році t-1,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Витрати на послуги оператора системи передачі </w:t>
                  </w:r>
                  <w:r w:rsidRPr="005A615E">
                    <w:rPr>
                      <w:rFonts w:ascii="Times New Roman" w:eastAsia="Times New Roman" w:hAnsi="Times New Roman" w:cs="Times New Roman"/>
                      <w:b/>
                      <w:bCs/>
                      <w:lang w:eastAsia="uk-UA"/>
                    </w:rPr>
                    <w:t xml:space="preserve">(ПСП) </w:t>
                  </w:r>
                  <w:r w:rsidRPr="005A615E">
                    <w:rPr>
                      <w:rFonts w:ascii="Times New Roman" w:eastAsia="Times New Roman" w:hAnsi="Times New Roman" w:cs="Times New Roman"/>
                      <w:lang w:eastAsia="uk-UA"/>
                    </w:rPr>
                    <w:t>у році t-1,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Витрати на послуги  диспетчерського (оперативно-технологічного) управління</w:t>
                  </w:r>
                  <w:r w:rsidRPr="005A615E">
                    <w:rPr>
                      <w:rFonts w:ascii="Times New Roman" w:eastAsia="Times New Roman" w:hAnsi="Times New Roman" w:cs="Times New Roman"/>
                      <w:b/>
                      <w:bCs/>
                      <w:lang w:eastAsia="uk-UA"/>
                    </w:rPr>
                    <w:t xml:space="preserve"> (ПД)</w:t>
                  </w:r>
                  <w:r w:rsidRPr="005A615E">
                    <w:rPr>
                      <w:rFonts w:ascii="Times New Roman" w:eastAsia="Times New Roman" w:hAnsi="Times New Roman" w:cs="Times New Roman"/>
                      <w:lang w:eastAsia="uk-UA"/>
                    </w:rPr>
                    <w:t xml:space="preserve"> у році t-1,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945"/>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Витрати на здійснення операцій купівлі-продажу на ринку «на добу наперед» та внутрішньодобовому ринку (ПОР)  у році t-1,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Сума відрахувань коштів первинним профспілковим організаціям</w:t>
                  </w:r>
                  <w:r w:rsidRPr="005A615E">
                    <w:rPr>
                      <w:rFonts w:ascii="Times New Roman" w:eastAsia="Times New Roman" w:hAnsi="Times New Roman" w:cs="Times New Roman"/>
                      <w:b/>
                      <w:bCs/>
                      <w:lang w:eastAsia="uk-UA"/>
                    </w:rPr>
                    <w:t xml:space="preserve"> (ВП)</w:t>
                  </w:r>
                  <w:r w:rsidRPr="005A615E">
                    <w:rPr>
                      <w:rFonts w:ascii="Times New Roman" w:eastAsia="Times New Roman" w:hAnsi="Times New Roman" w:cs="Times New Roman"/>
                      <w:lang w:eastAsia="uk-UA"/>
                    </w:rPr>
                    <w:t xml:space="preserve"> у році t-1,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Сума внесків на регулювання, урахована в тарифах на послуги з розподілу електричної енергії  </w:t>
                  </w:r>
                  <w:r w:rsidRPr="005A615E">
                    <w:rPr>
                      <w:rFonts w:ascii="Times New Roman" w:eastAsia="Times New Roman" w:hAnsi="Times New Roman" w:cs="Times New Roman"/>
                      <w:b/>
                      <w:bCs/>
                      <w:lang w:eastAsia="uk-UA"/>
                    </w:rPr>
                    <w:t>(ВP</w:t>
                  </w:r>
                  <w:r w:rsidRPr="005A615E">
                    <w:rPr>
                      <w:rFonts w:ascii="Times New Roman" w:eastAsia="Times New Roman" w:hAnsi="Times New Roman" w:cs="Times New Roman"/>
                      <w:lang w:eastAsia="uk-UA"/>
                    </w:rPr>
                    <w:t>) у році  t-1,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945"/>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Витрати на спільне використання технологічних електричних мереж, ураховані в тарифах на послуги з розподілу електричної енергії </w:t>
                  </w:r>
                  <w:r w:rsidRPr="005A615E">
                    <w:rPr>
                      <w:rFonts w:ascii="Times New Roman" w:eastAsia="Times New Roman" w:hAnsi="Times New Roman" w:cs="Times New Roman"/>
                      <w:b/>
                      <w:bCs/>
                      <w:lang w:eastAsia="uk-UA"/>
                    </w:rPr>
                    <w:t xml:space="preserve"> (СВМ)</w:t>
                  </w:r>
                  <w:r w:rsidRPr="005A615E">
                    <w:rPr>
                      <w:rFonts w:ascii="Times New Roman" w:eastAsia="Times New Roman" w:hAnsi="Times New Roman" w:cs="Times New Roman"/>
                      <w:lang w:eastAsia="uk-UA"/>
                    </w:rPr>
                    <w:t xml:space="preserve"> у році  t-1, тис. грн </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315"/>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Фонд оплати праці (</w:t>
                  </w:r>
                  <w:r w:rsidRPr="005A615E">
                    <w:rPr>
                      <w:rFonts w:ascii="Times New Roman" w:eastAsia="Times New Roman" w:hAnsi="Times New Roman" w:cs="Times New Roman"/>
                      <w:b/>
                      <w:bCs/>
                      <w:lang w:eastAsia="uk-UA"/>
                    </w:rPr>
                    <w:t>ФОП</w:t>
                  </w:r>
                  <w:r w:rsidRPr="005A615E">
                    <w:rPr>
                      <w:rFonts w:ascii="Times New Roman" w:eastAsia="Times New Roman" w:hAnsi="Times New Roman" w:cs="Times New Roman"/>
                      <w:lang w:eastAsia="uk-UA"/>
                    </w:rPr>
                    <w:t>) у році t-1,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Рівень єдиного внеску на загальнообов’язкове державне соціальне страхування (</w:t>
                  </w:r>
                  <w:r w:rsidRPr="005A615E">
                    <w:rPr>
                      <w:rFonts w:ascii="Times New Roman" w:eastAsia="Times New Roman" w:hAnsi="Times New Roman" w:cs="Times New Roman"/>
                      <w:b/>
                      <w:bCs/>
                      <w:lang w:eastAsia="uk-UA"/>
                    </w:rPr>
                    <w:t>Нфоп</w:t>
                  </w:r>
                  <w:r w:rsidRPr="005A615E">
                    <w:rPr>
                      <w:rFonts w:ascii="Times New Roman" w:eastAsia="Times New Roman" w:hAnsi="Times New Roman" w:cs="Times New Roman"/>
                      <w:lang w:eastAsia="uk-UA"/>
                    </w:rPr>
                    <w:t>) у році t-1, відн. од.</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315"/>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Індекс споживчих цін (</w:t>
                  </w:r>
                  <w:r w:rsidRPr="005A615E">
                    <w:rPr>
                      <w:rFonts w:ascii="Times New Roman" w:eastAsia="Times New Roman" w:hAnsi="Times New Roman" w:cs="Times New Roman"/>
                      <w:b/>
                      <w:bCs/>
                      <w:lang w:eastAsia="uk-UA"/>
                    </w:rPr>
                    <w:t>ІСЦ</w:t>
                  </w:r>
                  <w:r w:rsidRPr="005A615E">
                    <w:rPr>
                      <w:rFonts w:ascii="Times New Roman" w:eastAsia="Times New Roman" w:hAnsi="Times New Roman" w:cs="Times New Roman"/>
                      <w:lang w:eastAsia="uk-UA"/>
                    </w:rPr>
                    <w:t>) у році t, %</w:t>
                  </w:r>
                </w:p>
              </w:tc>
              <w:tc>
                <w:tcPr>
                  <w:tcW w:w="992" w:type="dxa"/>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000000" w:fill="EDEDED"/>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945"/>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Коригуючий коефіцієнт зміни фактичних умовних одиниць енергетичного обладнання, що знаходиться на контрольованій території держави (</w:t>
                  </w:r>
                  <w:r w:rsidRPr="005A615E">
                    <w:rPr>
                      <w:rFonts w:ascii="Times New Roman" w:eastAsia="Times New Roman" w:hAnsi="Times New Roman" w:cs="Times New Roman"/>
                      <w:b/>
                      <w:bCs/>
                      <w:lang w:eastAsia="uk-UA"/>
                    </w:rPr>
                    <w:t>КФУ</w:t>
                  </w:r>
                  <w:r w:rsidRPr="005A615E">
                    <w:rPr>
                      <w:rFonts w:ascii="Times New Roman" w:eastAsia="Times New Roman" w:hAnsi="Times New Roman" w:cs="Times New Roman"/>
                      <w:lang w:eastAsia="uk-UA"/>
                    </w:rPr>
                    <w:t>)*, відн. од.</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315"/>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12</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Фонд оплати праці (</w:t>
                  </w:r>
                  <w:r w:rsidRPr="005A615E">
                    <w:rPr>
                      <w:rFonts w:ascii="Times New Roman" w:eastAsia="Times New Roman" w:hAnsi="Times New Roman" w:cs="Times New Roman"/>
                      <w:b/>
                      <w:bCs/>
                      <w:lang w:eastAsia="uk-UA"/>
                    </w:rPr>
                    <w:t>ФОП)</w:t>
                  </w:r>
                  <w:r w:rsidRPr="005A615E">
                    <w:rPr>
                      <w:rFonts w:ascii="Times New Roman" w:eastAsia="Times New Roman" w:hAnsi="Times New Roman" w:cs="Times New Roman"/>
                      <w:lang w:eastAsia="uk-UA"/>
                    </w:rPr>
                    <w:t xml:space="preserve"> у році t,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13</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Рівень єдиного внеску на загальнообов’язкове державне соціальне страхування (</w:t>
                  </w:r>
                  <w:r w:rsidRPr="005A615E">
                    <w:rPr>
                      <w:rFonts w:ascii="Times New Roman" w:eastAsia="Times New Roman" w:hAnsi="Times New Roman" w:cs="Times New Roman"/>
                      <w:b/>
                      <w:bCs/>
                      <w:lang w:eastAsia="uk-UA"/>
                    </w:rPr>
                    <w:t>Нфоп</w:t>
                  </w:r>
                  <w:r w:rsidRPr="005A615E">
                    <w:rPr>
                      <w:rFonts w:ascii="Times New Roman" w:eastAsia="Times New Roman" w:hAnsi="Times New Roman" w:cs="Times New Roman"/>
                      <w:lang w:eastAsia="uk-UA"/>
                    </w:rPr>
                    <w:t>) у році t, відн. од.</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14</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Витрати на послуги оператора системи передачі  </w:t>
                  </w:r>
                  <w:r w:rsidRPr="005A615E">
                    <w:rPr>
                      <w:rFonts w:ascii="Times New Roman" w:eastAsia="Times New Roman" w:hAnsi="Times New Roman" w:cs="Times New Roman"/>
                      <w:b/>
                      <w:bCs/>
                      <w:lang w:eastAsia="uk-UA"/>
                    </w:rPr>
                    <w:t>(ПСП)</w:t>
                  </w:r>
                  <w:r w:rsidRPr="005A615E">
                    <w:rPr>
                      <w:rFonts w:ascii="Times New Roman" w:eastAsia="Times New Roman" w:hAnsi="Times New Roman" w:cs="Times New Roman"/>
                      <w:lang w:eastAsia="uk-UA"/>
                    </w:rPr>
                    <w:t xml:space="preserve"> у році t,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15</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Витрати на послуги  диспетчерського (оперативно-технологічного) управління</w:t>
                  </w:r>
                  <w:r w:rsidRPr="005A615E">
                    <w:rPr>
                      <w:rFonts w:ascii="Times New Roman" w:eastAsia="Times New Roman" w:hAnsi="Times New Roman" w:cs="Times New Roman"/>
                      <w:b/>
                      <w:bCs/>
                      <w:lang w:eastAsia="uk-UA"/>
                    </w:rPr>
                    <w:t xml:space="preserve"> (ПД)</w:t>
                  </w:r>
                  <w:r w:rsidRPr="005A615E">
                    <w:rPr>
                      <w:rFonts w:ascii="Times New Roman" w:eastAsia="Times New Roman" w:hAnsi="Times New Roman" w:cs="Times New Roman"/>
                      <w:lang w:eastAsia="uk-UA"/>
                    </w:rPr>
                    <w:t xml:space="preserve">  у році t,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126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16</w:t>
                  </w:r>
                </w:p>
              </w:tc>
              <w:tc>
                <w:tcPr>
                  <w:tcW w:w="2957" w:type="dxa"/>
                  <w:tcBorders>
                    <w:top w:val="nil"/>
                    <w:left w:val="nil"/>
                    <w:bottom w:val="single" w:sz="4" w:space="0" w:color="auto"/>
                    <w:right w:val="single" w:sz="4" w:space="0" w:color="auto"/>
                  </w:tcBorders>
                  <w:shd w:val="clear" w:color="000000" w:fill="FFFF00"/>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Витрати на здійснення операцій купівлі-продажу на ринку «на добу наперед» та «внутрішньодобовому ринку» </w:t>
                  </w:r>
                  <w:r w:rsidRPr="005A615E">
                    <w:rPr>
                      <w:rFonts w:ascii="Times New Roman" w:eastAsia="Times New Roman" w:hAnsi="Times New Roman" w:cs="Times New Roman"/>
                      <w:b/>
                      <w:bCs/>
                      <w:lang w:eastAsia="uk-UA"/>
                    </w:rPr>
                    <w:t>та витрати на послуги ТОВ «Українська енергетична біржа»</w:t>
                  </w:r>
                  <w:r w:rsidRPr="005A615E">
                    <w:rPr>
                      <w:rFonts w:ascii="Times New Roman" w:eastAsia="Times New Roman" w:hAnsi="Times New Roman" w:cs="Times New Roman"/>
                      <w:lang w:eastAsia="uk-UA"/>
                    </w:rPr>
                    <w:t xml:space="preserve">  </w:t>
                  </w:r>
                  <w:r w:rsidRPr="005A615E">
                    <w:rPr>
                      <w:rFonts w:ascii="Times New Roman" w:eastAsia="Times New Roman" w:hAnsi="Times New Roman" w:cs="Times New Roman"/>
                      <w:b/>
                      <w:bCs/>
                      <w:lang w:eastAsia="uk-UA"/>
                    </w:rPr>
                    <w:t>(ПОР_УЕБ)</w:t>
                  </w:r>
                  <w:r w:rsidRPr="005A615E">
                    <w:rPr>
                      <w:rFonts w:ascii="Times New Roman" w:eastAsia="Times New Roman" w:hAnsi="Times New Roman" w:cs="Times New Roman"/>
                      <w:lang w:eastAsia="uk-UA"/>
                    </w:rPr>
                    <w:t xml:space="preserve">  у році t,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17</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Сума відрахувань коштів первинним профспілковим організаціям </w:t>
                  </w:r>
                  <w:r w:rsidRPr="005A615E">
                    <w:rPr>
                      <w:rFonts w:ascii="Times New Roman" w:eastAsia="Times New Roman" w:hAnsi="Times New Roman" w:cs="Times New Roman"/>
                      <w:b/>
                      <w:bCs/>
                      <w:lang w:eastAsia="uk-UA"/>
                    </w:rPr>
                    <w:t>(ВП)</w:t>
                  </w:r>
                  <w:r w:rsidRPr="005A615E">
                    <w:rPr>
                      <w:rFonts w:ascii="Times New Roman" w:eastAsia="Times New Roman" w:hAnsi="Times New Roman" w:cs="Times New Roman"/>
                      <w:lang w:eastAsia="uk-UA"/>
                    </w:rPr>
                    <w:t xml:space="preserve"> у році t,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555"/>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18</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Сума внесків на регулювання  </w:t>
                  </w:r>
                  <w:r w:rsidRPr="005A615E">
                    <w:rPr>
                      <w:rFonts w:ascii="Times New Roman" w:eastAsia="Times New Roman" w:hAnsi="Times New Roman" w:cs="Times New Roman"/>
                      <w:b/>
                      <w:bCs/>
                      <w:lang w:eastAsia="uk-UA"/>
                    </w:rPr>
                    <w:t>(ВP</w:t>
                  </w:r>
                  <w:r w:rsidRPr="005A615E">
                    <w:rPr>
                      <w:rFonts w:ascii="Times New Roman" w:eastAsia="Times New Roman" w:hAnsi="Times New Roman" w:cs="Times New Roman"/>
                      <w:lang w:eastAsia="uk-UA"/>
                    </w:rPr>
                    <w:t>) у році  t, тис. грн</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noProof/>
                      <w:lang w:eastAsia="uk-UA"/>
                    </w:rPr>
                    <mc:AlternateContent>
                      <mc:Choice Requires="wps">
                        <w:drawing>
                          <wp:anchor distT="0" distB="0" distL="114300" distR="114300" simplePos="0" relativeHeight="251657216" behindDoc="0" locked="0" layoutInCell="1" allowOverlap="1">
                            <wp:simplePos x="0" y="0"/>
                            <wp:positionH relativeFrom="column">
                              <wp:posOffset>1152525</wp:posOffset>
                            </wp:positionH>
                            <wp:positionV relativeFrom="paragraph">
                              <wp:posOffset>19050</wp:posOffset>
                            </wp:positionV>
                            <wp:extent cx="9525" cy="504825"/>
                            <wp:effectExtent l="0" t="38100" r="28575" b="66675"/>
                            <wp:wrapNone/>
                            <wp:docPr id="271230484" name="Стрілка: вправо 271230484">
                              <a:extLst xmlns:a="http://schemas.openxmlformats.org/drawingml/2006/main">
                                <a:ext uri="{FF2B5EF4-FFF2-40B4-BE49-F238E27FC236}">
                                  <a16:creationId xmlns:a16="http://schemas.microsoft.com/office/drawing/2014/main" id="{90972E2E-37A4-4D28-A6FC-8305DB87C04D}"/>
                                </a:ext>
                              </a:extLst>
                            </wp:docPr>
                            <wp:cNvGraphicFramePr/>
                            <a:graphic xmlns:a="http://schemas.openxmlformats.org/drawingml/2006/main">
                              <a:graphicData uri="http://schemas.microsoft.com/office/word/2010/wordprocessingShape">
                                <wps:wsp>
                                  <wps:cNvSpPr/>
                                  <wps:spPr>
                                    <a:xfrm rot="10800000">
                                      <a:off x="0" y="0"/>
                                      <a:ext cx="0" cy="40712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41736" w:rsidRDefault="00641736" w:rsidP="00C722CC">
                                        <w:pPr>
                                          <w:pStyle w:val="aa"/>
                                          <w:spacing w:before="0" w:beforeAutospacing="0" w:after="0" w:afterAutospacing="0"/>
                                        </w:pPr>
                                        <w:r>
                                          <w:rPr>
                                            <w:rFonts w:asciiTheme="minorHAnsi" w:hAnsi="Calibri" w:cstheme="minorBidi"/>
                                            <w:color w:val="FFFFFF" w:themeColor="light1"/>
                                            <w:sz w:val="22"/>
                                            <w:szCs w:val="22"/>
                                          </w:rPr>
                                          <w:t xml:space="preserve"> </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ілка: вправо 271230484" o:spid="_x0000_s1026" type="#_x0000_t13" style="position:absolute;margin-left:90.75pt;margin-top:1.5pt;width:.75pt;height:39.75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" adj="-2147483648" fillcolor="#4472c4 [3204]" strokecolor="#1f3763 [1604]" strokeweight="1pt">
                            <v:textbox>
                              <w:txbxContent>
                                <w:p w:rsidR="00641736" w:rsidRDefault="00641736" w:rsidP="00C722CC">
                                  <w:pPr>
                                    <w:pStyle w:val="aa"/>
                                    <w:spacing w:before="0" w:beforeAutospacing="0" w:after="0" w:afterAutospacing="0"/>
                                  </w:pPr>
                                  <w:r>
                                    <w:rPr>
                                      <w:rFonts w:asciiTheme="minorHAnsi" w:hAnsi="Calibri" w:cstheme="minorBidi"/>
                                      <w:color w:val="FFFFFF" w:themeColor="light1"/>
                                      <w:sz w:val="22"/>
                                      <w:szCs w:val="22"/>
                                    </w:rPr>
                                    <w:t xml:space="preserve"> </w:t>
                                  </w:r>
                                </w:p>
                              </w:txbxContent>
                            </v:textbox>
                          </v:shape>
                        </w:pict>
                      </mc:Fallback>
                    </mc:AlternateContent>
                  </w:r>
                  <w:r w:rsidRPr="005A615E">
                    <w:rPr>
                      <w:rFonts w:ascii="Times New Roman" w:eastAsia="Times New Roman" w:hAnsi="Times New Roman" w:cs="Times New Roman"/>
                      <w:noProof/>
                      <w:lang w:eastAsia="uk-UA"/>
                    </w:rPr>
                    <mc:AlternateContent>
                      <mc:Choice Requires="wps">
                        <w:drawing>
                          <wp:anchor distT="0" distB="0" distL="114300" distR="114300" simplePos="0" relativeHeight="251658240" behindDoc="0" locked="0" layoutInCell="1" allowOverlap="1">
                            <wp:simplePos x="0" y="0"/>
                            <wp:positionH relativeFrom="column">
                              <wp:posOffset>1152525</wp:posOffset>
                            </wp:positionH>
                            <wp:positionV relativeFrom="paragraph">
                              <wp:posOffset>19050</wp:posOffset>
                            </wp:positionV>
                            <wp:extent cx="9525" cy="495300"/>
                            <wp:effectExtent l="0" t="38100" r="28575" b="57150"/>
                            <wp:wrapNone/>
                            <wp:docPr id="271230483" name="Стрілка: вправо 271230483">
                              <a:extLst xmlns:a="http://schemas.openxmlformats.org/drawingml/2006/main">
                                <a:ext uri="{FF2B5EF4-FFF2-40B4-BE49-F238E27FC236}">
                                  <a16:creationId xmlns:a16="http://schemas.microsoft.com/office/drawing/2014/main" id="{E01F8452-BB83-46DF-A8D9-ADDE0CFDD9A8}"/>
                                </a:ext>
                              </a:extLst>
                            </wp:docPr>
                            <wp:cNvGraphicFramePr/>
                            <a:graphic xmlns:a="http://schemas.openxmlformats.org/drawingml/2006/main">
                              <a:graphicData uri="http://schemas.microsoft.com/office/word/2010/wordprocessingShape">
                                <wps:wsp>
                                  <wps:cNvSpPr/>
                                  <wps:spPr>
                                    <a:xfrm rot="10800000">
                                      <a:off x="0" y="0"/>
                                      <a:ext cx="0" cy="40518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41736" w:rsidRDefault="00641736" w:rsidP="00C722CC">
                                        <w:pPr>
                                          <w:pStyle w:val="aa"/>
                                          <w:spacing w:before="0" w:beforeAutospacing="0" w:after="0" w:afterAutospacing="0"/>
                                        </w:pPr>
                                        <w:r>
                                          <w:rPr>
                                            <w:rFonts w:asciiTheme="minorHAnsi" w:hAnsi="Calibri" w:cstheme="minorBidi"/>
                                            <w:color w:val="FFFFFF" w:themeColor="light1"/>
                                            <w:sz w:val="22"/>
                                            <w:szCs w:val="22"/>
                                          </w:rPr>
                                          <w:t xml:space="preserve"> </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id="Стрілка: вправо 271230483" o:spid="_x0000_s1027" type="#_x0000_t13" style="position:absolute;margin-left:90.75pt;margin-top:1.5pt;width:.75pt;height:39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" adj="-2147483648" fillcolor="#4472c4 [3204]" strokecolor="#1f3763 [1604]" strokeweight="1pt">
                            <v:textbox>
                              <w:txbxContent>
                                <w:p w:rsidR="00641736" w:rsidRDefault="00641736" w:rsidP="00C722CC">
                                  <w:pPr>
                                    <w:pStyle w:val="aa"/>
                                    <w:spacing w:before="0" w:beforeAutospacing="0" w:after="0" w:afterAutospacing="0"/>
                                  </w:pPr>
                                  <w:r>
                                    <w:rPr>
                                      <w:rFonts w:asciiTheme="minorHAnsi" w:hAnsi="Calibri" w:cstheme="minorBidi"/>
                                      <w:color w:val="FFFFFF" w:themeColor="light1"/>
                                      <w:sz w:val="22"/>
                                      <w:szCs w:val="22"/>
                                    </w:rPr>
                                    <w:t xml:space="preserve"> </w:t>
                                  </w:r>
                                </w:p>
                              </w:txbxContent>
                            </v:textbox>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900"/>
                  </w:tblGrid>
                  <w:tr w:rsidR="00C722CC" w:rsidRPr="005A615E">
                    <w:trPr>
                      <w:trHeight w:val="555"/>
                      <w:tblCellSpacing w:w="0" w:type="dxa"/>
                    </w:trPr>
                    <w:tc>
                      <w:tcPr>
                        <w:tcW w:w="190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bl>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trHeight w:val="63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19</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Витрати на спільне використання технологічних електричних мереж </w:t>
                  </w:r>
                  <w:r w:rsidRPr="005A615E">
                    <w:rPr>
                      <w:rFonts w:ascii="Times New Roman" w:eastAsia="Times New Roman" w:hAnsi="Times New Roman" w:cs="Times New Roman"/>
                      <w:b/>
                      <w:bCs/>
                      <w:lang w:eastAsia="uk-UA"/>
                    </w:rPr>
                    <w:t>(СВМ)</w:t>
                  </w:r>
                  <w:r w:rsidRPr="005A615E">
                    <w:rPr>
                      <w:rFonts w:ascii="Times New Roman" w:eastAsia="Times New Roman" w:hAnsi="Times New Roman" w:cs="Times New Roman"/>
                      <w:lang w:eastAsia="uk-UA"/>
                    </w:rPr>
                    <w:t xml:space="preserve"> у році  t, тис. грн </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9"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26" w:type="dxa"/>
                  <w:gridSpan w:val="2"/>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r>
            <w:tr w:rsidR="00C722CC" w:rsidRPr="005A615E" w:rsidTr="00C722CC">
              <w:trPr>
                <w:trHeight w:val="840"/>
              </w:trPr>
              <w:tc>
                <w:tcPr>
                  <w:tcW w:w="58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20</w:t>
                  </w:r>
                </w:p>
              </w:tc>
              <w:tc>
                <w:tcPr>
                  <w:tcW w:w="295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Операційні неконтрольовані витрати (ОНВ) у році t, тис. грн</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1279"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26" w:type="dxa"/>
                  <w:gridSpan w:val="2"/>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113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r>
            <w:tr w:rsidR="00C722CC" w:rsidRPr="005A615E" w:rsidTr="00C722CC">
              <w:trPr>
                <w:trHeight w:val="315"/>
              </w:trPr>
              <w:tc>
                <w:tcPr>
                  <w:tcW w:w="15331" w:type="dxa"/>
                  <w:gridSpan w:val="24"/>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Розрахунок прогнозованого необхідного доходу на період регулювання здійснюється один раз при встановленні тарифів на послуги з розподілу електричної енергії  на всі роки регуляторного періоду.  </w:t>
                  </w:r>
                </w:p>
              </w:tc>
            </w:tr>
            <w:tr w:rsidR="00C722CC" w:rsidRPr="005A615E" w:rsidTr="00C722CC">
              <w:trPr>
                <w:trHeight w:val="315"/>
              </w:trPr>
              <w:tc>
                <w:tcPr>
                  <w:tcW w:w="15331" w:type="dxa"/>
                  <w:gridSpan w:val="24"/>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Розрахунок прогнозованого (уточненого)  необхідного доходу здійснюється щороку при уточненні тарифів на послуги з розподілу електричної енергії  на наступний рік регуляторного періоду.   </w:t>
                  </w:r>
                </w:p>
              </w:tc>
            </w:tr>
            <w:tr w:rsidR="00C722CC" w:rsidRPr="005A615E" w:rsidTr="00C722CC">
              <w:trPr>
                <w:trHeight w:val="315"/>
              </w:trPr>
              <w:tc>
                <w:tcPr>
                  <w:tcW w:w="4550" w:type="dxa"/>
                  <w:gridSpan w:val="4"/>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 Заповнюється ліцензіатами, перелік яких наведено в додатку 30 до цього Порядку </w:t>
                  </w:r>
                </w:p>
              </w:tc>
              <w:tc>
                <w:tcPr>
                  <w:tcW w:w="850"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9"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gridSpan w:val="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14"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315"/>
              </w:trPr>
              <w:tc>
                <w:tcPr>
                  <w:tcW w:w="58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95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2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315"/>
              </w:trPr>
              <w:tc>
                <w:tcPr>
                  <w:tcW w:w="58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95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410" w:type="dxa"/>
                  <w:gridSpan w:val="4"/>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________________________</w:t>
                  </w:r>
                </w:p>
              </w:tc>
              <w:tc>
                <w:tcPr>
                  <w:tcW w:w="2693" w:type="dxa"/>
                  <w:gridSpan w:val="6"/>
                  <w:tcBorders>
                    <w:top w:val="nil"/>
                    <w:left w:val="nil"/>
                    <w:bottom w:val="single" w:sz="4" w:space="0" w:color="auto"/>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c>
                <w:tcPr>
                  <w:tcW w:w="127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2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315"/>
              </w:trPr>
              <w:tc>
                <w:tcPr>
                  <w:tcW w:w="58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95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410" w:type="dxa"/>
                  <w:gridSpan w:val="4"/>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(підпис)</w:t>
                  </w: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127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2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315"/>
              </w:trPr>
              <w:tc>
                <w:tcPr>
                  <w:tcW w:w="58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95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"____" вересня 2026р.</w:t>
                  </w: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2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255"/>
              </w:trPr>
              <w:tc>
                <w:tcPr>
                  <w:tcW w:w="58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95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26"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bl>
          <w:p w:rsidR="00C722CC" w:rsidRPr="005A615E" w:rsidRDefault="00C722CC" w:rsidP="00CF2AC1">
            <w:pPr>
              <w:rPr>
                <w:rFonts w:ascii="Times New Roman" w:hAnsi="Times New Roman"/>
                <w:b/>
                <w:sz w:val="28"/>
              </w:rPr>
            </w:pPr>
          </w:p>
        </w:tc>
      </w:tr>
      <w:tr w:rsidR="00C722CC" w:rsidRPr="005A615E" w:rsidTr="00A56FEE">
        <w:tc>
          <w:tcPr>
            <w:tcW w:w="15588" w:type="dxa"/>
            <w:gridSpan w:val="4"/>
          </w:tcPr>
          <w:tbl>
            <w:tblPr>
              <w:tblW w:w="14960" w:type="dxa"/>
              <w:tblLayout w:type="fixed"/>
              <w:tblLook w:val="04A0" w:firstRow="1" w:lastRow="0" w:firstColumn="1" w:lastColumn="0" w:noHBand="0" w:noVBand="1"/>
            </w:tblPr>
            <w:tblGrid>
              <w:gridCol w:w="649"/>
              <w:gridCol w:w="2624"/>
              <w:gridCol w:w="854"/>
              <w:gridCol w:w="569"/>
              <w:gridCol w:w="852"/>
              <w:gridCol w:w="708"/>
              <w:gridCol w:w="995"/>
              <w:gridCol w:w="992"/>
              <w:gridCol w:w="851"/>
              <w:gridCol w:w="992"/>
              <w:gridCol w:w="992"/>
              <w:gridCol w:w="993"/>
              <w:gridCol w:w="998"/>
              <w:gridCol w:w="850"/>
              <w:gridCol w:w="987"/>
              <w:gridCol w:w="54"/>
            </w:tblGrid>
            <w:tr w:rsidR="00C722CC" w:rsidRPr="005A615E" w:rsidTr="00C722CC">
              <w:trPr>
                <w:gridAfter w:val="1"/>
                <w:wAfter w:w="54" w:type="dxa"/>
                <w:trHeight w:val="31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bookmarkStart w:id="21" w:name="RANGE!A1:O27"/>
                  <w:bookmarkEnd w:id="21"/>
                </w:p>
              </w:tc>
              <w:tc>
                <w:tcPr>
                  <w:tcW w:w="262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Додаток 29</w:t>
                  </w: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b/>
                      <w:bCs/>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trHeight w:val="1020"/>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889" w:type="dxa"/>
                  <w:gridSpan w:val="4"/>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до Порядку встановлення (формування) тарифів на послуги з розподілу електричної енергії </w:t>
                  </w:r>
                </w:p>
              </w:tc>
            </w:tr>
            <w:tr w:rsidR="00C722CC" w:rsidRPr="005A615E" w:rsidTr="00C722CC">
              <w:trPr>
                <w:gridAfter w:val="1"/>
                <w:wAfter w:w="54" w:type="dxa"/>
                <w:trHeight w:val="28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54" w:type="dxa"/>
                <w:trHeight w:val="315"/>
              </w:trPr>
              <w:tc>
                <w:tcPr>
                  <w:tcW w:w="13069" w:type="dxa"/>
                  <w:gridSpan w:val="13"/>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Розрахунок тарифів на послуги з розподілу електричної енергії  (у разі застосування  стимулюючого регулювання) на прогнозний регуляторний період</w:t>
                  </w:r>
                </w:p>
              </w:tc>
              <w:tc>
                <w:tcPr>
                  <w:tcW w:w="85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p>
              </w:tc>
              <w:tc>
                <w:tcPr>
                  <w:tcW w:w="987"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r>
            <w:tr w:rsidR="00C722CC" w:rsidRPr="005A615E" w:rsidTr="00C722CC">
              <w:trPr>
                <w:gridAfter w:val="1"/>
                <w:wAfter w:w="54" w:type="dxa"/>
                <w:trHeight w:val="43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2420" w:type="dxa"/>
                  <w:gridSpan w:val="12"/>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r>
            <w:tr w:rsidR="00C722CC" w:rsidRPr="005A615E" w:rsidTr="00C722CC">
              <w:trPr>
                <w:gridAfter w:val="1"/>
                <w:wAfter w:w="54" w:type="dxa"/>
                <w:trHeight w:val="315"/>
              </w:trPr>
              <w:tc>
                <w:tcPr>
                  <w:tcW w:w="6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26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Найменування</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Позначення, </w:t>
                  </w:r>
                  <w:r w:rsidRPr="005A615E">
                    <w:rPr>
                      <w:rFonts w:ascii="Times New Roman" w:eastAsia="Times New Roman" w:hAnsi="Times New Roman" w:cs="Times New Roman"/>
                      <w:lang w:eastAsia="uk-UA"/>
                    </w:rPr>
                    <w:br/>
                    <w:t>одиниці виміру</w:t>
                  </w:r>
                </w:p>
              </w:tc>
              <w:tc>
                <w:tcPr>
                  <w:tcW w:w="1421"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w:t>
                  </w:r>
                </w:p>
              </w:tc>
              <w:tc>
                <w:tcPr>
                  <w:tcW w:w="1703"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t+1</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t+2</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t+3</w:t>
                  </w:r>
                </w:p>
              </w:tc>
              <w:tc>
                <w:tcPr>
                  <w:tcW w:w="1991"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t+4</w:t>
                  </w:r>
                </w:p>
              </w:tc>
              <w:tc>
                <w:tcPr>
                  <w:tcW w:w="1837" w:type="dxa"/>
                  <w:gridSpan w:val="2"/>
                  <w:tcBorders>
                    <w:top w:val="single" w:sz="4" w:space="0" w:color="auto"/>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Рік t+5</w:t>
                  </w:r>
                </w:p>
              </w:tc>
            </w:tr>
            <w:tr w:rsidR="00C722CC" w:rsidRPr="005A615E" w:rsidTr="00C722CC">
              <w:trPr>
                <w:gridAfter w:val="1"/>
                <w:wAfter w:w="54" w:type="dxa"/>
                <w:trHeight w:val="630"/>
              </w:trPr>
              <w:tc>
                <w:tcPr>
                  <w:tcW w:w="649"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85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70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99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993"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99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c>
                <w:tcPr>
                  <w:tcW w:w="850"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w:t>
                  </w:r>
                </w:p>
              </w:tc>
              <w:tc>
                <w:tcPr>
                  <w:tcW w:w="98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прогнозований (уточнений)</w:t>
                  </w:r>
                </w:p>
              </w:tc>
            </w:tr>
            <w:tr w:rsidR="00C722CC" w:rsidRPr="005A615E" w:rsidTr="00C722CC">
              <w:trPr>
                <w:gridAfter w:val="1"/>
                <w:wAfter w:w="54" w:type="dxa"/>
                <w:trHeight w:val="315"/>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85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569"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85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708"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995"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851"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992"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992"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993"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998"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c>
                <w:tcPr>
                  <w:tcW w:w="850"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12</w:t>
                  </w:r>
                </w:p>
              </w:tc>
              <w:tc>
                <w:tcPr>
                  <w:tcW w:w="987"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13</w:t>
                  </w:r>
                </w:p>
              </w:tc>
            </w:tr>
            <w:tr w:rsidR="00C722CC" w:rsidRPr="005A615E" w:rsidTr="00C722CC">
              <w:trPr>
                <w:gridAfter w:val="1"/>
                <w:wAfter w:w="54" w:type="dxa"/>
                <w:trHeight w:val="97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Обсяги корисного відпуску електричної енергії споживачам на 1 класі напруги </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Wc1,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Обсяг  електроенергії, яка трансформується з 1 на 2 клас напруги</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W</w:t>
                  </w:r>
                  <w:r w:rsidRPr="005A615E">
                    <w:rPr>
                      <w:rFonts w:ascii="Times New Roman" w:eastAsia="Times New Roman" w:hAnsi="Times New Roman" w:cs="Times New Roman"/>
                      <w:vertAlign w:val="subscript"/>
                      <w:lang w:eastAsia="uk-UA"/>
                    </w:rPr>
                    <w:t>Т1</w:t>
                  </w:r>
                  <w:r w:rsidRPr="005A615E">
                    <w:rPr>
                      <w:rFonts w:ascii="Times New Roman" w:eastAsia="Times New Roman" w:hAnsi="Times New Roman" w:cs="Times New Roman"/>
                      <w:lang w:eastAsia="uk-UA"/>
                    </w:rPr>
                    <w:t>,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Обсяг електричної енергії, що надходить від генеруючих джерел безпосередньо на 2 клас напруги</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W</w:t>
                  </w:r>
                  <w:r w:rsidRPr="005A615E">
                    <w:rPr>
                      <w:rFonts w:ascii="Times New Roman" w:eastAsia="Times New Roman" w:hAnsi="Times New Roman" w:cs="Times New Roman"/>
                      <w:i/>
                      <w:iCs/>
                      <w:lang w:eastAsia="uk-UA"/>
                    </w:rPr>
                    <w:t>ген</w:t>
                  </w:r>
                  <w:r w:rsidRPr="005A615E">
                    <w:rPr>
                      <w:rFonts w:ascii="Times New Roman" w:eastAsia="Times New Roman" w:hAnsi="Times New Roman" w:cs="Times New Roman"/>
                      <w:lang w:eastAsia="uk-UA"/>
                    </w:rPr>
                    <w:t>2,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Обсяг розподілу електроенергії на 1 класі напруги</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W</w:t>
                  </w:r>
                  <w:r w:rsidRPr="005A615E">
                    <w:rPr>
                      <w:rFonts w:ascii="Times New Roman" w:eastAsia="Times New Roman" w:hAnsi="Times New Roman" w:cs="Times New Roman"/>
                      <w:vertAlign w:val="subscript"/>
                      <w:lang w:eastAsia="uk-UA"/>
                    </w:rPr>
                    <w:t>1</w:t>
                  </w:r>
                  <w:r w:rsidRPr="005A615E">
                    <w:rPr>
                      <w:rFonts w:ascii="Times New Roman" w:eastAsia="Times New Roman" w:hAnsi="Times New Roman" w:cs="Times New Roman"/>
                      <w:lang w:eastAsia="uk-UA"/>
                    </w:rPr>
                    <w:t>,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Обсяг розподілу електроенергії  на 2 класі напруги</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W</w:t>
                  </w:r>
                  <w:r w:rsidRPr="005A615E">
                    <w:rPr>
                      <w:rFonts w:ascii="Times New Roman" w:eastAsia="Times New Roman" w:hAnsi="Times New Roman" w:cs="Times New Roman"/>
                      <w:vertAlign w:val="subscript"/>
                      <w:lang w:eastAsia="uk-UA"/>
                    </w:rPr>
                    <w:t>2</w:t>
                  </w:r>
                  <w:r w:rsidRPr="005A615E">
                    <w:rPr>
                      <w:rFonts w:ascii="Times New Roman" w:eastAsia="Times New Roman" w:hAnsi="Times New Roman" w:cs="Times New Roman"/>
                      <w:lang w:eastAsia="uk-UA"/>
                    </w:rPr>
                    <w:t>,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both"/>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Економічний  коефіцієнт  прогнозованих  технологічних  витрат  електроенергії  на розподіл 1 класу</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w:t>
                  </w:r>
                  <w:r w:rsidRPr="005A615E">
                    <w:rPr>
                      <w:rFonts w:ascii="Times New Roman" w:eastAsia="Times New Roman" w:hAnsi="Times New Roman" w:cs="Times New Roman"/>
                      <w:vertAlign w:val="subscript"/>
                      <w:lang w:eastAsia="uk-UA"/>
                    </w:rPr>
                    <w:t>1</w:t>
                  </w:r>
                  <w:r w:rsidRPr="005A615E">
                    <w:rPr>
                      <w:rFonts w:ascii="Times New Roman" w:eastAsia="Times New Roman" w:hAnsi="Times New Roman" w:cs="Times New Roman"/>
                      <w:lang w:eastAsia="uk-UA"/>
                    </w:rPr>
                    <w:t>, в. о.</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Обсяг  технологічних витрат електричної енергії на її розроділ на 1 класі напруги</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w:t>
                  </w:r>
                  <w:r w:rsidRPr="005A615E">
                    <w:rPr>
                      <w:rFonts w:ascii="Times New Roman" w:eastAsia="Times New Roman" w:hAnsi="Times New Roman" w:cs="Times New Roman"/>
                      <w:vertAlign w:val="subscript"/>
                      <w:lang w:eastAsia="uk-UA"/>
                    </w:rPr>
                    <w:t>1</w:t>
                  </w:r>
                  <w:r w:rsidRPr="005A615E">
                    <w:rPr>
                      <w:rFonts w:ascii="Times New Roman" w:eastAsia="Times New Roman" w:hAnsi="Times New Roman" w:cs="Times New Roman"/>
                      <w:lang w:eastAsia="uk-UA"/>
                    </w:rPr>
                    <w:t>,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both"/>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Економічний  коефіцієнт  прогнозованих  технологічних  витрат  електроенергії  на розподіл 2 класу</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К</w:t>
                  </w:r>
                  <w:r w:rsidRPr="005A615E">
                    <w:rPr>
                      <w:rFonts w:ascii="Times New Roman" w:eastAsia="Times New Roman" w:hAnsi="Times New Roman" w:cs="Times New Roman"/>
                      <w:vertAlign w:val="subscript"/>
                      <w:lang w:eastAsia="uk-UA"/>
                    </w:rPr>
                    <w:t>2</w:t>
                  </w:r>
                  <w:r w:rsidRPr="005A615E">
                    <w:rPr>
                      <w:rFonts w:ascii="Times New Roman" w:eastAsia="Times New Roman" w:hAnsi="Times New Roman" w:cs="Times New Roman"/>
                      <w:lang w:eastAsia="uk-UA"/>
                    </w:rPr>
                    <w:t>, в. о.</w:t>
                  </w:r>
                </w:p>
              </w:tc>
              <w:tc>
                <w:tcPr>
                  <w:tcW w:w="569"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Обсяг  технологічних витрат електричної енергії на її розподіл на 2 класі напруги</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w:t>
                  </w:r>
                  <w:r w:rsidRPr="005A615E">
                    <w:rPr>
                      <w:rFonts w:ascii="Times New Roman" w:eastAsia="Times New Roman" w:hAnsi="Times New Roman" w:cs="Times New Roman"/>
                      <w:vertAlign w:val="subscript"/>
                      <w:lang w:eastAsia="uk-UA"/>
                    </w:rPr>
                    <w:t>2</w:t>
                  </w:r>
                  <w:r w:rsidRPr="005A615E">
                    <w:rPr>
                      <w:rFonts w:ascii="Times New Roman" w:eastAsia="Times New Roman" w:hAnsi="Times New Roman" w:cs="Times New Roman"/>
                      <w:lang w:eastAsia="uk-UA"/>
                    </w:rPr>
                    <w:t>,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Обсяг електричної енергії  для господарських потреб</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W</w:t>
                  </w:r>
                  <w:r w:rsidRPr="005A615E">
                    <w:rPr>
                      <w:rFonts w:ascii="Times New Roman" w:eastAsia="Times New Roman" w:hAnsi="Times New Roman" w:cs="Times New Roman"/>
                      <w:vertAlign w:val="subscript"/>
                      <w:lang w:eastAsia="uk-UA"/>
                    </w:rPr>
                    <w:t>ГП</w:t>
                  </w:r>
                  <w:r w:rsidRPr="005A615E">
                    <w:rPr>
                      <w:rFonts w:ascii="Times New Roman" w:eastAsia="Times New Roman" w:hAnsi="Times New Roman" w:cs="Times New Roman"/>
                      <w:lang w:eastAsia="uk-UA"/>
                    </w:rPr>
                    <w:t>,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945"/>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11</w:t>
                  </w:r>
                </w:p>
              </w:tc>
              <w:tc>
                <w:tcPr>
                  <w:tcW w:w="2624" w:type="dxa"/>
                  <w:tcBorders>
                    <w:top w:val="nil"/>
                    <w:left w:val="nil"/>
                    <w:bottom w:val="single" w:sz="4" w:space="0" w:color="auto"/>
                    <w:right w:val="single" w:sz="4" w:space="0" w:color="auto"/>
                  </w:tcBorders>
                  <w:shd w:val="clear" w:color="000000" w:fill="FFFF00"/>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Обсяг перевищення фактичних витрат електричної енергії над обсягом нормативно-фактичними технологічними витратами,  обґрунтованого за результатами заходів контролю за рік t-2</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О3, ,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12</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Прогнозовані витрати (прогнозований необхідний дохід)  на розподіл електричної енергії на 1 класі напруги</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НД</w:t>
                  </w:r>
                  <w:r w:rsidRPr="005A615E">
                    <w:rPr>
                      <w:rFonts w:ascii="Times New Roman" w:eastAsia="Times New Roman" w:hAnsi="Times New Roman" w:cs="Times New Roman"/>
                      <w:vertAlign w:val="subscript"/>
                      <w:lang w:eastAsia="uk-UA"/>
                    </w:rPr>
                    <w:t>1</w:t>
                  </w:r>
                  <w:r w:rsidRPr="005A615E">
                    <w:rPr>
                      <w:rFonts w:ascii="Times New Roman" w:eastAsia="Times New Roman" w:hAnsi="Times New Roman" w:cs="Times New Roman"/>
                      <w:lang w:eastAsia="uk-UA"/>
                    </w:rPr>
                    <w:t>, тис. грн</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13</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Прогнозовані витрати (прогнозований необхідний дохід)  на розподіл електричної енергії на 2 класі напруги</w:t>
                  </w:r>
                </w:p>
              </w:tc>
              <w:tc>
                <w:tcPr>
                  <w:tcW w:w="854" w:type="dxa"/>
                  <w:tcBorders>
                    <w:top w:val="nil"/>
                    <w:left w:val="nil"/>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НД</w:t>
                  </w:r>
                  <w:r w:rsidRPr="005A615E">
                    <w:rPr>
                      <w:rFonts w:ascii="Times New Roman" w:eastAsia="Times New Roman" w:hAnsi="Times New Roman" w:cs="Times New Roman"/>
                      <w:vertAlign w:val="subscript"/>
                      <w:lang w:eastAsia="uk-UA"/>
                    </w:rPr>
                    <w:t>2</w:t>
                  </w:r>
                  <w:r w:rsidRPr="005A615E">
                    <w:rPr>
                      <w:rFonts w:ascii="Times New Roman" w:eastAsia="Times New Roman" w:hAnsi="Times New Roman" w:cs="Times New Roman"/>
                      <w:lang w:eastAsia="uk-UA"/>
                    </w:rPr>
                    <w:t>, тис. грн</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14</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Тариф на розподіл електричної енергії для споживачів та операторів установок зберігання енергії першого класу напруги</w:t>
                  </w:r>
                </w:p>
              </w:tc>
              <w:tc>
                <w:tcPr>
                  <w:tcW w:w="85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Т</w:t>
                  </w:r>
                  <w:r w:rsidRPr="005A615E">
                    <w:rPr>
                      <w:rFonts w:ascii="Times New Roman" w:eastAsia="Times New Roman" w:hAnsi="Times New Roman" w:cs="Times New Roman"/>
                      <w:b/>
                      <w:bCs/>
                      <w:vertAlign w:val="subscript"/>
                      <w:lang w:eastAsia="uk-UA"/>
                    </w:rPr>
                    <w:t xml:space="preserve">1, </w:t>
                  </w:r>
                  <w:r w:rsidRPr="005A615E">
                    <w:rPr>
                      <w:rFonts w:ascii="Times New Roman" w:eastAsia="Times New Roman" w:hAnsi="Times New Roman" w:cs="Times New Roman"/>
                      <w:b/>
                      <w:bCs/>
                      <w:lang w:eastAsia="uk-UA"/>
                    </w:rPr>
                    <w:t>грн/ МВт·год</w:t>
                  </w:r>
                </w:p>
              </w:tc>
              <w:tc>
                <w:tcPr>
                  <w:tcW w:w="569"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5"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8"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87" w:type="dxa"/>
                  <w:tcBorders>
                    <w:top w:val="nil"/>
                    <w:left w:val="nil"/>
                    <w:bottom w:val="single" w:sz="4" w:space="0" w:color="auto"/>
                    <w:right w:val="single" w:sz="4" w:space="0" w:color="auto"/>
                  </w:tcBorders>
                  <w:shd w:val="clear" w:color="000000" w:fill="FFFFFF"/>
                  <w:noWrap/>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r>
            <w:tr w:rsidR="00C722CC" w:rsidRPr="005A615E" w:rsidTr="00C722CC">
              <w:trPr>
                <w:gridAfter w:val="1"/>
                <w:wAfter w:w="54" w:type="dxa"/>
                <w:trHeight w:val="702"/>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15</w:t>
                  </w:r>
                </w:p>
              </w:tc>
              <w:tc>
                <w:tcPr>
                  <w:tcW w:w="262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Тариф на розподіл електричної енергії для споживачів та операторів установок зберігання енергії другого класу напруги</w:t>
                  </w:r>
                </w:p>
              </w:tc>
              <w:tc>
                <w:tcPr>
                  <w:tcW w:w="854" w:type="dxa"/>
                  <w:tcBorders>
                    <w:top w:val="nil"/>
                    <w:left w:val="nil"/>
                    <w:bottom w:val="single" w:sz="4"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Т</w:t>
                  </w:r>
                  <w:r w:rsidRPr="005A615E">
                    <w:rPr>
                      <w:rFonts w:ascii="Times New Roman" w:eastAsia="Times New Roman" w:hAnsi="Times New Roman" w:cs="Times New Roman"/>
                      <w:b/>
                      <w:bCs/>
                      <w:vertAlign w:val="subscript"/>
                      <w:lang w:eastAsia="uk-UA"/>
                    </w:rPr>
                    <w:t xml:space="preserve">2, </w:t>
                  </w:r>
                  <w:r w:rsidRPr="005A615E">
                    <w:rPr>
                      <w:rFonts w:ascii="Times New Roman" w:eastAsia="Times New Roman" w:hAnsi="Times New Roman" w:cs="Times New Roman"/>
                      <w:b/>
                      <w:bCs/>
                      <w:lang w:eastAsia="uk-UA"/>
                    </w:rPr>
                    <w:t>грн/ МВт·год</w:t>
                  </w:r>
                </w:p>
              </w:tc>
              <w:tc>
                <w:tcPr>
                  <w:tcW w:w="569"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2"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708"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5"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2"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1"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2"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2"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3"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98"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850"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c>
                <w:tcPr>
                  <w:tcW w:w="987" w:type="dxa"/>
                  <w:tcBorders>
                    <w:top w:val="nil"/>
                    <w:left w:val="nil"/>
                    <w:bottom w:val="single" w:sz="4" w:space="0" w:color="auto"/>
                    <w:right w:val="single" w:sz="4"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w:t>
                  </w:r>
                </w:p>
              </w:tc>
            </w:tr>
            <w:tr w:rsidR="00C722CC" w:rsidRPr="005A615E" w:rsidTr="00C722CC">
              <w:trPr>
                <w:trHeight w:val="31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p>
              </w:tc>
              <w:tc>
                <w:tcPr>
                  <w:tcW w:w="14311" w:type="dxa"/>
                  <w:gridSpan w:val="15"/>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Розрахунок прогнозованого необхідного доходу на період регулювання здійснюється один раз при встановленні тарифів на послуги з розподілу електричної енергії  на всі роки регуляторного періоду.  </w:t>
                  </w:r>
                </w:p>
              </w:tc>
            </w:tr>
            <w:tr w:rsidR="00C722CC" w:rsidRPr="005A615E" w:rsidTr="00C722CC">
              <w:trPr>
                <w:gridAfter w:val="1"/>
                <w:wAfter w:w="54" w:type="dxa"/>
                <w:trHeight w:val="34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420" w:type="dxa"/>
                  <w:gridSpan w:val="12"/>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Розрахунок прогнозованого (уточненого)  необхідного доходу здійснюється щороку при уточненні тарифів на послуги з розподілу електричної енергії  на наступний рік регуляторного періоду.   </w:t>
                  </w:r>
                </w:p>
              </w:tc>
              <w:tc>
                <w:tcPr>
                  <w:tcW w:w="850"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54" w:type="dxa"/>
                <w:trHeight w:val="240"/>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tcBorders>
                    <w:top w:val="nil"/>
                    <w:left w:val="nil"/>
                    <w:bottom w:val="nil"/>
                    <w:right w:val="nil"/>
                  </w:tcBorders>
                  <w:shd w:val="clear" w:color="auto" w:fill="auto"/>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54" w:type="dxa"/>
                <w:trHeight w:val="31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54" w:type="dxa"/>
                <w:trHeight w:val="31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54" w:type="dxa"/>
                <w:trHeight w:val="31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54" w:type="dxa"/>
                <w:trHeight w:val="360"/>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c>
                <w:tcPr>
                  <w:tcW w:w="85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_______________</w:t>
                  </w: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b/>
                      <w:bCs/>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54" w:type="dxa"/>
                <w:trHeight w:val="31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(підпис)</w:t>
                  </w: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54" w:type="dxa"/>
                <w:trHeight w:val="31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62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C722CC">
              <w:trPr>
                <w:gridAfter w:val="1"/>
                <w:wAfter w:w="54" w:type="dxa"/>
                <w:trHeight w:val="315"/>
              </w:trPr>
              <w:tc>
                <w:tcPr>
                  <w:tcW w:w="64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3478"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"____" вересня 2026р.</w:t>
                  </w:r>
                </w:p>
              </w:tc>
              <w:tc>
                <w:tcPr>
                  <w:tcW w:w="56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5"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2"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9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987"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bl>
          <w:p w:rsidR="00C722CC" w:rsidRPr="005A615E" w:rsidRDefault="00C722CC" w:rsidP="00CF2AC1">
            <w:pPr>
              <w:rPr>
                <w:rFonts w:ascii="Times New Roman" w:hAnsi="Times New Roman"/>
                <w:b/>
                <w:sz w:val="28"/>
              </w:rPr>
            </w:pPr>
          </w:p>
        </w:tc>
      </w:tr>
      <w:tr w:rsidR="00C722CC" w:rsidRPr="005A615E" w:rsidTr="00A56FEE">
        <w:tc>
          <w:tcPr>
            <w:tcW w:w="15588" w:type="dxa"/>
            <w:gridSpan w:val="4"/>
          </w:tcPr>
          <w:tbl>
            <w:tblPr>
              <w:tblW w:w="14549" w:type="dxa"/>
              <w:tblLayout w:type="fixed"/>
              <w:tblLook w:val="04A0" w:firstRow="1" w:lastRow="0" w:firstColumn="1" w:lastColumn="0" w:noHBand="0" w:noVBand="1"/>
            </w:tblPr>
            <w:tblGrid>
              <w:gridCol w:w="620"/>
              <w:gridCol w:w="1103"/>
              <w:gridCol w:w="709"/>
              <w:gridCol w:w="709"/>
              <w:gridCol w:w="850"/>
              <w:gridCol w:w="851"/>
              <w:gridCol w:w="708"/>
              <w:gridCol w:w="851"/>
              <w:gridCol w:w="1134"/>
              <w:gridCol w:w="1276"/>
              <w:gridCol w:w="1796"/>
              <w:gridCol w:w="1796"/>
              <w:gridCol w:w="2136"/>
              <w:gridCol w:w="10"/>
            </w:tblGrid>
            <w:tr w:rsidR="00C722CC" w:rsidRPr="005A615E" w:rsidTr="00E37B1A">
              <w:trPr>
                <w:gridAfter w:val="1"/>
                <w:wAfter w:w="10" w:type="dxa"/>
                <w:trHeight w:val="315"/>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Додаток 17</w:t>
                  </w: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1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900"/>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5728" w:type="dxa"/>
                  <w:gridSpan w:val="3"/>
                  <w:tcBorders>
                    <w:top w:val="nil"/>
                    <w:left w:val="nil"/>
                    <w:bottom w:val="nil"/>
                    <w:right w:val="nil"/>
                  </w:tcBorders>
                  <w:shd w:val="clear" w:color="auto" w:fill="auto"/>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до Порядку встановлення (формування) тарифів на послуги з розподілу електричної енергії </w:t>
                  </w:r>
                </w:p>
              </w:tc>
            </w:tr>
            <w:tr w:rsidR="00C722CC" w:rsidRPr="005A615E" w:rsidTr="00E37B1A">
              <w:trPr>
                <w:trHeight w:val="720"/>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3929" w:type="dxa"/>
                  <w:gridSpan w:val="13"/>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 xml:space="preserve">Розрахунок коригування необхідного доходу відповідно до даних  виконання цільового завдання щодо досягнення показників якості </w:t>
                  </w:r>
                  <w:r w:rsidRPr="005A615E">
                    <w:rPr>
                      <w:rFonts w:ascii="Times New Roman" w:eastAsia="Times New Roman" w:hAnsi="Times New Roman" w:cs="Times New Roman"/>
                      <w:b/>
                      <w:bCs/>
                      <w:lang w:eastAsia="uk-UA"/>
                    </w:rPr>
                    <w:br/>
                    <w:t>послуг з розподілу електричної  енергії за __2025_ рік</w:t>
                  </w:r>
                </w:p>
              </w:tc>
            </w:tr>
            <w:tr w:rsidR="00C722CC" w:rsidRPr="005A615E" w:rsidTr="00E37B1A">
              <w:trPr>
                <w:trHeight w:val="450"/>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p>
              </w:tc>
              <w:tc>
                <w:tcPr>
                  <w:tcW w:w="13929" w:type="dxa"/>
                  <w:gridSpan w:val="13"/>
                  <w:tcBorders>
                    <w:top w:val="nil"/>
                    <w:left w:val="nil"/>
                    <w:bottom w:val="single" w:sz="8" w:space="0" w:color="auto"/>
                    <w:right w:val="nil"/>
                  </w:tcBorders>
                  <w:shd w:val="clear" w:color="auto" w:fill="auto"/>
                  <w:noWrap/>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381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Складові якості послуг</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Базовий індекс SAIDI, хв</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Цільовий індекс SAIDI, хв</w:t>
                  </w:r>
                </w:p>
              </w:tc>
              <w:tc>
                <w:tcPr>
                  <w:tcW w:w="850"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Розрахунковий індекс SAIDI, хв</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Фактичний індекс SAIDI, хв</w:t>
                  </w:r>
                </w:p>
              </w:tc>
              <w:tc>
                <w:tcPr>
                  <w:tcW w:w="708"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Порядковий номер року t з початку переходу до  стимулюючого  регулювання (N)</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Номер року з початку переходу до  стимулюючого  регулювання, у якому має бути досягнутий встановлений НКРЕКП  цільовий показник якості послуг (NN)</w:t>
                  </w:r>
                </w:p>
              </w:tc>
              <w:tc>
                <w:tcPr>
                  <w:tcW w:w="1134"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Параметр коригування необхідного доходу за недотримання показників якості послуг (ПК)</w:t>
                  </w:r>
                </w:p>
              </w:tc>
              <w:tc>
                <w:tcPr>
                  <w:tcW w:w="127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Середньозважена по Україні ціна на універсальні послуги для малих непобутових споживачів, приєднаних до системи розподілу на 2 класі напруги (Ц2), </w:t>
                  </w:r>
                  <w:r w:rsidRPr="005A615E">
                    <w:rPr>
                      <w:rFonts w:ascii="Times New Roman" w:eastAsia="Times New Roman" w:hAnsi="Times New Roman" w:cs="Times New Roman"/>
                      <w:lang w:eastAsia="uk-UA"/>
                    </w:rPr>
                    <w:br/>
                    <w:t>грн/МВт·год</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Обсяг розподілу електричної енергії на </w:t>
                  </w:r>
                  <w:r w:rsidRPr="005A615E">
                    <w:rPr>
                      <w:rFonts w:ascii="Times New Roman" w:eastAsia="Times New Roman" w:hAnsi="Times New Roman" w:cs="Times New Roman"/>
                      <w:lang w:eastAsia="uk-UA"/>
                    </w:rPr>
                    <w:br/>
                    <w:t>2 класі напруги</w:t>
                  </w:r>
                  <w:r w:rsidRPr="005A615E">
                    <w:rPr>
                      <w:rFonts w:ascii="Times New Roman" w:eastAsia="Times New Roman" w:hAnsi="Times New Roman" w:cs="Times New Roman"/>
                      <w:lang w:eastAsia="uk-UA"/>
                    </w:rPr>
                    <w:br/>
                    <w:t xml:space="preserve">(W м(с) ф2), </w:t>
                  </w:r>
                  <w:r w:rsidRPr="005A615E">
                    <w:rPr>
                      <w:rFonts w:ascii="Times New Roman" w:eastAsia="Times New Roman" w:hAnsi="Times New Roman" w:cs="Times New Roman"/>
                      <w:lang w:eastAsia="uk-UA"/>
                    </w:rPr>
                    <w:br/>
                    <w:t>МВт·год</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Кількість хвилин у році, </w:t>
                  </w:r>
                  <w:r w:rsidRPr="005A615E">
                    <w:rPr>
                      <w:rFonts w:ascii="Times New Roman" w:eastAsia="Times New Roman" w:hAnsi="Times New Roman" w:cs="Times New Roman"/>
                      <w:lang w:eastAsia="uk-UA"/>
                    </w:rPr>
                    <w:br/>
                    <w:t>хв</w:t>
                  </w:r>
                </w:p>
              </w:tc>
              <w:tc>
                <w:tcPr>
                  <w:tcW w:w="2136" w:type="dxa"/>
                  <w:tcBorders>
                    <w:top w:val="nil"/>
                    <w:left w:val="nil"/>
                    <w:bottom w:val="single" w:sz="8" w:space="0" w:color="auto"/>
                    <w:right w:val="single" w:sz="8"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Коригування необхідного доходу відповідно до даних виконання цільового завдання щодо досягнення показників якості послуг (КЯ), </w:t>
                  </w:r>
                  <w:r w:rsidRPr="005A615E">
                    <w:rPr>
                      <w:rFonts w:ascii="Times New Roman" w:eastAsia="Times New Roman" w:hAnsi="Times New Roman" w:cs="Times New Roman"/>
                      <w:lang w:eastAsia="uk-UA"/>
                    </w:rPr>
                    <w:br/>
                    <w:t>тис. грн</w:t>
                  </w:r>
                </w:p>
              </w:tc>
            </w:tr>
            <w:tr w:rsidR="00C722CC" w:rsidRPr="005A615E" w:rsidTr="00E37B1A">
              <w:trPr>
                <w:gridAfter w:val="1"/>
                <w:wAfter w:w="10" w:type="dxa"/>
                <w:trHeight w:val="58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850"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708"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1134"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127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2136"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r>
            <w:tr w:rsidR="00C722CC" w:rsidRPr="005A615E" w:rsidTr="00E37B1A">
              <w:trPr>
                <w:gridAfter w:val="1"/>
                <w:wAfter w:w="10" w:type="dxa"/>
                <w:trHeight w:val="1002"/>
              </w:trPr>
              <w:tc>
                <w:tcPr>
                  <w:tcW w:w="620" w:type="dxa"/>
                  <w:tcBorders>
                    <w:top w:val="nil"/>
                    <w:left w:val="single" w:sz="8" w:space="0" w:color="auto"/>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1103" w:type="dxa"/>
                  <w:tcBorders>
                    <w:top w:val="nil"/>
                    <w:left w:val="nil"/>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міської території</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4"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single" w:sz="8" w:space="0" w:color="auto"/>
                    <w:bottom w:val="nil"/>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1103" w:type="dxa"/>
                  <w:tcBorders>
                    <w:top w:val="nil"/>
                    <w:left w:val="nil"/>
                    <w:bottom w:val="nil"/>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сільської території</w:t>
                  </w:r>
                </w:p>
              </w:tc>
              <w:tc>
                <w:tcPr>
                  <w:tcW w:w="709" w:type="dxa"/>
                  <w:tcBorders>
                    <w:top w:val="nil"/>
                    <w:left w:val="nil"/>
                    <w:bottom w:val="nil"/>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nil"/>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nil"/>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nil"/>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nil"/>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nil"/>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33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3</w:t>
                  </w:r>
                </w:p>
              </w:tc>
              <w:tc>
                <w:tcPr>
                  <w:tcW w:w="1103" w:type="dxa"/>
                  <w:tcBorders>
                    <w:top w:val="single" w:sz="8" w:space="0" w:color="auto"/>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b/>
                      <w:bCs/>
                      <w:lang w:eastAsia="uk-UA"/>
                    </w:rPr>
                  </w:pPr>
                  <w:r w:rsidRPr="005A615E">
                    <w:rPr>
                      <w:rFonts w:ascii="Times New Roman" w:eastAsia="Times New Roman" w:hAnsi="Times New Roman" w:cs="Times New Roman"/>
                      <w:b/>
                      <w:bCs/>
                      <w:lang w:eastAsia="uk-UA"/>
                    </w:rPr>
                    <w:t>Усього</w:t>
                  </w:r>
                </w:p>
              </w:tc>
              <w:tc>
                <w:tcPr>
                  <w:tcW w:w="709" w:type="dxa"/>
                  <w:tcBorders>
                    <w:top w:val="single" w:sz="8" w:space="0" w:color="auto"/>
                    <w:left w:val="nil"/>
                    <w:bottom w:val="single" w:sz="8"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single" w:sz="8" w:space="0" w:color="auto"/>
                    <w:left w:val="nil"/>
                    <w:bottom w:val="single" w:sz="8" w:space="0" w:color="auto"/>
                    <w:right w:val="single" w:sz="4" w:space="0" w:color="auto"/>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single" w:sz="8" w:space="0" w:color="auto"/>
                    <w:left w:val="nil"/>
                    <w:bottom w:val="single" w:sz="8" w:space="0" w:color="auto"/>
                    <w:right w:val="single" w:sz="4" w:space="0" w:color="auto"/>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single" w:sz="8" w:space="0" w:color="auto"/>
                    <w:left w:val="nil"/>
                    <w:bottom w:val="single" w:sz="8" w:space="0" w:color="auto"/>
                    <w:right w:val="single" w:sz="4" w:space="0" w:color="auto"/>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single" w:sz="8" w:space="0" w:color="auto"/>
                    <w:left w:val="nil"/>
                    <w:bottom w:val="single" w:sz="8" w:space="0" w:color="auto"/>
                    <w:right w:val="single" w:sz="4" w:space="0" w:color="auto"/>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single" w:sz="8" w:space="0" w:color="auto"/>
                    <w:left w:val="nil"/>
                    <w:bottom w:val="single" w:sz="8" w:space="0" w:color="auto"/>
                    <w:right w:val="single" w:sz="4" w:space="0" w:color="auto"/>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single" w:sz="8" w:space="0" w:color="auto"/>
                    <w:left w:val="nil"/>
                    <w:bottom w:val="single" w:sz="8" w:space="0" w:color="auto"/>
                    <w:right w:val="single" w:sz="4" w:space="0" w:color="auto"/>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single" w:sz="8" w:space="0" w:color="auto"/>
                    <w:left w:val="nil"/>
                    <w:bottom w:val="single" w:sz="8" w:space="0" w:color="auto"/>
                    <w:right w:val="single" w:sz="4" w:space="0" w:color="auto"/>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single" w:sz="8" w:space="0" w:color="auto"/>
                    <w:left w:val="nil"/>
                    <w:bottom w:val="single" w:sz="8" w:space="0" w:color="auto"/>
                    <w:right w:val="single" w:sz="4"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136" w:type="dxa"/>
                  <w:tcBorders>
                    <w:top w:val="single" w:sz="8" w:space="0" w:color="auto"/>
                    <w:left w:val="nil"/>
                    <w:bottom w:val="single" w:sz="8" w:space="0" w:color="auto"/>
                    <w:right w:val="single" w:sz="8" w:space="0" w:color="auto"/>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r>
            <w:tr w:rsidR="00C722CC" w:rsidRPr="005A615E" w:rsidTr="00E37B1A">
              <w:trPr>
                <w:gridAfter w:val="1"/>
                <w:wAfter w:w="10" w:type="dxa"/>
                <w:trHeight w:val="330"/>
              </w:trPr>
              <w:tc>
                <w:tcPr>
                  <w:tcW w:w="62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13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r>
            <w:tr w:rsidR="00C722CC" w:rsidRPr="005A615E" w:rsidTr="00E37B1A">
              <w:trPr>
                <w:gridAfter w:val="1"/>
                <w:wAfter w:w="10" w:type="dxa"/>
                <w:trHeight w:val="381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1103" w:type="dxa"/>
                  <w:tcBorders>
                    <w:top w:val="single" w:sz="8" w:space="0" w:color="auto"/>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Складові якості послуг</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Базовий індекс SAIDI, хв</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Цільовий індекс SAIDI, хв</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Розрахунковий індекс SAIDI, хв</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Фактичний індекс SAIDI, хв</w:t>
                  </w:r>
                </w:p>
              </w:tc>
              <w:tc>
                <w:tcPr>
                  <w:tcW w:w="708"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Порядковий номер року t з початку переходу до  стимулюючого  регулювання (N)</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Номер року з початку переходу до  стимулюючого  регулювання, у якому має бути досягнутий встановлений НКРЕКП  цільовий показник якості послуг (NN)</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Параметр коригування необхідного доходу за недотримання показників якості послуг (ПК)</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Середньозважена по Україні ціна на універсальні послуги для малих непобутових споживачів, приєднаних до системи розподілу на 2 класі напруги (Ц2), </w:t>
                  </w:r>
                  <w:r w:rsidRPr="005A615E">
                    <w:rPr>
                      <w:rFonts w:ascii="Times New Roman" w:eastAsia="Times New Roman" w:hAnsi="Times New Roman" w:cs="Times New Roman"/>
                      <w:lang w:eastAsia="uk-UA"/>
                    </w:rPr>
                    <w:br/>
                    <w:t>грн/МВт·год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Обсяг розподілу електричної енергії на </w:t>
                  </w:r>
                  <w:r w:rsidRPr="005A615E">
                    <w:rPr>
                      <w:rFonts w:ascii="Times New Roman" w:eastAsia="Times New Roman" w:hAnsi="Times New Roman" w:cs="Times New Roman"/>
                      <w:lang w:eastAsia="uk-UA"/>
                    </w:rPr>
                    <w:br/>
                    <w:t>2 класі напруги</w:t>
                  </w:r>
                  <w:r w:rsidRPr="005A615E">
                    <w:rPr>
                      <w:rFonts w:ascii="Times New Roman" w:eastAsia="Times New Roman" w:hAnsi="Times New Roman" w:cs="Times New Roman"/>
                      <w:lang w:eastAsia="uk-UA"/>
                    </w:rPr>
                    <w:br/>
                    <w:t xml:space="preserve">(W м(с) ф2), </w:t>
                  </w:r>
                  <w:r w:rsidRPr="005A615E">
                    <w:rPr>
                      <w:rFonts w:ascii="Times New Roman" w:eastAsia="Times New Roman" w:hAnsi="Times New Roman" w:cs="Times New Roman"/>
                      <w:lang w:eastAsia="uk-UA"/>
                    </w:rPr>
                    <w:br/>
                    <w:t>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Кількість хвилин у році, </w:t>
                  </w:r>
                  <w:r w:rsidRPr="005A615E">
                    <w:rPr>
                      <w:rFonts w:ascii="Times New Roman" w:eastAsia="Times New Roman" w:hAnsi="Times New Roman" w:cs="Times New Roman"/>
                      <w:lang w:eastAsia="uk-UA"/>
                    </w:rPr>
                    <w:br/>
                    <w:t>хв</w:t>
                  </w:r>
                </w:p>
              </w:tc>
              <w:tc>
                <w:tcPr>
                  <w:tcW w:w="2136" w:type="dxa"/>
                  <w:tcBorders>
                    <w:top w:val="single" w:sz="8" w:space="0" w:color="auto"/>
                    <w:left w:val="nil"/>
                    <w:bottom w:val="single" w:sz="8" w:space="0" w:color="auto"/>
                    <w:right w:val="single" w:sz="8"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Коригування необхідного доходу відповідно до даних виконання цільового завдання щодо досягнення показників якості послуг (КЯ), </w:t>
                  </w:r>
                  <w:r w:rsidRPr="005A615E">
                    <w:rPr>
                      <w:rFonts w:ascii="Times New Roman" w:eastAsia="Times New Roman" w:hAnsi="Times New Roman" w:cs="Times New Roman"/>
                      <w:lang w:eastAsia="uk-UA"/>
                    </w:rPr>
                    <w:br/>
                    <w:t>тис. грн</w:t>
                  </w:r>
                </w:p>
              </w:tc>
            </w:tr>
            <w:tr w:rsidR="00C722CC" w:rsidRPr="005A615E" w:rsidTr="00E37B1A">
              <w:trPr>
                <w:gridAfter w:val="1"/>
                <w:wAfter w:w="10" w:type="dxa"/>
                <w:trHeight w:val="58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850"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708"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1134"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127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2136"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r>
            <w:tr w:rsidR="00C722CC" w:rsidRPr="005A615E" w:rsidTr="00E37B1A">
              <w:trPr>
                <w:gridAfter w:val="1"/>
                <w:wAfter w:w="10" w:type="dxa"/>
                <w:trHeight w:val="1002"/>
              </w:trPr>
              <w:tc>
                <w:tcPr>
                  <w:tcW w:w="620" w:type="dxa"/>
                  <w:tcBorders>
                    <w:top w:val="nil"/>
                    <w:left w:val="single" w:sz="8" w:space="0" w:color="auto"/>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1103" w:type="dxa"/>
                  <w:tcBorders>
                    <w:top w:val="nil"/>
                    <w:left w:val="nil"/>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міської території</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4"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сільської території</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8"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13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381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1103" w:type="dxa"/>
                  <w:tcBorders>
                    <w:top w:val="single" w:sz="8" w:space="0" w:color="auto"/>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Складові якості послуг</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Базовий індекс SAIDI, хв</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Цільовий індекс SAIDI, хв</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Розрахунковий індекс SAIDI, хв</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Фактичний індекс SAIDI, хв</w:t>
                  </w:r>
                </w:p>
              </w:tc>
              <w:tc>
                <w:tcPr>
                  <w:tcW w:w="708"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Порядковий номер року t з початку переходу до  стимулюючого  регулювання (N)</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Номер року з початку переходу до  стимулюючого  регулювання, у якому має бути досягнутий встановлений НКРЕКП  цільовий показник якості послуг (NN)</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Параметр коригування необхідного доходу за недотримання показників якості послуг (ПК)</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Середньозважена по Україні ціна на універсальні послуги для малих непобутових споживачів, приєднаних до системи розподілу на 2 класі напруги (Ц2), </w:t>
                  </w:r>
                  <w:r w:rsidRPr="005A615E">
                    <w:rPr>
                      <w:rFonts w:ascii="Times New Roman" w:eastAsia="Times New Roman" w:hAnsi="Times New Roman" w:cs="Times New Roman"/>
                      <w:lang w:eastAsia="uk-UA"/>
                    </w:rPr>
                    <w:br w:type="page"/>
                    <w:t>грн/МВт·год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Обсяг розподілу електричної енергії на </w:t>
                  </w:r>
                  <w:r w:rsidRPr="005A615E">
                    <w:rPr>
                      <w:rFonts w:ascii="Times New Roman" w:eastAsia="Times New Roman" w:hAnsi="Times New Roman" w:cs="Times New Roman"/>
                      <w:lang w:eastAsia="uk-UA"/>
                    </w:rPr>
                    <w:br w:type="page"/>
                    <w:t>2 класі напруги</w:t>
                  </w:r>
                  <w:r w:rsidRPr="005A615E">
                    <w:rPr>
                      <w:rFonts w:ascii="Times New Roman" w:eastAsia="Times New Roman" w:hAnsi="Times New Roman" w:cs="Times New Roman"/>
                      <w:lang w:eastAsia="uk-UA"/>
                    </w:rPr>
                    <w:br w:type="page"/>
                    <w:t xml:space="preserve">(W м(с) ф2), </w:t>
                  </w:r>
                  <w:r w:rsidRPr="005A615E">
                    <w:rPr>
                      <w:rFonts w:ascii="Times New Roman" w:eastAsia="Times New Roman" w:hAnsi="Times New Roman" w:cs="Times New Roman"/>
                      <w:lang w:eastAsia="uk-UA"/>
                    </w:rPr>
                    <w:br w:type="page"/>
                    <w:t>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Кількість хвилин у році, </w:t>
                  </w:r>
                  <w:r w:rsidRPr="005A615E">
                    <w:rPr>
                      <w:rFonts w:ascii="Times New Roman" w:eastAsia="Times New Roman" w:hAnsi="Times New Roman" w:cs="Times New Roman"/>
                      <w:lang w:eastAsia="uk-UA"/>
                    </w:rPr>
                    <w:br w:type="page"/>
                    <w:t>хв</w:t>
                  </w:r>
                </w:p>
              </w:tc>
              <w:tc>
                <w:tcPr>
                  <w:tcW w:w="2136" w:type="dxa"/>
                  <w:tcBorders>
                    <w:top w:val="single" w:sz="8" w:space="0" w:color="auto"/>
                    <w:left w:val="nil"/>
                    <w:bottom w:val="single" w:sz="8" w:space="0" w:color="auto"/>
                    <w:right w:val="single" w:sz="8"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Коригування необхідного доходу відповідно до даних виконання цільового завдання щодо досягнення показників якості послуг (КЯ), </w:t>
                  </w:r>
                  <w:r w:rsidRPr="005A615E">
                    <w:rPr>
                      <w:rFonts w:ascii="Times New Roman" w:eastAsia="Times New Roman" w:hAnsi="Times New Roman" w:cs="Times New Roman"/>
                      <w:lang w:eastAsia="uk-UA"/>
                    </w:rPr>
                    <w:br w:type="page"/>
                    <w:t>тис. грн</w:t>
                  </w:r>
                </w:p>
              </w:tc>
            </w:tr>
            <w:tr w:rsidR="00C722CC" w:rsidRPr="005A615E" w:rsidTr="00E37B1A">
              <w:trPr>
                <w:gridAfter w:val="1"/>
                <w:wAfter w:w="10" w:type="dxa"/>
                <w:trHeight w:val="58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850"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708"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1134"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127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2136"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r>
            <w:tr w:rsidR="00C722CC" w:rsidRPr="005A615E" w:rsidTr="00E37B1A">
              <w:trPr>
                <w:gridAfter w:val="1"/>
                <w:wAfter w:w="10" w:type="dxa"/>
                <w:trHeight w:val="1002"/>
              </w:trPr>
              <w:tc>
                <w:tcPr>
                  <w:tcW w:w="620" w:type="dxa"/>
                  <w:tcBorders>
                    <w:top w:val="nil"/>
                    <w:left w:val="single" w:sz="8" w:space="0" w:color="auto"/>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1103" w:type="dxa"/>
                  <w:tcBorders>
                    <w:top w:val="nil"/>
                    <w:left w:val="nil"/>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міської території</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4"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сільської території</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8"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9"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nil"/>
                  </w:tcBorders>
                  <w:shd w:val="clear" w:color="000000" w:fill="FFFF00"/>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13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381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1103" w:type="dxa"/>
                  <w:tcBorders>
                    <w:top w:val="single" w:sz="8" w:space="0" w:color="auto"/>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Складові якості послуг</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Базовий індекс SAIDI, хв</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Цільовий індекс SAIDI, хв</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Розрахунковий індекс SAIDI, хв</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Фактичний індекс SAIDI, хв</w:t>
                  </w:r>
                </w:p>
              </w:tc>
              <w:tc>
                <w:tcPr>
                  <w:tcW w:w="708"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Порядковий номер року t з початку переходу до  стимулюючого  регулювання (N)</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Номер року з початку переходу до  стимулюючого  регулювання, у якому має бути досягнутий встановлений НКРЕКП  цільовий показник якості послуг (NN)</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Параметр коригування необхідного доходу за недотримання показників якості послуг (ПК)</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Середньозважена по Україні ціна на універсальні послуги для малих непобутових споживачів, приєднаних до системи розподілу на 2 класі напруги (Ц2), </w:t>
                  </w:r>
                  <w:r w:rsidRPr="005A615E">
                    <w:rPr>
                      <w:rFonts w:ascii="Times New Roman" w:eastAsia="Times New Roman" w:hAnsi="Times New Roman" w:cs="Times New Roman"/>
                      <w:lang w:eastAsia="uk-UA"/>
                    </w:rPr>
                    <w:br/>
                    <w:t>грн/МВт·год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Обсяг розподілу електричної енергії на </w:t>
                  </w:r>
                  <w:r w:rsidRPr="005A615E">
                    <w:rPr>
                      <w:rFonts w:ascii="Times New Roman" w:eastAsia="Times New Roman" w:hAnsi="Times New Roman" w:cs="Times New Roman"/>
                      <w:lang w:eastAsia="uk-UA"/>
                    </w:rPr>
                    <w:br/>
                    <w:t>2 класі напруги</w:t>
                  </w:r>
                  <w:r w:rsidRPr="005A615E">
                    <w:rPr>
                      <w:rFonts w:ascii="Times New Roman" w:eastAsia="Times New Roman" w:hAnsi="Times New Roman" w:cs="Times New Roman"/>
                      <w:lang w:eastAsia="uk-UA"/>
                    </w:rPr>
                    <w:br/>
                    <w:t xml:space="preserve">(W м(с) ф2), </w:t>
                  </w:r>
                  <w:r w:rsidRPr="005A615E">
                    <w:rPr>
                      <w:rFonts w:ascii="Times New Roman" w:eastAsia="Times New Roman" w:hAnsi="Times New Roman" w:cs="Times New Roman"/>
                      <w:lang w:eastAsia="uk-UA"/>
                    </w:rPr>
                    <w:br/>
                    <w:t>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Кількість хвилин у році, </w:t>
                  </w:r>
                  <w:r w:rsidRPr="005A615E">
                    <w:rPr>
                      <w:rFonts w:ascii="Times New Roman" w:eastAsia="Times New Roman" w:hAnsi="Times New Roman" w:cs="Times New Roman"/>
                      <w:lang w:eastAsia="uk-UA"/>
                    </w:rPr>
                    <w:br/>
                    <w:t>хв</w:t>
                  </w:r>
                </w:p>
              </w:tc>
              <w:tc>
                <w:tcPr>
                  <w:tcW w:w="2136" w:type="dxa"/>
                  <w:tcBorders>
                    <w:top w:val="single" w:sz="8" w:space="0" w:color="auto"/>
                    <w:left w:val="nil"/>
                    <w:bottom w:val="single" w:sz="8" w:space="0" w:color="auto"/>
                    <w:right w:val="single" w:sz="8"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Коригування необхідного доходу відповідно до даних виконання цільового завдання щодо досягнення показників якості послуг (КЯ), </w:t>
                  </w:r>
                  <w:r w:rsidRPr="005A615E">
                    <w:rPr>
                      <w:rFonts w:ascii="Times New Roman" w:eastAsia="Times New Roman" w:hAnsi="Times New Roman" w:cs="Times New Roman"/>
                      <w:lang w:eastAsia="uk-UA"/>
                    </w:rPr>
                    <w:br/>
                    <w:t>тис. грн</w:t>
                  </w:r>
                </w:p>
              </w:tc>
            </w:tr>
            <w:tr w:rsidR="00C722CC" w:rsidRPr="005A615E" w:rsidTr="00E37B1A">
              <w:trPr>
                <w:gridAfter w:val="1"/>
                <w:wAfter w:w="10" w:type="dxa"/>
                <w:trHeight w:val="58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850"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708"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1134"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127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2136"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r>
            <w:tr w:rsidR="00C722CC" w:rsidRPr="005A615E" w:rsidTr="00E37B1A">
              <w:trPr>
                <w:gridAfter w:val="1"/>
                <w:wAfter w:w="10" w:type="dxa"/>
                <w:trHeight w:val="1002"/>
              </w:trPr>
              <w:tc>
                <w:tcPr>
                  <w:tcW w:w="620" w:type="dxa"/>
                  <w:tcBorders>
                    <w:top w:val="nil"/>
                    <w:left w:val="single" w:sz="8" w:space="0" w:color="auto"/>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1103" w:type="dxa"/>
                  <w:tcBorders>
                    <w:top w:val="nil"/>
                    <w:left w:val="nil"/>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міської території</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4"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сільської території</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8"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9"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nil"/>
                  </w:tcBorders>
                  <w:shd w:val="clear" w:color="000000" w:fill="FFFF00"/>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13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381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1103" w:type="dxa"/>
                  <w:tcBorders>
                    <w:top w:val="single" w:sz="8" w:space="0" w:color="auto"/>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Складові якості послуг</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Базовий індекс SAIDI, хв</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Цільовий індекс SAIDI, хв</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Розрахунковий індекс SAIDI, хв</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Фактичний індекс SAIDI, хв</w:t>
                  </w:r>
                </w:p>
              </w:tc>
              <w:tc>
                <w:tcPr>
                  <w:tcW w:w="708"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Порядковий номер року t з початку переходу до  стимулюючого  регулювання (N)</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Номер року з початку переходу до  стимулюючого  регулювання, у якому має бути досягнутий встановлений НКРЕКП  цільовий показник якості послуг (NN)</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Параметр коригування необхідного доходу за недотримання показників якості послуг (ПК)</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Середньозважена по Україні ціна на універсальні послуги для малих непобутових споживачів, приєднаних до системи розподілу на 2 класі напруги (Ц2), </w:t>
                  </w:r>
                  <w:r w:rsidRPr="005A615E">
                    <w:rPr>
                      <w:rFonts w:ascii="Times New Roman" w:eastAsia="Times New Roman" w:hAnsi="Times New Roman" w:cs="Times New Roman"/>
                      <w:lang w:eastAsia="uk-UA"/>
                    </w:rPr>
                    <w:br w:type="page"/>
                    <w:t>грн/МВт·год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Обсяг розподілу електричної енергії на </w:t>
                  </w:r>
                  <w:r w:rsidRPr="005A615E">
                    <w:rPr>
                      <w:rFonts w:ascii="Times New Roman" w:eastAsia="Times New Roman" w:hAnsi="Times New Roman" w:cs="Times New Roman"/>
                      <w:lang w:eastAsia="uk-UA"/>
                    </w:rPr>
                    <w:br w:type="page"/>
                    <w:t>2 класі напруги</w:t>
                  </w:r>
                  <w:r w:rsidRPr="005A615E">
                    <w:rPr>
                      <w:rFonts w:ascii="Times New Roman" w:eastAsia="Times New Roman" w:hAnsi="Times New Roman" w:cs="Times New Roman"/>
                      <w:lang w:eastAsia="uk-UA"/>
                    </w:rPr>
                    <w:br w:type="page"/>
                    <w:t xml:space="preserve">(W м(с) ф2), </w:t>
                  </w:r>
                  <w:r w:rsidRPr="005A615E">
                    <w:rPr>
                      <w:rFonts w:ascii="Times New Roman" w:eastAsia="Times New Roman" w:hAnsi="Times New Roman" w:cs="Times New Roman"/>
                      <w:lang w:eastAsia="uk-UA"/>
                    </w:rPr>
                    <w:br w:type="page"/>
                    <w:t>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Кількість хвилин у році, </w:t>
                  </w:r>
                  <w:r w:rsidRPr="005A615E">
                    <w:rPr>
                      <w:rFonts w:ascii="Times New Roman" w:eastAsia="Times New Roman" w:hAnsi="Times New Roman" w:cs="Times New Roman"/>
                      <w:lang w:eastAsia="uk-UA"/>
                    </w:rPr>
                    <w:br w:type="page"/>
                    <w:t>хв</w:t>
                  </w:r>
                </w:p>
              </w:tc>
              <w:tc>
                <w:tcPr>
                  <w:tcW w:w="2136" w:type="dxa"/>
                  <w:tcBorders>
                    <w:top w:val="single" w:sz="8" w:space="0" w:color="auto"/>
                    <w:left w:val="nil"/>
                    <w:bottom w:val="single" w:sz="8" w:space="0" w:color="auto"/>
                    <w:right w:val="single" w:sz="8"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Коригування необхідного доходу відповідно до даних виконання цільового завдання щодо досягнення показників якості послуг (КЯ), </w:t>
                  </w:r>
                  <w:r w:rsidRPr="005A615E">
                    <w:rPr>
                      <w:rFonts w:ascii="Times New Roman" w:eastAsia="Times New Roman" w:hAnsi="Times New Roman" w:cs="Times New Roman"/>
                      <w:lang w:eastAsia="uk-UA"/>
                    </w:rPr>
                    <w:br w:type="page"/>
                    <w:t>тис. грн</w:t>
                  </w:r>
                </w:p>
              </w:tc>
            </w:tr>
            <w:tr w:rsidR="00C722CC" w:rsidRPr="005A615E" w:rsidTr="00E37B1A">
              <w:trPr>
                <w:gridAfter w:val="1"/>
                <w:wAfter w:w="10" w:type="dxa"/>
                <w:trHeight w:val="58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850"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708"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1134"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127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2136"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r>
            <w:tr w:rsidR="00C722CC" w:rsidRPr="005A615E" w:rsidTr="00E37B1A">
              <w:trPr>
                <w:gridAfter w:val="1"/>
                <w:wAfter w:w="10" w:type="dxa"/>
                <w:trHeight w:val="1002"/>
              </w:trPr>
              <w:tc>
                <w:tcPr>
                  <w:tcW w:w="620" w:type="dxa"/>
                  <w:tcBorders>
                    <w:top w:val="nil"/>
                    <w:left w:val="single" w:sz="8" w:space="0" w:color="auto"/>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1103" w:type="dxa"/>
                  <w:tcBorders>
                    <w:top w:val="nil"/>
                    <w:left w:val="nil"/>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міської території</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4"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сільської території</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8"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9"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nil"/>
                  </w:tcBorders>
                  <w:shd w:val="clear" w:color="000000" w:fill="FFFF00"/>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13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381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1103" w:type="dxa"/>
                  <w:tcBorders>
                    <w:top w:val="single" w:sz="8" w:space="0" w:color="auto"/>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Складові якості послуг</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Базовий індекс SAIDI, хв</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Цільовий індекс SAIDI, хв</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Розрахунковий індекс SAIDI, хв</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Фактичний індекс SAIDI, хв</w:t>
                  </w:r>
                </w:p>
              </w:tc>
              <w:tc>
                <w:tcPr>
                  <w:tcW w:w="708"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Порядковий номер року t з початку переходу до  стимулюючого  регулювання (N)</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Номер року з початку переходу до  стимулюючого  регулювання, у якому має бути досягнутий встановлений НКРЕКП  цільовий показник якості послуг (NN)</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Параметр коригування необхідного доходу за недотримання показників якості послуг (ПК)</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Середньозважена по Україні ціна на універсальні послуги для малих непобутових споживачів, приєднаних до системи розподілу на 2 класі напруги (Ц2), </w:t>
                  </w:r>
                  <w:r w:rsidRPr="005A615E">
                    <w:rPr>
                      <w:rFonts w:ascii="Times New Roman" w:eastAsia="Times New Roman" w:hAnsi="Times New Roman" w:cs="Times New Roman"/>
                      <w:lang w:eastAsia="uk-UA"/>
                    </w:rPr>
                    <w:br/>
                    <w:t>грн/МВт·год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Обсяг розподілу електричної енергії на </w:t>
                  </w:r>
                  <w:r w:rsidRPr="005A615E">
                    <w:rPr>
                      <w:rFonts w:ascii="Times New Roman" w:eastAsia="Times New Roman" w:hAnsi="Times New Roman" w:cs="Times New Roman"/>
                      <w:lang w:eastAsia="uk-UA"/>
                    </w:rPr>
                    <w:br/>
                    <w:t>2 класі напруги</w:t>
                  </w:r>
                  <w:r w:rsidRPr="005A615E">
                    <w:rPr>
                      <w:rFonts w:ascii="Times New Roman" w:eastAsia="Times New Roman" w:hAnsi="Times New Roman" w:cs="Times New Roman"/>
                      <w:lang w:eastAsia="uk-UA"/>
                    </w:rPr>
                    <w:br/>
                    <w:t xml:space="preserve">(W м(с) ф2), </w:t>
                  </w:r>
                  <w:r w:rsidRPr="005A615E">
                    <w:rPr>
                      <w:rFonts w:ascii="Times New Roman" w:eastAsia="Times New Roman" w:hAnsi="Times New Roman" w:cs="Times New Roman"/>
                      <w:lang w:eastAsia="uk-UA"/>
                    </w:rPr>
                    <w:br/>
                    <w:t>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Кількість хвилин у році, </w:t>
                  </w:r>
                  <w:r w:rsidRPr="005A615E">
                    <w:rPr>
                      <w:rFonts w:ascii="Times New Roman" w:eastAsia="Times New Roman" w:hAnsi="Times New Roman" w:cs="Times New Roman"/>
                      <w:lang w:eastAsia="uk-UA"/>
                    </w:rPr>
                    <w:br/>
                    <w:t>хв</w:t>
                  </w:r>
                </w:p>
              </w:tc>
              <w:tc>
                <w:tcPr>
                  <w:tcW w:w="2136" w:type="dxa"/>
                  <w:tcBorders>
                    <w:top w:val="single" w:sz="8" w:space="0" w:color="auto"/>
                    <w:left w:val="nil"/>
                    <w:bottom w:val="single" w:sz="8" w:space="0" w:color="auto"/>
                    <w:right w:val="single" w:sz="8"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Коригування необхідного доходу відповідно до даних виконання цільового завдання щодо досягнення показників якості послуг (КЯ), </w:t>
                  </w:r>
                  <w:r w:rsidRPr="005A615E">
                    <w:rPr>
                      <w:rFonts w:ascii="Times New Roman" w:eastAsia="Times New Roman" w:hAnsi="Times New Roman" w:cs="Times New Roman"/>
                      <w:lang w:eastAsia="uk-UA"/>
                    </w:rPr>
                    <w:br/>
                    <w:t>тис. грн</w:t>
                  </w:r>
                </w:p>
              </w:tc>
            </w:tr>
            <w:tr w:rsidR="00C722CC" w:rsidRPr="005A615E" w:rsidTr="00E37B1A">
              <w:trPr>
                <w:gridAfter w:val="1"/>
                <w:wAfter w:w="10" w:type="dxa"/>
                <w:trHeight w:val="58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850"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708"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1134"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127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2136"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r>
            <w:tr w:rsidR="00C722CC" w:rsidRPr="005A615E" w:rsidTr="00E37B1A">
              <w:trPr>
                <w:gridAfter w:val="1"/>
                <w:wAfter w:w="10" w:type="dxa"/>
                <w:trHeight w:val="1002"/>
              </w:trPr>
              <w:tc>
                <w:tcPr>
                  <w:tcW w:w="620" w:type="dxa"/>
                  <w:tcBorders>
                    <w:top w:val="nil"/>
                    <w:left w:val="single" w:sz="8" w:space="0" w:color="auto"/>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1103" w:type="dxa"/>
                  <w:tcBorders>
                    <w:top w:val="nil"/>
                    <w:left w:val="nil"/>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міської території</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4"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сільської території</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8"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709"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nil"/>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nil"/>
                    <w:right w:val="nil"/>
                  </w:tcBorders>
                  <w:shd w:val="clear" w:color="000000" w:fill="FFFF00"/>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213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381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з/п</w:t>
                  </w:r>
                </w:p>
              </w:tc>
              <w:tc>
                <w:tcPr>
                  <w:tcW w:w="1103" w:type="dxa"/>
                  <w:tcBorders>
                    <w:top w:val="single" w:sz="8" w:space="0" w:color="auto"/>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Складові якості послуг</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Базовий індекс SAIDI, хв</w:t>
                  </w:r>
                </w:p>
              </w:tc>
              <w:tc>
                <w:tcPr>
                  <w:tcW w:w="709"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Цільовий індекс SAIDI, хв</w:t>
                  </w:r>
                </w:p>
              </w:tc>
              <w:tc>
                <w:tcPr>
                  <w:tcW w:w="850"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Розрахунковий індекс SAIDI, хв</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Фактичний індекс SAIDI, хв</w:t>
                  </w:r>
                </w:p>
              </w:tc>
              <w:tc>
                <w:tcPr>
                  <w:tcW w:w="708"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Порядковий номер року t з початку переходу до  стимулюючого  регулювання (N)</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Номер року з початку переходу до  стимулюючого  регулювання, у якому має бути досягнутий встановлений НКРЕКП  цільовий показник якості послуг (NN)</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Параметр коригування необхідного доходу за недотримання показників якості послуг (ПК)</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Середньозважена по Україні ціна на універсальні послуги для малих непобутових споживачів, приєднаних до системи розподілу на 2 класі напруги (Ц2), </w:t>
                  </w:r>
                  <w:r w:rsidRPr="005A615E">
                    <w:rPr>
                      <w:rFonts w:ascii="Times New Roman" w:eastAsia="Times New Roman" w:hAnsi="Times New Roman" w:cs="Times New Roman"/>
                      <w:lang w:eastAsia="uk-UA"/>
                    </w:rPr>
                    <w:br w:type="page"/>
                    <w:t>грн/МВт·год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Обсяг розподілу електричної енергії на </w:t>
                  </w:r>
                  <w:r w:rsidRPr="005A615E">
                    <w:rPr>
                      <w:rFonts w:ascii="Times New Roman" w:eastAsia="Times New Roman" w:hAnsi="Times New Roman" w:cs="Times New Roman"/>
                      <w:lang w:eastAsia="uk-UA"/>
                    </w:rPr>
                    <w:br w:type="page"/>
                    <w:t>2 класі напруги</w:t>
                  </w:r>
                  <w:r w:rsidRPr="005A615E">
                    <w:rPr>
                      <w:rFonts w:ascii="Times New Roman" w:eastAsia="Times New Roman" w:hAnsi="Times New Roman" w:cs="Times New Roman"/>
                      <w:lang w:eastAsia="uk-UA"/>
                    </w:rPr>
                    <w:br w:type="page"/>
                    <w:t xml:space="preserve">(W м(с) ф2), </w:t>
                  </w:r>
                  <w:r w:rsidRPr="005A615E">
                    <w:rPr>
                      <w:rFonts w:ascii="Times New Roman" w:eastAsia="Times New Roman" w:hAnsi="Times New Roman" w:cs="Times New Roman"/>
                      <w:lang w:eastAsia="uk-UA"/>
                    </w:rPr>
                    <w:br w:type="page"/>
                    <w:t>МВт·год</w:t>
                  </w:r>
                </w:p>
              </w:tc>
              <w:tc>
                <w:tcPr>
                  <w:tcW w:w="1796" w:type="dxa"/>
                  <w:tcBorders>
                    <w:top w:val="single" w:sz="8" w:space="0" w:color="auto"/>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Кількість хвилин у році, </w:t>
                  </w:r>
                  <w:r w:rsidRPr="005A615E">
                    <w:rPr>
                      <w:rFonts w:ascii="Times New Roman" w:eastAsia="Times New Roman" w:hAnsi="Times New Roman" w:cs="Times New Roman"/>
                      <w:lang w:eastAsia="uk-UA"/>
                    </w:rPr>
                    <w:br w:type="page"/>
                    <w:t>хв</w:t>
                  </w:r>
                </w:p>
              </w:tc>
              <w:tc>
                <w:tcPr>
                  <w:tcW w:w="2136" w:type="dxa"/>
                  <w:tcBorders>
                    <w:top w:val="single" w:sz="8" w:space="0" w:color="auto"/>
                    <w:left w:val="nil"/>
                    <w:bottom w:val="single" w:sz="8" w:space="0" w:color="auto"/>
                    <w:right w:val="single" w:sz="8" w:space="0" w:color="auto"/>
                  </w:tcBorders>
                  <w:shd w:val="clear" w:color="000000" w:fill="FFFFFF"/>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xml:space="preserve">Коригування необхідного доходу відповідно до даних виконання цільового завдання щодо досягнення показників якості послуг (КЯ), </w:t>
                  </w:r>
                  <w:r w:rsidRPr="005A615E">
                    <w:rPr>
                      <w:rFonts w:ascii="Times New Roman" w:eastAsia="Times New Roman" w:hAnsi="Times New Roman" w:cs="Times New Roman"/>
                      <w:lang w:eastAsia="uk-UA"/>
                    </w:rPr>
                    <w:br w:type="page"/>
                    <w:t>тис. грн</w:t>
                  </w:r>
                </w:p>
              </w:tc>
            </w:tr>
            <w:tr w:rsidR="00C722CC" w:rsidRPr="005A615E" w:rsidTr="00E37B1A">
              <w:trPr>
                <w:gridAfter w:val="1"/>
                <w:wAfter w:w="10" w:type="dxa"/>
                <w:trHeight w:val="585"/>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А</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Б</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709"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850"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3</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4</w:t>
                  </w:r>
                </w:p>
              </w:tc>
              <w:tc>
                <w:tcPr>
                  <w:tcW w:w="708"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w:t>
                  </w:r>
                </w:p>
              </w:tc>
              <w:tc>
                <w:tcPr>
                  <w:tcW w:w="851"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6</w:t>
                  </w:r>
                </w:p>
              </w:tc>
              <w:tc>
                <w:tcPr>
                  <w:tcW w:w="1134"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7</w:t>
                  </w:r>
                </w:p>
              </w:tc>
              <w:tc>
                <w:tcPr>
                  <w:tcW w:w="127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8</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9</w:t>
                  </w:r>
                </w:p>
              </w:tc>
              <w:tc>
                <w:tcPr>
                  <w:tcW w:w="1796" w:type="dxa"/>
                  <w:tcBorders>
                    <w:top w:val="nil"/>
                    <w:left w:val="nil"/>
                    <w:bottom w:val="single" w:sz="8" w:space="0" w:color="auto"/>
                    <w:right w:val="single" w:sz="4"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10</w:t>
                  </w:r>
                </w:p>
              </w:tc>
              <w:tc>
                <w:tcPr>
                  <w:tcW w:w="2136"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11</w:t>
                  </w:r>
                </w:p>
              </w:tc>
            </w:tr>
            <w:tr w:rsidR="00C722CC" w:rsidRPr="005A615E" w:rsidTr="00E37B1A">
              <w:trPr>
                <w:gridAfter w:val="1"/>
                <w:wAfter w:w="10" w:type="dxa"/>
                <w:trHeight w:val="1002"/>
              </w:trPr>
              <w:tc>
                <w:tcPr>
                  <w:tcW w:w="620" w:type="dxa"/>
                  <w:tcBorders>
                    <w:top w:val="nil"/>
                    <w:left w:val="single" w:sz="8" w:space="0" w:color="auto"/>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1</w:t>
                  </w:r>
                </w:p>
              </w:tc>
              <w:tc>
                <w:tcPr>
                  <w:tcW w:w="1103" w:type="dxa"/>
                  <w:tcBorders>
                    <w:top w:val="nil"/>
                    <w:left w:val="nil"/>
                    <w:bottom w:val="single" w:sz="4"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міської території</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4"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4"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1002"/>
              </w:trPr>
              <w:tc>
                <w:tcPr>
                  <w:tcW w:w="620" w:type="dxa"/>
                  <w:tcBorders>
                    <w:top w:val="nil"/>
                    <w:left w:val="single" w:sz="8" w:space="0" w:color="auto"/>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2</w:t>
                  </w:r>
                </w:p>
              </w:tc>
              <w:tc>
                <w:tcPr>
                  <w:tcW w:w="1103" w:type="dxa"/>
                  <w:tcBorders>
                    <w:top w:val="nil"/>
                    <w:left w:val="nil"/>
                    <w:bottom w:val="single" w:sz="8" w:space="0" w:color="auto"/>
                    <w:right w:val="single" w:sz="8" w:space="0" w:color="auto"/>
                  </w:tcBorders>
                  <w:shd w:val="clear" w:color="auto" w:fill="auto"/>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Для сільської території</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9"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0"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708"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851"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134"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27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EDEDED"/>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w:t>
                  </w:r>
                </w:p>
              </w:tc>
              <w:tc>
                <w:tcPr>
                  <w:tcW w:w="1796" w:type="dxa"/>
                  <w:tcBorders>
                    <w:top w:val="nil"/>
                    <w:left w:val="nil"/>
                    <w:bottom w:val="single" w:sz="8" w:space="0" w:color="auto"/>
                    <w:right w:val="single" w:sz="4" w:space="0" w:color="auto"/>
                  </w:tcBorders>
                  <w:shd w:val="clear" w:color="000000" w:fill="FFFF00"/>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525 600</w:t>
                  </w:r>
                </w:p>
              </w:tc>
              <w:tc>
                <w:tcPr>
                  <w:tcW w:w="2136" w:type="dxa"/>
                  <w:tcBorders>
                    <w:top w:val="nil"/>
                    <w:left w:val="nil"/>
                    <w:bottom w:val="single" w:sz="8" w:space="0" w:color="auto"/>
                    <w:right w:val="single" w:sz="8" w:space="0" w:color="auto"/>
                  </w:tcBorders>
                  <w:shd w:val="clear" w:color="auto" w:fill="auto"/>
                  <w:noWrap/>
                  <w:vAlign w:val="center"/>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r>
            <w:tr w:rsidR="00C722CC" w:rsidRPr="005A615E" w:rsidTr="00E37B1A">
              <w:trPr>
                <w:gridAfter w:val="1"/>
                <w:wAfter w:w="10" w:type="dxa"/>
                <w:trHeight w:val="792"/>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4930" w:type="dxa"/>
                  <w:gridSpan w:val="6"/>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 без урахування обсягу розподілу електричної енергії установкам зберігання енергії 2 класу напруги.</w:t>
                  </w: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tcBorders>
                    <w:top w:val="nil"/>
                    <w:left w:val="nil"/>
                    <w:bottom w:val="nil"/>
                    <w:right w:val="nil"/>
                  </w:tcBorders>
                  <w:shd w:val="clear" w:color="auto" w:fill="auto"/>
                  <w:noWrap/>
                  <w:vAlign w:val="center"/>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both"/>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1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582"/>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1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315"/>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right"/>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0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_______________</w:t>
                  </w: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3261" w:type="dxa"/>
                  <w:gridSpan w:val="3"/>
                  <w:tcBorders>
                    <w:top w:val="nil"/>
                    <w:left w:val="nil"/>
                    <w:bottom w:val="single" w:sz="4" w:space="0" w:color="auto"/>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0</w:t>
                  </w: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1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315"/>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01"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(підпис)</w:t>
                  </w: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410"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1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315"/>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r w:rsidRPr="005A615E">
                    <w:rPr>
                      <w:rFonts w:ascii="Times New Roman" w:eastAsia="Times New Roman" w:hAnsi="Times New Roman" w:cs="Times New Roman"/>
                      <w:lang w:eastAsia="uk-UA"/>
                    </w:rPr>
                    <w:t>"____" вересня 2026р.</w:t>
                  </w: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559" w:type="dxa"/>
                  <w:gridSpan w:val="2"/>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jc w:val="center"/>
                    <w:rPr>
                      <w:rFonts w:ascii="Times New Roman" w:eastAsia="Times New Roman" w:hAnsi="Times New Roman" w:cs="Times New Roman"/>
                      <w:lang w:eastAsia="uk-UA"/>
                    </w:rPr>
                  </w:pPr>
                </w:p>
              </w:tc>
              <w:tc>
                <w:tcPr>
                  <w:tcW w:w="127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1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r w:rsidR="00C722CC" w:rsidRPr="005A615E" w:rsidTr="00E37B1A">
              <w:trPr>
                <w:gridAfter w:val="1"/>
                <w:wAfter w:w="10" w:type="dxa"/>
                <w:trHeight w:val="600"/>
              </w:trPr>
              <w:tc>
                <w:tcPr>
                  <w:tcW w:w="62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03"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9"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0"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708"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851"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134"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27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179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c>
                <w:tcPr>
                  <w:tcW w:w="2136" w:type="dxa"/>
                  <w:tcBorders>
                    <w:top w:val="nil"/>
                    <w:left w:val="nil"/>
                    <w:bottom w:val="nil"/>
                    <w:right w:val="nil"/>
                  </w:tcBorders>
                  <w:shd w:val="clear" w:color="auto" w:fill="auto"/>
                  <w:noWrap/>
                  <w:vAlign w:val="bottom"/>
                  <w:hideMark/>
                </w:tcPr>
                <w:p w:rsidR="00C722CC" w:rsidRPr="005A615E" w:rsidRDefault="00C722CC" w:rsidP="00C722CC">
                  <w:pPr>
                    <w:spacing w:after="0" w:line="240" w:lineRule="auto"/>
                    <w:rPr>
                      <w:rFonts w:ascii="Times New Roman" w:eastAsia="Times New Roman" w:hAnsi="Times New Roman" w:cs="Times New Roman"/>
                      <w:lang w:eastAsia="uk-UA"/>
                    </w:rPr>
                  </w:pPr>
                </w:p>
              </w:tc>
            </w:tr>
          </w:tbl>
          <w:p w:rsidR="00C722CC" w:rsidRPr="005A615E" w:rsidRDefault="00C722CC" w:rsidP="00CF2AC1">
            <w:pPr>
              <w:rPr>
                <w:rFonts w:ascii="Times New Roman" w:hAnsi="Times New Roman"/>
                <w:b/>
                <w:sz w:val="28"/>
              </w:rPr>
            </w:pPr>
          </w:p>
        </w:tc>
      </w:tr>
      <w:tr w:rsidR="00CF2AC1" w:rsidRPr="005A615E" w:rsidTr="00A56FEE">
        <w:tc>
          <w:tcPr>
            <w:tcW w:w="15588" w:type="dxa"/>
            <w:gridSpan w:val="4"/>
          </w:tcPr>
          <w:p w:rsidR="00CF2AC1" w:rsidRPr="005A615E" w:rsidRDefault="00CF2AC1" w:rsidP="00CF2AC1">
            <w:pPr>
              <w:rPr>
                <w:rFonts w:ascii="Times New Roman" w:hAnsi="Times New Roman"/>
                <w:b/>
                <w:sz w:val="28"/>
              </w:rPr>
            </w:pPr>
            <w:r w:rsidRPr="005A615E">
              <w:rPr>
                <w:rFonts w:ascii="Times New Roman" w:hAnsi="Times New Roman"/>
                <w:b/>
                <w:sz w:val="28"/>
              </w:rPr>
              <w:t>Загальні зауваження до проекту рішення</w:t>
            </w:r>
          </w:p>
          <w:p w:rsidR="00CF2AC1" w:rsidRPr="005A615E" w:rsidRDefault="00CF2AC1" w:rsidP="00CF2AC1">
            <w:pPr>
              <w:rPr>
                <w:rFonts w:ascii="Times New Roman" w:hAnsi="Times New Roman"/>
                <w:b/>
                <w:sz w:val="28"/>
              </w:rPr>
            </w:pPr>
          </w:p>
          <w:p w:rsidR="00CF2AC1" w:rsidRPr="005A615E" w:rsidRDefault="00CF2AC1" w:rsidP="00CF2AC1">
            <w:pPr>
              <w:jc w:val="both"/>
              <w:rPr>
                <w:rFonts w:ascii="Times New Roman" w:hAnsi="Times New Roman"/>
                <w:b/>
                <w:u w:val="single"/>
                <w:shd w:val="clear" w:color="auto" w:fill="FFFFFF"/>
              </w:rPr>
            </w:pPr>
            <w:r w:rsidRPr="005A615E">
              <w:rPr>
                <w:rFonts w:ascii="Times New Roman" w:hAnsi="Times New Roman"/>
                <w:b/>
                <w:u w:val="single"/>
                <w:shd w:val="clear" w:color="auto" w:fill="FFFFFF"/>
              </w:rPr>
              <w:t>Програма Забезпечення енергопостачання, підвищення стійкості та сполучення (SPARC) (лист SPARC-123-NEURC-2026-07-27)</w:t>
            </w:r>
          </w:p>
          <w:p w:rsidR="00CF2AC1" w:rsidRPr="005A615E" w:rsidRDefault="00CF2AC1" w:rsidP="00CF2AC1">
            <w:pPr>
              <w:jc w:val="both"/>
              <w:rPr>
                <w:rFonts w:ascii="Times New Roman" w:hAnsi="Times New Roman"/>
                <w:shd w:val="clear" w:color="auto" w:fill="FFFFFF"/>
              </w:rPr>
            </w:pPr>
            <w:r w:rsidRPr="005A615E">
              <w:rPr>
                <w:rFonts w:ascii="Times New Roman" w:hAnsi="Times New Roman"/>
                <w:shd w:val="clear" w:color="auto" w:fill="FFFFFF"/>
              </w:rPr>
              <w:t>1. Результати аналізу свідчить, що за чинної регуляторної методології ОСР не генерують стабільних та прогнозованих грошових потоків, достатніх для залучення боргового фінансування. Як наслідок, інвестиції, ймовірно, залишаться обмеженими вимогами, встановленими нормативно-правовою базою. Обсяг інвестицій може не відповідати фактичним потребам мережі та не дозволяє ОСР самостійно визначати структуру капіталу для фінансування проєктів.</w:t>
            </w:r>
          </w:p>
          <w:p w:rsidR="00CF2AC1" w:rsidRPr="005A615E" w:rsidRDefault="00CF2AC1" w:rsidP="00CF2AC1">
            <w:pPr>
              <w:jc w:val="both"/>
              <w:rPr>
                <w:rStyle w:val="fontstyle01"/>
                <w:rFonts w:ascii="Times New Roman" w:hAnsi="Times New Roman"/>
                <w:color w:val="auto"/>
              </w:rPr>
            </w:pPr>
          </w:p>
          <w:p w:rsidR="00CF2AC1" w:rsidRPr="005A615E" w:rsidRDefault="00CF2AC1" w:rsidP="00CF2AC1">
            <w:pPr>
              <w:jc w:val="both"/>
              <w:rPr>
                <w:rStyle w:val="fontstyle01"/>
                <w:rFonts w:ascii="Times New Roman" w:hAnsi="Times New Roman"/>
                <w:color w:val="auto"/>
              </w:rPr>
            </w:pPr>
            <w:r w:rsidRPr="005A615E">
              <w:rPr>
                <w:rStyle w:val="fontstyle01"/>
                <w:rFonts w:ascii="Times New Roman" w:hAnsi="Times New Roman"/>
                <w:color w:val="auto"/>
              </w:rPr>
              <w:t>2. Запропоновані НКРЕКП зміни збільшують обсяг інвестицій через підвищення обов'язкових вимог щодо реінвестування. Наш аналіз показує, що сукупний обсяг інвестицій протягом регуляторного періоду для трьох ОСР (для яких SPARC розробила фінансові</w:t>
            </w:r>
            <w:r w:rsidRPr="005A615E">
              <w:rPr>
                <w:rFonts w:ascii="Times New Roman" w:hAnsi="Times New Roman"/>
              </w:rPr>
              <w:br/>
            </w:r>
            <w:r w:rsidRPr="005A615E">
              <w:rPr>
                <w:rStyle w:val="fontstyle01"/>
                <w:rFonts w:ascii="Times New Roman" w:hAnsi="Times New Roman"/>
                <w:color w:val="auto"/>
              </w:rPr>
              <w:t>моделі</w:t>
            </w:r>
            <w:r w:rsidRPr="005A615E">
              <w:rPr>
                <w:rFonts w:ascii="Times New Roman" w:hAnsi="Times New Roman"/>
              </w:rPr>
              <w:t>)</w:t>
            </w:r>
            <w:r w:rsidRPr="005A615E">
              <w:rPr>
                <w:rStyle w:val="fontstyle01"/>
                <w:rFonts w:ascii="Times New Roman" w:hAnsi="Times New Roman"/>
                <w:color w:val="auto"/>
              </w:rPr>
              <w:t xml:space="preserve"> збільшується приблизно на 10-12% порівняно з базовим сценарієм. Водночас підвищення вимог щодо реінвестування призводить до погіршення ліквідності, зниження фінансової гнучкості та збільшення сукупного від'ємного грошового потоку. Найбільш суттєвим цей вплив є у 2027 році, коли дохідність на нову базу активів обмежена нормою доходності в 3%, що призводить до від'ємних операційних грошових потоків.</w:t>
            </w:r>
          </w:p>
          <w:p w:rsidR="00CF2AC1" w:rsidRPr="005A615E" w:rsidRDefault="00CF2AC1" w:rsidP="00CF2AC1">
            <w:pPr>
              <w:jc w:val="both"/>
              <w:rPr>
                <w:rStyle w:val="fontstyle01"/>
                <w:rFonts w:ascii="Times New Roman" w:hAnsi="Times New Roman"/>
                <w:color w:val="auto"/>
              </w:rPr>
            </w:pPr>
          </w:p>
          <w:p w:rsidR="00CF2AC1" w:rsidRPr="005A615E" w:rsidRDefault="00CF2AC1" w:rsidP="00CF2AC1">
            <w:pPr>
              <w:jc w:val="both"/>
              <w:rPr>
                <w:rStyle w:val="fontstyle01"/>
                <w:rFonts w:ascii="Times New Roman" w:hAnsi="Times New Roman"/>
                <w:color w:val="auto"/>
              </w:rPr>
            </w:pPr>
            <w:r w:rsidRPr="005A615E">
              <w:rPr>
                <w:rFonts w:ascii="Times New Roman" w:hAnsi="Times New Roman"/>
                <w:shd w:val="clear" w:color="auto" w:fill="FFFFFF"/>
              </w:rPr>
              <w:t xml:space="preserve">3. </w:t>
            </w:r>
            <w:r w:rsidRPr="005A615E">
              <w:rPr>
                <w:rStyle w:val="fontstyle01"/>
                <w:rFonts w:ascii="Times New Roman" w:hAnsi="Times New Roman"/>
                <w:color w:val="auto"/>
              </w:rPr>
              <w:t>Альтернативним механізмом збільшення інвестицій є стимулювання залучення зовнішнього фінансування. Наприклад, НКРЕКП може дозволити ОСР використовувати амортизаційні відрахування для обслуговування боргу за активами, профінансованими за рахунок кредитних коштів. За умови відповідності ОСР вимогам кредиторів щодо залучення боргового фінансування, цей механізм потенційно дозволить збільшити обсяг інвестицій порівняно з базовим сценарієм та сценарієм, передбаченим запропонованими НКРЕКП змінами. У разі відсутності боргового фінансування обсяг інвестицій залишатиметься на рівні базового сценарію, як це наразі передбачено регуляторною базою та встановленими вимогами.</w:t>
            </w:r>
          </w:p>
          <w:p w:rsidR="00CF2AC1" w:rsidRPr="005A615E" w:rsidRDefault="00CF2AC1" w:rsidP="00CF2AC1">
            <w:pPr>
              <w:jc w:val="both"/>
              <w:rPr>
                <w:rFonts w:ascii="Times New Roman" w:hAnsi="Times New Roman"/>
                <w:shd w:val="clear" w:color="auto" w:fill="FFFFFF"/>
              </w:rPr>
            </w:pPr>
          </w:p>
          <w:p w:rsidR="00CF2AC1" w:rsidRPr="005A615E" w:rsidRDefault="00CF2AC1" w:rsidP="00CF2AC1">
            <w:pPr>
              <w:jc w:val="both"/>
              <w:rPr>
                <w:rStyle w:val="fontstyle01"/>
                <w:rFonts w:ascii="Times New Roman" w:hAnsi="Times New Roman"/>
                <w:color w:val="auto"/>
              </w:rPr>
            </w:pPr>
            <w:r w:rsidRPr="005A615E">
              <w:rPr>
                <w:rFonts w:ascii="Times New Roman" w:hAnsi="Times New Roman"/>
                <w:shd w:val="clear" w:color="auto" w:fill="FFFFFF"/>
              </w:rPr>
              <w:t xml:space="preserve">4. </w:t>
            </w:r>
            <w:r w:rsidRPr="005A615E">
              <w:rPr>
                <w:rStyle w:val="fontstyle01"/>
                <w:rFonts w:ascii="Times New Roman" w:hAnsi="Times New Roman"/>
                <w:color w:val="auto"/>
              </w:rPr>
              <w:t>Відповідно до припущень, закладених у моделях, три сценарії мають обмежений вплив на тарифи. Незважаючи на те, що сценарії</w:t>
            </w:r>
            <w:r w:rsidRPr="005A615E">
              <w:rPr>
                <w:rFonts w:ascii="Times New Roman" w:hAnsi="Times New Roman"/>
              </w:rPr>
              <w:br/>
            </w:r>
            <w:r w:rsidRPr="005A615E">
              <w:rPr>
                <w:rStyle w:val="fontstyle01"/>
                <w:rFonts w:ascii="Times New Roman" w:hAnsi="Times New Roman"/>
                <w:color w:val="auto"/>
              </w:rPr>
              <w:t>призводять до суттєво різних інвестиційних та фінансових результатів для ОСР, вплив на тарифи залишається нижчим за 5%. Важливим застереженням є те, що модель передбачає здійснення інвестицій відповідно до регуляторних вимог, а не на основі фактичних потреб ОСР для забезпечення надійного та ефективного надання послуг. Якщо фактичні потреби в інвестиціях перевищують обсяг, визначений регуляторними вимогами, що є цілком імовірним, вплив на тарифи буде суттєво відрізнятися.</w:t>
            </w:r>
          </w:p>
          <w:p w:rsidR="00CF2AC1" w:rsidRPr="005A615E" w:rsidRDefault="00CF2AC1" w:rsidP="00CF2AC1">
            <w:pPr>
              <w:jc w:val="both"/>
              <w:rPr>
                <w:rFonts w:ascii="Times New Roman" w:hAnsi="Times New Roman"/>
                <w:shd w:val="clear" w:color="auto" w:fill="FFFFFF"/>
              </w:rPr>
            </w:pPr>
          </w:p>
          <w:p w:rsidR="00CF2AC1" w:rsidRPr="005A615E" w:rsidRDefault="00CF2AC1" w:rsidP="00CF2AC1">
            <w:pPr>
              <w:jc w:val="both"/>
              <w:rPr>
                <w:rStyle w:val="fontstyle01"/>
                <w:rFonts w:ascii="Times New Roman" w:hAnsi="Times New Roman"/>
                <w:color w:val="auto"/>
              </w:rPr>
            </w:pPr>
            <w:r w:rsidRPr="005A615E">
              <w:rPr>
                <w:rFonts w:ascii="Times New Roman" w:hAnsi="Times New Roman"/>
                <w:shd w:val="clear" w:color="auto" w:fill="FFFFFF"/>
              </w:rPr>
              <w:t>5.</w:t>
            </w:r>
            <w:r w:rsidRPr="005A615E">
              <w:rPr>
                <w:rFonts w:ascii="Times New Roman" w:hAnsi="Times New Roman"/>
              </w:rPr>
              <w:t xml:space="preserve"> </w:t>
            </w:r>
            <w:r w:rsidRPr="005A615E">
              <w:rPr>
                <w:rStyle w:val="fontstyle01"/>
                <w:rFonts w:ascii="Times New Roman" w:hAnsi="Times New Roman"/>
                <w:color w:val="auto"/>
              </w:rPr>
              <w:t>Проведений аналіз підкреслює важливість встановлення дозволеної норми доходу на рівні WACC. Норма доходу на основі WACC, узгоджена з вартістю капіталу, необхідною для здійснення довгострокових інвестицій, сприятиме покращенню грошових потоків, стимулюватиме інвестиції та підвищить фінансову стійкість ОСР. Аналіз показує, що перехід від нинішньої норми дохідності на нову базу активів на рівні 3% до норми дохідності на основі WACC (за оцінкою SPARC – близько 22%) може призвести до підвищення тарифів до 11% для всіх трьох ОСР.</w:t>
            </w:r>
          </w:p>
          <w:p w:rsidR="00CF2AC1" w:rsidRPr="005A615E" w:rsidRDefault="00CF2AC1" w:rsidP="00CF2AC1">
            <w:pPr>
              <w:jc w:val="both"/>
              <w:rPr>
                <w:rFonts w:ascii="Times New Roman" w:hAnsi="Times New Roman"/>
                <w:shd w:val="clear" w:color="auto" w:fill="FFFFFF"/>
              </w:rPr>
            </w:pPr>
          </w:p>
          <w:p w:rsidR="00CF2AC1" w:rsidRPr="005A615E" w:rsidRDefault="00CF2AC1" w:rsidP="00CF2AC1">
            <w:pPr>
              <w:jc w:val="both"/>
              <w:rPr>
                <w:rStyle w:val="fontstyle01"/>
                <w:rFonts w:ascii="Times New Roman" w:hAnsi="Times New Roman"/>
                <w:color w:val="auto"/>
              </w:rPr>
            </w:pPr>
            <w:r w:rsidRPr="005A615E">
              <w:rPr>
                <w:rFonts w:ascii="Times New Roman" w:hAnsi="Times New Roman"/>
                <w:shd w:val="clear" w:color="auto" w:fill="FFFFFF"/>
              </w:rPr>
              <w:t xml:space="preserve">6. </w:t>
            </w:r>
            <w:r w:rsidRPr="005A615E">
              <w:rPr>
                <w:rStyle w:val="fontstyle01"/>
                <w:rFonts w:ascii="Times New Roman" w:hAnsi="Times New Roman"/>
                <w:color w:val="auto"/>
              </w:rPr>
              <w:t>Фінансові моделі демонструють суттєві відмінності у фінансових та операційних показниках діяльності трьох ОСР. Ці відмінності, ймовірно, зумовлені різним рівнем пошкоджень, спричинених війною, змінами у структурі споживання, міграцією споживачів, рівнем використання мереж та іншими локальними факторами. Фактичні технологічні втрати окремих ОСР можуть суттєво перевищувати нормативні втрати, тоді як втрати інших ОСР можуть перебувати на тому ж рівні або нижче регуляторних нормативів. Це призводить до суттєво різних фінансових результатів за однакових регуляторних параметрів та свідчить про те, що уніфікований підхід може не враховувати реальні умови діяльності всіх ОСР. НКРЕКП варто розглянути можливість сегментації ОСР за їхніми операційними характеристиками під час визначення цільових показників ефективності.</w:t>
            </w:r>
          </w:p>
          <w:p w:rsidR="00CF2AC1" w:rsidRPr="005A615E" w:rsidRDefault="00CF2AC1" w:rsidP="00CF2AC1">
            <w:pPr>
              <w:jc w:val="both"/>
              <w:rPr>
                <w:rStyle w:val="fontstyle01"/>
                <w:rFonts w:ascii="Times New Roman" w:hAnsi="Times New Roman"/>
                <w:color w:val="auto"/>
              </w:rPr>
            </w:pPr>
          </w:p>
          <w:p w:rsidR="00CF2AC1" w:rsidRPr="005A615E" w:rsidRDefault="00CF2AC1" w:rsidP="00CF2AC1">
            <w:pPr>
              <w:jc w:val="both"/>
              <w:rPr>
                <w:rStyle w:val="fontstyle01"/>
                <w:rFonts w:asciiTheme="minorHAnsi" w:hAnsiTheme="minorHAnsi"/>
                <w:color w:val="auto"/>
              </w:rPr>
            </w:pPr>
            <w:r w:rsidRPr="005A615E">
              <w:rPr>
                <w:rStyle w:val="fontstyle01"/>
                <w:rFonts w:ascii="Times New Roman" w:hAnsi="Times New Roman"/>
                <w:color w:val="auto"/>
              </w:rPr>
              <w:t>Підсумовуючи, зазначаємо, що належна регуляторна практика передбачає, що інвестиції мають здійснюватися на основі фактичних потреб, необхідних для підтримання надійності постачання та мереж, підвищення ефективності, досягнення</w:t>
            </w:r>
            <w:r w:rsidRPr="005A615E">
              <w:rPr>
                <w:rFonts w:ascii="Times New Roman" w:hAnsi="Times New Roman"/>
              </w:rPr>
              <w:br/>
            </w:r>
            <w:r w:rsidRPr="005A615E">
              <w:rPr>
                <w:rStyle w:val="fontstyle01"/>
                <w:rFonts w:ascii="Times New Roman" w:hAnsi="Times New Roman"/>
                <w:color w:val="auto"/>
              </w:rPr>
              <w:t>ключових показників ефективності (KPI) та підтримку зростаючого попиту. Роль регулятора полягає у затвердженні інвестиційної програми для ОСР на основі регуляторних цілей і принципів регулювання та з урахуванням потенційного впливу на тарифи. Як правило, діяльність ОСР не обмежується вимогами щодо реінвестування або фінансування з визначених джерел. ОСР самостійно визначають інвестиційний план та структуру капіталу для фінансування проєктів за рахунок нерозподіленого прибутку, амортизації, боргового фінансування, власного капіталу або гібридних фінансових інструментів. Регулятори забезпечують відшкодування економічно обґрунтованих витрат, затверджених капітальних видатків та встановлюють норму дохідності на регуляторну базу активів. Нормативно-правова база, що базується на затверджених інвестиційних програмах сформованих на основі фактичних потреб, дохідності на вкладений капітал на основі WACC та гнучкості у визначенні структури капіталу, сприятиме забезпеченню значних інвестицій, необхідних для розвитку сектору розподілу електроенергії України, одночасно підтримуючи сталий фінансовий стан для здійснення операційної діяльності ОСР.</w:t>
            </w:r>
            <w:r w:rsidRPr="005A615E">
              <w:rPr>
                <w:rStyle w:val="fontstyle01"/>
                <w:rFonts w:asciiTheme="minorHAnsi" w:hAnsiTheme="minorHAnsi"/>
                <w:color w:val="auto"/>
              </w:rPr>
              <w:t xml:space="preserve"> </w:t>
            </w:r>
          </w:p>
          <w:p w:rsidR="00CF2AC1" w:rsidRPr="005A615E" w:rsidRDefault="00CF2AC1" w:rsidP="00CF2AC1">
            <w:pPr>
              <w:jc w:val="both"/>
              <w:rPr>
                <w:b/>
                <w:sz w:val="28"/>
              </w:rPr>
            </w:pPr>
          </w:p>
          <w:p w:rsidR="00CF2AC1" w:rsidRPr="005A615E" w:rsidRDefault="00CF2AC1" w:rsidP="00CF2AC1">
            <w:pPr>
              <w:jc w:val="both"/>
              <w:rPr>
                <w:rFonts w:ascii="Times New Roman" w:hAnsi="Times New Roman"/>
                <w:b/>
                <w:u w:val="single"/>
                <w:shd w:val="clear" w:color="auto" w:fill="FFFFFF"/>
              </w:rPr>
            </w:pPr>
            <w:r w:rsidRPr="005A615E">
              <w:rPr>
                <w:rFonts w:ascii="Times New Roman" w:hAnsi="Times New Roman"/>
                <w:b/>
                <w:u w:val="single"/>
                <w:shd w:val="clear" w:color="auto" w:fill="FFFFFF"/>
              </w:rPr>
              <w:t>Міністерство енергетики України (лист від 24.07.2026 № 26/1.2-4.2-15757)</w:t>
            </w:r>
          </w:p>
          <w:p w:rsidR="00CF2AC1" w:rsidRPr="005A615E" w:rsidRDefault="00CF2AC1" w:rsidP="00CF2AC1">
            <w:pPr>
              <w:jc w:val="both"/>
              <w:rPr>
                <w:rStyle w:val="fontstyle01"/>
                <w:rFonts w:ascii="Times New Roman" w:hAnsi="Times New Roman"/>
                <w:color w:val="auto"/>
              </w:rPr>
            </w:pPr>
            <w:r w:rsidRPr="005A615E">
              <w:rPr>
                <w:rStyle w:val="fontstyle01"/>
                <w:rFonts w:ascii="Times New Roman" w:hAnsi="Times New Roman"/>
                <w:color w:val="auto"/>
              </w:rPr>
              <w:t>2 червня 2026 року в Міненерго відбулася нарада з обговорення питань, пов’язаних із методологією стимулюючого тарифоутворення для операторів систем розподілу.  З огляду на викладене просимо під час доопрацювання Проєкту рішення опрацювати пропозиції, викладені у листах ТОВ «ДТЕК Мережі» та АТ «Українські розподільні мережі», з урахуванням протокольних рішень наради Міністерства енергетики України від 12.06.2026 та необхідності удосконалення методології стимулюючого тарифоутворення відповідно до сучасних умов функціонування енергетичного сектору.</w:t>
            </w:r>
          </w:p>
          <w:p w:rsidR="00CF2AC1" w:rsidRPr="005A615E" w:rsidRDefault="00CF2AC1" w:rsidP="00CF2AC1">
            <w:pPr>
              <w:jc w:val="both"/>
              <w:rPr>
                <w:b/>
                <w:sz w:val="28"/>
              </w:rPr>
            </w:pPr>
          </w:p>
          <w:p w:rsidR="00CF2AC1" w:rsidRPr="005A615E" w:rsidRDefault="00CF2AC1" w:rsidP="00CF2AC1">
            <w:pPr>
              <w:jc w:val="both"/>
              <w:rPr>
                <w:rFonts w:ascii="Times New Roman" w:hAnsi="Times New Roman"/>
                <w:b/>
                <w:u w:val="single"/>
                <w:shd w:val="clear" w:color="auto" w:fill="FFFFFF"/>
              </w:rPr>
            </w:pPr>
            <w:r w:rsidRPr="005A615E">
              <w:rPr>
                <w:rFonts w:ascii="Times New Roman" w:hAnsi="Times New Roman"/>
                <w:b/>
                <w:u w:val="single"/>
                <w:shd w:val="clear" w:color="auto" w:fill="FFFFFF"/>
              </w:rPr>
              <w:t>АТ «Запоріжжяобленерго» (листи від 24.07.2026 № 001-96/507 та від 27.07.2026 № 001-96/510)</w:t>
            </w:r>
          </w:p>
          <w:p w:rsidR="00CF2AC1" w:rsidRPr="005A615E" w:rsidRDefault="00CF2AC1" w:rsidP="00CF2AC1">
            <w:pPr>
              <w:jc w:val="both"/>
              <w:rPr>
                <w:b/>
                <w:sz w:val="28"/>
              </w:rPr>
            </w:pPr>
            <w:r w:rsidRPr="005A615E">
              <w:rPr>
                <w:rStyle w:val="fontstyle01"/>
                <w:rFonts w:ascii="Times New Roman" w:hAnsi="Times New Roman"/>
                <w:color w:val="auto"/>
              </w:rPr>
              <w:t>АТ «Запоріжжяобленерго» підтримує пропозиції АТ «Українські розподільні мережі», якими передбачено спрямованість запропонованих НКРЕКП змін на вдосконалення методології регулювання та пропонує доопрацювати питання збільшення регуляторної норми доходу на нову регуляторну базу активів (РБА); рівня обсягу обов'язкового інвестування з прибутку на регуляторну базу активів, створену на дату переходу до стимулюючого регулювання; неприпустимість повторного спрямування коштів, вже вилучених із тарифів за результатами перевірок; уникнення подвійної відповідальності за одні й ті самі порушення показників якості послуг; строк відновлення показників ефективності технологічних витрат електроенергії після завершення воєнного стану, тощо.</w:t>
            </w:r>
          </w:p>
        </w:tc>
      </w:tr>
    </w:tbl>
    <w:p w:rsidR="005D236B" w:rsidRPr="005A615E" w:rsidRDefault="005D236B" w:rsidP="005D236B">
      <w:pPr>
        <w:rPr>
          <w:rFonts w:ascii="Times New Roman" w:hAnsi="Times New Roman"/>
          <w:b/>
          <w:sz w:val="28"/>
        </w:rPr>
      </w:pPr>
    </w:p>
    <w:sectPr w:rsidR="005D236B" w:rsidRPr="005A615E" w:rsidSect="005D236B">
      <w:headerReference w:type="default" r:id="rId397"/>
      <w:footerReference w:type="default" r:id="rId398"/>
      <w:pgSz w:w="16838" w:h="11906" w:orient="landscape"/>
      <w:pgMar w:top="709"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3C5" w:rsidRDefault="000D13C5" w:rsidP="007346E4">
      <w:r>
        <w:separator/>
      </w:r>
    </w:p>
  </w:endnote>
  <w:endnote w:type="continuationSeparator" w:id="0">
    <w:p w:rsidR="000D13C5" w:rsidRDefault="000D13C5" w:rsidP="0073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OpenSans-Regular">
    <w:altName w:val="Cambria"/>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8148782"/>
      <w:docPartObj>
        <w:docPartGallery w:val="Page Numbers (Bottom of Page)"/>
        <w:docPartUnique/>
      </w:docPartObj>
    </w:sdtPr>
    <w:sdtEndPr/>
    <w:sdtContent>
      <w:p w:rsidR="00641736" w:rsidRDefault="00641736">
        <w:pPr>
          <w:pStyle w:val="ae"/>
          <w:jc w:val="right"/>
        </w:pPr>
        <w:r>
          <w:fldChar w:fldCharType="begin"/>
        </w:r>
        <w:r>
          <w:instrText>PAGE   \* MERGEFORMAT</w:instrText>
        </w:r>
        <w:r>
          <w:fldChar w:fldCharType="separate"/>
        </w:r>
        <w:r>
          <w:t>2</w:t>
        </w:r>
        <w:r>
          <w:fldChar w:fldCharType="end"/>
        </w:r>
      </w:p>
    </w:sdtContent>
  </w:sdt>
  <w:p w:rsidR="00641736" w:rsidRDefault="0064173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3C5" w:rsidRDefault="000D13C5" w:rsidP="007346E4">
      <w:r>
        <w:separator/>
      </w:r>
    </w:p>
  </w:footnote>
  <w:footnote w:type="continuationSeparator" w:id="0">
    <w:p w:rsidR="000D13C5" w:rsidRDefault="000D13C5" w:rsidP="00734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736" w:rsidRDefault="00641736" w:rsidP="004E0C65">
    <w:pPr>
      <w:pStyle w:val="ac"/>
      <w:tabs>
        <w:tab w:val="clear" w:pos="4819"/>
        <w:tab w:val="clear" w:pos="9639"/>
        <w:tab w:val="left" w:pos="18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7568"/>
    <w:multiLevelType w:val="hybridMultilevel"/>
    <w:tmpl w:val="AE6E57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EF652C6"/>
    <w:multiLevelType w:val="hybridMultilevel"/>
    <w:tmpl w:val="DD186BBA"/>
    <w:lvl w:ilvl="0" w:tplc="207CADAA">
      <w:start w:val="5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9BC2611"/>
    <w:multiLevelType w:val="hybridMultilevel"/>
    <w:tmpl w:val="E40057B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15:restartNumberingAfterBreak="0">
    <w:nsid w:val="5AC62B27"/>
    <w:multiLevelType w:val="hybridMultilevel"/>
    <w:tmpl w:val="AE6E57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7FF356EA"/>
    <w:multiLevelType w:val="hybridMultilevel"/>
    <w:tmpl w:val="3EBC2B16"/>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36B"/>
    <w:rsid w:val="00003EF9"/>
    <w:rsid w:val="000078DA"/>
    <w:rsid w:val="00007B4A"/>
    <w:rsid w:val="00010E2F"/>
    <w:rsid w:val="00012D49"/>
    <w:rsid w:val="000154F3"/>
    <w:rsid w:val="00016C76"/>
    <w:rsid w:val="000175D2"/>
    <w:rsid w:val="000227AE"/>
    <w:rsid w:val="00025DD0"/>
    <w:rsid w:val="00025F10"/>
    <w:rsid w:val="00030224"/>
    <w:rsid w:val="00031624"/>
    <w:rsid w:val="00033663"/>
    <w:rsid w:val="00033E93"/>
    <w:rsid w:val="000347A0"/>
    <w:rsid w:val="00037364"/>
    <w:rsid w:val="00042908"/>
    <w:rsid w:val="00044638"/>
    <w:rsid w:val="00044D7D"/>
    <w:rsid w:val="000458FC"/>
    <w:rsid w:val="00051024"/>
    <w:rsid w:val="00052E51"/>
    <w:rsid w:val="00053230"/>
    <w:rsid w:val="000534F4"/>
    <w:rsid w:val="00056673"/>
    <w:rsid w:val="00060D90"/>
    <w:rsid w:val="00062CF4"/>
    <w:rsid w:val="00063B8C"/>
    <w:rsid w:val="00072080"/>
    <w:rsid w:val="000800C5"/>
    <w:rsid w:val="0008314F"/>
    <w:rsid w:val="0008342E"/>
    <w:rsid w:val="00085923"/>
    <w:rsid w:val="000A271B"/>
    <w:rsid w:val="000A4954"/>
    <w:rsid w:val="000B06CA"/>
    <w:rsid w:val="000B36E4"/>
    <w:rsid w:val="000B504B"/>
    <w:rsid w:val="000B5CB1"/>
    <w:rsid w:val="000C4851"/>
    <w:rsid w:val="000D13C5"/>
    <w:rsid w:val="000D27EA"/>
    <w:rsid w:val="000D36CC"/>
    <w:rsid w:val="000D5E22"/>
    <w:rsid w:val="000E21ED"/>
    <w:rsid w:val="000E6454"/>
    <w:rsid w:val="000F3B47"/>
    <w:rsid w:val="000F7346"/>
    <w:rsid w:val="000F78F6"/>
    <w:rsid w:val="0010208D"/>
    <w:rsid w:val="00106323"/>
    <w:rsid w:val="00106A0A"/>
    <w:rsid w:val="00107513"/>
    <w:rsid w:val="001135BB"/>
    <w:rsid w:val="00113ED9"/>
    <w:rsid w:val="00125BBE"/>
    <w:rsid w:val="00125CE2"/>
    <w:rsid w:val="00131E61"/>
    <w:rsid w:val="001325E3"/>
    <w:rsid w:val="001325EB"/>
    <w:rsid w:val="001327CE"/>
    <w:rsid w:val="00133F39"/>
    <w:rsid w:val="00134587"/>
    <w:rsid w:val="00135CCB"/>
    <w:rsid w:val="00135FE6"/>
    <w:rsid w:val="0013777C"/>
    <w:rsid w:val="00137D16"/>
    <w:rsid w:val="00141B69"/>
    <w:rsid w:val="0014259A"/>
    <w:rsid w:val="001430A2"/>
    <w:rsid w:val="00145072"/>
    <w:rsid w:val="00145135"/>
    <w:rsid w:val="0015154E"/>
    <w:rsid w:val="001519F7"/>
    <w:rsid w:val="00151C56"/>
    <w:rsid w:val="00152C5C"/>
    <w:rsid w:val="00153F00"/>
    <w:rsid w:val="00157D45"/>
    <w:rsid w:val="00160E52"/>
    <w:rsid w:val="00166FB2"/>
    <w:rsid w:val="00170734"/>
    <w:rsid w:val="00173515"/>
    <w:rsid w:val="00175014"/>
    <w:rsid w:val="00175EE7"/>
    <w:rsid w:val="00183C3E"/>
    <w:rsid w:val="001A41FF"/>
    <w:rsid w:val="001A4C68"/>
    <w:rsid w:val="001A60EC"/>
    <w:rsid w:val="001A7606"/>
    <w:rsid w:val="001B03F1"/>
    <w:rsid w:val="001B1460"/>
    <w:rsid w:val="001B254B"/>
    <w:rsid w:val="001B52B2"/>
    <w:rsid w:val="001D1417"/>
    <w:rsid w:val="001D24B9"/>
    <w:rsid w:val="001D4EEE"/>
    <w:rsid w:val="001D7914"/>
    <w:rsid w:val="001D7915"/>
    <w:rsid w:val="001D7D92"/>
    <w:rsid w:val="001F0B4D"/>
    <w:rsid w:val="001F288E"/>
    <w:rsid w:val="001F64DC"/>
    <w:rsid w:val="001F6B4A"/>
    <w:rsid w:val="001F767A"/>
    <w:rsid w:val="002021B1"/>
    <w:rsid w:val="0020300F"/>
    <w:rsid w:val="00204609"/>
    <w:rsid w:val="00204C00"/>
    <w:rsid w:val="00204ECF"/>
    <w:rsid w:val="00204F2D"/>
    <w:rsid w:val="00205686"/>
    <w:rsid w:val="002065D7"/>
    <w:rsid w:val="00206DD9"/>
    <w:rsid w:val="002104ED"/>
    <w:rsid w:val="002115D3"/>
    <w:rsid w:val="00213293"/>
    <w:rsid w:val="00213364"/>
    <w:rsid w:val="00213E03"/>
    <w:rsid w:val="00215FAB"/>
    <w:rsid w:val="00216538"/>
    <w:rsid w:val="0021766B"/>
    <w:rsid w:val="00221B9A"/>
    <w:rsid w:val="002221E4"/>
    <w:rsid w:val="00225DAD"/>
    <w:rsid w:val="00232810"/>
    <w:rsid w:val="00233940"/>
    <w:rsid w:val="00235D47"/>
    <w:rsid w:val="002360DD"/>
    <w:rsid w:val="0023696A"/>
    <w:rsid w:val="0024107F"/>
    <w:rsid w:val="00243911"/>
    <w:rsid w:val="002457F8"/>
    <w:rsid w:val="00247D24"/>
    <w:rsid w:val="0025268C"/>
    <w:rsid w:val="002535C9"/>
    <w:rsid w:val="00253BFD"/>
    <w:rsid w:val="00257B68"/>
    <w:rsid w:val="002602E6"/>
    <w:rsid w:val="002631B7"/>
    <w:rsid w:val="002647E4"/>
    <w:rsid w:val="00266A69"/>
    <w:rsid w:val="0028193F"/>
    <w:rsid w:val="00282848"/>
    <w:rsid w:val="0028758F"/>
    <w:rsid w:val="002957ED"/>
    <w:rsid w:val="002967C2"/>
    <w:rsid w:val="002967DD"/>
    <w:rsid w:val="0029700B"/>
    <w:rsid w:val="002A3063"/>
    <w:rsid w:val="002A59FE"/>
    <w:rsid w:val="002A71E0"/>
    <w:rsid w:val="002B1BE0"/>
    <w:rsid w:val="002B1C66"/>
    <w:rsid w:val="002B5E57"/>
    <w:rsid w:val="002B6C23"/>
    <w:rsid w:val="002B6DBA"/>
    <w:rsid w:val="002C3581"/>
    <w:rsid w:val="002D0A0F"/>
    <w:rsid w:val="002E1AD7"/>
    <w:rsid w:val="002E268B"/>
    <w:rsid w:val="002E4106"/>
    <w:rsid w:val="002E4151"/>
    <w:rsid w:val="002E43CD"/>
    <w:rsid w:val="002F2D8B"/>
    <w:rsid w:val="002F3E42"/>
    <w:rsid w:val="002F470E"/>
    <w:rsid w:val="0030713D"/>
    <w:rsid w:val="00310B55"/>
    <w:rsid w:val="00313E63"/>
    <w:rsid w:val="00313F1E"/>
    <w:rsid w:val="003150B9"/>
    <w:rsid w:val="00320A91"/>
    <w:rsid w:val="00322E3B"/>
    <w:rsid w:val="00323466"/>
    <w:rsid w:val="00326559"/>
    <w:rsid w:val="00330590"/>
    <w:rsid w:val="00331109"/>
    <w:rsid w:val="00331A60"/>
    <w:rsid w:val="00334697"/>
    <w:rsid w:val="003378D8"/>
    <w:rsid w:val="00337D2E"/>
    <w:rsid w:val="003422AA"/>
    <w:rsid w:val="00342D66"/>
    <w:rsid w:val="0034587E"/>
    <w:rsid w:val="00345C4A"/>
    <w:rsid w:val="00350B86"/>
    <w:rsid w:val="00350D76"/>
    <w:rsid w:val="0035171C"/>
    <w:rsid w:val="00353DAF"/>
    <w:rsid w:val="003558E5"/>
    <w:rsid w:val="00356717"/>
    <w:rsid w:val="003607BC"/>
    <w:rsid w:val="0036103B"/>
    <w:rsid w:val="00361FC7"/>
    <w:rsid w:val="00364D54"/>
    <w:rsid w:val="003671AB"/>
    <w:rsid w:val="00372161"/>
    <w:rsid w:val="00373A09"/>
    <w:rsid w:val="00381591"/>
    <w:rsid w:val="0038251A"/>
    <w:rsid w:val="00383834"/>
    <w:rsid w:val="0038455E"/>
    <w:rsid w:val="00390E21"/>
    <w:rsid w:val="00392393"/>
    <w:rsid w:val="00392FF7"/>
    <w:rsid w:val="003937B6"/>
    <w:rsid w:val="003958A9"/>
    <w:rsid w:val="003961BB"/>
    <w:rsid w:val="003A0BB2"/>
    <w:rsid w:val="003A4ADA"/>
    <w:rsid w:val="003A580D"/>
    <w:rsid w:val="003B28AD"/>
    <w:rsid w:val="003B3000"/>
    <w:rsid w:val="003B3A3C"/>
    <w:rsid w:val="003B4D0F"/>
    <w:rsid w:val="003B5324"/>
    <w:rsid w:val="003B5775"/>
    <w:rsid w:val="003C0FF5"/>
    <w:rsid w:val="003C14E3"/>
    <w:rsid w:val="003C1AC1"/>
    <w:rsid w:val="003C2609"/>
    <w:rsid w:val="003D1D92"/>
    <w:rsid w:val="003D56C5"/>
    <w:rsid w:val="003D726A"/>
    <w:rsid w:val="003D7E82"/>
    <w:rsid w:val="003E2350"/>
    <w:rsid w:val="003E43BF"/>
    <w:rsid w:val="003E7D85"/>
    <w:rsid w:val="003F2144"/>
    <w:rsid w:val="003F3921"/>
    <w:rsid w:val="003F6A88"/>
    <w:rsid w:val="0040082C"/>
    <w:rsid w:val="00400B86"/>
    <w:rsid w:val="00403EFA"/>
    <w:rsid w:val="00405A03"/>
    <w:rsid w:val="00406485"/>
    <w:rsid w:val="004122A7"/>
    <w:rsid w:val="00413596"/>
    <w:rsid w:val="0041449D"/>
    <w:rsid w:val="004152C7"/>
    <w:rsid w:val="0041534C"/>
    <w:rsid w:val="00415F58"/>
    <w:rsid w:val="00416411"/>
    <w:rsid w:val="00421C05"/>
    <w:rsid w:val="0042479D"/>
    <w:rsid w:val="00425AAD"/>
    <w:rsid w:val="0043112E"/>
    <w:rsid w:val="00434736"/>
    <w:rsid w:val="00441EAB"/>
    <w:rsid w:val="0044310B"/>
    <w:rsid w:val="00446C9E"/>
    <w:rsid w:val="0045257B"/>
    <w:rsid w:val="00452FC6"/>
    <w:rsid w:val="004548CC"/>
    <w:rsid w:val="00455AB2"/>
    <w:rsid w:val="00457CD1"/>
    <w:rsid w:val="004630AF"/>
    <w:rsid w:val="004640CB"/>
    <w:rsid w:val="00464908"/>
    <w:rsid w:val="00467045"/>
    <w:rsid w:val="00467643"/>
    <w:rsid w:val="00467D12"/>
    <w:rsid w:val="004714EB"/>
    <w:rsid w:val="00471791"/>
    <w:rsid w:val="004763EC"/>
    <w:rsid w:val="00481561"/>
    <w:rsid w:val="00481A6D"/>
    <w:rsid w:val="00497E19"/>
    <w:rsid w:val="00497FE0"/>
    <w:rsid w:val="004A07E6"/>
    <w:rsid w:val="004A2E4B"/>
    <w:rsid w:val="004A5361"/>
    <w:rsid w:val="004A5BA5"/>
    <w:rsid w:val="004A60AF"/>
    <w:rsid w:val="004A6CA4"/>
    <w:rsid w:val="004A7038"/>
    <w:rsid w:val="004B68EC"/>
    <w:rsid w:val="004C5ECF"/>
    <w:rsid w:val="004C6E7A"/>
    <w:rsid w:val="004D0D37"/>
    <w:rsid w:val="004D568B"/>
    <w:rsid w:val="004D6331"/>
    <w:rsid w:val="004D7F46"/>
    <w:rsid w:val="004E0C65"/>
    <w:rsid w:val="004E1C25"/>
    <w:rsid w:val="004E3175"/>
    <w:rsid w:val="004E6D30"/>
    <w:rsid w:val="004F14BA"/>
    <w:rsid w:val="004F3FD3"/>
    <w:rsid w:val="005006DA"/>
    <w:rsid w:val="00504D50"/>
    <w:rsid w:val="00506626"/>
    <w:rsid w:val="0050683E"/>
    <w:rsid w:val="00515FB0"/>
    <w:rsid w:val="005229B8"/>
    <w:rsid w:val="00523D6C"/>
    <w:rsid w:val="00524FF1"/>
    <w:rsid w:val="00525A2A"/>
    <w:rsid w:val="005273D3"/>
    <w:rsid w:val="00537F0E"/>
    <w:rsid w:val="00540249"/>
    <w:rsid w:val="005411D9"/>
    <w:rsid w:val="0054275D"/>
    <w:rsid w:val="00542F0A"/>
    <w:rsid w:val="00546F09"/>
    <w:rsid w:val="00553163"/>
    <w:rsid w:val="00554087"/>
    <w:rsid w:val="00554F3B"/>
    <w:rsid w:val="005562B0"/>
    <w:rsid w:val="00557603"/>
    <w:rsid w:val="005620BE"/>
    <w:rsid w:val="00564705"/>
    <w:rsid w:val="00565B80"/>
    <w:rsid w:val="00565F5F"/>
    <w:rsid w:val="00567785"/>
    <w:rsid w:val="005725F4"/>
    <w:rsid w:val="00573DC1"/>
    <w:rsid w:val="005802D8"/>
    <w:rsid w:val="0058158C"/>
    <w:rsid w:val="0058376D"/>
    <w:rsid w:val="005873C4"/>
    <w:rsid w:val="0059297C"/>
    <w:rsid w:val="005942D0"/>
    <w:rsid w:val="00595649"/>
    <w:rsid w:val="005960F0"/>
    <w:rsid w:val="0059677A"/>
    <w:rsid w:val="0059751B"/>
    <w:rsid w:val="00597EE9"/>
    <w:rsid w:val="005A22D6"/>
    <w:rsid w:val="005A25AC"/>
    <w:rsid w:val="005A5A9E"/>
    <w:rsid w:val="005A615E"/>
    <w:rsid w:val="005A7233"/>
    <w:rsid w:val="005B089F"/>
    <w:rsid w:val="005B73CB"/>
    <w:rsid w:val="005C575D"/>
    <w:rsid w:val="005C65E5"/>
    <w:rsid w:val="005C7DF3"/>
    <w:rsid w:val="005D0207"/>
    <w:rsid w:val="005D236B"/>
    <w:rsid w:val="005D2B88"/>
    <w:rsid w:val="005D69AE"/>
    <w:rsid w:val="005D7C2F"/>
    <w:rsid w:val="005E0213"/>
    <w:rsid w:val="005E5003"/>
    <w:rsid w:val="005E56DE"/>
    <w:rsid w:val="005E5D2E"/>
    <w:rsid w:val="005E68E0"/>
    <w:rsid w:val="005F14AC"/>
    <w:rsid w:val="005F337E"/>
    <w:rsid w:val="005F4A76"/>
    <w:rsid w:val="005F753B"/>
    <w:rsid w:val="00600184"/>
    <w:rsid w:val="00600DD2"/>
    <w:rsid w:val="00601EC6"/>
    <w:rsid w:val="00602E12"/>
    <w:rsid w:val="006030F3"/>
    <w:rsid w:val="00606D8E"/>
    <w:rsid w:val="00613A3F"/>
    <w:rsid w:val="0061613F"/>
    <w:rsid w:val="00616A03"/>
    <w:rsid w:val="00620158"/>
    <w:rsid w:val="0062107B"/>
    <w:rsid w:val="0063175E"/>
    <w:rsid w:val="006361D6"/>
    <w:rsid w:val="006368E1"/>
    <w:rsid w:val="00641108"/>
    <w:rsid w:val="00641736"/>
    <w:rsid w:val="00641BA4"/>
    <w:rsid w:val="00642C63"/>
    <w:rsid w:val="00644098"/>
    <w:rsid w:val="006452D7"/>
    <w:rsid w:val="00650C96"/>
    <w:rsid w:val="0065389D"/>
    <w:rsid w:val="0066270F"/>
    <w:rsid w:val="006722E8"/>
    <w:rsid w:val="00672AA2"/>
    <w:rsid w:val="00673B93"/>
    <w:rsid w:val="006803A6"/>
    <w:rsid w:val="006843F3"/>
    <w:rsid w:val="0069226C"/>
    <w:rsid w:val="00694E47"/>
    <w:rsid w:val="00695D22"/>
    <w:rsid w:val="00696E7E"/>
    <w:rsid w:val="006A0788"/>
    <w:rsid w:val="006A7013"/>
    <w:rsid w:val="006B54F7"/>
    <w:rsid w:val="006C2DC2"/>
    <w:rsid w:val="006C4423"/>
    <w:rsid w:val="006C4F0E"/>
    <w:rsid w:val="006C7C6A"/>
    <w:rsid w:val="006C7CAB"/>
    <w:rsid w:val="006D411F"/>
    <w:rsid w:val="006E63AE"/>
    <w:rsid w:val="006E7501"/>
    <w:rsid w:val="006F0BB0"/>
    <w:rsid w:val="006F4461"/>
    <w:rsid w:val="006F4759"/>
    <w:rsid w:val="006F4F82"/>
    <w:rsid w:val="00713B81"/>
    <w:rsid w:val="00714E69"/>
    <w:rsid w:val="00725FC0"/>
    <w:rsid w:val="007307AB"/>
    <w:rsid w:val="007324E8"/>
    <w:rsid w:val="007346E4"/>
    <w:rsid w:val="00735E19"/>
    <w:rsid w:val="00744C12"/>
    <w:rsid w:val="00745A4C"/>
    <w:rsid w:val="007466B0"/>
    <w:rsid w:val="00746D81"/>
    <w:rsid w:val="007472E0"/>
    <w:rsid w:val="00752D7F"/>
    <w:rsid w:val="00754C5B"/>
    <w:rsid w:val="0075662A"/>
    <w:rsid w:val="00760705"/>
    <w:rsid w:val="007610A0"/>
    <w:rsid w:val="00761489"/>
    <w:rsid w:val="007616ED"/>
    <w:rsid w:val="00765D35"/>
    <w:rsid w:val="0077270F"/>
    <w:rsid w:val="00773CCC"/>
    <w:rsid w:val="00774110"/>
    <w:rsid w:val="007758E3"/>
    <w:rsid w:val="00775D9F"/>
    <w:rsid w:val="00775F5F"/>
    <w:rsid w:val="0077602F"/>
    <w:rsid w:val="00777F9E"/>
    <w:rsid w:val="007826DC"/>
    <w:rsid w:val="00784DEF"/>
    <w:rsid w:val="007864DE"/>
    <w:rsid w:val="00786CBC"/>
    <w:rsid w:val="00797EA9"/>
    <w:rsid w:val="007A5A8D"/>
    <w:rsid w:val="007A5D25"/>
    <w:rsid w:val="007B192D"/>
    <w:rsid w:val="007C181F"/>
    <w:rsid w:val="007C57B2"/>
    <w:rsid w:val="007C5E0F"/>
    <w:rsid w:val="007C629D"/>
    <w:rsid w:val="007C7BE5"/>
    <w:rsid w:val="007D0C9B"/>
    <w:rsid w:val="007D532E"/>
    <w:rsid w:val="007D69B7"/>
    <w:rsid w:val="007E086F"/>
    <w:rsid w:val="007F0A35"/>
    <w:rsid w:val="007F1D85"/>
    <w:rsid w:val="007F3B7E"/>
    <w:rsid w:val="007F57BE"/>
    <w:rsid w:val="007F6A06"/>
    <w:rsid w:val="007F7539"/>
    <w:rsid w:val="007F7C62"/>
    <w:rsid w:val="00804A9A"/>
    <w:rsid w:val="008065AE"/>
    <w:rsid w:val="00811163"/>
    <w:rsid w:val="008154F9"/>
    <w:rsid w:val="00821138"/>
    <w:rsid w:val="00821F39"/>
    <w:rsid w:val="008237EA"/>
    <w:rsid w:val="00826D14"/>
    <w:rsid w:val="00826E04"/>
    <w:rsid w:val="00832358"/>
    <w:rsid w:val="00837F76"/>
    <w:rsid w:val="00841EC3"/>
    <w:rsid w:val="0084321A"/>
    <w:rsid w:val="008515E9"/>
    <w:rsid w:val="00853EB2"/>
    <w:rsid w:val="0085759B"/>
    <w:rsid w:val="00860AD9"/>
    <w:rsid w:val="00865C19"/>
    <w:rsid w:val="008703E0"/>
    <w:rsid w:val="00875121"/>
    <w:rsid w:val="00876913"/>
    <w:rsid w:val="0088219C"/>
    <w:rsid w:val="00883852"/>
    <w:rsid w:val="00883D82"/>
    <w:rsid w:val="008857D5"/>
    <w:rsid w:val="0088643A"/>
    <w:rsid w:val="00887F36"/>
    <w:rsid w:val="0089017B"/>
    <w:rsid w:val="00892971"/>
    <w:rsid w:val="00893236"/>
    <w:rsid w:val="008A0E74"/>
    <w:rsid w:val="008A6FDF"/>
    <w:rsid w:val="008A7141"/>
    <w:rsid w:val="008A7DAB"/>
    <w:rsid w:val="008B32DD"/>
    <w:rsid w:val="008B391D"/>
    <w:rsid w:val="008B4B5D"/>
    <w:rsid w:val="008B6991"/>
    <w:rsid w:val="008C3402"/>
    <w:rsid w:val="008C4C04"/>
    <w:rsid w:val="008D143D"/>
    <w:rsid w:val="008D3AFB"/>
    <w:rsid w:val="008D4CB6"/>
    <w:rsid w:val="008D5434"/>
    <w:rsid w:val="008D560A"/>
    <w:rsid w:val="008D629D"/>
    <w:rsid w:val="008E1F2F"/>
    <w:rsid w:val="008E2BED"/>
    <w:rsid w:val="008E2EA6"/>
    <w:rsid w:val="008E4341"/>
    <w:rsid w:val="008F35AC"/>
    <w:rsid w:val="00901908"/>
    <w:rsid w:val="00902057"/>
    <w:rsid w:val="00902D17"/>
    <w:rsid w:val="00907B1A"/>
    <w:rsid w:val="00910316"/>
    <w:rsid w:val="00912706"/>
    <w:rsid w:val="00913024"/>
    <w:rsid w:val="0091495C"/>
    <w:rsid w:val="009162DD"/>
    <w:rsid w:val="009169D2"/>
    <w:rsid w:val="009218E6"/>
    <w:rsid w:val="00922B19"/>
    <w:rsid w:val="00930CB4"/>
    <w:rsid w:val="00941885"/>
    <w:rsid w:val="009425E3"/>
    <w:rsid w:val="00945725"/>
    <w:rsid w:val="0094670E"/>
    <w:rsid w:val="00951B82"/>
    <w:rsid w:val="00951F3C"/>
    <w:rsid w:val="009555BB"/>
    <w:rsid w:val="009613BD"/>
    <w:rsid w:val="00964F49"/>
    <w:rsid w:val="00964FF4"/>
    <w:rsid w:val="00970A94"/>
    <w:rsid w:val="00971E0D"/>
    <w:rsid w:val="00972428"/>
    <w:rsid w:val="009827A8"/>
    <w:rsid w:val="009853E2"/>
    <w:rsid w:val="00985CCA"/>
    <w:rsid w:val="009864F2"/>
    <w:rsid w:val="009A0CFB"/>
    <w:rsid w:val="009A1C01"/>
    <w:rsid w:val="009A399A"/>
    <w:rsid w:val="009A4DED"/>
    <w:rsid w:val="009A6B8D"/>
    <w:rsid w:val="009A723E"/>
    <w:rsid w:val="009A743D"/>
    <w:rsid w:val="009B395B"/>
    <w:rsid w:val="009B491B"/>
    <w:rsid w:val="009B6B20"/>
    <w:rsid w:val="009C6A83"/>
    <w:rsid w:val="009C75C6"/>
    <w:rsid w:val="009D0298"/>
    <w:rsid w:val="009D35A4"/>
    <w:rsid w:val="009D417C"/>
    <w:rsid w:val="009D4504"/>
    <w:rsid w:val="009D5018"/>
    <w:rsid w:val="009E0F8D"/>
    <w:rsid w:val="009E6915"/>
    <w:rsid w:val="009E7F6F"/>
    <w:rsid w:val="009F1984"/>
    <w:rsid w:val="009F3894"/>
    <w:rsid w:val="009F5317"/>
    <w:rsid w:val="009F5B73"/>
    <w:rsid w:val="009F685F"/>
    <w:rsid w:val="00A02C75"/>
    <w:rsid w:val="00A049A6"/>
    <w:rsid w:val="00A05BEB"/>
    <w:rsid w:val="00A06221"/>
    <w:rsid w:val="00A12815"/>
    <w:rsid w:val="00A12E06"/>
    <w:rsid w:val="00A155F2"/>
    <w:rsid w:val="00A169B8"/>
    <w:rsid w:val="00A16D77"/>
    <w:rsid w:val="00A17718"/>
    <w:rsid w:val="00A23D0B"/>
    <w:rsid w:val="00A27E3A"/>
    <w:rsid w:val="00A31207"/>
    <w:rsid w:val="00A31450"/>
    <w:rsid w:val="00A325E3"/>
    <w:rsid w:val="00A4178C"/>
    <w:rsid w:val="00A43D0A"/>
    <w:rsid w:val="00A44333"/>
    <w:rsid w:val="00A45070"/>
    <w:rsid w:val="00A452BD"/>
    <w:rsid w:val="00A52EB5"/>
    <w:rsid w:val="00A5379F"/>
    <w:rsid w:val="00A56DA0"/>
    <w:rsid w:val="00A56FEE"/>
    <w:rsid w:val="00A573AC"/>
    <w:rsid w:val="00A579D6"/>
    <w:rsid w:val="00A605C8"/>
    <w:rsid w:val="00A64975"/>
    <w:rsid w:val="00A66516"/>
    <w:rsid w:val="00A75B65"/>
    <w:rsid w:val="00A82DB3"/>
    <w:rsid w:val="00A857B5"/>
    <w:rsid w:val="00A872AA"/>
    <w:rsid w:val="00A87E31"/>
    <w:rsid w:val="00A903A4"/>
    <w:rsid w:val="00A91A5B"/>
    <w:rsid w:val="00A9414C"/>
    <w:rsid w:val="00AA0BD2"/>
    <w:rsid w:val="00AA4DA8"/>
    <w:rsid w:val="00AA65B8"/>
    <w:rsid w:val="00AA6C8B"/>
    <w:rsid w:val="00AB6E78"/>
    <w:rsid w:val="00AB705C"/>
    <w:rsid w:val="00AC14FA"/>
    <w:rsid w:val="00AD21D9"/>
    <w:rsid w:val="00AD4353"/>
    <w:rsid w:val="00AD7EDD"/>
    <w:rsid w:val="00AE13B1"/>
    <w:rsid w:val="00AE478F"/>
    <w:rsid w:val="00AE4AED"/>
    <w:rsid w:val="00AE5B60"/>
    <w:rsid w:val="00AF5B30"/>
    <w:rsid w:val="00AF5DC0"/>
    <w:rsid w:val="00B01501"/>
    <w:rsid w:val="00B146CF"/>
    <w:rsid w:val="00B17407"/>
    <w:rsid w:val="00B210BE"/>
    <w:rsid w:val="00B2121E"/>
    <w:rsid w:val="00B21C52"/>
    <w:rsid w:val="00B22D63"/>
    <w:rsid w:val="00B3327A"/>
    <w:rsid w:val="00B37AB0"/>
    <w:rsid w:val="00B40F88"/>
    <w:rsid w:val="00B4225C"/>
    <w:rsid w:val="00B43095"/>
    <w:rsid w:val="00B43C90"/>
    <w:rsid w:val="00B505B6"/>
    <w:rsid w:val="00B52718"/>
    <w:rsid w:val="00B52F76"/>
    <w:rsid w:val="00B5519F"/>
    <w:rsid w:val="00B61F4D"/>
    <w:rsid w:val="00B62943"/>
    <w:rsid w:val="00B62F1E"/>
    <w:rsid w:val="00B63DE2"/>
    <w:rsid w:val="00B709DC"/>
    <w:rsid w:val="00B747EB"/>
    <w:rsid w:val="00B75C35"/>
    <w:rsid w:val="00B8347E"/>
    <w:rsid w:val="00B83B61"/>
    <w:rsid w:val="00B84572"/>
    <w:rsid w:val="00B92C47"/>
    <w:rsid w:val="00B96468"/>
    <w:rsid w:val="00B9767D"/>
    <w:rsid w:val="00BA139E"/>
    <w:rsid w:val="00BA5B42"/>
    <w:rsid w:val="00BB07F5"/>
    <w:rsid w:val="00BB291F"/>
    <w:rsid w:val="00BC0B29"/>
    <w:rsid w:val="00BC51D4"/>
    <w:rsid w:val="00BC6850"/>
    <w:rsid w:val="00BC6AA3"/>
    <w:rsid w:val="00BD0DF0"/>
    <w:rsid w:val="00BD3CD2"/>
    <w:rsid w:val="00BD5E92"/>
    <w:rsid w:val="00BE11D8"/>
    <w:rsid w:val="00BE2C24"/>
    <w:rsid w:val="00BE32AE"/>
    <w:rsid w:val="00BE51D1"/>
    <w:rsid w:val="00BE7256"/>
    <w:rsid w:val="00BE7F96"/>
    <w:rsid w:val="00BF5D73"/>
    <w:rsid w:val="00BF6D25"/>
    <w:rsid w:val="00C05289"/>
    <w:rsid w:val="00C0613D"/>
    <w:rsid w:val="00C1048B"/>
    <w:rsid w:val="00C10DD1"/>
    <w:rsid w:val="00C10E7C"/>
    <w:rsid w:val="00C13618"/>
    <w:rsid w:val="00C1645A"/>
    <w:rsid w:val="00C17626"/>
    <w:rsid w:val="00C17AED"/>
    <w:rsid w:val="00C20308"/>
    <w:rsid w:val="00C20757"/>
    <w:rsid w:val="00C21ADB"/>
    <w:rsid w:val="00C23CC2"/>
    <w:rsid w:val="00C275AA"/>
    <w:rsid w:val="00C326FD"/>
    <w:rsid w:val="00C33E97"/>
    <w:rsid w:val="00C35A65"/>
    <w:rsid w:val="00C35FD5"/>
    <w:rsid w:val="00C4007F"/>
    <w:rsid w:val="00C447B9"/>
    <w:rsid w:val="00C44F70"/>
    <w:rsid w:val="00C609E0"/>
    <w:rsid w:val="00C61415"/>
    <w:rsid w:val="00C71737"/>
    <w:rsid w:val="00C71A51"/>
    <w:rsid w:val="00C722CC"/>
    <w:rsid w:val="00C75464"/>
    <w:rsid w:val="00C82937"/>
    <w:rsid w:val="00C87951"/>
    <w:rsid w:val="00C905EE"/>
    <w:rsid w:val="00C91A22"/>
    <w:rsid w:val="00C934A7"/>
    <w:rsid w:val="00C95A16"/>
    <w:rsid w:val="00C962C3"/>
    <w:rsid w:val="00CA0CDF"/>
    <w:rsid w:val="00CA350C"/>
    <w:rsid w:val="00CA48A4"/>
    <w:rsid w:val="00CA4DDC"/>
    <w:rsid w:val="00CA4F2B"/>
    <w:rsid w:val="00CA5011"/>
    <w:rsid w:val="00CA71CE"/>
    <w:rsid w:val="00CA7448"/>
    <w:rsid w:val="00CB29EB"/>
    <w:rsid w:val="00CB3541"/>
    <w:rsid w:val="00CB419F"/>
    <w:rsid w:val="00CB6E29"/>
    <w:rsid w:val="00CC4C9D"/>
    <w:rsid w:val="00CC5EB1"/>
    <w:rsid w:val="00CC696D"/>
    <w:rsid w:val="00CC7567"/>
    <w:rsid w:val="00CC7637"/>
    <w:rsid w:val="00CD4F3F"/>
    <w:rsid w:val="00CE206E"/>
    <w:rsid w:val="00CE50AA"/>
    <w:rsid w:val="00CF17F7"/>
    <w:rsid w:val="00CF28E0"/>
    <w:rsid w:val="00CF2AC1"/>
    <w:rsid w:val="00CF36CB"/>
    <w:rsid w:val="00CF3F54"/>
    <w:rsid w:val="00CF4B9C"/>
    <w:rsid w:val="00CF671E"/>
    <w:rsid w:val="00CF6924"/>
    <w:rsid w:val="00D00AAE"/>
    <w:rsid w:val="00D02834"/>
    <w:rsid w:val="00D041DA"/>
    <w:rsid w:val="00D14907"/>
    <w:rsid w:val="00D215F2"/>
    <w:rsid w:val="00D23933"/>
    <w:rsid w:val="00D26B76"/>
    <w:rsid w:val="00D35E57"/>
    <w:rsid w:val="00D42641"/>
    <w:rsid w:val="00D43B7F"/>
    <w:rsid w:val="00D501F5"/>
    <w:rsid w:val="00D50C73"/>
    <w:rsid w:val="00D512A9"/>
    <w:rsid w:val="00D52F9A"/>
    <w:rsid w:val="00D53AEA"/>
    <w:rsid w:val="00D5434F"/>
    <w:rsid w:val="00D547FE"/>
    <w:rsid w:val="00D62BB0"/>
    <w:rsid w:val="00D645F0"/>
    <w:rsid w:val="00D66B5C"/>
    <w:rsid w:val="00D707A8"/>
    <w:rsid w:val="00D72C51"/>
    <w:rsid w:val="00D74550"/>
    <w:rsid w:val="00D800DC"/>
    <w:rsid w:val="00D81978"/>
    <w:rsid w:val="00D839E4"/>
    <w:rsid w:val="00D86FAB"/>
    <w:rsid w:val="00D91958"/>
    <w:rsid w:val="00D92C95"/>
    <w:rsid w:val="00D9556A"/>
    <w:rsid w:val="00D95D92"/>
    <w:rsid w:val="00D970D7"/>
    <w:rsid w:val="00D9773C"/>
    <w:rsid w:val="00DA5871"/>
    <w:rsid w:val="00DA7E82"/>
    <w:rsid w:val="00DB6A1C"/>
    <w:rsid w:val="00DB74CA"/>
    <w:rsid w:val="00DC1AAD"/>
    <w:rsid w:val="00DC32E1"/>
    <w:rsid w:val="00DC3A8F"/>
    <w:rsid w:val="00DC58D4"/>
    <w:rsid w:val="00DC63B8"/>
    <w:rsid w:val="00DD00BF"/>
    <w:rsid w:val="00DD03DD"/>
    <w:rsid w:val="00DD0546"/>
    <w:rsid w:val="00DD1C3A"/>
    <w:rsid w:val="00DD3E67"/>
    <w:rsid w:val="00DD5A70"/>
    <w:rsid w:val="00DD62AB"/>
    <w:rsid w:val="00DE0759"/>
    <w:rsid w:val="00DE48AD"/>
    <w:rsid w:val="00DE6A7A"/>
    <w:rsid w:val="00DF58B3"/>
    <w:rsid w:val="00E009F0"/>
    <w:rsid w:val="00E04134"/>
    <w:rsid w:val="00E06267"/>
    <w:rsid w:val="00E11664"/>
    <w:rsid w:val="00E1388B"/>
    <w:rsid w:val="00E13A67"/>
    <w:rsid w:val="00E23D45"/>
    <w:rsid w:val="00E23F73"/>
    <w:rsid w:val="00E24506"/>
    <w:rsid w:val="00E24CEB"/>
    <w:rsid w:val="00E337C4"/>
    <w:rsid w:val="00E350FE"/>
    <w:rsid w:val="00E37B1A"/>
    <w:rsid w:val="00E400CA"/>
    <w:rsid w:val="00E40AC7"/>
    <w:rsid w:val="00E445F3"/>
    <w:rsid w:val="00E44B63"/>
    <w:rsid w:val="00E47026"/>
    <w:rsid w:val="00E47D2C"/>
    <w:rsid w:val="00E50498"/>
    <w:rsid w:val="00E545FA"/>
    <w:rsid w:val="00E5616B"/>
    <w:rsid w:val="00E567D3"/>
    <w:rsid w:val="00E607F6"/>
    <w:rsid w:val="00E60A5F"/>
    <w:rsid w:val="00E62273"/>
    <w:rsid w:val="00E678C9"/>
    <w:rsid w:val="00E71327"/>
    <w:rsid w:val="00E71ABB"/>
    <w:rsid w:val="00E735A5"/>
    <w:rsid w:val="00E73B13"/>
    <w:rsid w:val="00E75AF5"/>
    <w:rsid w:val="00E7676D"/>
    <w:rsid w:val="00E84443"/>
    <w:rsid w:val="00E9103F"/>
    <w:rsid w:val="00E913D4"/>
    <w:rsid w:val="00E91CE8"/>
    <w:rsid w:val="00E95032"/>
    <w:rsid w:val="00EA07FA"/>
    <w:rsid w:val="00EA56E1"/>
    <w:rsid w:val="00EB0174"/>
    <w:rsid w:val="00EB0F01"/>
    <w:rsid w:val="00EB280E"/>
    <w:rsid w:val="00EB5F8A"/>
    <w:rsid w:val="00ED1D74"/>
    <w:rsid w:val="00ED2330"/>
    <w:rsid w:val="00ED2DA1"/>
    <w:rsid w:val="00EE267F"/>
    <w:rsid w:val="00EE3408"/>
    <w:rsid w:val="00EE3E54"/>
    <w:rsid w:val="00EE4FB1"/>
    <w:rsid w:val="00EE61AC"/>
    <w:rsid w:val="00EE761E"/>
    <w:rsid w:val="00EE7E5E"/>
    <w:rsid w:val="00EF121E"/>
    <w:rsid w:val="00EF606E"/>
    <w:rsid w:val="00F01033"/>
    <w:rsid w:val="00F03CA0"/>
    <w:rsid w:val="00F04F6F"/>
    <w:rsid w:val="00F06DDA"/>
    <w:rsid w:val="00F162A9"/>
    <w:rsid w:val="00F167A3"/>
    <w:rsid w:val="00F17E6B"/>
    <w:rsid w:val="00F206C9"/>
    <w:rsid w:val="00F20854"/>
    <w:rsid w:val="00F22237"/>
    <w:rsid w:val="00F24921"/>
    <w:rsid w:val="00F262AB"/>
    <w:rsid w:val="00F27F7A"/>
    <w:rsid w:val="00F317D8"/>
    <w:rsid w:val="00F346ED"/>
    <w:rsid w:val="00F37328"/>
    <w:rsid w:val="00F47810"/>
    <w:rsid w:val="00F513FA"/>
    <w:rsid w:val="00F5278A"/>
    <w:rsid w:val="00F54850"/>
    <w:rsid w:val="00F55566"/>
    <w:rsid w:val="00F55F0E"/>
    <w:rsid w:val="00F66A13"/>
    <w:rsid w:val="00F66FBF"/>
    <w:rsid w:val="00F731FA"/>
    <w:rsid w:val="00F750EA"/>
    <w:rsid w:val="00F75DD0"/>
    <w:rsid w:val="00F768E5"/>
    <w:rsid w:val="00F81288"/>
    <w:rsid w:val="00F81623"/>
    <w:rsid w:val="00F83B0A"/>
    <w:rsid w:val="00F87543"/>
    <w:rsid w:val="00F8772E"/>
    <w:rsid w:val="00F90EC0"/>
    <w:rsid w:val="00F916E2"/>
    <w:rsid w:val="00F91E10"/>
    <w:rsid w:val="00F937FE"/>
    <w:rsid w:val="00F9552C"/>
    <w:rsid w:val="00FA60EC"/>
    <w:rsid w:val="00FA6ECB"/>
    <w:rsid w:val="00FB067A"/>
    <w:rsid w:val="00FB0C74"/>
    <w:rsid w:val="00FB1A5E"/>
    <w:rsid w:val="00FB20DE"/>
    <w:rsid w:val="00FB65D7"/>
    <w:rsid w:val="00FB6C05"/>
    <w:rsid w:val="00FB7163"/>
    <w:rsid w:val="00FB759B"/>
    <w:rsid w:val="00FC0C80"/>
    <w:rsid w:val="00FC3F47"/>
    <w:rsid w:val="00FC5977"/>
    <w:rsid w:val="00FC7E05"/>
    <w:rsid w:val="00FD10DB"/>
    <w:rsid w:val="00FD1D3F"/>
    <w:rsid w:val="00FD6F0E"/>
    <w:rsid w:val="00FE03B6"/>
    <w:rsid w:val="00FE4811"/>
    <w:rsid w:val="00FE6C1B"/>
    <w:rsid w:val="00FF061B"/>
    <w:rsid w:val="00FF0926"/>
    <w:rsid w:val="00FF51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4A9BE9-6222-4A90-B369-AEF1C7507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2AC1"/>
    <w:pPr>
      <w:spacing w:line="256" w:lineRule="auto"/>
    </w:pPr>
  </w:style>
  <w:style w:type="paragraph" w:styleId="3">
    <w:name w:val="heading 3"/>
    <w:basedOn w:val="a"/>
    <w:next w:val="a"/>
    <w:link w:val="30"/>
    <w:semiHidden/>
    <w:unhideWhenUsed/>
    <w:qFormat/>
    <w:rsid w:val="00B43C90"/>
    <w:pPr>
      <w:keepNext/>
      <w:spacing w:before="240" w:after="60" w:line="240" w:lineRule="auto"/>
      <w:jc w:val="center"/>
      <w:outlineLvl w:val="2"/>
    </w:pPr>
    <w:rPr>
      <w:rFonts w:ascii="Calibri Light" w:eastAsia="Times New Roman" w:hAnsi="Calibri Light" w:cs="Times New Roman"/>
      <w:b/>
      <w:bCs/>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D2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2">
    <w:name w:val="rvps12"/>
    <w:basedOn w:val="a"/>
    <w:qFormat/>
    <w:rsid w:val="005D236B"/>
    <w:pPr>
      <w:spacing w:before="100" w:beforeAutospacing="1" w:after="100" w:afterAutospacing="1" w:line="240" w:lineRule="auto"/>
      <w:jc w:val="center"/>
    </w:pPr>
    <w:rPr>
      <w:rFonts w:ascii="Times New Roman" w:eastAsia="Times New Roman" w:hAnsi="Times New Roman" w:cs="Times New Roman"/>
      <w:sz w:val="24"/>
      <w:szCs w:val="24"/>
      <w:lang w:val="ru-RU" w:eastAsia="uk-UA"/>
    </w:rPr>
  </w:style>
  <w:style w:type="character" w:customStyle="1" w:styleId="a4">
    <w:name w:val="Абзац списку Знак"/>
    <w:basedOn w:val="a0"/>
    <w:link w:val="a5"/>
    <w:uiPriority w:val="34"/>
    <w:qFormat/>
    <w:locked/>
    <w:rsid w:val="007B192D"/>
    <w:rPr>
      <w:sz w:val="24"/>
      <w:szCs w:val="24"/>
    </w:rPr>
  </w:style>
  <w:style w:type="paragraph" w:styleId="a5">
    <w:name w:val="List Paragraph"/>
    <w:basedOn w:val="a"/>
    <w:link w:val="a4"/>
    <w:uiPriority w:val="99"/>
    <w:qFormat/>
    <w:rsid w:val="007B192D"/>
    <w:pPr>
      <w:suppressAutoHyphens/>
      <w:spacing w:after="0" w:line="240" w:lineRule="auto"/>
      <w:ind w:left="720"/>
      <w:contextualSpacing/>
      <w:jc w:val="center"/>
    </w:pPr>
    <w:rPr>
      <w:rFonts w:ascii="Calibri" w:eastAsia="Calibri" w:hAnsi="Calibri" w:cs="Times New Roman"/>
      <w:sz w:val="24"/>
      <w:szCs w:val="24"/>
      <w:lang w:val="ru-RU"/>
    </w:rPr>
  </w:style>
  <w:style w:type="paragraph" w:customStyle="1" w:styleId="rvps2">
    <w:name w:val="rvps2"/>
    <w:basedOn w:val="a"/>
    <w:qFormat/>
    <w:rsid w:val="007B192D"/>
    <w:pPr>
      <w:suppressAutoHyphens/>
      <w:spacing w:beforeAutospacing="1" w:after="0" w:afterAutospacing="1" w:line="240" w:lineRule="auto"/>
      <w:jc w:val="center"/>
    </w:pPr>
    <w:rPr>
      <w:rFonts w:ascii="Times New Roman" w:eastAsia="Times New Roman" w:hAnsi="Times New Roman" w:cs="Times New Roman"/>
      <w:sz w:val="24"/>
      <w:szCs w:val="24"/>
      <w:lang w:val="ru-RU" w:eastAsia="ru-RU"/>
    </w:rPr>
  </w:style>
  <w:style w:type="character" w:customStyle="1" w:styleId="rvts9">
    <w:name w:val="rvts9"/>
    <w:basedOn w:val="a0"/>
    <w:qFormat/>
    <w:rsid w:val="00CE206E"/>
  </w:style>
  <w:style w:type="paragraph" w:customStyle="1" w:styleId="rvps11">
    <w:name w:val="rvps11"/>
    <w:basedOn w:val="a"/>
    <w:qFormat/>
    <w:rsid w:val="00CE206E"/>
    <w:pPr>
      <w:spacing w:before="100" w:beforeAutospacing="1" w:after="100" w:afterAutospacing="1" w:line="240" w:lineRule="auto"/>
      <w:jc w:val="center"/>
    </w:pPr>
    <w:rPr>
      <w:rFonts w:ascii="Times New Roman" w:eastAsia="Times New Roman" w:hAnsi="Times New Roman" w:cs="Times New Roman"/>
      <w:sz w:val="24"/>
      <w:szCs w:val="24"/>
      <w:lang w:val="ru-RU" w:eastAsia="uk-UA"/>
    </w:rPr>
  </w:style>
  <w:style w:type="character" w:customStyle="1" w:styleId="rvts40">
    <w:name w:val="rvts40"/>
    <w:basedOn w:val="a0"/>
    <w:qFormat/>
    <w:rsid w:val="00CE206E"/>
  </w:style>
  <w:style w:type="paragraph" w:styleId="a6">
    <w:name w:val="footnote text"/>
    <w:basedOn w:val="a"/>
    <w:link w:val="a7"/>
    <w:uiPriority w:val="99"/>
    <w:semiHidden/>
    <w:unhideWhenUsed/>
    <w:rsid w:val="007346E4"/>
    <w:pPr>
      <w:spacing w:after="0" w:line="240" w:lineRule="auto"/>
      <w:jc w:val="center"/>
    </w:pPr>
    <w:rPr>
      <w:rFonts w:ascii="Calibri" w:eastAsia="Calibri" w:hAnsi="Calibri" w:cs="Times New Roman"/>
      <w:sz w:val="20"/>
      <w:szCs w:val="20"/>
      <w:lang w:val="ru-RU"/>
    </w:rPr>
  </w:style>
  <w:style w:type="character" w:customStyle="1" w:styleId="a7">
    <w:name w:val="Текст виноски Знак"/>
    <w:basedOn w:val="a0"/>
    <w:link w:val="a6"/>
    <w:uiPriority w:val="99"/>
    <w:semiHidden/>
    <w:rsid w:val="007346E4"/>
    <w:rPr>
      <w:sz w:val="20"/>
      <w:szCs w:val="20"/>
    </w:rPr>
  </w:style>
  <w:style w:type="character" w:styleId="a8">
    <w:name w:val="footnote reference"/>
    <w:basedOn w:val="a0"/>
    <w:uiPriority w:val="99"/>
    <w:semiHidden/>
    <w:unhideWhenUsed/>
    <w:rsid w:val="007346E4"/>
    <w:rPr>
      <w:vertAlign w:val="superscript"/>
    </w:rPr>
  </w:style>
  <w:style w:type="character" w:styleId="a9">
    <w:name w:val="Hyperlink"/>
    <w:basedOn w:val="a0"/>
    <w:uiPriority w:val="99"/>
    <w:unhideWhenUsed/>
    <w:rsid w:val="00CA0CDF"/>
    <w:rPr>
      <w:color w:val="0000FF"/>
      <w:u w:val="single"/>
    </w:rPr>
  </w:style>
  <w:style w:type="paragraph" w:styleId="aa">
    <w:name w:val="Normal (Web)"/>
    <w:basedOn w:val="a"/>
    <w:uiPriority w:val="99"/>
    <w:unhideWhenUsed/>
    <w:rsid w:val="00A872AA"/>
    <w:pP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isselectedend">
    <w:name w:val="isselectedend"/>
    <w:basedOn w:val="a"/>
    <w:rsid w:val="00A872AA"/>
    <w:pP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character" w:styleId="ab">
    <w:name w:val="Strong"/>
    <w:basedOn w:val="a0"/>
    <w:uiPriority w:val="22"/>
    <w:qFormat/>
    <w:rsid w:val="00A872AA"/>
    <w:rPr>
      <w:b/>
      <w:bCs/>
    </w:rPr>
  </w:style>
  <w:style w:type="paragraph" w:customStyle="1" w:styleId="western">
    <w:name w:val="western"/>
    <w:basedOn w:val="a"/>
    <w:qFormat/>
    <w:rsid w:val="00D81978"/>
    <w:pPr>
      <w:spacing w:before="100" w:beforeAutospacing="1" w:after="142" w:line="288" w:lineRule="auto"/>
      <w:jc w:val="center"/>
    </w:pPr>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semiHidden/>
    <w:rsid w:val="00B43C90"/>
    <w:rPr>
      <w:rFonts w:ascii="Calibri Light" w:eastAsia="Times New Roman" w:hAnsi="Calibri Light" w:cs="Times New Roman"/>
      <w:b/>
      <w:bCs/>
      <w:sz w:val="26"/>
      <w:szCs w:val="26"/>
      <w:lang w:eastAsia="ru-RU"/>
    </w:rPr>
  </w:style>
  <w:style w:type="paragraph" w:styleId="ac">
    <w:name w:val="header"/>
    <w:basedOn w:val="a"/>
    <w:link w:val="ad"/>
    <w:uiPriority w:val="99"/>
    <w:unhideWhenUsed/>
    <w:rsid w:val="00F01033"/>
    <w:pPr>
      <w:tabs>
        <w:tab w:val="center" w:pos="4819"/>
        <w:tab w:val="right" w:pos="9639"/>
      </w:tabs>
      <w:spacing w:after="0" w:line="240" w:lineRule="auto"/>
      <w:jc w:val="center"/>
    </w:pPr>
    <w:rPr>
      <w:rFonts w:ascii="Calibri" w:eastAsia="Calibri" w:hAnsi="Calibri" w:cs="Times New Roman"/>
      <w:lang w:val="ru-RU"/>
    </w:rPr>
  </w:style>
  <w:style w:type="character" w:customStyle="1" w:styleId="ad">
    <w:name w:val="Верхній колонтитул Знак"/>
    <w:basedOn w:val="a0"/>
    <w:link w:val="ac"/>
    <w:uiPriority w:val="99"/>
    <w:rsid w:val="00F01033"/>
  </w:style>
  <w:style w:type="paragraph" w:styleId="ae">
    <w:name w:val="footer"/>
    <w:basedOn w:val="a"/>
    <w:link w:val="af"/>
    <w:uiPriority w:val="99"/>
    <w:unhideWhenUsed/>
    <w:rsid w:val="00F01033"/>
    <w:pPr>
      <w:tabs>
        <w:tab w:val="center" w:pos="4819"/>
        <w:tab w:val="right" w:pos="9639"/>
      </w:tabs>
      <w:spacing w:after="0" w:line="240" w:lineRule="auto"/>
      <w:jc w:val="center"/>
    </w:pPr>
    <w:rPr>
      <w:rFonts w:ascii="Calibri" w:eastAsia="Calibri" w:hAnsi="Calibri" w:cs="Times New Roman"/>
      <w:lang w:val="ru-RU"/>
    </w:rPr>
  </w:style>
  <w:style w:type="character" w:customStyle="1" w:styleId="af">
    <w:name w:val="Нижній колонтитул Знак"/>
    <w:basedOn w:val="a0"/>
    <w:link w:val="ae"/>
    <w:uiPriority w:val="99"/>
    <w:rsid w:val="00F01033"/>
  </w:style>
  <w:style w:type="paragraph" w:customStyle="1" w:styleId="tj">
    <w:name w:val="tj"/>
    <w:basedOn w:val="a"/>
    <w:rsid w:val="00AA6C8B"/>
    <w:pPr>
      <w:spacing w:before="100" w:beforeAutospacing="1" w:after="100" w:afterAutospacing="1" w:line="240" w:lineRule="auto"/>
      <w:jc w:val="center"/>
    </w:pPr>
    <w:rPr>
      <w:rFonts w:ascii="Times New Roman" w:eastAsia="Times New Roman" w:hAnsi="Times New Roman" w:cs="Times New Roman"/>
      <w:sz w:val="24"/>
      <w:szCs w:val="24"/>
      <w:lang w:val="ru-RU" w:eastAsia="uk-UA"/>
    </w:rPr>
  </w:style>
  <w:style w:type="character" w:customStyle="1" w:styleId="spanrvts0">
    <w:name w:val="span_rvts0"/>
    <w:basedOn w:val="a0"/>
    <w:rsid w:val="00E84443"/>
    <w:rPr>
      <w:rFonts w:ascii="Times New Roman" w:eastAsia="Times New Roman" w:hAnsi="Times New Roman" w:cs="Times New Roman" w:hint="default"/>
      <w:b w:val="0"/>
      <w:bCs w:val="0"/>
      <w:i w:val="0"/>
      <w:iCs w:val="0"/>
      <w:sz w:val="24"/>
      <w:szCs w:val="24"/>
    </w:rPr>
  </w:style>
  <w:style w:type="character" w:customStyle="1" w:styleId="fontstyle01">
    <w:name w:val="fontstyle01"/>
    <w:basedOn w:val="a0"/>
    <w:rsid w:val="00AE5B60"/>
    <w:rPr>
      <w:rFonts w:ascii="OpenSans-Regular" w:hAnsi="OpenSans-Regular" w:hint="default"/>
      <w:b w:val="0"/>
      <w:bCs w:val="0"/>
      <w:i w:val="0"/>
      <w:iCs w:val="0"/>
      <w:color w:val="000000"/>
      <w:sz w:val="24"/>
      <w:szCs w:val="24"/>
    </w:rPr>
  </w:style>
  <w:style w:type="character" w:customStyle="1" w:styleId="fontstyle21">
    <w:name w:val="fontstyle21"/>
    <w:basedOn w:val="a0"/>
    <w:rsid w:val="00D35E57"/>
    <w:rPr>
      <w:rFonts w:ascii="TimesNewRomanPS-BoldMT" w:hAnsi="TimesNewRomanPS-BoldMT" w:hint="default"/>
      <w:b/>
      <w:bCs/>
      <w:i w:val="0"/>
      <w:iCs w:val="0"/>
      <w:color w:val="000000"/>
      <w:sz w:val="22"/>
      <w:szCs w:val="22"/>
    </w:rPr>
  </w:style>
  <w:style w:type="character" w:customStyle="1" w:styleId="st42">
    <w:name w:val="st42"/>
    <w:uiPriority w:val="99"/>
    <w:rsid w:val="005B089F"/>
    <w:rPr>
      <w:color w:val="000000"/>
    </w:rPr>
  </w:style>
  <w:style w:type="character" w:styleId="af0">
    <w:name w:val="Placeholder Text"/>
    <w:basedOn w:val="a0"/>
    <w:uiPriority w:val="99"/>
    <w:semiHidden/>
    <w:rsid w:val="006161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7495">
      <w:bodyDiv w:val="1"/>
      <w:marLeft w:val="0"/>
      <w:marRight w:val="0"/>
      <w:marTop w:val="0"/>
      <w:marBottom w:val="0"/>
      <w:divBdr>
        <w:top w:val="none" w:sz="0" w:space="0" w:color="auto"/>
        <w:left w:val="none" w:sz="0" w:space="0" w:color="auto"/>
        <w:bottom w:val="none" w:sz="0" w:space="0" w:color="auto"/>
        <w:right w:val="none" w:sz="0" w:space="0" w:color="auto"/>
      </w:divBdr>
    </w:div>
    <w:div w:id="4093211">
      <w:bodyDiv w:val="1"/>
      <w:marLeft w:val="0"/>
      <w:marRight w:val="0"/>
      <w:marTop w:val="0"/>
      <w:marBottom w:val="0"/>
      <w:divBdr>
        <w:top w:val="none" w:sz="0" w:space="0" w:color="auto"/>
        <w:left w:val="none" w:sz="0" w:space="0" w:color="auto"/>
        <w:bottom w:val="none" w:sz="0" w:space="0" w:color="auto"/>
        <w:right w:val="none" w:sz="0" w:space="0" w:color="auto"/>
      </w:divBdr>
    </w:div>
    <w:div w:id="18943853">
      <w:bodyDiv w:val="1"/>
      <w:marLeft w:val="0"/>
      <w:marRight w:val="0"/>
      <w:marTop w:val="0"/>
      <w:marBottom w:val="0"/>
      <w:divBdr>
        <w:top w:val="none" w:sz="0" w:space="0" w:color="auto"/>
        <w:left w:val="none" w:sz="0" w:space="0" w:color="auto"/>
        <w:bottom w:val="none" w:sz="0" w:space="0" w:color="auto"/>
        <w:right w:val="none" w:sz="0" w:space="0" w:color="auto"/>
      </w:divBdr>
    </w:div>
    <w:div w:id="32585428">
      <w:bodyDiv w:val="1"/>
      <w:marLeft w:val="0"/>
      <w:marRight w:val="0"/>
      <w:marTop w:val="0"/>
      <w:marBottom w:val="0"/>
      <w:divBdr>
        <w:top w:val="none" w:sz="0" w:space="0" w:color="auto"/>
        <w:left w:val="none" w:sz="0" w:space="0" w:color="auto"/>
        <w:bottom w:val="none" w:sz="0" w:space="0" w:color="auto"/>
        <w:right w:val="none" w:sz="0" w:space="0" w:color="auto"/>
      </w:divBdr>
    </w:div>
    <w:div w:id="37172999">
      <w:bodyDiv w:val="1"/>
      <w:marLeft w:val="0"/>
      <w:marRight w:val="0"/>
      <w:marTop w:val="0"/>
      <w:marBottom w:val="0"/>
      <w:divBdr>
        <w:top w:val="none" w:sz="0" w:space="0" w:color="auto"/>
        <w:left w:val="none" w:sz="0" w:space="0" w:color="auto"/>
        <w:bottom w:val="none" w:sz="0" w:space="0" w:color="auto"/>
        <w:right w:val="none" w:sz="0" w:space="0" w:color="auto"/>
      </w:divBdr>
    </w:div>
    <w:div w:id="37239666">
      <w:bodyDiv w:val="1"/>
      <w:marLeft w:val="0"/>
      <w:marRight w:val="0"/>
      <w:marTop w:val="0"/>
      <w:marBottom w:val="0"/>
      <w:divBdr>
        <w:top w:val="none" w:sz="0" w:space="0" w:color="auto"/>
        <w:left w:val="none" w:sz="0" w:space="0" w:color="auto"/>
        <w:bottom w:val="none" w:sz="0" w:space="0" w:color="auto"/>
        <w:right w:val="none" w:sz="0" w:space="0" w:color="auto"/>
      </w:divBdr>
    </w:div>
    <w:div w:id="40402571">
      <w:bodyDiv w:val="1"/>
      <w:marLeft w:val="0"/>
      <w:marRight w:val="0"/>
      <w:marTop w:val="0"/>
      <w:marBottom w:val="0"/>
      <w:divBdr>
        <w:top w:val="none" w:sz="0" w:space="0" w:color="auto"/>
        <w:left w:val="none" w:sz="0" w:space="0" w:color="auto"/>
        <w:bottom w:val="none" w:sz="0" w:space="0" w:color="auto"/>
        <w:right w:val="none" w:sz="0" w:space="0" w:color="auto"/>
      </w:divBdr>
    </w:div>
    <w:div w:id="45186937">
      <w:bodyDiv w:val="1"/>
      <w:marLeft w:val="0"/>
      <w:marRight w:val="0"/>
      <w:marTop w:val="0"/>
      <w:marBottom w:val="0"/>
      <w:divBdr>
        <w:top w:val="none" w:sz="0" w:space="0" w:color="auto"/>
        <w:left w:val="none" w:sz="0" w:space="0" w:color="auto"/>
        <w:bottom w:val="none" w:sz="0" w:space="0" w:color="auto"/>
        <w:right w:val="none" w:sz="0" w:space="0" w:color="auto"/>
      </w:divBdr>
    </w:div>
    <w:div w:id="45810108">
      <w:bodyDiv w:val="1"/>
      <w:marLeft w:val="0"/>
      <w:marRight w:val="0"/>
      <w:marTop w:val="0"/>
      <w:marBottom w:val="0"/>
      <w:divBdr>
        <w:top w:val="none" w:sz="0" w:space="0" w:color="auto"/>
        <w:left w:val="none" w:sz="0" w:space="0" w:color="auto"/>
        <w:bottom w:val="none" w:sz="0" w:space="0" w:color="auto"/>
        <w:right w:val="none" w:sz="0" w:space="0" w:color="auto"/>
      </w:divBdr>
    </w:div>
    <w:div w:id="49229056">
      <w:bodyDiv w:val="1"/>
      <w:marLeft w:val="0"/>
      <w:marRight w:val="0"/>
      <w:marTop w:val="0"/>
      <w:marBottom w:val="0"/>
      <w:divBdr>
        <w:top w:val="none" w:sz="0" w:space="0" w:color="auto"/>
        <w:left w:val="none" w:sz="0" w:space="0" w:color="auto"/>
        <w:bottom w:val="none" w:sz="0" w:space="0" w:color="auto"/>
        <w:right w:val="none" w:sz="0" w:space="0" w:color="auto"/>
      </w:divBdr>
    </w:div>
    <w:div w:id="72704052">
      <w:bodyDiv w:val="1"/>
      <w:marLeft w:val="0"/>
      <w:marRight w:val="0"/>
      <w:marTop w:val="0"/>
      <w:marBottom w:val="0"/>
      <w:divBdr>
        <w:top w:val="none" w:sz="0" w:space="0" w:color="auto"/>
        <w:left w:val="none" w:sz="0" w:space="0" w:color="auto"/>
        <w:bottom w:val="none" w:sz="0" w:space="0" w:color="auto"/>
        <w:right w:val="none" w:sz="0" w:space="0" w:color="auto"/>
      </w:divBdr>
    </w:div>
    <w:div w:id="73862210">
      <w:bodyDiv w:val="1"/>
      <w:marLeft w:val="0"/>
      <w:marRight w:val="0"/>
      <w:marTop w:val="0"/>
      <w:marBottom w:val="0"/>
      <w:divBdr>
        <w:top w:val="none" w:sz="0" w:space="0" w:color="auto"/>
        <w:left w:val="none" w:sz="0" w:space="0" w:color="auto"/>
        <w:bottom w:val="none" w:sz="0" w:space="0" w:color="auto"/>
        <w:right w:val="none" w:sz="0" w:space="0" w:color="auto"/>
      </w:divBdr>
    </w:div>
    <w:div w:id="73938414">
      <w:bodyDiv w:val="1"/>
      <w:marLeft w:val="0"/>
      <w:marRight w:val="0"/>
      <w:marTop w:val="0"/>
      <w:marBottom w:val="0"/>
      <w:divBdr>
        <w:top w:val="none" w:sz="0" w:space="0" w:color="auto"/>
        <w:left w:val="none" w:sz="0" w:space="0" w:color="auto"/>
        <w:bottom w:val="none" w:sz="0" w:space="0" w:color="auto"/>
        <w:right w:val="none" w:sz="0" w:space="0" w:color="auto"/>
      </w:divBdr>
    </w:div>
    <w:div w:id="74085973">
      <w:bodyDiv w:val="1"/>
      <w:marLeft w:val="0"/>
      <w:marRight w:val="0"/>
      <w:marTop w:val="0"/>
      <w:marBottom w:val="0"/>
      <w:divBdr>
        <w:top w:val="none" w:sz="0" w:space="0" w:color="auto"/>
        <w:left w:val="none" w:sz="0" w:space="0" w:color="auto"/>
        <w:bottom w:val="none" w:sz="0" w:space="0" w:color="auto"/>
        <w:right w:val="none" w:sz="0" w:space="0" w:color="auto"/>
      </w:divBdr>
    </w:div>
    <w:div w:id="76246700">
      <w:bodyDiv w:val="1"/>
      <w:marLeft w:val="0"/>
      <w:marRight w:val="0"/>
      <w:marTop w:val="0"/>
      <w:marBottom w:val="0"/>
      <w:divBdr>
        <w:top w:val="none" w:sz="0" w:space="0" w:color="auto"/>
        <w:left w:val="none" w:sz="0" w:space="0" w:color="auto"/>
        <w:bottom w:val="none" w:sz="0" w:space="0" w:color="auto"/>
        <w:right w:val="none" w:sz="0" w:space="0" w:color="auto"/>
      </w:divBdr>
    </w:div>
    <w:div w:id="78257566">
      <w:bodyDiv w:val="1"/>
      <w:marLeft w:val="0"/>
      <w:marRight w:val="0"/>
      <w:marTop w:val="0"/>
      <w:marBottom w:val="0"/>
      <w:divBdr>
        <w:top w:val="none" w:sz="0" w:space="0" w:color="auto"/>
        <w:left w:val="none" w:sz="0" w:space="0" w:color="auto"/>
        <w:bottom w:val="none" w:sz="0" w:space="0" w:color="auto"/>
        <w:right w:val="none" w:sz="0" w:space="0" w:color="auto"/>
      </w:divBdr>
    </w:div>
    <w:div w:id="79060569">
      <w:bodyDiv w:val="1"/>
      <w:marLeft w:val="0"/>
      <w:marRight w:val="0"/>
      <w:marTop w:val="0"/>
      <w:marBottom w:val="0"/>
      <w:divBdr>
        <w:top w:val="none" w:sz="0" w:space="0" w:color="auto"/>
        <w:left w:val="none" w:sz="0" w:space="0" w:color="auto"/>
        <w:bottom w:val="none" w:sz="0" w:space="0" w:color="auto"/>
        <w:right w:val="none" w:sz="0" w:space="0" w:color="auto"/>
      </w:divBdr>
    </w:div>
    <w:div w:id="83770681">
      <w:bodyDiv w:val="1"/>
      <w:marLeft w:val="0"/>
      <w:marRight w:val="0"/>
      <w:marTop w:val="0"/>
      <w:marBottom w:val="0"/>
      <w:divBdr>
        <w:top w:val="none" w:sz="0" w:space="0" w:color="auto"/>
        <w:left w:val="none" w:sz="0" w:space="0" w:color="auto"/>
        <w:bottom w:val="none" w:sz="0" w:space="0" w:color="auto"/>
        <w:right w:val="none" w:sz="0" w:space="0" w:color="auto"/>
      </w:divBdr>
    </w:div>
    <w:div w:id="90594415">
      <w:bodyDiv w:val="1"/>
      <w:marLeft w:val="0"/>
      <w:marRight w:val="0"/>
      <w:marTop w:val="0"/>
      <w:marBottom w:val="0"/>
      <w:divBdr>
        <w:top w:val="none" w:sz="0" w:space="0" w:color="auto"/>
        <w:left w:val="none" w:sz="0" w:space="0" w:color="auto"/>
        <w:bottom w:val="none" w:sz="0" w:space="0" w:color="auto"/>
        <w:right w:val="none" w:sz="0" w:space="0" w:color="auto"/>
      </w:divBdr>
    </w:div>
    <w:div w:id="90856490">
      <w:bodyDiv w:val="1"/>
      <w:marLeft w:val="0"/>
      <w:marRight w:val="0"/>
      <w:marTop w:val="0"/>
      <w:marBottom w:val="0"/>
      <w:divBdr>
        <w:top w:val="none" w:sz="0" w:space="0" w:color="auto"/>
        <w:left w:val="none" w:sz="0" w:space="0" w:color="auto"/>
        <w:bottom w:val="none" w:sz="0" w:space="0" w:color="auto"/>
        <w:right w:val="none" w:sz="0" w:space="0" w:color="auto"/>
      </w:divBdr>
    </w:div>
    <w:div w:id="98986896">
      <w:bodyDiv w:val="1"/>
      <w:marLeft w:val="0"/>
      <w:marRight w:val="0"/>
      <w:marTop w:val="0"/>
      <w:marBottom w:val="0"/>
      <w:divBdr>
        <w:top w:val="none" w:sz="0" w:space="0" w:color="auto"/>
        <w:left w:val="none" w:sz="0" w:space="0" w:color="auto"/>
        <w:bottom w:val="none" w:sz="0" w:space="0" w:color="auto"/>
        <w:right w:val="none" w:sz="0" w:space="0" w:color="auto"/>
      </w:divBdr>
    </w:div>
    <w:div w:id="99230890">
      <w:bodyDiv w:val="1"/>
      <w:marLeft w:val="0"/>
      <w:marRight w:val="0"/>
      <w:marTop w:val="0"/>
      <w:marBottom w:val="0"/>
      <w:divBdr>
        <w:top w:val="none" w:sz="0" w:space="0" w:color="auto"/>
        <w:left w:val="none" w:sz="0" w:space="0" w:color="auto"/>
        <w:bottom w:val="none" w:sz="0" w:space="0" w:color="auto"/>
        <w:right w:val="none" w:sz="0" w:space="0" w:color="auto"/>
      </w:divBdr>
    </w:div>
    <w:div w:id="102695751">
      <w:bodyDiv w:val="1"/>
      <w:marLeft w:val="0"/>
      <w:marRight w:val="0"/>
      <w:marTop w:val="0"/>
      <w:marBottom w:val="0"/>
      <w:divBdr>
        <w:top w:val="none" w:sz="0" w:space="0" w:color="auto"/>
        <w:left w:val="none" w:sz="0" w:space="0" w:color="auto"/>
        <w:bottom w:val="none" w:sz="0" w:space="0" w:color="auto"/>
        <w:right w:val="none" w:sz="0" w:space="0" w:color="auto"/>
      </w:divBdr>
    </w:div>
    <w:div w:id="106588102">
      <w:bodyDiv w:val="1"/>
      <w:marLeft w:val="0"/>
      <w:marRight w:val="0"/>
      <w:marTop w:val="0"/>
      <w:marBottom w:val="0"/>
      <w:divBdr>
        <w:top w:val="none" w:sz="0" w:space="0" w:color="auto"/>
        <w:left w:val="none" w:sz="0" w:space="0" w:color="auto"/>
        <w:bottom w:val="none" w:sz="0" w:space="0" w:color="auto"/>
        <w:right w:val="none" w:sz="0" w:space="0" w:color="auto"/>
      </w:divBdr>
    </w:div>
    <w:div w:id="107354916">
      <w:bodyDiv w:val="1"/>
      <w:marLeft w:val="0"/>
      <w:marRight w:val="0"/>
      <w:marTop w:val="0"/>
      <w:marBottom w:val="0"/>
      <w:divBdr>
        <w:top w:val="none" w:sz="0" w:space="0" w:color="auto"/>
        <w:left w:val="none" w:sz="0" w:space="0" w:color="auto"/>
        <w:bottom w:val="none" w:sz="0" w:space="0" w:color="auto"/>
        <w:right w:val="none" w:sz="0" w:space="0" w:color="auto"/>
      </w:divBdr>
    </w:div>
    <w:div w:id="115803283">
      <w:bodyDiv w:val="1"/>
      <w:marLeft w:val="0"/>
      <w:marRight w:val="0"/>
      <w:marTop w:val="0"/>
      <w:marBottom w:val="0"/>
      <w:divBdr>
        <w:top w:val="none" w:sz="0" w:space="0" w:color="auto"/>
        <w:left w:val="none" w:sz="0" w:space="0" w:color="auto"/>
        <w:bottom w:val="none" w:sz="0" w:space="0" w:color="auto"/>
        <w:right w:val="none" w:sz="0" w:space="0" w:color="auto"/>
      </w:divBdr>
    </w:div>
    <w:div w:id="123232479">
      <w:bodyDiv w:val="1"/>
      <w:marLeft w:val="0"/>
      <w:marRight w:val="0"/>
      <w:marTop w:val="0"/>
      <w:marBottom w:val="0"/>
      <w:divBdr>
        <w:top w:val="none" w:sz="0" w:space="0" w:color="auto"/>
        <w:left w:val="none" w:sz="0" w:space="0" w:color="auto"/>
        <w:bottom w:val="none" w:sz="0" w:space="0" w:color="auto"/>
        <w:right w:val="none" w:sz="0" w:space="0" w:color="auto"/>
      </w:divBdr>
    </w:div>
    <w:div w:id="145243555">
      <w:bodyDiv w:val="1"/>
      <w:marLeft w:val="0"/>
      <w:marRight w:val="0"/>
      <w:marTop w:val="0"/>
      <w:marBottom w:val="0"/>
      <w:divBdr>
        <w:top w:val="none" w:sz="0" w:space="0" w:color="auto"/>
        <w:left w:val="none" w:sz="0" w:space="0" w:color="auto"/>
        <w:bottom w:val="none" w:sz="0" w:space="0" w:color="auto"/>
        <w:right w:val="none" w:sz="0" w:space="0" w:color="auto"/>
      </w:divBdr>
    </w:div>
    <w:div w:id="147599516">
      <w:bodyDiv w:val="1"/>
      <w:marLeft w:val="0"/>
      <w:marRight w:val="0"/>
      <w:marTop w:val="0"/>
      <w:marBottom w:val="0"/>
      <w:divBdr>
        <w:top w:val="none" w:sz="0" w:space="0" w:color="auto"/>
        <w:left w:val="none" w:sz="0" w:space="0" w:color="auto"/>
        <w:bottom w:val="none" w:sz="0" w:space="0" w:color="auto"/>
        <w:right w:val="none" w:sz="0" w:space="0" w:color="auto"/>
      </w:divBdr>
    </w:div>
    <w:div w:id="153304820">
      <w:bodyDiv w:val="1"/>
      <w:marLeft w:val="0"/>
      <w:marRight w:val="0"/>
      <w:marTop w:val="0"/>
      <w:marBottom w:val="0"/>
      <w:divBdr>
        <w:top w:val="none" w:sz="0" w:space="0" w:color="auto"/>
        <w:left w:val="none" w:sz="0" w:space="0" w:color="auto"/>
        <w:bottom w:val="none" w:sz="0" w:space="0" w:color="auto"/>
        <w:right w:val="none" w:sz="0" w:space="0" w:color="auto"/>
      </w:divBdr>
    </w:div>
    <w:div w:id="153836701">
      <w:bodyDiv w:val="1"/>
      <w:marLeft w:val="0"/>
      <w:marRight w:val="0"/>
      <w:marTop w:val="0"/>
      <w:marBottom w:val="0"/>
      <w:divBdr>
        <w:top w:val="none" w:sz="0" w:space="0" w:color="auto"/>
        <w:left w:val="none" w:sz="0" w:space="0" w:color="auto"/>
        <w:bottom w:val="none" w:sz="0" w:space="0" w:color="auto"/>
        <w:right w:val="none" w:sz="0" w:space="0" w:color="auto"/>
      </w:divBdr>
    </w:div>
    <w:div w:id="160321595">
      <w:bodyDiv w:val="1"/>
      <w:marLeft w:val="0"/>
      <w:marRight w:val="0"/>
      <w:marTop w:val="0"/>
      <w:marBottom w:val="0"/>
      <w:divBdr>
        <w:top w:val="none" w:sz="0" w:space="0" w:color="auto"/>
        <w:left w:val="none" w:sz="0" w:space="0" w:color="auto"/>
        <w:bottom w:val="none" w:sz="0" w:space="0" w:color="auto"/>
        <w:right w:val="none" w:sz="0" w:space="0" w:color="auto"/>
      </w:divBdr>
    </w:div>
    <w:div w:id="163397092">
      <w:bodyDiv w:val="1"/>
      <w:marLeft w:val="0"/>
      <w:marRight w:val="0"/>
      <w:marTop w:val="0"/>
      <w:marBottom w:val="0"/>
      <w:divBdr>
        <w:top w:val="none" w:sz="0" w:space="0" w:color="auto"/>
        <w:left w:val="none" w:sz="0" w:space="0" w:color="auto"/>
        <w:bottom w:val="none" w:sz="0" w:space="0" w:color="auto"/>
        <w:right w:val="none" w:sz="0" w:space="0" w:color="auto"/>
      </w:divBdr>
    </w:div>
    <w:div w:id="189102235">
      <w:bodyDiv w:val="1"/>
      <w:marLeft w:val="0"/>
      <w:marRight w:val="0"/>
      <w:marTop w:val="0"/>
      <w:marBottom w:val="0"/>
      <w:divBdr>
        <w:top w:val="none" w:sz="0" w:space="0" w:color="auto"/>
        <w:left w:val="none" w:sz="0" w:space="0" w:color="auto"/>
        <w:bottom w:val="none" w:sz="0" w:space="0" w:color="auto"/>
        <w:right w:val="none" w:sz="0" w:space="0" w:color="auto"/>
      </w:divBdr>
    </w:div>
    <w:div w:id="189954766">
      <w:bodyDiv w:val="1"/>
      <w:marLeft w:val="0"/>
      <w:marRight w:val="0"/>
      <w:marTop w:val="0"/>
      <w:marBottom w:val="0"/>
      <w:divBdr>
        <w:top w:val="none" w:sz="0" w:space="0" w:color="auto"/>
        <w:left w:val="none" w:sz="0" w:space="0" w:color="auto"/>
        <w:bottom w:val="none" w:sz="0" w:space="0" w:color="auto"/>
        <w:right w:val="none" w:sz="0" w:space="0" w:color="auto"/>
      </w:divBdr>
    </w:div>
    <w:div w:id="190384485">
      <w:bodyDiv w:val="1"/>
      <w:marLeft w:val="0"/>
      <w:marRight w:val="0"/>
      <w:marTop w:val="0"/>
      <w:marBottom w:val="0"/>
      <w:divBdr>
        <w:top w:val="none" w:sz="0" w:space="0" w:color="auto"/>
        <w:left w:val="none" w:sz="0" w:space="0" w:color="auto"/>
        <w:bottom w:val="none" w:sz="0" w:space="0" w:color="auto"/>
        <w:right w:val="none" w:sz="0" w:space="0" w:color="auto"/>
      </w:divBdr>
    </w:div>
    <w:div w:id="202180425">
      <w:bodyDiv w:val="1"/>
      <w:marLeft w:val="0"/>
      <w:marRight w:val="0"/>
      <w:marTop w:val="0"/>
      <w:marBottom w:val="0"/>
      <w:divBdr>
        <w:top w:val="none" w:sz="0" w:space="0" w:color="auto"/>
        <w:left w:val="none" w:sz="0" w:space="0" w:color="auto"/>
        <w:bottom w:val="none" w:sz="0" w:space="0" w:color="auto"/>
        <w:right w:val="none" w:sz="0" w:space="0" w:color="auto"/>
      </w:divBdr>
    </w:div>
    <w:div w:id="208227914">
      <w:bodyDiv w:val="1"/>
      <w:marLeft w:val="0"/>
      <w:marRight w:val="0"/>
      <w:marTop w:val="0"/>
      <w:marBottom w:val="0"/>
      <w:divBdr>
        <w:top w:val="none" w:sz="0" w:space="0" w:color="auto"/>
        <w:left w:val="none" w:sz="0" w:space="0" w:color="auto"/>
        <w:bottom w:val="none" w:sz="0" w:space="0" w:color="auto"/>
        <w:right w:val="none" w:sz="0" w:space="0" w:color="auto"/>
      </w:divBdr>
    </w:div>
    <w:div w:id="210000652">
      <w:bodyDiv w:val="1"/>
      <w:marLeft w:val="0"/>
      <w:marRight w:val="0"/>
      <w:marTop w:val="0"/>
      <w:marBottom w:val="0"/>
      <w:divBdr>
        <w:top w:val="none" w:sz="0" w:space="0" w:color="auto"/>
        <w:left w:val="none" w:sz="0" w:space="0" w:color="auto"/>
        <w:bottom w:val="none" w:sz="0" w:space="0" w:color="auto"/>
        <w:right w:val="none" w:sz="0" w:space="0" w:color="auto"/>
      </w:divBdr>
    </w:div>
    <w:div w:id="218323316">
      <w:bodyDiv w:val="1"/>
      <w:marLeft w:val="0"/>
      <w:marRight w:val="0"/>
      <w:marTop w:val="0"/>
      <w:marBottom w:val="0"/>
      <w:divBdr>
        <w:top w:val="none" w:sz="0" w:space="0" w:color="auto"/>
        <w:left w:val="none" w:sz="0" w:space="0" w:color="auto"/>
        <w:bottom w:val="none" w:sz="0" w:space="0" w:color="auto"/>
        <w:right w:val="none" w:sz="0" w:space="0" w:color="auto"/>
      </w:divBdr>
    </w:div>
    <w:div w:id="222566926">
      <w:bodyDiv w:val="1"/>
      <w:marLeft w:val="0"/>
      <w:marRight w:val="0"/>
      <w:marTop w:val="0"/>
      <w:marBottom w:val="0"/>
      <w:divBdr>
        <w:top w:val="none" w:sz="0" w:space="0" w:color="auto"/>
        <w:left w:val="none" w:sz="0" w:space="0" w:color="auto"/>
        <w:bottom w:val="none" w:sz="0" w:space="0" w:color="auto"/>
        <w:right w:val="none" w:sz="0" w:space="0" w:color="auto"/>
      </w:divBdr>
    </w:div>
    <w:div w:id="225262003">
      <w:bodyDiv w:val="1"/>
      <w:marLeft w:val="0"/>
      <w:marRight w:val="0"/>
      <w:marTop w:val="0"/>
      <w:marBottom w:val="0"/>
      <w:divBdr>
        <w:top w:val="none" w:sz="0" w:space="0" w:color="auto"/>
        <w:left w:val="none" w:sz="0" w:space="0" w:color="auto"/>
        <w:bottom w:val="none" w:sz="0" w:space="0" w:color="auto"/>
        <w:right w:val="none" w:sz="0" w:space="0" w:color="auto"/>
      </w:divBdr>
    </w:div>
    <w:div w:id="234358814">
      <w:bodyDiv w:val="1"/>
      <w:marLeft w:val="0"/>
      <w:marRight w:val="0"/>
      <w:marTop w:val="0"/>
      <w:marBottom w:val="0"/>
      <w:divBdr>
        <w:top w:val="none" w:sz="0" w:space="0" w:color="auto"/>
        <w:left w:val="none" w:sz="0" w:space="0" w:color="auto"/>
        <w:bottom w:val="none" w:sz="0" w:space="0" w:color="auto"/>
        <w:right w:val="none" w:sz="0" w:space="0" w:color="auto"/>
      </w:divBdr>
    </w:div>
    <w:div w:id="240337523">
      <w:bodyDiv w:val="1"/>
      <w:marLeft w:val="0"/>
      <w:marRight w:val="0"/>
      <w:marTop w:val="0"/>
      <w:marBottom w:val="0"/>
      <w:divBdr>
        <w:top w:val="none" w:sz="0" w:space="0" w:color="auto"/>
        <w:left w:val="none" w:sz="0" w:space="0" w:color="auto"/>
        <w:bottom w:val="none" w:sz="0" w:space="0" w:color="auto"/>
        <w:right w:val="none" w:sz="0" w:space="0" w:color="auto"/>
      </w:divBdr>
    </w:div>
    <w:div w:id="241960900">
      <w:bodyDiv w:val="1"/>
      <w:marLeft w:val="0"/>
      <w:marRight w:val="0"/>
      <w:marTop w:val="0"/>
      <w:marBottom w:val="0"/>
      <w:divBdr>
        <w:top w:val="none" w:sz="0" w:space="0" w:color="auto"/>
        <w:left w:val="none" w:sz="0" w:space="0" w:color="auto"/>
        <w:bottom w:val="none" w:sz="0" w:space="0" w:color="auto"/>
        <w:right w:val="none" w:sz="0" w:space="0" w:color="auto"/>
      </w:divBdr>
    </w:div>
    <w:div w:id="248196757">
      <w:bodyDiv w:val="1"/>
      <w:marLeft w:val="0"/>
      <w:marRight w:val="0"/>
      <w:marTop w:val="0"/>
      <w:marBottom w:val="0"/>
      <w:divBdr>
        <w:top w:val="none" w:sz="0" w:space="0" w:color="auto"/>
        <w:left w:val="none" w:sz="0" w:space="0" w:color="auto"/>
        <w:bottom w:val="none" w:sz="0" w:space="0" w:color="auto"/>
        <w:right w:val="none" w:sz="0" w:space="0" w:color="auto"/>
      </w:divBdr>
    </w:div>
    <w:div w:id="252396189">
      <w:bodyDiv w:val="1"/>
      <w:marLeft w:val="0"/>
      <w:marRight w:val="0"/>
      <w:marTop w:val="0"/>
      <w:marBottom w:val="0"/>
      <w:divBdr>
        <w:top w:val="none" w:sz="0" w:space="0" w:color="auto"/>
        <w:left w:val="none" w:sz="0" w:space="0" w:color="auto"/>
        <w:bottom w:val="none" w:sz="0" w:space="0" w:color="auto"/>
        <w:right w:val="none" w:sz="0" w:space="0" w:color="auto"/>
      </w:divBdr>
    </w:div>
    <w:div w:id="253317665">
      <w:bodyDiv w:val="1"/>
      <w:marLeft w:val="0"/>
      <w:marRight w:val="0"/>
      <w:marTop w:val="0"/>
      <w:marBottom w:val="0"/>
      <w:divBdr>
        <w:top w:val="none" w:sz="0" w:space="0" w:color="auto"/>
        <w:left w:val="none" w:sz="0" w:space="0" w:color="auto"/>
        <w:bottom w:val="none" w:sz="0" w:space="0" w:color="auto"/>
        <w:right w:val="none" w:sz="0" w:space="0" w:color="auto"/>
      </w:divBdr>
    </w:div>
    <w:div w:id="254869832">
      <w:bodyDiv w:val="1"/>
      <w:marLeft w:val="0"/>
      <w:marRight w:val="0"/>
      <w:marTop w:val="0"/>
      <w:marBottom w:val="0"/>
      <w:divBdr>
        <w:top w:val="none" w:sz="0" w:space="0" w:color="auto"/>
        <w:left w:val="none" w:sz="0" w:space="0" w:color="auto"/>
        <w:bottom w:val="none" w:sz="0" w:space="0" w:color="auto"/>
        <w:right w:val="none" w:sz="0" w:space="0" w:color="auto"/>
      </w:divBdr>
    </w:div>
    <w:div w:id="256519711">
      <w:bodyDiv w:val="1"/>
      <w:marLeft w:val="0"/>
      <w:marRight w:val="0"/>
      <w:marTop w:val="0"/>
      <w:marBottom w:val="0"/>
      <w:divBdr>
        <w:top w:val="none" w:sz="0" w:space="0" w:color="auto"/>
        <w:left w:val="none" w:sz="0" w:space="0" w:color="auto"/>
        <w:bottom w:val="none" w:sz="0" w:space="0" w:color="auto"/>
        <w:right w:val="none" w:sz="0" w:space="0" w:color="auto"/>
      </w:divBdr>
    </w:div>
    <w:div w:id="258952414">
      <w:bodyDiv w:val="1"/>
      <w:marLeft w:val="0"/>
      <w:marRight w:val="0"/>
      <w:marTop w:val="0"/>
      <w:marBottom w:val="0"/>
      <w:divBdr>
        <w:top w:val="none" w:sz="0" w:space="0" w:color="auto"/>
        <w:left w:val="none" w:sz="0" w:space="0" w:color="auto"/>
        <w:bottom w:val="none" w:sz="0" w:space="0" w:color="auto"/>
        <w:right w:val="none" w:sz="0" w:space="0" w:color="auto"/>
      </w:divBdr>
    </w:div>
    <w:div w:id="261109604">
      <w:bodyDiv w:val="1"/>
      <w:marLeft w:val="0"/>
      <w:marRight w:val="0"/>
      <w:marTop w:val="0"/>
      <w:marBottom w:val="0"/>
      <w:divBdr>
        <w:top w:val="none" w:sz="0" w:space="0" w:color="auto"/>
        <w:left w:val="none" w:sz="0" w:space="0" w:color="auto"/>
        <w:bottom w:val="none" w:sz="0" w:space="0" w:color="auto"/>
        <w:right w:val="none" w:sz="0" w:space="0" w:color="auto"/>
      </w:divBdr>
    </w:div>
    <w:div w:id="269166148">
      <w:bodyDiv w:val="1"/>
      <w:marLeft w:val="0"/>
      <w:marRight w:val="0"/>
      <w:marTop w:val="0"/>
      <w:marBottom w:val="0"/>
      <w:divBdr>
        <w:top w:val="none" w:sz="0" w:space="0" w:color="auto"/>
        <w:left w:val="none" w:sz="0" w:space="0" w:color="auto"/>
        <w:bottom w:val="none" w:sz="0" w:space="0" w:color="auto"/>
        <w:right w:val="none" w:sz="0" w:space="0" w:color="auto"/>
      </w:divBdr>
    </w:div>
    <w:div w:id="271208686">
      <w:bodyDiv w:val="1"/>
      <w:marLeft w:val="0"/>
      <w:marRight w:val="0"/>
      <w:marTop w:val="0"/>
      <w:marBottom w:val="0"/>
      <w:divBdr>
        <w:top w:val="none" w:sz="0" w:space="0" w:color="auto"/>
        <w:left w:val="none" w:sz="0" w:space="0" w:color="auto"/>
        <w:bottom w:val="none" w:sz="0" w:space="0" w:color="auto"/>
        <w:right w:val="none" w:sz="0" w:space="0" w:color="auto"/>
      </w:divBdr>
    </w:div>
    <w:div w:id="276252370">
      <w:bodyDiv w:val="1"/>
      <w:marLeft w:val="0"/>
      <w:marRight w:val="0"/>
      <w:marTop w:val="0"/>
      <w:marBottom w:val="0"/>
      <w:divBdr>
        <w:top w:val="none" w:sz="0" w:space="0" w:color="auto"/>
        <w:left w:val="none" w:sz="0" w:space="0" w:color="auto"/>
        <w:bottom w:val="none" w:sz="0" w:space="0" w:color="auto"/>
        <w:right w:val="none" w:sz="0" w:space="0" w:color="auto"/>
      </w:divBdr>
    </w:div>
    <w:div w:id="277756539">
      <w:bodyDiv w:val="1"/>
      <w:marLeft w:val="0"/>
      <w:marRight w:val="0"/>
      <w:marTop w:val="0"/>
      <w:marBottom w:val="0"/>
      <w:divBdr>
        <w:top w:val="none" w:sz="0" w:space="0" w:color="auto"/>
        <w:left w:val="none" w:sz="0" w:space="0" w:color="auto"/>
        <w:bottom w:val="none" w:sz="0" w:space="0" w:color="auto"/>
        <w:right w:val="none" w:sz="0" w:space="0" w:color="auto"/>
      </w:divBdr>
    </w:div>
    <w:div w:id="281114419">
      <w:bodyDiv w:val="1"/>
      <w:marLeft w:val="0"/>
      <w:marRight w:val="0"/>
      <w:marTop w:val="0"/>
      <w:marBottom w:val="0"/>
      <w:divBdr>
        <w:top w:val="none" w:sz="0" w:space="0" w:color="auto"/>
        <w:left w:val="none" w:sz="0" w:space="0" w:color="auto"/>
        <w:bottom w:val="none" w:sz="0" w:space="0" w:color="auto"/>
        <w:right w:val="none" w:sz="0" w:space="0" w:color="auto"/>
      </w:divBdr>
    </w:div>
    <w:div w:id="295839900">
      <w:bodyDiv w:val="1"/>
      <w:marLeft w:val="0"/>
      <w:marRight w:val="0"/>
      <w:marTop w:val="0"/>
      <w:marBottom w:val="0"/>
      <w:divBdr>
        <w:top w:val="none" w:sz="0" w:space="0" w:color="auto"/>
        <w:left w:val="none" w:sz="0" w:space="0" w:color="auto"/>
        <w:bottom w:val="none" w:sz="0" w:space="0" w:color="auto"/>
        <w:right w:val="none" w:sz="0" w:space="0" w:color="auto"/>
      </w:divBdr>
    </w:div>
    <w:div w:id="300774281">
      <w:bodyDiv w:val="1"/>
      <w:marLeft w:val="0"/>
      <w:marRight w:val="0"/>
      <w:marTop w:val="0"/>
      <w:marBottom w:val="0"/>
      <w:divBdr>
        <w:top w:val="none" w:sz="0" w:space="0" w:color="auto"/>
        <w:left w:val="none" w:sz="0" w:space="0" w:color="auto"/>
        <w:bottom w:val="none" w:sz="0" w:space="0" w:color="auto"/>
        <w:right w:val="none" w:sz="0" w:space="0" w:color="auto"/>
      </w:divBdr>
    </w:div>
    <w:div w:id="303319043">
      <w:bodyDiv w:val="1"/>
      <w:marLeft w:val="0"/>
      <w:marRight w:val="0"/>
      <w:marTop w:val="0"/>
      <w:marBottom w:val="0"/>
      <w:divBdr>
        <w:top w:val="none" w:sz="0" w:space="0" w:color="auto"/>
        <w:left w:val="none" w:sz="0" w:space="0" w:color="auto"/>
        <w:bottom w:val="none" w:sz="0" w:space="0" w:color="auto"/>
        <w:right w:val="none" w:sz="0" w:space="0" w:color="auto"/>
      </w:divBdr>
    </w:div>
    <w:div w:id="310333739">
      <w:bodyDiv w:val="1"/>
      <w:marLeft w:val="0"/>
      <w:marRight w:val="0"/>
      <w:marTop w:val="0"/>
      <w:marBottom w:val="0"/>
      <w:divBdr>
        <w:top w:val="none" w:sz="0" w:space="0" w:color="auto"/>
        <w:left w:val="none" w:sz="0" w:space="0" w:color="auto"/>
        <w:bottom w:val="none" w:sz="0" w:space="0" w:color="auto"/>
        <w:right w:val="none" w:sz="0" w:space="0" w:color="auto"/>
      </w:divBdr>
    </w:div>
    <w:div w:id="320238200">
      <w:bodyDiv w:val="1"/>
      <w:marLeft w:val="0"/>
      <w:marRight w:val="0"/>
      <w:marTop w:val="0"/>
      <w:marBottom w:val="0"/>
      <w:divBdr>
        <w:top w:val="none" w:sz="0" w:space="0" w:color="auto"/>
        <w:left w:val="none" w:sz="0" w:space="0" w:color="auto"/>
        <w:bottom w:val="none" w:sz="0" w:space="0" w:color="auto"/>
        <w:right w:val="none" w:sz="0" w:space="0" w:color="auto"/>
      </w:divBdr>
    </w:div>
    <w:div w:id="329453481">
      <w:bodyDiv w:val="1"/>
      <w:marLeft w:val="0"/>
      <w:marRight w:val="0"/>
      <w:marTop w:val="0"/>
      <w:marBottom w:val="0"/>
      <w:divBdr>
        <w:top w:val="none" w:sz="0" w:space="0" w:color="auto"/>
        <w:left w:val="none" w:sz="0" w:space="0" w:color="auto"/>
        <w:bottom w:val="none" w:sz="0" w:space="0" w:color="auto"/>
        <w:right w:val="none" w:sz="0" w:space="0" w:color="auto"/>
      </w:divBdr>
    </w:div>
    <w:div w:id="334303209">
      <w:bodyDiv w:val="1"/>
      <w:marLeft w:val="0"/>
      <w:marRight w:val="0"/>
      <w:marTop w:val="0"/>
      <w:marBottom w:val="0"/>
      <w:divBdr>
        <w:top w:val="none" w:sz="0" w:space="0" w:color="auto"/>
        <w:left w:val="none" w:sz="0" w:space="0" w:color="auto"/>
        <w:bottom w:val="none" w:sz="0" w:space="0" w:color="auto"/>
        <w:right w:val="none" w:sz="0" w:space="0" w:color="auto"/>
      </w:divBdr>
    </w:div>
    <w:div w:id="344601204">
      <w:bodyDiv w:val="1"/>
      <w:marLeft w:val="0"/>
      <w:marRight w:val="0"/>
      <w:marTop w:val="0"/>
      <w:marBottom w:val="0"/>
      <w:divBdr>
        <w:top w:val="none" w:sz="0" w:space="0" w:color="auto"/>
        <w:left w:val="none" w:sz="0" w:space="0" w:color="auto"/>
        <w:bottom w:val="none" w:sz="0" w:space="0" w:color="auto"/>
        <w:right w:val="none" w:sz="0" w:space="0" w:color="auto"/>
      </w:divBdr>
    </w:div>
    <w:div w:id="348798837">
      <w:bodyDiv w:val="1"/>
      <w:marLeft w:val="0"/>
      <w:marRight w:val="0"/>
      <w:marTop w:val="0"/>
      <w:marBottom w:val="0"/>
      <w:divBdr>
        <w:top w:val="none" w:sz="0" w:space="0" w:color="auto"/>
        <w:left w:val="none" w:sz="0" w:space="0" w:color="auto"/>
        <w:bottom w:val="none" w:sz="0" w:space="0" w:color="auto"/>
        <w:right w:val="none" w:sz="0" w:space="0" w:color="auto"/>
      </w:divBdr>
    </w:div>
    <w:div w:id="365642781">
      <w:bodyDiv w:val="1"/>
      <w:marLeft w:val="0"/>
      <w:marRight w:val="0"/>
      <w:marTop w:val="0"/>
      <w:marBottom w:val="0"/>
      <w:divBdr>
        <w:top w:val="none" w:sz="0" w:space="0" w:color="auto"/>
        <w:left w:val="none" w:sz="0" w:space="0" w:color="auto"/>
        <w:bottom w:val="none" w:sz="0" w:space="0" w:color="auto"/>
        <w:right w:val="none" w:sz="0" w:space="0" w:color="auto"/>
      </w:divBdr>
    </w:div>
    <w:div w:id="366300878">
      <w:bodyDiv w:val="1"/>
      <w:marLeft w:val="0"/>
      <w:marRight w:val="0"/>
      <w:marTop w:val="0"/>
      <w:marBottom w:val="0"/>
      <w:divBdr>
        <w:top w:val="none" w:sz="0" w:space="0" w:color="auto"/>
        <w:left w:val="none" w:sz="0" w:space="0" w:color="auto"/>
        <w:bottom w:val="none" w:sz="0" w:space="0" w:color="auto"/>
        <w:right w:val="none" w:sz="0" w:space="0" w:color="auto"/>
      </w:divBdr>
    </w:div>
    <w:div w:id="386950738">
      <w:bodyDiv w:val="1"/>
      <w:marLeft w:val="0"/>
      <w:marRight w:val="0"/>
      <w:marTop w:val="0"/>
      <w:marBottom w:val="0"/>
      <w:divBdr>
        <w:top w:val="none" w:sz="0" w:space="0" w:color="auto"/>
        <w:left w:val="none" w:sz="0" w:space="0" w:color="auto"/>
        <w:bottom w:val="none" w:sz="0" w:space="0" w:color="auto"/>
        <w:right w:val="none" w:sz="0" w:space="0" w:color="auto"/>
      </w:divBdr>
    </w:div>
    <w:div w:id="388725715">
      <w:bodyDiv w:val="1"/>
      <w:marLeft w:val="0"/>
      <w:marRight w:val="0"/>
      <w:marTop w:val="0"/>
      <w:marBottom w:val="0"/>
      <w:divBdr>
        <w:top w:val="none" w:sz="0" w:space="0" w:color="auto"/>
        <w:left w:val="none" w:sz="0" w:space="0" w:color="auto"/>
        <w:bottom w:val="none" w:sz="0" w:space="0" w:color="auto"/>
        <w:right w:val="none" w:sz="0" w:space="0" w:color="auto"/>
      </w:divBdr>
    </w:div>
    <w:div w:id="392240790">
      <w:bodyDiv w:val="1"/>
      <w:marLeft w:val="0"/>
      <w:marRight w:val="0"/>
      <w:marTop w:val="0"/>
      <w:marBottom w:val="0"/>
      <w:divBdr>
        <w:top w:val="none" w:sz="0" w:space="0" w:color="auto"/>
        <w:left w:val="none" w:sz="0" w:space="0" w:color="auto"/>
        <w:bottom w:val="none" w:sz="0" w:space="0" w:color="auto"/>
        <w:right w:val="none" w:sz="0" w:space="0" w:color="auto"/>
      </w:divBdr>
    </w:div>
    <w:div w:id="402992558">
      <w:bodyDiv w:val="1"/>
      <w:marLeft w:val="0"/>
      <w:marRight w:val="0"/>
      <w:marTop w:val="0"/>
      <w:marBottom w:val="0"/>
      <w:divBdr>
        <w:top w:val="none" w:sz="0" w:space="0" w:color="auto"/>
        <w:left w:val="none" w:sz="0" w:space="0" w:color="auto"/>
        <w:bottom w:val="none" w:sz="0" w:space="0" w:color="auto"/>
        <w:right w:val="none" w:sz="0" w:space="0" w:color="auto"/>
      </w:divBdr>
    </w:div>
    <w:div w:id="402996941">
      <w:bodyDiv w:val="1"/>
      <w:marLeft w:val="0"/>
      <w:marRight w:val="0"/>
      <w:marTop w:val="0"/>
      <w:marBottom w:val="0"/>
      <w:divBdr>
        <w:top w:val="none" w:sz="0" w:space="0" w:color="auto"/>
        <w:left w:val="none" w:sz="0" w:space="0" w:color="auto"/>
        <w:bottom w:val="none" w:sz="0" w:space="0" w:color="auto"/>
        <w:right w:val="none" w:sz="0" w:space="0" w:color="auto"/>
      </w:divBdr>
    </w:div>
    <w:div w:id="417098621">
      <w:bodyDiv w:val="1"/>
      <w:marLeft w:val="0"/>
      <w:marRight w:val="0"/>
      <w:marTop w:val="0"/>
      <w:marBottom w:val="0"/>
      <w:divBdr>
        <w:top w:val="none" w:sz="0" w:space="0" w:color="auto"/>
        <w:left w:val="none" w:sz="0" w:space="0" w:color="auto"/>
        <w:bottom w:val="none" w:sz="0" w:space="0" w:color="auto"/>
        <w:right w:val="none" w:sz="0" w:space="0" w:color="auto"/>
      </w:divBdr>
    </w:div>
    <w:div w:id="422724206">
      <w:bodyDiv w:val="1"/>
      <w:marLeft w:val="0"/>
      <w:marRight w:val="0"/>
      <w:marTop w:val="0"/>
      <w:marBottom w:val="0"/>
      <w:divBdr>
        <w:top w:val="none" w:sz="0" w:space="0" w:color="auto"/>
        <w:left w:val="none" w:sz="0" w:space="0" w:color="auto"/>
        <w:bottom w:val="none" w:sz="0" w:space="0" w:color="auto"/>
        <w:right w:val="none" w:sz="0" w:space="0" w:color="auto"/>
      </w:divBdr>
    </w:div>
    <w:div w:id="431514522">
      <w:bodyDiv w:val="1"/>
      <w:marLeft w:val="0"/>
      <w:marRight w:val="0"/>
      <w:marTop w:val="0"/>
      <w:marBottom w:val="0"/>
      <w:divBdr>
        <w:top w:val="none" w:sz="0" w:space="0" w:color="auto"/>
        <w:left w:val="none" w:sz="0" w:space="0" w:color="auto"/>
        <w:bottom w:val="none" w:sz="0" w:space="0" w:color="auto"/>
        <w:right w:val="none" w:sz="0" w:space="0" w:color="auto"/>
      </w:divBdr>
    </w:div>
    <w:div w:id="433087878">
      <w:bodyDiv w:val="1"/>
      <w:marLeft w:val="0"/>
      <w:marRight w:val="0"/>
      <w:marTop w:val="0"/>
      <w:marBottom w:val="0"/>
      <w:divBdr>
        <w:top w:val="none" w:sz="0" w:space="0" w:color="auto"/>
        <w:left w:val="none" w:sz="0" w:space="0" w:color="auto"/>
        <w:bottom w:val="none" w:sz="0" w:space="0" w:color="auto"/>
        <w:right w:val="none" w:sz="0" w:space="0" w:color="auto"/>
      </w:divBdr>
    </w:div>
    <w:div w:id="441072739">
      <w:bodyDiv w:val="1"/>
      <w:marLeft w:val="0"/>
      <w:marRight w:val="0"/>
      <w:marTop w:val="0"/>
      <w:marBottom w:val="0"/>
      <w:divBdr>
        <w:top w:val="none" w:sz="0" w:space="0" w:color="auto"/>
        <w:left w:val="none" w:sz="0" w:space="0" w:color="auto"/>
        <w:bottom w:val="none" w:sz="0" w:space="0" w:color="auto"/>
        <w:right w:val="none" w:sz="0" w:space="0" w:color="auto"/>
      </w:divBdr>
    </w:div>
    <w:div w:id="461970717">
      <w:bodyDiv w:val="1"/>
      <w:marLeft w:val="0"/>
      <w:marRight w:val="0"/>
      <w:marTop w:val="0"/>
      <w:marBottom w:val="0"/>
      <w:divBdr>
        <w:top w:val="none" w:sz="0" w:space="0" w:color="auto"/>
        <w:left w:val="none" w:sz="0" w:space="0" w:color="auto"/>
        <w:bottom w:val="none" w:sz="0" w:space="0" w:color="auto"/>
        <w:right w:val="none" w:sz="0" w:space="0" w:color="auto"/>
      </w:divBdr>
    </w:div>
    <w:div w:id="466823129">
      <w:bodyDiv w:val="1"/>
      <w:marLeft w:val="0"/>
      <w:marRight w:val="0"/>
      <w:marTop w:val="0"/>
      <w:marBottom w:val="0"/>
      <w:divBdr>
        <w:top w:val="none" w:sz="0" w:space="0" w:color="auto"/>
        <w:left w:val="none" w:sz="0" w:space="0" w:color="auto"/>
        <w:bottom w:val="none" w:sz="0" w:space="0" w:color="auto"/>
        <w:right w:val="none" w:sz="0" w:space="0" w:color="auto"/>
      </w:divBdr>
    </w:div>
    <w:div w:id="468741297">
      <w:bodyDiv w:val="1"/>
      <w:marLeft w:val="0"/>
      <w:marRight w:val="0"/>
      <w:marTop w:val="0"/>
      <w:marBottom w:val="0"/>
      <w:divBdr>
        <w:top w:val="none" w:sz="0" w:space="0" w:color="auto"/>
        <w:left w:val="none" w:sz="0" w:space="0" w:color="auto"/>
        <w:bottom w:val="none" w:sz="0" w:space="0" w:color="auto"/>
        <w:right w:val="none" w:sz="0" w:space="0" w:color="auto"/>
      </w:divBdr>
    </w:div>
    <w:div w:id="470832999">
      <w:bodyDiv w:val="1"/>
      <w:marLeft w:val="0"/>
      <w:marRight w:val="0"/>
      <w:marTop w:val="0"/>
      <w:marBottom w:val="0"/>
      <w:divBdr>
        <w:top w:val="none" w:sz="0" w:space="0" w:color="auto"/>
        <w:left w:val="none" w:sz="0" w:space="0" w:color="auto"/>
        <w:bottom w:val="none" w:sz="0" w:space="0" w:color="auto"/>
        <w:right w:val="none" w:sz="0" w:space="0" w:color="auto"/>
      </w:divBdr>
    </w:div>
    <w:div w:id="471606775">
      <w:bodyDiv w:val="1"/>
      <w:marLeft w:val="0"/>
      <w:marRight w:val="0"/>
      <w:marTop w:val="0"/>
      <w:marBottom w:val="0"/>
      <w:divBdr>
        <w:top w:val="none" w:sz="0" w:space="0" w:color="auto"/>
        <w:left w:val="none" w:sz="0" w:space="0" w:color="auto"/>
        <w:bottom w:val="none" w:sz="0" w:space="0" w:color="auto"/>
        <w:right w:val="none" w:sz="0" w:space="0" w:color="auto"/>
      </w:divBdr>
    </w:div>
    <w:div w:id="484391984">
      <w:bodyDiv w:val="1"/>
      <w:marLeft w:val="0"/>
      <w:marRight w:val="0"/>
      <w:marTop w:val="0"/>
      <w:marBottom w:val="0"/>
      <w:divBdr>
        <w:top w:val="none" w:sz="0" w:space="0" w:color="auto"/>
        <w:left w:val="none" w:sz="0" w:space="0" w:color="auto"/>
        <w:bottom w:val="none" w:sz="0" w:space="0" w:color="auto"/>
        <w:right w:val="none" w:sz="0" w:space="0" w:color="auto"/>
      </w:divBdr>
    </w:div>
    <w:div w:id="493960355">
      <w:bodyDiv w:val="1"/>
      <w:marLeft w:val="0"/>
      <w:marRight w:val="0"/>
      <w:marTop w:val="0"/>
      <w:marBottom w:val="0"/>
      <w:divBdr>
        <w:top w:val="none" w:sz="0" w:space="0" w:color="auto"/>
        <w:left w:val="none" w:sz="0" w:space="0" w:color="auto"/>
        <w:bottom w:val="none" w:sz="0" w:space="0" w:color="auto"/>
        <w:right w:val="none" w:sz="0" w:space="0" w:color="auto"/>
      </w:divBdr>
    </w:div>
    <w:div w:id="501703000">
      <w:bodyDiv w:val="1"/>
      <w:marLeft w:val="0"/>
      <w:marRight w:val="0"/>
      <w:marTop w:val="0"/>
      <w:marBottom w:val="0"/>
      <w:divBdr>
        <w:top w:val="none" w:sz="0" w:space="0" w:color="auto"/>
        <w:left w:val="none" w:sz="0" w:space="0" w:color="auto"/>
        <w:bottom w:val="none" w:sz="0" w:space="0" w:color="auto"/>
        <w:right w:val="none" w:sz="0" w:space="0" w:color="auto"/>
      </w:divBdr>
    </w:div>
    <w:div w:id="503479309">
      <w:bodyDiv w:val="1"/>
      <w:marLeft w:val="0"/>
      <w:marRight w:val="0"/>
      <w:marTop w:val="0"/>
      <w:marBottom w:val="0"/>
      <w:divBdr>
        <w:top w:val="none" w:sz="0" w:space="0" w:color="auto"/>
        <w:left w:val="none" w:sz="0" w:space="0" w:color="auto"/>
        <w:bottom w:val="none" w:sz="0" w:space="0" w:color="auto"/>
        <w:right w:val="none" w:sz="0" w:space="0" w:color="auto"/>
      </w:divBdr>
    </w:div>
    <w:div w:id="504785465">
      <w:bodyDiv w:val="1"/>
      <w:marLeft w:val="0"/>
      <w:marRight w:val="0"/>
      <w:marTop w:val="0"/>
      <w:marBottom w:val="0"/>
      <w:divBdr>
        <w:top w:val="none" w:sz="0" w:space="0" w:color="auto"/>
        <w:left w:val="none" w:sz="0" w:space="0" w:color="auto"/>
        <w:bottom w:val="none" w:sz="0" w:space="0" w:color="auto"/>
        <w:right w:val="none" w:sz="0" w:space="0" w:color="auto"/>
      </w:divBdr>
    </w:div>
    <w:div w:id="507528459">
      <w:bodyDiv w:val="1"/>
      <w:marLeft w:val="0"/>
      <w:marRight w:val="0"/>
      <w:marTop w:val="0"/>
      <w:marBottom w:val="0"/>
      <w:divBdr>
        <w:top w:val="none" w:sz="0" w:space="0" w:color="auto"/>
        <w:left w:val="none" w:sz="0" w:space="0" w:color="auto"/>
        <w:bottom w:val="none" w:sz="0" w:space="0" w:color="auto"/>
        <w:right w:val="none" w:sz="0" w:space="0" w:color="auto"/>
      </w:divBdr>
    </w:div>
    <w:div w:id="525798210">
      <w:bodyDiv w:val="1"/>
      <w:marLeft w:val="0"/>
      <w:marRight w:val="0"/>
      <w:marTop w:val="0"/>
      <w:marBottom w:val="0"/>
      <w:divBdr>
        <w:top w:val="none" w:sz="0" w:space="0" w:color="auto"/>
        <w:left w:val="none" w:sz="0" w:space="0" w:color="auto"/>
        <w:bottom w:val="none" w:sz="0" w:space="0" w:color="auto"/>
        <w:right w:val="none" w:sz="0" w:space="0" w:color="auto"/>
      </w:divBdr>
    </w:div>
    <w:div w:id="538669527">
      <w:bodyDiv w:val="1"/>
      <w:marLeft w:val="0"/>
      <w:marRight w:val="0"/>
      <w:marTop w:val="0"/>
      <w:marBottom w:val="0"/>
      <w:divBdr>
        <w:top w:val="none" w:sz="0" w:space="0" w:color="auto"/>
        <w:left w:val="none" w:sz="0" w:space="0" w:color="auto"/>
        <w:bottom w:val="none" w:sz="0" w:space="0" w:color="auto"/>
        <w:right w:val="none" w:sz="0" w:space="0" w:color="auto"/>
      </w:divBdr>
    </w:div>
    <w:div w:id="538780708">
      <w:bodyDiv w:val="1"/>
      <w:marLeft w:val="0"/>
      <w:marRight w:val="0"/>
      <w:marTop w:val="0"/>
      <w:marBottom w:val="0"/>
      <w:divBdr>
        <w:top w:val="none" w:sz="0" w:space="0" w:color="auto"/>
        <w:left w:val="none" w:sz="0" w:space="0" w:color="auto"/>
        <w:bottom w:val="none" w:sz="0" w:space="0" w:color="auto"/>
        <w:right w:val="none" w:sz="0" w:space="0" w:color="auto"/>
      </w:divBdr>
    </w:div>
    <w:div w:id="539900737">
      <w:bodyDiv w:val="1"/>
      <w:marLeft w:val="0"/>
      <w:marRight w:val="0"/>
      <w:marTop w:val="0"/>
      <w:marBottom w:val="0"/>
      <w:divBdr>
        <w:top w:val="none" w:sz="0" w:space="0" w:color="auto"/>
        <w:left w:val="none" w:sz="0" w:space="0" w:color="auto"/>
        <w:bottom w:val="none" w:sz="0" w:space="0" w:color="auto"/>
        <w:right w:val="none" w:sz="0" w:space="0" w:color="auto"/>
      </w:divBdr>
    </w:div>
    <w:div w:id="549266612">
      <w:bodyDiv w:val="1"/>
      <w:marLeft w:val="0"/>
      <w:marRight w:val="0"/>
      <w:marTop w:val="0"/>
      <w:marBottom w:val="0"/>
      <w:divBdr>
        <w:top w:val="none" w:sz="0" w:space="0" w:color="auto"/>
        <w:left w:val="none" w:sz="0" w:space="0" w:color="auto"/>
        <w:bottom w:val="none" w:sz="0" w:space="0" w:color="auto"/>
        <w:right w:val="none" w:sz="0" w:space="0" w:color="auto"/>
      </w:divBdr>
    </w:div>
    <w:div w:id="571811901">
      <w:bodyDiv w:val="1"/>
      <w:marLeft w:val="0"/>
      <w:marRight w:val="0"/>
      <w:marTop w:val="0"/>
      <w:marBottom w:val="0"/>
      <w:divBdr>
        <w:top w:val="none" w:sz="0" w:space="0" w:color="auto"/>
        <w:left w:val="none" w:sz="0" w:space="0" w:color="auto"/>
        <w:bottom w:val="none" w:sz="0" w:space="0" w:color="auto"/>
        <w:right w:val="none" w:sz="0" w:space="0" w:color="auto"/>
      </w:divBdr>
    </w:div>
    <w:div w:id="572202878">
      <w:bodyDiv w:val="1"/>
      <w:marLeft w:val="0"/>
      <w:marRight w:val="0"/>
      <w:marTop w:val="0"/>
      <w:marBottom w:val="0"/>
      <w:divBdr>
        <w:top w:val="none" w:sz="0" w:space="0" w:color="auto"/>
        <w:left w:val="none" w:sz="0" w:space="0" w:color="auto"/>
        <w:bottom w:val="none" w:sz="0" w:space="0" w:color="auto"/>
        <w:right w:val="none" w:sz="0" w:space="0" w:color="auto"/>
      </w:divBdr>
    </w:div>
    <w:div w:id="576525607">
      <w:bodyDiv w:val="1"/>
      <w:marLeft w:val="0"/>
      <w:marRight w:val="0"/>
      <w:marTop w:val="0"/>
      <w:marBottom w:val="0"/>
      <w:divBdr>
        <w:top w:val="none" w:sz="0" w:space="0" w:color="auto"/>
        <w:left w:val="none" w:sz="0" w:space="0" w:color="auto"/>
        <w:bottom w:val="none" w:sz="0" w:space="0" w:color="auto"/>
        <w:right w:val="none" w:sz="0" w:space="0" w:color="auto"/>
      </w:divBdr>
    </w:div>
    <w:div w:id="578708761">
      <w:bodyDiv w:val="1"/>
      <w:marLeft w:val="0"/>
      <w:marRight w:val="0"/>
      <w:marTop w:val="0"/>
      <w:marBottom w:val="0"/>
      <w:divBdr>
        <w:top w:val="none" w:sz="0" w:space="0" w:color="auto"/>
        <w:left w:val="none" w:sz="0" w:space="0" w:color="auto"/>
        <w:bottom w:val="none" w:sz="0" w:space="0" w:color="auto"/>
        <w:right w:val="none" w:sz="0" w:space="0" w:color="auto"/>
      </w:divBdr>
    </w:div>
    <w:div w:id="596062109">
      <w:bodyDiv w:val="1"/>
      <w:marLeft w:val="0"/>
      <w:marRight w:val="0"/>
      <w:marTop w:val="0"/>
      <w:marBottom w:val="0"/>
      <w:divBdr>
        <w:top w:val="none" w:sz="0" w:space="0" w:color="auto"/>
        <w:left w:val="none" w:sz="0" w:space="0" w:color="auto"/>
        <w:bottom w:val="none" w:sz="0" w:space="0" w:color="auto"/>
        <w:right w:val="none" w:sz="0" w:space="0" w:color="auto"/>
      </w:divBdr>
    </w:div>
    <w:div w:id="603463496">
      <w:bodyDiv w:val="1"/>
      <w:marLeft w:val="0"/>
      <w:marRight w:val="0"/>
      <w:marTop w:val="0"/>
      <w:marBottom w:val="0"/>
      <w:divBdr>
        <w:top w:val="none" w:sz="0" w:space="0" w:color="auto"/>
        <w:left w:val="none" w:sz="0" w:space="0" w:color="auto"/>
        <w:bottom w:val="none" w:sz="0" w:space="0" w:color="auto"/>
        <w:right w:val="none" w:sz="0" w:space="0" w:color="auto"/>
      </w:divBdr>
    </w:div>
    <w:div w:id="615601671">
      <w:bodyDiv w:val="1"/>
      <w:marLeft w:val="0"/>
      <w:marRight w:val="0"/>
      <w:marTop w:val="0"/>
      <w:marBottom w:val="0"/>
      <w:divBdr>
        <w:top w:val="none" w:sz="0" w:space="0" w:color="auto"/>
        <w:left w:val="none" w:sz="0" w:space="0" w:color="auto"/>
        <w:bottom w:val="none" w:sz="0" w:space="0" w:color="auto"/>
        <w:right w:val="none" w:sz="0" w:space="0" w:color="auto"/>
      </w:divBdr>
    </w:div>
    <w:div w:id="617881451">
      <w:bodyDiv w:val="1"/>
      <w:marLeft w:val="0"/>
      <w:marRight w:val="0"/>
      <w:marTop w:val="0"/>
      <w:marBottom w:val="0"/>
      <w:divBdr>
        <w:top w:val="none" w:sz="0" w:space="0" w:color="auto"/>
        <w:left w:val="none" w:sz="0" w:space="0" w:color="auto"/>
        <w:bottom w:val="none" w:sz="0" w:space="0" w:color="auto"/>
        <w:right w:val="none" w:sz="0" w:space="0" w:color="auto"/>
      </w:divBdr>
    </w:div>
    <w:div w:id="618875259">
      <w:bodyDiv w:val="1"/>
      <w:marLeft w:val="0"/>
      <w:marRight w:val="0"/>
      <w:marTop w:val="0"/>
      <w:marBottom w:val="0"/>
      <w:divBdr>
        <w:top w:val="none" w:sz="0" w:space="0" w:color="auto"/>
        <w:left w:val="none" w:sz="0" w:space="0" w:color="auto"/>
        <w:bottom w:val="none" w:sz="0" w:space="0" w:color="auto"/>
        <w:right w:val="none" w:sz="0" w:space="0" w:color="auto"/>
      </w:divBdr>
    </w:div>
    <w:div w:id="622151110">
      <w:bodyDiv w:val="1"/>
      <w:marLeft w:val="0"/>
      <w:marRight w:val="0"/>
      <w:marTop w:val="0"/>
      <w:marBottom w:val="0"/>
      <w:divBdr>
        <w:top w:val="none" w:sz="0" w:space="0" w:color="auto"/>
        <w:left w:val="none" w:sz="0" w:space="0" w:color="auto"/>
        <w:bottom w:val="none" w:sz="0" w:space="0" w:color="auto"/>
        <w:right w:val="none" w:sz="0" w:space="0" w:color="auto"/>
      </w:divBdr>
    </w:div>
    <w:div w:id="631132131">
      <w:bodyDiv w:val="1"/>
      <w:marLeft w:val="0"/>
      <w:marRight w:val="0"/>
      <w:marTop w:val="0"/>
      <w:marBottom w:val="0"/>
      <w:divBdr>
        <w:top w:val="none" w:sz="0" w:space="0" w:color="auto"/>
        <w:left w:val="none" w:sz="0" w:space="0" w:color="auto"/>
        <w:bottom w:val="none" w:sz="0" w:space="0" w:color="auto"/>
        <w:right w:val="none" w:sz="0" w:space="0" w:color="auto"/>
      </w:divBdr>
    </w:div>
    <w:div w:id="641617085">
      <w:bodyDiv w:val="1"/>
      <w:marLeft w:val="0"/>
      <w:marRight w:val="0"/>
      <w:marTop w:val="0"/>
      <w:marBottom w:val="0"/>
      <w:divBdr>
        <w:top w:val="none" w:sz="0" w:space="0" w:color="auto"/>
        <w:left w:val="none" w:sz="0" w:space="0" w:color="auto"/>
        <w:bottom w:val="none" w:sz="0" w:space="0" w:color="auto"/>
        <w:right w:val="none" w:sz="0" w:space="0" w:color="auto"/>
      </w:divBdr>
    </w:div>
    <w:div w:id="643585714">
      <w:bodyDiv w:val="1"/>
      <w:marLeft w:val="0"/>
      <w:marRight w:val="0"/>
      <w:marTop w:val="0"/>
      <w:marBottom w:val="0"/>
      <w:divBdr>
        <w:top w:val="none" w:sz="0" w:space="0" w:color="auto"/>
        <w:left w:val="none" w:sz="0" w:space="0" w:color="auto"/>
        <w:bottom w:val="none" w:sz="0" w:space="0" w:color="auto"/>
        <w:right w:val="none" w:sz="0" w:space="0" w:color="auto"/>
      </w:divBdr>
    </w:div>
    <w:div w:id="648289199">
      <w:bodyDiv w:val="1"/>
      <w:marLeft w:val="0"/>
      <w:marRight w:val="0"/>
      <w:marTop w:val="0"/>
      <w:marBottom w:val="0"/>
      <w:divBdr>
        <w:top w:val="none" w:sz="0" w:space="0" w:color="auto"/>
        <w:left w:val="none" w:sz="0" w:space="0" w:color="auto"/>
        <w:bottom w:val="none" w:sz="0" w:space="0" w:color="auto"/>
        <w:right w:val="none" w:sz="0" w:space="0" w:color="auto"/>
      </w:divBdr>
    </w:div>
    <w:div w:id="650595616">
      <w:bodyDiv w:val="1"/>
      <w:marLeft w:val="0"/>
      <w:marRight w:val="0"/>
      <w:marTop w:val="0"/>
      <w:marBottom w:val="0"/>
      <w:divBdr>
        <w:top w:val="none" w:sz="0" w:space="0" w:color="auto"/>
        <w:left w:val="none" w:sz="0" w:space="0" w:color="auto"/>
        <w:bottom w:val="none" w:sz="0" w:space="0" w:color="auto"/>
        <w:right w:val="none" w:sz="0" w:space="0" w:color="auto"/>
      </w:divBdr>
    </w:div>
    <w:div w:id="660694871">
      <w:bodyDiv w:val="1"/>
      <w:marLeft w:val="0"/>
      <w:marRight w:val="0"/>
      <w:marTop w:val="0"/>
      <w:marBottom w:val="0"/>
      <w:divBdr>
        <w:top w:val="none" w:sz="0" w:space="0" w:color="auto"/>
        <w:left w:val="none" w:sz="0" w:space="0" w:color="auto"/>
        <w:bottom w:val="none" w:sz="0" w:space="0" w:color="auto"/>
        <w:right w:val="none" w:sz="0" w:space="0" w:color="auto"/>
      </w:divBdr>
    </w:div>
    <w:div w:id="661280031">
      <w:bodyDiv w:val="1"/>
      <w:marLeft w:val="0"/>
      <w:marRight w:val="0"/>
      <w:marTop w:val="0"/>
      <w:marBottom w:val="0"/>
      <w:divBdr>
        <w:top w:val="none" w:sz="0" w:space="0" w:color="auto"/>
        <w:left w:val="none" w:sz="0" w:space="0" w:color="auto"/>
        <w:bottom w:val="none" w:sz="0" w:space="0" w:color="auto"/>
        <w:right w:val="none" w:sz="0" w:space="0" w:color="auto"/>
      </w:divBdr>
    </w:div>
    <w:div w:id="673730849">
      <w:bodyDiv w:val="1"/>
      <w:marLeft w:val="0"/>
      <w:marRight w:val="0"/>
      <w:marTop w:val="0"/>
      <w:marBottom w:val="0"/>
      <w:divBdr>
        <w:top w:val="none" w:sz="0" w:space="0" w:color="auto"/>
        <w:left w:val="none" w:sz="0" w:space="0" w:color="auto"/>
        <w:bottom w:val="none" w:sz="0" w:space="0" w:color="auto"/>
        <w:right w:val="none" w:sz="0" w:space="0" w:color="auto"/>
      </w:divBdr>
    </w:div>
    <w:div w:id="681467527">
      <w:bodyDiv w:val="1"/>
      <w:marLeft w:val="0"/>
      <w:marRight w:val="0"/>
      <w:marTop w:val="0"/>
      <w:marBottom w:val="0"/>
      <w:divBdr>
        <w:top w:val="none" w:sz="0" w:space="0" w:color="auto"/>
        <w:left w:val="none" w:sz="0" w:space="0" w:color="auto"/>
        <w:bottom w:val="none" w:sz="0" w:space="0" w:color="auto"/>
        <w:right w:val="none" w:sz="0" w:space="0" w:color="auto"/>
      </w:divBdr>
    </w:div>
    <w:div w:id="682634220">
      <w:bodyDiv w:val="1"/>
      <w:marLeft w:val="0"/>
      <w:marRight w:val="0"/>
      <w:marTop w:val="0"/>
      <w:marBottom w:val="0"/>
      <w:divBdr>
        <w:top w:val="none" w:sz="0" w:space="0" w:color="auto"/>
        <w:left w:val="none" w:sz="0" w:space="0" w:color="auto"/>
        <w:bottom w:val="none" w:sz="0" w:space="0" w:color="auto"/>
        <w:right w:val="none" w:sz="0" w:space="0" w:color="auto"/>
      </w:divBdr>
    </w:div>
    <w:div w:id="683703928">
      <w:bodyDiv w:val="1"/>
      <w:marLeft w:val="0"/>
      <w:marRight w:val="0"/>
      <w:marTop w:val="0"/>
      <w:marBottom w:val="0"/>
      <w:divBdr>
        <w:top w:val="none" w:sz="0" w:space="0" w:color="auto"/>
        <w:left w:val="none" w:sz="0" w:space="0" w:color="auto"/>
        <w:bottom w:val="none" w:sz="0" w:space="0" w:color="auto"/>
        <w:right w:val="none" w:sz="0" w:space="0" w:color="auto"/>
      </w:divBdr>
    </w:div>
    <w:div w:id="688918367">
      <w:bodyDiv w:val="1"/>
      <w:marLeft w:val="0"/>
      <w:marRight w:val="0"/>
      <w:marTop w:val="0"/>
      <w:marBottom w:val="0"/>
      <w:divBdr>
        <w:top w:val="none" w:sz="0" w:space="0" w:color="auto"/>
        <w:left w:val="none" w:sz="0" w:space="0" w:color="auto"/>
        <w:bottom w:val="none" w:sz="0" w:space="0" w:color="auto"/>
        <w:right w:val="none" w:sz="0" w:space="0" w:color="auto"/>
      </w:divBdr>
    </w:div>
    <w:div w:id="693044636">
      <w:bodyDiv w:val="1"/>
      <w:marLeft w:val="0"/>
      <w:marRight w:val="0"/>
      <w:marTop w:val="0"/>
      <w:marBottom w:val="0"/>
      <w:divBdr>
        <w:top w:val="none" w:sz="0" w:space="0" w:color="auto"/>
        <w:left w:val="none" w:sz="0" w:space="0" w:color="auto"/>
        <w:bottom w:val="none" w:sz="0" w:space="0" w:color="auto"/>
        <w:right w:val="none" w:sz="0" w:space="0" w:color="auto"/>
      </w:divBdr>
    </w:div>
    <w:div w:id="699554354">
      <w:bodyDiv w:val="1"/>
      <w:marLeft w:val="0"/>
      <w:marRight w:val="0"/>
      <w:marTop w:val="0"/>
      <w:marBottom w:val="0"/>
      <w:divBdr>
        <w:top w:val="none" w:sz="0" w:space="0" w:color="auto"/>
        <w:left w:val="none" w:sz="0" w:space="0" w:color="auto"/>
        <w:bottom w:val="none" w:sz="0" w:space="0" w:color="auto"/>
        <w:right w:val="none" w:sz="0" w:space="0" w:color="auto"/>
      </w:divBdr>
    </w:div>
    <w:div w:id="701781887">
      <w:bodyDiv w:val="1"/>
      <w:marLeft w:val="0"/>
      <w:marRight w:val="0"/>
      <w:marTop w:val="0"/>
      <w:marBottom w:val="0"/>
      <w:divBdr>
        <w:top w:val="none" w:sz="0" w:space="0" w:color="auto"/>
        <w:left w:val="none" w:sz="0" w:space="0" w:color="auto"/>
        <w:bottom w:val="none" w:sz="0" w:space="0" w:color="auto"/>
        <w:right w:val="none" w:sz="0" w:space="0" w:color="auto"/>
      </w:divBdr>
    </w:div>
    <w:div w:id="711153909">
      <w:bodyDiv w:val="1"/>
      <w:marLeft w:val="0"/>
      <w:marRight w:val="0"/>
      <w:marTop w:val="0"/>
      <w:marBottom w:val="0"/>
      <w:divBdr>
        <w:top w:val="none" w:sz="0" w:space="0" w:color="auto"/>
        <w:left w:val="none" w:sz="0" w:space="0" w:color="auto"/>
        <w:bottom w:val="none" w:sz="0" w:space="0" w:color="auto"/>
        <w:right w:val="none" w:sz="0" w:space="0" w:color="auto"/>
      </w:divBdr>
    </w:div>
    <w:div w:id="713777043">
      <w:bodyDiv w:val="1"/>
      <w:marLeft w:val="0"/>
      <w:marRight w:val="0"/>
      <w:marTop w:val="0"/>
      <w:marBottom w:val="0"/>
      <w:divBdr>
        <w:top w:val="none" w:sz="0" w:space="0" w:color="auto"/>
        <w:left w:val="none" w:sz="0" w:space="0" w:color="auto"/>
        <w:bottom w:val="none" w:sz="0" w:space="0" w:color="auto"/>
        <w:right w:val="none" w:sz="0" w:space="0" w:color="auto"/>
      </w:divBdr>
    </w:div>
    <w:div w:id="723021585">
      <w:bodyDiv w:val="1"/>
      <w:marLeft w:val="0"/>
      <w:marRight w:val="0"/>
      <w:marTop w:val="0"/>
      <w:marBottom w:val="0"/>
      <w:divBdr>
        <w:top w:val="none" w:sz="0" w:space="0" w:color="auto"/>
        <w:left w:val="none" w:sz="0" w:space="0" w:color="auto"/>
        <w:bottom w:val="none" w:sz="0" w:space="0" w:color="auto"/>
        <w:right w:val="none" w:sz="0" w:space="0" w:color="auto"/>
      </w:divBdr>
    </w:div>
    <w:div w:id="723332064">
      <w:bodyDiv w:val="1"/>
      <w:marLeft w:val="0"/>
      <w:marRight w:val="0"/>
      <w:marTop w:val="0"/>
      <w:marBottom w:val="0"/>
      <w:divBdr>
        <w:top w:val="none" w:sz="0" w:space="0" w:color="auto"/>
        <w:left w:val="none" w:sz="0" w:space="0" w:color="auto"/>
        <w:bottom w:val="none" w:sz="0" w:space="0" w:color="auto"/>
        <w:right w:val="none" w:sz="0" w:space="0" w:color="auto"/>
      </w:divBdr>
    </w:div>
    <w:div w:id="726416918">
      <w:bodyDiv w:val="1"/>
      <w:marLeft w:val="0"/>
      <w:marRight w:val="0"/>
      <w:marTop w:val="0"/>
      <w:marBottom w:val="0"/>
      <w:divBdr>
        <w:top w:val="none" w:sz="0" w:space="0" w:color="auto"/>
        <w:left w:val="none" w:sz="0" w:space="0" w:color="auto"/>
        <w:bottom w:val="none" w:sz="0" w:space="0" w:color="auto"/>
        <w:right w:val="none" w:sz="0" w:space="0" w:color="auto"/>
      </w:divBdr>
    </w:div>
    <w:div w:id="733968431">
      <w:bodyDiv w:val="1"/>
      <w:marLeft w:val="0"/>
      <w:marRight w:val="0"/>
      <w:marTop w:val="0"/>
      <w:marBottom w:val="0"/>
      <w:divBdr>
        <w:top w:val="none" w:sz="0" w:space="0" w:color="auto"/>
        <w:left w:val="none" w:sz="0" w:space="0" w:color="auto"/>
        <w:bottom w:val="none" w:sz="0" w:space="0" w:color="auto"/>
        <w:right w:val="none" w:sz="0" w:space="0" w:color="auto"/>
      </w:divBdr>
    </w:div>
    <w:div w:id="734932859">
      <w:bodyDiv w:val="1"/>
      <w:marLeft w:val="0"/>
      <w:marRight w:val="0"/>
      <w:marTop w:val="0"/>
      <w:marBottom w:val="0"/>
      <w:divBdr>
        <w:top w:val="none" w:sz="0" w:space="0" w:color="auto"/>
        <w:left w:val="none" w:sz="0" w:space="0" w:color="auto"/>
        <w:bottom w:val="none" w:sz="0" w:space="0" w:color="auto"/>
        <w:right w:val="none" w:sz="0" w:space="0" w:color="auto"/>
      </w:divBdr>
    </w:div>
    <w:div w:id="735127375">
      <w:bodyDiv w:val="1"/>
      <w:marLeft w:val="0"/>
      <w:marRight w:val="0"/>
      <w:marTop w:val="0"/>
      <w:marBottom w:val="0"/>
      <w:divBdr>
        <w:top w:val="none" w:sz="0" w:space="0" w:color="auto"/>
        <w:left w:val="none" w:sz="0" w:space="0" w:color="auto"/>
        <w:bottom w:val="none" w:sz="0" w:space="0" w:color="auto"/>
        <w:right w:val="none" w:sz="0" w:space="0" w:color="auto"/>
      </w:divBdr>
    </w:div>
    <w:div w:id="740098197">
      <w:bodyDiv w:val="1"/>
      <w:marLeft w:val="0"/>
      <w:marRight w:val="0"/>
      <w:marTop w:val="0"/>
      <w:marBottom w:val="0"/>
      <w:divBdr>
        <w:top w:val="none" w:sz="0" w:space="0" w:color="auto"/>
        <w:left w:val="none" w:sz="0" w:space="0" w:color="auto"/>
        <w:bottom w:val="none" w:sz="0" w:space="0" w:color="auto"/>
        <w:right w:val="none" w:sz="0" w:space="0" w:color="auto"/>
      </w:divBdr>
    </w:div>
    <w:div w:id="751245985">
      <w:bodyDiv w:val="1"/>
      <w:marLeft w:val="0"/>
      <w:marRight w:val="0"/>
      <w:marTop w:val="0"/>
      <w:marBottom w:val="0"/>
      <w:divBdr>
        <w:top w:val="none" w:sz="0" w:space="0" w:color="auto"/>
        <w:left w:val="none" w:sz="0" w:space="0" w:color="auto"/>
        <w:bottom w:val="none" w:sz="0" w:space="0" w:color="auto"/>
        <w:right w:val="none" w:sz="0" w:space="0" w:color="auto"/>
      </w:divBdr>
    </w:div>
    <w:div w:id="752966765">
      <w:bodyDiv w:val="1"/>
      <w:marLeft w:val="0"/>
      <w:marRight w:val="0"/>
      <w:marTop w:val="0"/>
      <w:marBottom w:val="0"/>
      <w:divBdr>
        <w:top w:val="none" w:sz="0" w:space="0" w:color="auto"/>
        <w:left w:val="none" w:sz="0" w:space="0" w:color="auto"/>
        <w:bottom w:val="none" w:sz="0" w:space="0" w:color="auto"/>
        <w:right w:val="none" w:sz="0" w:space="0" w:color="auto"/>
      </w:divBdr>
    </w:div>
    <w:div w:id="759370542">
      <w:bodyDiv w:val="1"/>
      <w:marLeft w:val="0"/>
      <w:marRight w:val="0"/>
      <w:marTop w:val="0"/>
      <w:marBottom w:val="0"/>
      <w:divBdr>
        <w:top w:val="none" w:sz="0" w:space="0" w:color="auto"/>
        <w:left w:val="none" w:sz="0" w:space="0" w:color="auto"/>
        <w:bottom w:val="none" w:sz="0" w:space="0" w:color="auto"/>
        <w:right w:val="none" w:sz="0" w:space="0" w:color="auto"/>
      </w:divBdr>
    </w:div>
    <w:div w:id="762534351">
      <w:bodyDiv w:val="1"/>
      <w:marLeft w:val="0"/>
      <w:marRight w:val="0"/>
      <w:marTop w:val="0"/>
      <w:marBottom w:val="0"/>
      <w:divBdr>
        <w:top w:val="none" w:sz="0" w:space="0" w:color="auto"/>
        <w:left w:val="none" w:sz="0" w:space="0" w:color="auto"/>
        <w:bottom w:val="none" w:sz="0" w:space="0" w:color="auto"/>
        <w:right w:val="none" w:sz="0" w:space="0" w:color="auto"/>
      </w:divBdr>
    </w:div>
    <w:div w:id="764806982">
      <w:bodyDiv w:val="1"/>
      <w:marLeft w:val="0"/>
      <w:marRight w:val="0"/>
      <w:marTop w:val="0"/>
      <w:marBottom w:val="0"/>
      <w:divBdr>
        <w:top w:val="none" w:sz="0" w:space="0" w:color="auto"/>
        <w:left w:val="none" w:sz="0" w:space="0" w:color="auto"/>
        <w:bottom w:val="none" w:sz="0" w:space="0" w:color="auto"/>
        <w:right w:val="none" w:sz="0" w:space="0" w:color="auto"/>
      </w:divBdr>
    </w:div>
    <w:div w:id="782504671">
      <w:bodyDiv w:val="1"/>
      <w:marLeft w:val="0"/>
      <w:marRight w:val="0"/>
      <w:marTop w:val="0"/>
      <w:marBottom w:val="0"/>
      <w:divBdr>
        <w:top w:val="none" w:sz="0" w:space="0" w:color="auto"/>
        <w:left w:val="none" w:sz="0" w:space="0" w:color="auto"/>
        <w:bottom w:val="none" w:sz="0" w:space="0" w:color="auto"/>
        <w:right w:val="none" w:sz="0" w:space="0" w:color="auto"/>
      </w:divBdr>
    </w:div>
    <w:div w:id="789207097">
      <w:bodyDiv w:val="1"/>
      <w:marLeft w:val="0"/>
      <w:marRight w:val="0"/>
      <w:marTop w:val="0"/>
      <w:marBottom w:val="0"/>
      <w:divBdr>
        <w:top w:val="none" w:sz="0" w:space="0" w:color="auto"/>
        <w:left w:val="none" w:sz="0" w:space="0" w:color="auto"/>
        <w:bottom w:val="none" w:sz="0" w:space="0" w:color="auto"/>
        <w:right w:val="none" w:sz="0" w:space="0" w:color="auto"/>
      </w:divBdr>
    </w:div>
    <w:div w:id="793446895">
      <w:bodyDiv w:val="1"/>
      <w:marLeft w:val="0"/>
      <w:marRight w:val="0"/>
      <w:marTop w:val="0"/>
      <w:marBottom w:val="0"/>
      <w:divBdr>
        <w:top w:val="none" w:sz="0" w:space="0" w:color="auto"/>
        <w:left w:val="none" w:sz="0" w:space="0" w:color="auto"/>
        <w:bottom w:val="none" w:sz="0" w:space="0" w:color="auto"/>
        <w:right w:val="none" w:sz="0" w:space="0" w:color="auto"/>
      </w:divBdr>
    </w:div>
    <w:div w:id="805707333">
      <w:bodyDiv w:val="1"/>
      <w:marLeft w:val="0"/>
      <w:marRight w:val="0"/>
      <w:marTop w:val="0"/>
      <w:marBottom w:val="0"/>
      <w:divBdr>
        <w:top w:val="none" w:sz="0" w:space="0" w:color="auto"/>
        <w:left w:val="none" w:sz="0" w:space="0" w:color="auto"/>
        <w:bottom w:val="none" w:sz="0" w:space="0" w:color="auto"/>
        <w:right w:val="none" w:sz="0" w:space="0" w:color="auto"/>
      </w:divBdr>
    </w:div>
    <w:div w:id="806317241">
      <w:bodyDiv w:val="1"/>
      <w:marLeft w:val="0"/>
      <w:marRight w:val="0"/>
      <w:marTop w:val="0"/>
      <w:marBottom w:val="0"/>
      <w:divBdr>
        <w:top w:val="none" w:sz="0" w:space="0" w:color="auto"/>
        <w:left w:val="none" w:sz="0" w:space="0" w:color="auto"/>
        <w:bottom w:val="none" w:sz="0" w:space="0" w:color="auto"/>
        <w:right w:val="none" w:sz="0" w:space="0" w:color="auto"/>
      </w:divBdr>
    </w:div>
    <w:div w:id="810901337">
      <w:bodyDiv w:val="1"/>
      <w:marLeft w:val="0"/>
      <w:marRight w:val="0"/>
      <w:marTop w:val="0"/>
      <w:marBottom w:val="0"/>
      <w:divBdr>
        <w:top w:val="none" w:sz="0" w:space="0" w:color="auto"/>
        <w:left w:val="none" w:sz="0" w:space="0" w:color="auto"/>
        <w:bottom w:val="none" w:sz="0" w:space="0" w:color="auto"/>
        <w:right w:val="none" w:sz="0" w:space="0" w:color="auto"/>
      </w:divBdr>
    </w:div>
    <w:div w:id="811096408">
      <w:bodyDiv w:val="1"/>
      <w:marLeft w:val="0"/>
      <w:marRight w:val="0"/>
      <w:marTop w:val="0"/>
      <w:marBottom w:val="0"/>
      <w:divBdr>
        <w:top w:val="none" w:sz="0" w:space="0" w:color="auto"/>
        <w:left w:val="none" w:sz="0" w:space="0" w:color="auto"/>
        <w:bottom w:val="none" w:sz="0" w:space="0" w:color="auto"/>
        <w:right w:val="none" w:sz="0" w:space="0" w:color="auto"/>
      </w:divBdr>
    </w:div>
    <w:div w:id="836263761">
      <w:bodyDiv w:val="1"/>
      <w:marLeft w:val="0"/>
      <w:marRight w:val="0"/>
      <w:marTop w:val="0"/>
      <w:marBottom w:val="0"/>
      <w:divBdr>
        <w:top w:val="none" w:sz="0" w:space="0" w:color="auto"/>
        <w:left w:val="none" w:sz="0" w:space="0" w:color="auto"/>
        <w:bottom w:val="none" w:sz="0" w:space="0" w:color="auto"/>
        <w:right w:val="none" w:sz="0" w:space="0" w:color="auto"/>
      </w:divBdr>
    </w:div>
    <w:div w:id="838613853">
      <w:bodyDiv w:val="1"/>
      <w:marLeft w:val="0"/>
      <w:marRight w:val="0"/>
      <w:marTop w:val="0"/>
      <w:marBottom w:val="0"/>
      <w:divBdr>
        <w:top w:val="none" w:sz="0" w:space="0" w:color="auto"/>
        <w:left w:val="none" w:sz="0" w:space="0" w:color="auto"/>
        <w:bottom w:val="none" w:sz="0" w:space="0" w:color="auto"/>
        <w:right w:val="none" w:sz="0" w:space="0" w:color="auto"/>
      </w:divBdr>
    </w:div>
    <w:div w:id="842738627">
      <w:bodyDiv w:val="1"/>
      <w:marLeft w:val="0"/>
      <w:marRight w:val="0"/>
      <w:marTop w:val="0"/>
      <w:marBottom w:val="0"/>
      <w:divBdr>
        <w:top w:val="none" w:sz="0" w:space="0" w:color="auto"/>
        <w:left w:val="none" w:sz="0" w:space="0" w:color="auto"/>
        <w:bottom w:val="none" w:sz="0" w:space="0" w:color="auto"/>
        <w:right w:val="none" w:sz="0" w:space="0" w:color="auto"/>
      </w:divBdr>
    </w:div>
    <w:div w:id="843473507">
      <w:bodyDiv w:val="1"/>
      <w:marLeft w:val="0"/>
      <w:marRight w:val="0"/>
      <w:marTop w:val="0"/>
      <w:marBottom w:val="0"/>
      <w:divBdr>
        <w:top w:val="none" w:sz="0" w:space="0" w:color="auto"/>
        <w:left w:val="none" w:sz="0" w:space="0" w:color="auto"/>
        <w:bottom w:val="none" w:sz="0" w:space="0" w:color="auto"/>
        <w:right w:val="none" w:sz="0" w:space="0" w:color="auto"/>
      </w:divBdr>
    </w:div>
    <w:div w:id="845560266">
      <w:bodyDiv w:val="1"/>
      <w:marLeft w:val="0"/>
      <w:marRight w:val="0"/>
      <w:marTop w:val="0"/>
      <w:marBottom w:val="0"/>
      <w:divBdr>
        <w:top w:val="none" w:sz="0" w:space="0" w:color="auto"/>
        <w:left w:val="none" w:sz="0" w:space="0" w:color="auto"/>
        <w:bottom w:val="none" w:sz="0" w:space="0" w:color="auto"/>
        <w:right w:val="none" w:sz="0" w:space="0" w:color="auto"/>
      </w:divBdr>
    </w:div>
    <w:div w:id="846140645">
      <w:bodyDiv w:val="1"/>
      <w:marLeft w:val="0"/>
      <w:marRight w:val="0"/>
      <w:marTop w:val="0"/>
      <w:marBottom w:val="0"/>
      <w:divBdr>
        <w:top w:val="none" w:sz="0" w:space="0" w:color="auto"/>
        <w:left w:val="none" w:sz="0" w:space="0" w:color="auto"/>
        <w:bottom w:val="none" w:sz="0" w:space="0" w:color="auto"/>
        <w:right w:val="none" w:sz="0" w:space="0" w:color="auto"/>
      </w:divBdr>
    </w:div>
    <w:div w:id="855580008">
      <w:bodyDiv w:val="1"/>
      <w:marLeft w:val="0"/>
      <w:marRight w:val="0"/>
      <w:marTop w:val="0"/>
      <w:marBottom w:val="0"/>
      <w:divBdr>
        <w:top w:val="none" w:sz="0" w:space="0" w:color="auto"/>
        <w:left w:val="none" w:sz="0" w:space="0" w:color="auto"/>
        <w:bottom w:val="none" w:sz="0" w:space="0" w:color="auto"/>
        <w:right w:val="none" w:sz="0" w:space="0" w:color="auto"/>
      </w:divBdr>
    </w:div>
    <w:div w:id="866023668">
      <w:bodyDiv w:val="1"/>
      <w:marLeft w:val="0"/>
      <w:marRight w:val="0"/>
      <w:marTop w:val="0"/>
      <w:marBottom w:val="0"/>
      <w:divBdr>
        <w:top w:val="none" w:sz="0" w:space="0" w:color="auto"/>
        <w:left w:val="none" w:sz="0" w:space="0" w:color="auto"/>
        <w:bottom w:val="none" w:sz="0" w:space="0" w:color="auto"/>
        <w:right w:val="none" w:sz="0" w:space="0" w:color="auto"/>
      </w:divBdr>
    </w:div>
    <w:div w:id="872226684">
      <w:bodyDiv w:val="1"/>
      <w:marLeft w:val="0"/>
      <w:marRight w:val="0"/>
      <w:marTop w:val="0"/>
      <w:marBottom w:val="0"/>
      <w:divBdr>
        <w:top w:val="none" w:sz="0" w:space="0" w:color="auto"/>
        <w:left w:val="none" w:sz="0" w:space="0" w:color="auto"/>
        <w:bottom w:val="none" w:sz="0" w:space="0" w:color="auto"/>
        <w:right w:val="none" w:sz="0" w:space="0" w:color="auto"/>
      </w:divBdr>
    </w:div>
    <w:div w:id="873230776">
      <w:bodyDiv w:val="1"/>
      <w:marLeft w:val="0"/>
      <w:marRight w:val="0"/>
      <w:marTop w:val="0"/>
      <w:marBottom w:val="0"/>
      <w:divBdr>
        <w:top w:val="none" w:sz="0" w:space="0" w:color="auto"/>
        <w:left w:val="none" w:sz="0" w:space="0" w:color="auto"/>
        <w:bottom w:val="none" w:sz="0" w:space="0" w:color="auto"/>
        <w:right w:val="none" w:sz="0" w:space="0" w:color="auto"/>
      </w:divBdr>
    </w:div>
    <w:div w:id="874151244">
      <w:bodyDiv w:val="1"/>
      <w:marLeft w:val="0"/>
      <w:marRight w:val="0"/>
      <w:marTop w:val="0"/>
      <w:marBottom w:val="0"/>
      <w:divBdr>
        <w:top w:val="none" w:sz="0" w:space="0" w:color="auto"/>
        <w:left w:val="none" w:sz="0" w:space="0" w:color="auto"/>
        <w:bottom w:val="none" w:sz="0" w:space="0" w:color="auto"/>
        <w:right w:val="none" w:sz="0" w:space="0" w:color="auto"/>
      </w:divBdr>
    </w:div>
    <w:div w:id="887303686">
      <w:bodyDiv w:val="1"/>
      <w:marLeft w:val="0"/>
      <w:marRight w:val="0"/>
      <w:marTop w:val="0"/>
      <w:marBottom w:val="0"/>
      <w:divBdr>
        <w:top w:val="none" w:sz="0" w:space="0" w:color="auto"/>
        <w:left w:val="none" w:sz="0" w:space="0" w:color="auto"/>
        <w:bottom w:val="none" w:sz="0" w:space="0" w:color="auto"/>
        <w:right w:val="none" w:sz="0" w:space="0" w:color="auto"/>
      </w:divBdr>
    </w:div>
    <w:div w:id="891773217">
      <w:bodyDiv w:val="1"/>
      <w:marLeft w:val="0"/>
      <w:marRight w:val="0"/>
      <w:marTop w:val="0"/>
      <w:marBottom w:val="0"/>
      <w:divBdr>
        <w:top w:val="none" w:sz="0" w:space="0" w:color="auto"/>
        <w:left w:val="none" w:sz="0" w:space="0" w:color="auto"/>
        <w:bottom w:val="none" w:sz="0" w:space="0" w:color="auto"/>
        <w:right w:val="none" w:sz="0" w:space="0" w:color="auto"/>
      </w:divBdr>
    </w:div>
    <w:div w:id="895163889">
      <w:bodyDiv w:val="1"/>
      <w:marLeft w:val="0"/>
      <w:marRight w:val="0"/>
      <w:marTop w:val="0"/>
      <w:marBottom w:val="0"/>
      <w:divBdr>
        <w:top w:val="none" w:sz="0" w:space="0" w:color="auto"/>
        <w:left w:val="none" w:sz="0" w:space="0" w:color="auto"/>
        <w:bottom w:val="none" w:sz="0" w:space="0" w:color="auto"/>
        <w:right w:val="none" w:sz="0" w:space="0" w:color="auto"/>
      </w:divBdr>
    </w:div>
    <w:div w:id="897937307">
      <w:bodyDiv w:val="1"/>
      <w:marLeft w:val="0"/>
      <w:marRight w:val="0"/>
      <w:marTop w:val="0"/>
      <w:marBottom w:val="0"/>
      <w:divBdr>
        <w:top w:val="none" w:sz="0" w:space="0" w:color="auto"/>
        <w:left w:val="none" w:sz="0" w:space="0" w:color="auto"/>
        <w:bottom w:val="none" w:sz="0" w:space="0" w:color="auto"/>
        <w:right w:val="none" w:sz="0" w:space="0" w:color="auto"/>
      </w:divBdr>
    </w:div>
    <w:div w:id="898397765">
      <w:bodyDiv w:val="1"/>
      <w:marLeft w:val="0"/>
      <w:marRight w:val="0"/>
      <w:marTop w:val="0"/>
      <w:marBottom w:val="0"/>
      <w:divBdr>
        <w:top w:val="none" w:sz="0" w:space="0" w:color="auto"/>
        <w:left w:val="none" w:sz="0" w:space="0" w:color="auto"/>
        <w:bottom w:val="none" w:sz="0" w:space="0" w:color="auto"/>
        <w:right w:val="none" w:sz="0" w:space="0" w:color="auto"/>
      </w:divBdr>
    </w:div>
    <w:div w:id="899482111">
      <w:bodyDiv w:val="1"/>
      <w:marLeft w:val="0"/>
      <w:marRight w:val="0"/>
      <w:marTop w:val="0"/>
      <w:marBottom w:val="0"/>
      <w:divBdr>
        <w:top w:val="none" w:sz="0" w:space="0" w:color="auto"/>
        <w:left w:val="none" w:sz="0" w:space="0" w:color="auto"/>
        <w:bottom w:val="none" w:sz="0" w:space="0" w:color="auto"/>
        <w:right w:val="none" w:sz="0" w:space="0" w:color="auto"/>
      </w:divBdr>
    </w:div>
    <w:div w:id="899488034">
      <w:bodyDiv w:val="1"/>
      <w:marLeft w:val="0"/>
      <w:marRight w:val="0"/>
      <w:marTop w:val="0"/>
      <w:marBottom w:val="0"/>
      <w:divBdr>
        <w:top w:val="none" w:sz="0" w:space="0" w:color="auto"/>
        <w:left w:val="none" w:sz="0" w:space="0" w:color="auto"/>
        <w:bottom w:val="none" w:sz="0" w:space="0" w:color="auto"/>
        <w:right w:val="none" w:sz="0" w:space="0" w:color="auto"/>
      </w:divBdr>
    </w:div>
    <w:div w:id="904074947">
      <w:bodyDiv w:val="1"/>
      <w:marLeft w:val="0"/>
      <w:marRight w:val="0"/>
      <w:marTop w:val="0"/>
      <w:marBottom w:val="0"/>
      <w:divBdr>
        <w:top w:val="none" w:sz="0" w:space="0" w:color="auto"/>
        <w:left w:val="none" w:sz="0" w:space="0" w:color="auto"/>
        <w:bottom w:val="none" w:sz="0" w:space="0" w:color="auto"/>
        <w:right w:val="none" w:sz="0" w:space="0" w:color="auto"/>
      </w:divBdr>
    </w:div>
    <w:div w:id="908030867">
      <w:bodyDiv w:val="1"/>
      <w:marLeft w:val="0"/>
      <w:marRight w:val="0"/>
      <w:marTop w:val="0"/>
      <w:marBottom w:val="0"/>
      <w:divBdr>
        <w:top w:val="none" w:sz="0" w:space="0" w:color="auto"/>
        <w:left w:val="none" w:sz="0" w:space="0" w:color="auto"/>
        <w:bottom w:val="none" w:sz="0" w:space="0" w:color="auto"/>
        <w:right w:val="none" w:sz="0" w:space="0" w:color="auto"/>
      </w:divBdr>
    </w:div>
    <w:div w:id="912473908">
      <w:bodyDiv w:val="1"/>
      <w:marLeft w:val="0"/>
      <w:marRight w:val="0"/>
      <w:marTop w:val="0"/>
      <w:marBottom w:val="0"/>
      <w:divBdr>
        <w:top w:val="none" w:sz="0" w:space="0" w:color="auto"/>
        <w:left w:val="none" w:sz="0" w:space="0" w:color="auto"/>
        <w:bottom w:val="none" w:sz="0" w:space="0" w:color="auto"/>
        <w:right w:val="none" w:sz="0" w:space="0" w:color="auto"/>
      </w:divBdr>
    </w:div>
    <w:div w:id="940256387">
      <w:bodyDiv w:val="1"/>
      <w:marLeft w:val="0"/>
      <w:marRight w:val="0"/>
      <w:marTop w:val="0"/>
      <w:marBottom w:val="0"/>
      <w:divBdr>
        <w:top w:val="none" w:sz="0" w:space="0" w:color="auto"/>
        <w:left w:val="none" w:sz="0" w:space="0" w:color="auto"/>
        <w:bottom w:val="none" w:sz="0" w:space="0" w:color="auto"/>
        <w:right w:val="none" w:sz="0" w:space="0" w:color="auto"/>
      </w:divBdr>
    </w:div>
    <w:div w:id="946235443">
      <w:bodyDiv w:val="1"/>
      <w:marLeft w:val="0"/>
      <w:marRight w:val="0"/>
      <w:marTop w:val="0"/>
      <w:marBottom w:val="0"/>
      <w:divBdr>
        <w:top w:val="none" w:sz="0" w:space="0" w:color="auto"/>
        <w:left w:val="none" w:sz="0" w:space="0" w:color="auto"/>
        <w:bottom w:val="none" w:sz="0" w:space="0" w:color="auto"/>
        <w:right w:val="none" w:sz="0" w:space="0" w:color="auto"/>
      </w:divBdr>
    </w:div>
    <w:div w:id="947467526">
      <w:bodyDiv w:val="1"/>
      <w:marLeft w:val="0"/>
      <w:marRight w:val="0"/>
      <w:marTop w:val="0"/>
      <w:marBottom w:val="0"/>
      <w:divBdr>
        <w:top w:val="none" w:sz="0" w:space="0" w:color="auto"/>
        <w:left w:val="none" w:sz="0" w:space="0" w:color="auto"/>
        <w:bottom w:val="none" w:sz="0" w:space="0" w:color="auto"/>
        <w:right w:val="none" w:sz="0" w:space="0" w:color="auto"/>
      </w:divBdr>
    </w:div>
    <w:div w:id="947934778">
      <w:bodyDiv w:val="1"/>
      <w:marLeft w:val="0"/>
      <w:marRight w:val="0"/>
      <w:marTop w:val="0"/>
      <w:marBottom w:val="0"/>
      <w:divBdr>
        <w:top w:val="none" w:sz="0" w:space="0" w:color="auto"/>
        <w:left w:val="none" w:sz="0" w:space="0" w:color="auto"/>
        <w:bottom w:val="none" w:sz="0" w:space="0" w:color="auto"/>
        <w:right w:val="none" w:sz="0" w:space="0" w:color="auto"/>
      </w:divBdr>
    </w:div>
    <w:div w:id="959914003">
      <w:bodyDiv w:val="1"/>
      <w:marLeft w:val="0"/>
      <w:marRight w:val="0"/>
      <w:marTop w:val="0"/>
      <w:marBottom w:val="0"/>
      <w:divBdr>
        <w:top w:val="none" w:sz="0" w:space="0" w:color="auto"/>
        <w:left w:val="none" w:sz="0" w:space="0" w:color="auto"/>
        <w:bottom w:val="none" w:sz="0" w:space="0" w:color="auto"/>
        <w:right w:val="none" w:sz="0" w:space="0" w:color="auto"/>
      </w:divBdr>
    </w:div>
    <w:div w:id="962737513">
      <w:bodyDiv w:val="1"/>
      <w:marLeft w:val="0"/>
      <w:marRight w:val="0"/>
      <w:marTop w:val="0"/>
      <w:marBottom w:val="0"/>
      <w:divBdr>
        <w:top w:val="none" w:sz="0" w:space="0" w:color="auto"/>
        <w:left w:val="none" w:sz="0" w:space="0" w:color="auto"/>
        <w:bottom w:val="none" w:sz="0" w:space="0" w:color="auto"/>
        <w:right w:val="none" w:sz="0" w:space="0" w:color="auto"/>
      </w:divBdr>
    </w:div>
    <w:div w:id="970210574">
      <w:bodyDiv w:val="1"/>
      <w:marLeft w:val="0"/>
      <w:marRight w:val="0"/>
      <w:marTop w:val="0"/>
      <w:marBottom w:val="0"/>
      <w:divBdr>
        <w:top w:val="none" w:sz="0" w:space="0" w:color="auto"/>
        <w:left w:val="none" w:sz="0" w:space="0" w:color="auto"/>
        <w:bottom w:val="none" w:sz="0" w:space="0" w:color="auto"/>
        <w:right w:val="none" w:sz="0" w:space="0" w:color="auto"/>
      </w:divBdr>
    </w:div>
    <w:div w:id="973025705">
      <w:bodyDiv w:val="1"/>
      <w:marLeft w:val="0"/>
      <w:marRight w:val="0"/>
      <w:marTop w:val="0"/>
      <w:marBottom w:val="0"/>
      <w:divBdr>
        <w:top w:val="none" w:sz="0" w:space="0" w:color="auto"/>
        <w:left w:val="none" w:sz="0" w:space="0" w:color="auto"/>
        <w:bottom w:val="none" w:sz="0" w:space="0" w:color="auto"/>
        <w:right w:val="none" w:sz="0" w:space="0" w:color="auto"/>
      </w:divBdr>
    </w:div>
    <w:div w:id="994840166">
      <w:bodyDiv w:val="1"/>
      <w:marLeft w:val="0"/>
      <w:marRight w:val="0"/>
      <w:marTop w:val="0"/>
      <w:marBottom w:val="0"/>
      <w:divBdr>
        <w:top w:val="none" w:sz="0" w:space="0" w:color="auto"/>
        <w:left w:val="none" w:sz="0" w:space="0" w:color="auto"/>
        <w:bottom w:val="none" w:sz="0" w:space="0" w:color="auto"/>
        <w:right w:val="none" w:sz="0" w:space="0" w:color="auto"/>
      </w:divBdr>
    </w:div>
    <w:div w:id="1001155668">
      <w:bodyDiv w:val="1"/>
      <w:marLeft w:val="0"/>
      <w:marRight w:val="0"/>
      <w:marTop w:val="0"/>
      <w:marBottom w:val="0"/>
      <w:divBdr>
        <w:top w:val="none" w:sz="0" w:space="0" w:color="auto"/>
        <w:left w:val="none" w:sz="0" w:space="0" w:color="auto"/>
        <w:bottom w:val="none" w:sz="0" w:space="0" w:color="auto"/>
        <w:right w:val="none" w:sz="0" w:space="0" w:color="auto"/>
      </w:divBdr>
    </w:div>
    <w:div w:id="1003901629">
      <w:bodyDiv w:val="1"/>
      <w:marLeft w:val="0"/>
      <w:marRight w:val="0"/>
      <w:marTop w:val="0"/>
      <w:marBottom w:val="0"/>
      <w:divBdr>
        <w:top w:val="none" w:sz="0" w:space="0" w:color="auto"/>
        <w:left w:val="none" w:sz="0" w:space="0" w:color="auto"/>
        <w:bottom w:val="none" w:sz="0" w:space="0" w:color="auto"/>
        <w:right w:val="none" w:sz="0" w:space="0" w:color="auto"/>
      </w:divBdr>
    </w:div>
    <w:div w:id="1016879830">
      <w:bodyDiv w:val="1"/>
      <w:marLeft w:val="0"/>
      <w:marRight w:val="0"/>
      <w:marTop w:val="0"/>
      <w:marBottom w:val="0"/>
      <w:divBdr>
        <w:top w:val="none" w:sz="0" w:space="0" w:color="auto"/>
        <w:left w:val="none" w:sz="0" w:space="0" w:color="auto"/>
        <w:bottom w:val="none" w:sz="0" w:space="0" w:color="auto"/>
        <w:right w:val="none" w:sz="0" w:space="0" w:color="auto"/>
      </w:divBdr>
    </w:div>
    <w:div w:id="1045568918">
      <w:bodyDiv w:val="1"/>
      <w:marLeft w:val="0"/>
      <w:marRight w:val="0"/>
      <w:marTop w:val="0"/>
      <w:marBottom w:val="0"/>
      <w:divBdr>
        <w:top w:val="none" w:sz="0" w:space="0" w:color="auto"/>
        <w:left w:val="none" w:sz="0" w:space="0" w:color="auto"/>
        <w:bottom w:val="none" w:sz="0" w:space="0" w:color="auto"/>
        <w:right w:val="none" w:sz="0" w:space="0" w:color="auto"/>
      </w:divBdr>
    </w:div>
    <w:div w:id="1051660066">
      <w:bodyDiv w:val="1"/>
      <w:marLeft w:val="0"/>
      <w:marRight w:val="0"/>
      <w:marTop w:val="0"/>
      <w:marBottom w:val="0"/>
      <w:divBdr>
        <w:top w:val="none" w:sz="0" w:space="0" w:color="auto"/>
        <w:left w:val="none" w:sz="0" w:space="0" w:color="auto"/>
        <w:bottom w:val="none" w:sz="0" w:space="0" w:color="auto"/>
        <w:right w:val="none" w:sz="0" w:space="0" w:color="auto"/>
      </w:divBdr>
    </w:div>
    <w:div w:id="1053625097">
      <w:bodyDiv w:val="1"/>
      <w:marLeft w:val="0"/>
      <w:marRight w:val="0"/>
      <w:marTop w:val="0"/>
      <w:marBottom w:val="0"/>
      <w:divBdr>
        <w:top w:val="none" w:sz="0" w:space="0" w:color="auto"/>
        <w:left w:val="none" w:sz="0" w:space="0" w:color="auto"/>
        <w:bottom w:val="none" w:sz="0" w:space="0" w:color="auto"/>
        <w:right w:val="none" w:sz="0" w:space="0" w:color="auto"/>
      </w:divBdr>
    </w:div>
    <w:div w:id="1056512785">
      <w:bodyDiv w:val="1"/>
      <w:marLeft w:val="0"/>
      <w:marRight w:val="0"/>
      <w:marTop w:val="0"/>
      <w:marBottom w:val="0"/>
      <w:divBdr>
        <w:top w:val="none" w:sz="0" w:space="0" w:color="auto"/>
        <w:left w:val="none" w:sz="0" w:space="0" w:color="auto"/>
        <w:bottom w:val="none" w:sz="0" w:space="0" w:color="auto"/>
        <w:right w:val="none" w:sz="0" w:space="0" w:color="auto"/>
      </w:divBdr>
    </w:div>
    <w:div w:id="1059086781">
      <w:bodyDiv w:val="1"/>
      <w:marLeft w:val="0"/>
      <w:marRight w:val="0"/>
      <w:marTop w:val="0"/>
      <w:marBottom w:val="0"/>
      <w:divBdr>
        <w:top w:val="none" w:sz="0" w:space="0" w:color="auto"/>
        <w:left w:val="none" w:sz="0" w:space="0" w:color="auto"/>
        <w:bottom w:val="none" w:sz="0" w:space="0" w:color="auto"/>
        <w:right w:val="none" w:sz="0" w:space="0" w:color="auto"/>
      </w:divBdr>
    </w:div>
    <w:div w:id="1062945074">
      <w:bodyDiv w:val="1"/>
      <w:marLeft w:val="0"/>
      <w:marRight w:val="0"/>
      <w:marTop w:val="0"/>
      <w:marBottom w:val="0"/>
      <w:divBdr>
        <w:top w:val="none" w:sz="0" w:space="0" w:color="auto"/>
        <w:left w:val="none" w:sz="0" w:space="0" w:color="auto"/>
        <w:bottom w:val="none" w:sz="0" w:space="0" w:color="auto"/>
        <w:right w:val="none" w:sz="0" w:space="0" w:color="auto"/>
      </w:divBdr>
    </w:div>
    <w:div w:id="1066614134">
      <w:bodyDiv w:val="1"/>
      <w:marLeft w:val="0"/>
      <w:marRight w:val="0"/>
      <w:marTop w:val="0"/>
      <w:marBottom w:val="0"/>
      <w:divBdr>
        <w:top w:val="none" w:sz="0" w:space="0" w:color="auto"/>
        <w:left w:val="none" w:sz="0" w:space="0" w:color="auto"/>
        <w:bottom w:val="none" w:sz="0" w:space="0" w:color="auto"/>
        <w:right w:val="none" w:sz="0" w:space="0" w:color="auto"/>
      </w:divBdr>
    </w:div>
    <w:div w:id="1074816240">
      <w:bodyDiv w:val="1"/>
      <w:marLeft w:val="0"/>
      <w:marRight w:val="0"/>
      <w:marTop w:val="0"/>
      <w:marBottom w:val="0"/>
      <w:divBdr>
        <w:top w:val="none" w:sz="0" w:space="0" w:color="auto"/>
        <w:left w:val="none" w:sz="0" w:space="0" w:color="auto"/>
        <w:bottom w:val="none" w:sz="0" w:space="0" w:color="auto"/>
        <w:right w:val="none" w:sz="0" w:space="0" w:color="auto"/>
      </w:divBdr>
    </w:div>
    <w:div w:id="1077554168">
      <w:bodyDiv w:val="1"/>
      <w:marLeft w:val="0"/>
      <w:marRight w:val="0"/>
      <w:marTop w:val="0"/>
      <w:marBottom w:val="0"/>
      <w:divBdr>
        <w:top w:val="none" w:sz="0" w:space="0" w:color="auto"/>
        <w:left w:val="none" w:sz="0" w:space="0" w:color="auto"/>
        <w:bottom w:val="none" w:sz="0" w:space="0" w:color="auto"/>
        <w:right w:val="none" w:sz="0" w:space="0" w:color="auto"/>
      </w:divBdr>
    </w:div>
    <w:div w:id="1082337908">
      <w:bodyDiv w:val="1"/>
      <w:marLeft w:val="0"/>
      <w:marRight w:val="0"/>
      <w:marTop w:val="0"/>
      <w:marBottom w:val="0"/>
      <w:divBdr>
        <w:top w:val="none" w:sz="0" w:space="0" w:color="auto"/>
        <w:left w:val="none" w:sz="0" w:space="0" w:color="auto"/>
        <w:bottom w:val="none" w:sz="0" w:space="0" w:color="auto"/>
        <w:right w:val="none" w:sz="0" w:space="0" w:color="auto"/>
      </w:divBdr>
    </w:div>
    <w:div w:id="1087926811">
      <w:bodyDiv w:val="1"/>
      <w:marLeft w:val="0"/>
      <w:marRight w:val="0"/>
      <w:marTop w:val="0"/>
      <w:marBottom w:val="0"/>
      <w:divBdr>
        <w:top w:val="none" w:sz="0" w:space="0" w:color="auto"/>
        <w:left w:val="none" w:sz="0" w:space="0" w:color="auto"/>
        <w:bottom w:val="none" w:sz="0" w:space="0" w:color="auto"/>
        <w:right w:val="none" w:sz="0" w:space="0" w:color="auto"/>
      </w:divBdr>
    </w:div>
    <w:div w:id="1101293786">
      <w:bodyDiv w:val="1"/>
      <w:marLeft w:val="0"/>
      <w:marRight w:val="0"/>
      <w:marTop w:val="0"/>
      <w:marBottom w:val="0"/>
      <w:divBdr>
        <w:top w:val="none" w:sz="0" w:space="0" w:color="auto"/>
        <w:left w:val="none" w:sz="0" w:space="0" w:color="auto"/>
        <w:bottom w:val="none" w:sz="0" w:space="0" w:color="auto"/>
        <w:right w:val="none" w:sz="0" w:space="0" w:color="auto"/>
      </w:divBdr>
    </w:div>
    <w:div w:id="1103308890">
      <w:bodyDiv w:val="1"/>
      <w:marLeft w:val="0"/>
      <w:marRight w:val="0"/>
      <w:marTop w:val="0"/>
      <w:marBottom w:val="0"/>
      <w:divBdr>
        <w:top w:val="none" w:sz="0" w:space="0" w:color="auto"/>
        <w:left w:val="none" w:sz="0" w:space="0" w:color="auto"/>
        <w:bottom w:val="none" w:sz="0" w:space="0" w:color="auto"/>
        <w:right w:val="none" w:sz="0" w:space="0" w:color="auto"/>
      </w:divBdr>
    </w:div>
    <w:div w:id="1118640317">
      <w:bodyDiv w:val="1"/>
      <w:marLeft w:val="0"/>
      <w:marRight w:val="0"/>
      <w:marTop w:val="0"/>
      <w:marBottom w:val="0"/>
      <w:divBdr>
        <w:top w:val="none" w:sz="0" w:space="0" w:color="auto"/>
        <w:left w:val="none" w:sz="0" w:space="0" w:color="auto"/>
        <w:bottom w:val="none" w:sz="0" w:space="0" w:color="auto"/>
        <w:right w:val="none" w:sz="0" w:space="0" w:color="auto"/>
      </w:divBdr>
    </w:div>
    <w:div w:id="1124419743">
      <w:bodyDiv w:val="1"/>
      <w:marLeft w:val="0"/>
      <w:marRight w:val="0"/>
      <w:marTop w:val="0"/>
      <w:marBottom w:val="0"/>
      <w:divBdr>
        <w:top w:val="none" w:sz="0" w:space="0" w:color="auto"/>
        <w:left w:val="none" w:sz="0" w:space="0" w:color="auto"/>
        <w:bottom w:val="none" w:sz="0" w:space="0" w:color="auto"/>
        <w:right w:val="none" w:sz="0" w:space="0" w:color="auto"/>
      </w:divBdr>
    </w:div>
    <w:div w:id="1124956590">
      <w:bodyDiv w:val="1"/>
      <w:marLeft w:val="0"/>
      <w:marRight w:val="0"/>
      <w:marTop w:val="0"/>
      <w:marBottom w:val="0"/>
      <w:divBdr>
        <w:top w:val="none" w:sz="0" w:space="0" w:color="auto"/>
        <w:left w:val="none" w:sz="0" w:space="0" w:color="auto"/>
        <w:bottom w:val="none" w:sz="0" w:space="0" w:color="auto"/>
        <w:right w:val="none" w:sz="0" w:space="0" w:color="auto"/>
      </w:divBdr>
    </w:div>
    <w:div w:id="1134567325">
      <w:bodyDiv w:val="1"/>
      <w:marLeft w:val="0"/>
      <w:marRight w:val="0"/>
      <w:marTop w:val="0"/>
      <w:marBottom w:val="0"/>
      <w:divBdr>
        <w:top w:val="none" w:sz="0" w:space="0" w:color="auto"/>
        <w:left w:val="none" w:sz="0" w:space="0" w:color="auto"/>
        <w:bottom w:val="none" w:sz="0" w:space="0" w:color="auto"/>
        <w:right w:val="none" w:sz="0" w:space="0" w:color="auto"/>
      </w:divBdr>
    </w:div>
    <w:div w:id="1146045180">
      <w:bodyDiv w:val="1"/>
      <w:marLeft w:val="0"/>
      <w:marRight w:val="0"/>
      <w:marTop w:val="0"/>
      <w:marBottom w:val="0"/>
      <w:divBdr>
        <w:top w:val="none" w:sz="0" w:space="0" w:color="auto"/>
        <w:left w:val="none" w:sz="0" w:space="0" w:color="auto"/>
        <w:bottom w:val="none" w:sz="0" w:space="0" w:color="auto"/>
        <w:right w:val="none" w:sz="0" w:space="0" w:color="auto"/>
      </w:divBdr>
    </w:div>
    <w:div w:id="1149250319">
      <w:bodyDiv w:val="1"/>
      <w:marLeft w:val="0"/>
      <w:marRight w:val="0"/>
      <w:marTop w:val="0"/>
      <w:marBottom w:val="0"/>
      <w:divBdr>
        <w:top w:val="none" w:sz="0" w:space="0" w:color="auto"/>
        <w:left w:val="none" w:sz="0" w:space="0" w:color="auto"/>
        <w:bottom w:val="none" w:sz="0" w:space="0" w:color="auto"/>
        <w:right w:val="none" w:sz="0" w:space="0" w:color="auto"/>
      </w:divBdr>
    </w:div>
    <w:div w:id="1156413281">
      <w:bodyDiv w:val="1"/>
      <w:marLeft w:val="0"/>
      <w:marRight w:val="0"/>
      <w:marTop w:val="0"/>
      <w:marBottom w:val="0"/>
      <w:divBdr>
        <w:top w:val="none" w:sz="0" w:space="0" w:color="auto"/>
        <w:left w:val="none" w:sz="0" w:space="0" w:color="auto"/>
        <w:bottom w:val="none" w:sz="0" w:space="0" w:color="auto"/>
        <w:right w:val="none" w:sz="0" w:space="0" w:color="auto"/>
      </w:divBdr>
    </w:div>
    <w:div w:id="1160854754">
      <w:bodyDiv w:val="1"/>
      <w:marLeft w:val="0"/>
      <w:marRight w:val="0"/>
      <w:marTop w:val="0"/>
      <w:marBottom w:val="0"/>
      <w:divBdr>
        <w:top w:val="none" w:sz="0" w:space="0" w:color="auto"/>
        <w:left w:val="none" w:sz="0" w:space="0" w:color="auto"/>
        <w:bottom w:val="none" w:sz="0" w:space="0" w:color="auto"/>
        <w:right w:val="none" w:sz="0" w:space="0" w:color="auto"/>
      </w:divBdr>
    </w:div>
    <w:div w:id="1163735522">
      <w:bodyDiv w:val="1"/>
      <w:marLeft w:val="0"/>
      <w:marRight w:val="0"/>
      <w:marTop w:val="0"/>
      <w:marBottom w:val="0"/>
      <w:divBdr>
        <w:top w:val="none" w:sz="0" w:space="0" w:color="auto"/>
        <w:left w:val="none" w:sz="0" w:space="0" w:color="auto"/>
        <w:bottom w:val="none" w:sz="0" w:space="0" w:color="auto"/>
        <w:right w:val="none" w:sz="0" w:space="0" w:color="auto"/>
      </w:divBdr>
    </w:div>
    <w:div w:id="1173951777">
      <w:bodyDiv w:val="1"/>
      <w:marLeft w:val="0"/>
      <w:marRight w:val="0"/>
      <w:marTop w:val="0"/>
      <w:marBottom w:val="0"/>
      <w:divBdr>
        <w:top w:val="none" w:sz="0" w:space="0" w:color="auto"/>
        <w:left w:val="none" w:sz="0" w:space="0" w:color="auto"/>
        <w:bottom w:val="none" w:sz="0" w:space="0" w:color="auto"/>
        <w:right w:val="none" w:sz="0" w:space="0" w:color="auto"/>
      </w:divBdr>
    </w:div>
    <w:div w:id="1201550115">
      <w:bodyDiv w:val="1"/>
      <w:marLeft w:val="0"/>
      <w:marRight w:val="0"/>
      <w:marTop w:val="0"/>
      <w:marBottom w:val="0"/>
      <w:divBdr>
        <w:top w:val="none" w:sz="0" w:space="0" w:color="auto"/>
        <w:left w:val="none" w:sz="0" w:space="0" w:color="auto"/>
        <w:bottom w:val="none" w:sz="0" w:space="0" w:color="auto"/>
        <w:right w:val="none" w:sz="0" w:space="0" w:color="auto"/>
      </w:divBdr>
    </w:div>
    <w:div w:id="1206680127">
      <w:bodyDiv w:val="1"/>
      <w:marLeft w:val="0"/>
      <w:marRight w:val="0"/>
      <w:marTop w:val="0"/>
      <w:marBottom w:val="0"/>
      <w:divBdr>
        <w:top w:val="none" w:sz="0" w:space="0" w:color="auto"/>
        <w:left w:val="none" w:sz="0" w:space="0" w:color="auto"/>
        <w:bottom w:val="none" w:sz="0" w:space="0" w:color="auto"/>
        <w:right w:val="none" w:sz="0" w:space="0" w:color="auto"/>
      </w:divBdr>
    </w:div>
    <w:div w:id="1212613520">
      <w:bodyDiv w:val="1"/>
      <w:marLeft w:val="0"/>
      <w:marRight w:val="0"/>
      <w:marTop w:val="0"/>
      <w:marBottom w:val="0"/>
      <w:divBdr>
        <w:top w:val="none" w:sz="0" w:space="0" w:color="auto"/>
        <w:left w:val="none" w:sz="0" w:space="0" w:color="auto"/>
        <w:bottom w:val="none" w:sz="0" w:space="0" w:color="auto"/>
        <w:right w:val="none" w:sz="0" w:space="0" w:color="auto"/>
      </w:divBdr>
    </w:div>
    <w:div w:id="1226405732">
      <w:bodyDiv w:val="1"/>
      <w:marLeft w:val="0"/>
      <w:marRight w:val="0"/>
      <w:marTop w:val="0"/>
      <w:marBottom w:val="0"/>
      <w:divBdr>
        <w:top w:val="none" w:sz="0" w:space="0" w:color="auto"/>
        <w:left w:val="none" w:sz="0" w:space="0" w:color="auto"/>
        <w:bottom w:val="none" w:sz="0" w:space="0" w:color="auto"/>
        <w:right w:val="none" w:sz="0" w:space="0" w:color="auto"/>
      </w:divBdr>
    </w:div>
    <w:div w:id="1236547035">
      <w:bodyDiv w:val="1"/>
      <w:marLeft w:val="0"/>
      <w:marRight w:val="0"/>
      <w:marTop w:val="0"/>
      <w:marBottom w:val="0"/>
      <w:divBdr>
        <w:top w:val="none" w:sz="0" w:space="0" w:color="auto"/>
        <w:left w:val="none" w:sz="0" w:space="0" w:color="auto"/>
        <w:bottom w:val="none" w:sz="0" w:space="0" w:color="auto"/>
        <w:right w:val="none" w:sz="0" w:space="0" w:color="auto"/>
      </w:divBdr>
    </w:div>
    <w:div w:id="1238976511">
      <w:bodyDiv w:val="1"/>
      <w:marLeft w:val="0"/>
      <w:marRight w:val="0"/>
      <w:marTop w:val="0"/>
      <w:marBottom w:val="0"/>
      <w:divBdr>
        <w:top w:val="none" w:sz="0" w:space="0" w:color="auto"/>
        <w:left w:val="none" w:sz="0" w:space="0" w:color="auto"/>
        <w:bottom w:val="none" w:sz="0" w:space="0" w:color="auto"/>
        <w:right w:val="none" w:sz="0" w:space="0" w:color="auto"/>
      </w:divBdr>
    </w:div>
    <w:div w:id="1247422055">
      <w:bodyDiv w:val="1"/>
      <w:marLeft w:val="0"/>
      <w:marRight w:val="0"/>
      <w:marTop w:val="0"/>
      <w:marBottom w:val="0"/>
      <w:divBdr>
        <w:top w:val="none" w:sz="0" w:space="0" w:color="auto"/>
        <w:left w:val="none" w:sz="0" w:space="0" w:color="auto"/>
        <w:bottom w:val="none" w:sz="0" w:space="0" w:color="auto"/>
        <w:right w:val="none" w:sz="0" w:space="0" w:color="auto"/>
      </w:divBdr>
    </w:div>
    <w:div w:id="1252353191">
      <w:bodyDiv w:val="1"/>
      <w:marLeft w:val="0"/>
      <w:marRight w:val="0"/>
      <w:marTop w:val="0"/>
      <w:marBottom w:val="0"/>
      <w:divBdr>
        <w:top w:val="none" w:sz="0" w:space="0" w:color="auto"/>
        <w:left w:val="none" w:sz="0" w:space="0" w:color="auto"/>
        <w:bottom w:val="none" w:sz="0" w:space="0" w:color="auto"/>
        <w:right w:val="none" w:sz="0" w:space="0" w:color="auto"/>
      </w:divBdr>
    </w:div>
    <w:div w:id="1261182767">
      <w:bodyDiv w:val="1"/>
      <w:marLeft w:val="0"/>
      <w:marRight w:val="0"/>
      <w:marTop w:val="0"/>
      <w:marBottom w:val="0"/>
      <w:divBdr>
        <w:top w:val="none" w:sz="0" w:space="0" w:color="auto"/>
        <w:left w:val="none" w:sz="0" w:space="0" w:color="auto"/>
        <w:bottom w:val="none" w:sz="0" w:space="0" w:color="auto"/>
        <w:right w:val="none" w:sz="0" w:space="0" w:color="auto"/>
      </w:divBdr>
    </w:div>
    <w:div w:id="1268849417">
      <w:bodyDiv w:val="1"/>
      <w:marLeft w:val="0"/>
      <w:marRight w:val="0"/>
      <w:marTop w:val="0"/>
      <w:marBottom w:val="0"/>
      <w:divBdr>
        <w:top w:val="none" w:sz="0" w:space="0" w:color="auto"/>
        <w:left w:val="none" w:sz="0" w:space="0" w:color="auto"/>
        <w:bottom w:val="none" w:sz="0" w:space="0" w:color="auto"/>
        <w:right w:val="none" w:sz="0" w:space="0" w:color="auto"/>
      </w:divBdr>
    </w:div>
    <w:div w:id="1277179485">
      <w:bodyDiv w:val="1"/>
      <w:marLeft w:val="0"/>
      <w:marRight w:val="0"/>
      <w:marTop w:val="0"/>
      <w:marBottom w:val="0"/>
      <w:divBdr>
        <w:top w:val="none" w:sz="0" w:space="0" w:color="auto"/>
        <w:left w:val="none" w:sz="0" w:space="0" w:color="auto"/>
        <w:bottom w:val="none" w:sz="0" w:space="0" w:color="auto"/>
        <w:right w:val="none" w:sz="0" w:space="0" w:color="auto"/>
      </w:divBdr>
    </w:div>
    <w:div w:id="1286237205">
      <w:bodyDiv w:val="1"/>
      <w:marLeft w:val="0"/>
      <w:marRight w:val="0"/>
      <w:marTop w:val="0"/>
      <w:marBottom w:val="0"/>
      <w:divBdr>
        <w:top w:val="none" w:sz="0" w:space="0" w:color="auto"/>
        <w:left w:val="none" w:sz="0" w:space="0" w:color="auto"/>
        <w:bottom w:val="none" w:sz="0" w:space="0" w:color="auto"/>
        <w:right w:val="none" w:sz="0" w:space="0" w:color="auto"/>
      </w:divBdr>
    </w:div>
    <w:div w:id="1291741868">
      <w:bodyDiv w:val="1"/>
      <w:marLeft w:val="0"/>
      <w:marRight w:val="0"/>
      <w:marTop w:val="0"/>
      <w:marBottom w:val="0"/>
      <w:divBdr>
        <w:top w:val="none" w:sz="0" w:space="0" w:color="auto"/>
        <w:left w:val="none" w:sz="0" w:space="0" w:color="auto"/>
        <w:bottom w:val="none" w:sz="0" w:space="0" w:color="auto"/>
        <w:right w:val="none" w:sz="0" w:space="0" w:color="auto"/>
      </w:divBdr>
    </w:div>
    <w:div w:id="1301419827">
      <w:bodyDiv w:val="1"/>
      <w:marLeft w:val="0"/>
      <w:marRight w:val="0"/>
      <w:marTop w:val="0"/>
      <w:marBottom w:val="0"/>
      <w:divBdr>
        <w:top w:val="none" w:sz="0" w:space="0" w:color="auto"/>
        <w:left w:val="none" w:sz="0" w:space="0" w:color="auto"/>
        <w:bottom w:val="none" w:sz="0" w:space="0" w:color="auto"/>
        <w:right w:val="none" w:sz="0" w:space="0" w:color="auto"/>
      </w:divBdr>
    </w:div>
    <w:div w:id="1305045052">
      <w:bodyDiv w:val="1"/>
      <w:marLeft w:val="0"/>
      <w:marRight w:val="0"/>
      <w:marTop w:val="0"/>
      <w:marBottom w:val="0"/>
      <w:divBdr>
        <w:top w:val="none" w:sz="0" w:space="0" w:color="auto"/>
        <w:left w:val="none" w:sz="0" w:space="0" w:color="auto"/>
        <w:bottom w:val="none" w:sz="0" w:space="0" w:color="auto"/>
        <w:right w:val="none" w:sz="0" w:space="0" w:color="auto"/>
      </w:divBdr>
    </w:div>
    <w:div w:id="1308508963">
      <w:bodyDiv w:val="1"/>
      <w:marLeft w:val="0"/>
      <w:marRight w:val="0"/>
      <w:marTop w:val="0"/>
      <w:marBottom w:val="0"/>
      <w:divBdr>
        <w:top w:val="none" w:sz="0" w:space="0" w:color="auto"/>
        <w:left w:val="none" w:sz="0" w:space="0" w:color="auto"/>
        <w:bottom w:val="none" w:sz="0" w:space="0" w:color="auto"/>
        <w:right w:val="none" w:sz="0" w:space="0" w:color="auto"/>
      </w:divBdr>
    </w:div>
    <w:div w:id="1309826802">
      <w:bodyDiv w:val="1"/>
      <w:marLeft w:val="0"/>
      <w:marRight w:val="0"/>
      <w:marTop w:val="0"/>
      <w:marBottom w:val="0"/>
      <w:divBdr>
        <w:top w:val="none" w:sz="0" w:space="0" w:color="auto"/>
        <w:left w:val="none" w:sz="0" w:space="0" w:color="auto"/>
        <w:bottom w:val="none" w:sz="0" w:space="0" w:color="auto"/>
        <w:right w:val="none" w:sz="0" w:space="0" w:color="auto"/>
      </w:divBdr>
    </w:div>
    <w:div w:id="1314329503">
      <w:bodyDiv w:val="1"/>
      <w:marLeft w:val="0"/>
      <w:marRight w:val="0"/>
      <w:marTop w:val="0"/>
      <w:marBottom w:val="0"/>
      <w:divBdr>
        <w:top w:val="none" w:sz="0" w:space="0" w:color="auto"/>
        <w:left w:val="none" w:sz="0" w:space="0" w:color="auto"/>
        <w:bottom w:val="none" w:sz="0" w:space="0" w:color="auto"/>
        <w:right w:val="none" w:sz="0" w:space="0" w:color="auto"/>
      </w:divBdr>
    </w:div>
    <w:div w:id="1315375788">
      <w:bodyDiv w:val="1"/>
      <w:marLeft w:val="0"/>
      <w:marRight w:val="0"/>
      <w:marTop w:val="0"/>
      <w:marBottom w:val="0"/>
      <w:divBdr>
        <w:top w:val="none" w:sz="0" w:space="0" w:color="auto"/>
        <w:left w:val="none" w:sz="0" w:space="0" w:color="auto"/>
        <w:bottom w:val="none" w:sz="0" w:space="0" w:color="auto"/>
        <w:right w:val="none" w:sz="0" w:space="0" w:color="auto"/>
      </w:divBdr>
    </w:div>
    <w:div w:id="1318262015">
      <w:bodyDiv w:val="1"/>
      <w:marLeft w:val="0"/>
      <w:marRight w:val="0"/>
      <w:marTop w:val="0"/>
      <w:marBottom w:val="0"/>
      <w:divBdr>
        <w:top w:val="none" w:sz="0" w:space="0" w:color="auto"/>
        <w:left w:val="none" w:sz="0" w:space="0" w:color="auto"/>
        <w:bottom w:val="none" w:sz="0" w:space="0" w:color="auto"/>
        <w:right w:val="none" w:sz="0" w:space="0" w:color="auto"/>
      </w:divBdr>
    </w:div>
    <w:div w:id="1328169373">
      <w:bodyDiv w:val="1"/>
      <w:marLeft w:val="0"/>
      <w:marRight w:val="0"/>
      <w:marTop w:val="0"/>
      <w:marBottom w:val="0"/>
      <w:divBdr>
        <w:top w:val="none" w:sz="0" w:space="0" w:color="auto"/>
        <w:left w:val="none" w:sz="0" w:space="0" w:color="auto"/>
        <w:bottom w:val="none" w:sz="0" w:space="0" w:color="auto"/>
        <w:right w:val="none" w:sz="0" w:space="0" w:color="auto"/>
      </w:divBdr>
    </w:div>
    <w:div w:id="1332291113">
      <w:bodyDiv w:val="1"/>
      <w:marLeft w:val="0"/>
      <w:marRight w:val="0"/>
      <w:marTop w:val="0"/>
      <w:marBottom w:val="0"/>
      <w:divBdr>
        <w:top w:val="none" w:sz="0" w:space="0" w:color="auto"/>
        <w:left w:val="none" w:sz="0" w:space="0" w:color="auto"/>
        <w:bottom w:val="none" w:sz="0" w:space="0" w:color="auto"/>
        <w:right w:val="none" w:sz="0" w:space="0" w:color="auto"/>
      </w:divBdr>
    </w:div>
    <w:div w:id="1338312123">
      <w:bodyDiv w:val="1"/>
      <w:marLeft w:val="0"/>
      <w:marRight w:val="0"/>
      <w:marTop w:val="0"/>
      <w:marBottom w:val="0"/>
      <w:divBdr>
        <w:top w:val="none" w:sz="0" w:space="0" w:color="auto"/>
        <w:left w:val="none" w:sz="0" w:space="0" w:color="auto"/>
        <w:bottom w:val="none" w:sz="0" w:space="0" w:color="auto"/>
        <w:right w:val="none" w:sz="0" w:space="0" w:color="auto"/>
      </w:divBdr>
    </w:div>
    <w:div w:id="1342272185">
      <w:bodyDiv w:val="1"/>
      <w:marLeft w:val="0"/>
      <w:marRight w:val="0"/>
      <w:marTop w:val="0"/>
      <w:marBottom w:val="0"/>
      <w:divBdr>
        <w:top w:val="none" w:sz="0" w:space="0" w:color="auto"/>
        <w:left w:val="none" w:sz="0" w:space="0" w:color="auto"/>
        <w:bottom w:val="none" w:sz="0" w:space="0" w:color="auto"/>
        <w:right w:val="none" w:sz="0" w:space="0" w:color="auto"/>
      </w:divBdr>
    </w:div>
    <w:div w:id="1348870838">
      <w:bodyDiv w:val="1"/>
      <w:marLeft w:val="0"/>
      <w:marRight w:val="0"/>
      <w:marTop w:val="0"/>
      <w:marBottom w:val="0"/>
      <w:divBdr>
        <w:top w:val="none" w:sz="0" w:space="0" w:color="auto"/>
        <w:left w:val="none" w:sz="0" w:space="0" w:color="auto"/>
        <w:bottom w:val="none" w:sz="0" w:space="0" w:color="auto"/>
        <w:right w:val="none" w:sz="0" w:space="0" w:color="auto"/>
      </w:divBdr>
    </w:div>
    <w:div w:id="1356232267">
      <w:bodyDiv w:val="1"/>
      <w:marLeft w:val="0"/>
      <w:marRight w:val="0"/>
      <w:marTop w:val="0"/>
      <w:marBottom w:val="0"/>
      <w:divBdr>
        <w:top w:val="none" w:sz="0" w:space="0" w:color="auto"/>
        <w:left w:val="none" w:sz="0" w:space="0" w:color="auto"/>
        <w:bottom w:val="none" w:sz="0" w:space="0" w:color="auto"/>
        <w:right w:val="none" w:sz="0" w:space="0" w:color="auto"/>
      </w:divBdr>
    </w:div>
    <w:div w:id="1366760119">
      <w:bodyDiv w:val="1"/>
      <w:marLeft w:val="0"/>
      <w:marRight w:val="0"/>
      <w:marTop w:val="0"/>
      <w:marBottom w:val="0"/>
      <w:divBdr>
        <w:top w:val="none" w:sz="0" w:space="0" w:color="auto"/>
        <w:left w:val="none" w:sz="0" w:space="0" w:color="auto"/>
        <w:bottom w:val="none" w:sz="0" w:space="0" w:color="auto"/>
        <w:right w:val="none" w:sz="0" w:space="0" w:color="auto"/>
      </w:divBdr>
    </w:div>
    <w:div w:id="1372850785">
      <w:bodyDiv w:val="1"/>
      <w:marLeft w:val="0"/>
      <w:marRight w:val="0"/>
      <w:marTop w:val="0"/>
      <w:marBottom w:val="0"/>
      <w:divBdr>
        <w:top w:val="none" w:sz="0" w:space="0" w:color="auto"/>
        <w:left w:val="none" w:sz="0" w:space="0" w:color="auto"/>
        <w:bottom w:val="none" w:sz="0" w:space="0" w:color="auto"/>
        <w:right w:val="none" w:sz="0" w:space="0" w:color="auto"/>
      </w:divBdr>
    </w:div>
    <w:div w:id="1376466052">
      <w:bodyDiv w:val="1"/>
      <w:marLeft w:val="0"/>
      <w:marRight w:val="0"/>
      <w:marTop w:val="0"/>
      <w:marBottom w:val="0"/>
      <w:divBdr>
        <w:top w:val="none" w:sz="0" w:space="0" w:color="auto"/>
        <w:left w:val="none" w:sz="0" w:space="0" w:color="auto"/>
        <w:bottom w:val="none" w:sz="0" w:space="0" w:color="auto"/>
        <w:right w:val="none" w:sz="0" w:space="0" w:color="auto"/>
      </w:divBdr>
    </w:div>
    <w:div w:id="1377388603">
      <w:bodyDiv w:val="1"/>
      <w:marLeft w:val="0"/>
      <w:marRight w:val="0"/>
      <w:marTop w:val="0"/>
      <w:marBottom w:val="0"/>
      <w:divBdr>
        <w:top w:val="none" w:sz="0" w:space="0" w:color="auto"/>
        <w:left w:val="none" w:sz="0" w:space="0" w:color="auto"/>
        <w:bottom w:val="none" w:sz="0" w:space="0" w:color="auto"/>
        <w:right w:val="none" w:sz="0" w:space="0" w:color="auto"/>
      </w:divBdr>
    </w:div>
    <w:div w:id="1384522035">
      <w:bodyDiv w:val="1"/>
      <w:marLeft w:val="0"/>
      <w:marRight w:val="0"/>
      <w:marTop w:val="0"/>
      <w:marBottom w:val="0"/>
      <w:divBdr>
        <w:top w:val="none" w:sz="0" w:space="0" w:color="auto"/>
        <w:left w:val="none" w:sz="0" w:space="0" w:color="auto"/>
        <w:bottom w:val="none" w:sz="0" w:space="0" w:color="auto"/>
        <w:right w:val="none" w:sz="0" w:space="0" w:color="auto"/>
      </w:divBdr>
    </w:div>
    <w:div w:id="1386636512">
      <w:bodyDiv w:val="1"/>
      <w:marLeft w:val="0"/>
      <w:marRight w:val="0"/>
      <w:marTop w:val="0"/>
      <w:marBottom w:val="0"/>
      <w:divBdr>
        <w:top w:val="none" w:sz="0" w:space="0" w:color="auto"/>
        <w:left w:val="none" w:sz="0" w:space="0" w:color="auto"/>
        <w:bottom w:val="none" w:sz="0" w:space="0" w:color="auto"/>
        <w:right w:val="none" w:sz="0" w:space="0" w:color="auto"/>
      </w:divBdr>
    </w:div>
    <w:div w:id="1405495599">
      <w:bodyDiv w:val="1"/>
      <w:marLeft w:val="0"/>
      <w:marRight w:val="0"/>
      <w:marTop w:val="0"/>
      <w:marBottom w:val="0"/>
      <w:divBdr>
        <w:top w:val="none" w:sz="0" w:space="0" w:color="auto"/>
        <w:left w:val="none" w:sz="0" w:space="0" w:color="auto"/>
        <w:bottom w:val="none" w:sz="0" w:space="0" w:color="auto"/>
        <w:right w:val="none" w:sz="0" w:space="0" w:color="auto"/>
      </w:divBdr>
    </w:div>
    <w:div w:id="1405950006">
      <w:bodyDiv w:val="1"/>
      <w:marLeft w:val="0"/>
      <w:marRight w:val="0"/>
      <w:marTop w:val="0"/>
      <w:marBottom w:val="0"/>
      <w:divBdr>
        <w:top w:val="none" w:sz="0" w:space="0" w:color="auto"/>
        <w:left w:val="none" w:sz="0" w:space="0" w:color="auto"/>
        <w:bottom w:val="none" w:sz="0" w:space="0" w:color="auto"/>
        <w:right w:val="none" w:sz="0" w:space="0" w:color="auto"/>
      </w:divBdr>
    </w:div>
    <w:div w:id="1409767462">
      <w:bodyDiv w:val="1"/>
      <w:marLeft w:val="0"/>
      <w:marRight w:val="0"/>
      <w:marTop w:val="0"/>
      <w:marBottom w:val="0"/>
      <w:divBdr>
        <w:top w:val="none" w:sz="0" w:space="0" w:color="auto"/>
        <w:left w:val="none" w:sz="0" w:space="0" w:color="auto"/>
        <w:bottom w:val="none" w:sz="0" w:space="0" w:color="auto"/>
        <w:right w:val="none" w:sz="0" w:space="0" w:color="auto"/>
      </w:divBdr>
    </w:div>
    <w:div w:id="1419054505">
      <w:bodyDiv w:val="1"/>
      <w:marLeft w:val="0"/>
      <w:marRight w:val="0"/>
      <w:marTop w:val="0"/>
      <w:marBottom w:val="0"/>
      <w:divBdr>
        <w:top w:val="none" w:sz="0" w:space="0" w:color="auto"/>
        <w:left w:val="none" w:sz="0" w:space="0" w:color="auto"/>
        <w:bottom w:val="none" w:sz="0" w:space="0" w:color="auto"/>
        <w:right w:val="none" w:sz="0" w:space="0" w:color="auto"/>
      </w:divBdr>
    </w:div>
    <w:div w:id="1419523306">
      <w:bodyDiv w:val="1"/>
      <w:marLeft w:val="0"/>
      <w:marRight w:val="0"/>
      <w:marTop w:val="0"/>
      <w:marBottom w:val="0"/>
      <w:divBdr>
        <w:top w:val="none" w:sz="0" w:space="0" w:color="auto"/>
        <w:left w:val="none" w:sz="0" w:space="0" w:color="auto"/>
        <w:bottom w:val="none" w:sz="0" w:space="0" w:color="auto"/>
        <w:right w:val="none" w:sz="0" w:space="0" w:color="auto"/>
      </w:divBdr>
    </w:div>
    <w:div w:id="1424571963">
      <w:bodyDiv w:val="1"/>
      <w:marLeft w:val="0"/>
      <w:marRight w:val="0"/>
      <w:marTop w:val="0"/>
      <w:marBottom w:val="0"/>
      <w:divBdr>
        <w:top w:val="none" w:sz="0" w:space="0" w:color="auto"/>
        <w:left w:val="none" w:sz="0" w:space="0" w:color="auto"/>
        <w:bottom w:val="none" w:sz="0" w:space="0" w:color="auto"/>
        <w:right w:val="none" w:sz="0" w:space="0" w:color="auto"/>
      </w:divBdr>
    </w:div>
    <w:div w:id="1433090596">
      <w:bodyDiv w:val="1"/>
      <w:marLeft w:val="0"/>
      <w:marRight w:val="0"/>
      <w:marTop w:val="0"/>
      <w:marBottom w:val="0"/>
      <w:divBdr>
        <w:top w:val="none" w:sz="0" w:space="0" w:color="auto"/>
        <w:left w:val="none" w:sz="0" w:space="0" w:color="auto"/>
        <w:bottom w:val="none" w:sz="0" w:space="0" w:color="auto"/>
        <w:right w:val="none" w:sz="0" w:space="0" w:color="auto"/>
      </w:divBdr>
    </w:div>
    <w:div w:id="1447000912">
      <w:bodyDiv w:val="1"/>
      <w:marLeft w:val="0"/>
      <w:marRight w:val="0"/>
      <w:marTop w:val="0"/>
      <w:marBottom w:val="0"/>
      <w:divBdr>
        <w:top w:val="none" w:sz="0" w:space="0" w:color="auto"/>
        <w:left w:val="none" w:sz="0" w:space="0" w:color="auto"/>
        <w:bottom w:val="none" w:sz="0" w:space="0" w:color="auto"/>
        <w:right w:val="none" w:sz="0" w:space="0" w:color="auto"/>
      </w:divBdr>
    </w:div>
    <w:div w:id="1452364588">
      <w:bodyDiv w:val="1"/>
      <w:marLeft w:val="0"/>
      <w:marRight w:val="0"/>
      <w:marTop w:val="0"/>
      <w:marBottom w:val="0"/>
      <w:divBdr>
        <w:top w:val="none" w:sz="0" w:space="0" w:color="auto"/>
        <w:left w:val="none" w:sz="0" w:space="0" w:color="auto"/>
        <w:bottom w:val="none" w:sz="0" w:space="0" w:color="auto"/>
        <w:right w:val="none" w:sz="0" w:space="0" w:color="auto"/>
      </w:divBdr>
    </w:div>
    <w:div w:id="1467162495">
      <w:bodyDiv w:val="1"/>
      <w:marLeft w:val="0"/>
      <w:marRight w:val="0"/>
      <w:marTop w:val="0"/>
      <w:marBottom w:val="0"/>
      <w:divBdr>
        <w:top w:val="none" w:sz="0" w:space="0" w:color="auto"/>
        <w:left w:val="none" w:sz="0" w:space="0" w:color="auto"/>
        <w:bottom w:val="none" w:sz="0" w:space="0" w:color="auto"/>
        <w:right w:val="none" w:sz="0" w:space="0" w:color="auto"/>
      </w:divBdr>
    </w:div>
    <w:div w:id="1477141768">
      <w:bodyDiv w:val="1"/>
      <w:marLeft w:val="0"/>
      <w:marRight w:val="0"/>
      <w:marTop w:val="0"/>
      <w:marBottom w:val="0"/>
      <w:divBdr>
        <w:top w:val="none" w:sz="0" w:space="0" w:color="auto"/>
        <w:left w:val="none" w:sz="0" w:space="0" w:color="auto"/>
        <w:bottom w:val="none" w:sz="0" w:space="0" w:color="auto"/>
        <w:right w:val="none" w:sz="0" w:space="0" w:color="auto"/>
      </w:divBdr>
    </w:div>
    <w:div w:id="1481993271">
      <w:bodyDiv w:val="1"/>
      <w:marLeft w:val="0"/>
      <w:marRight w:val="0"/>
      <w:marTop w:val="0"/>
      <w:marBottom w:val="0"/>
      <w:divBdr>
        <w:top w:val="none" w:sz="0" w:space="0" w:color="auto"/>
        <w:left w:val="none" w:sz="0" w:space="0" w:color="auto"/>
        <w:bottom w:val="none" w:sz="0" w:space="0" w:color="auto"/>
        <w:right w:val="none" w:sz="0" w:space="0" w:color="auto"/>
      </w:divBdr>
    </w:div>
    <w:div w:id="1483347637">
      <w:bodyDiv w:val="1"/>
      <w:marLeft w:val="0"/>
      <w:marRight w:val="0"/>
      <w:marTop w:val="0"/>
      <w:marBottom w:val="0"/>
      <w:divBdr>
        <w:top w:val="none" w:sz="0" w:space="0" w:color="auto"/>
        <w:left w:val="none" w:sz="0" w:space="0" w:color="auto"/>
        <w:bottom w:val="none" w:sz="0" w:space="0" w:color="auto"/>
        <w:right w:val="none" w:sz="0" w:space="0" w:color="auto"/>
      </w:divBdr>
    </w:div>
    <w:div w:id="1484930061">
      <w:bodyDiv w:val="1"/>
      <w:marLeft w:val="0"/>
      <w:marRight w:val="0"/>
      <w:marTop w:val="0"/>
      <w:marBottom w:val="0"/>
      <w:divBdr>
        <w:top w:val="none" w:sz="0" w:space="0" w:color="auto"/>
        <w:left w:val="none" w:sz="0" w:space="0" w:color="auto"/>
        <w:bottom w:val="none" w:sz="0" w:space="0" w:color="auto"/>
        <w:right w:val="none" w:sz="0" w:space="0" w:color="auto"/>
      </w:divBdr>
    </w:div>
    <w:div w:id="1487934522">
      <w:bodyDiv w:val="1"/>
      <w:marLeft w:val="0"/>
      <w:marRight w:val="0"/>
      <w:marTop w:val="0"/>
      <w:marBottom w:val="0"/>
      <w:divBdr>
        <w:top w:val="none" w:sz="0" w:space="0" w:color="auto"/>
        <w:left w:val="none" w:sz="0" w:space="0" w:color="auto"/>
        <w:bottom w:val="none" w:sz="0" w:space="0" w:color="auto"/>
        <w:right w:val="none" w:sz="0" w:space="0" w:color="auto"/>
      </w:divBdr>
    </w:div>
    <w:div w:id="1497071523">
      <w:bodyDiv w:val="1"/>
      <w:marLeft w:val="0"/>
      <w:marRight w:val="0"/>
      <w:marTop w:val="0"/>
      <w:marBottom w:val="0"/>
      <w:divBdr>
        <w:top w:val="none" w:sz="0" w:space="0" w:color="auto"/>
        <w:left w:val="none" w:sz="0" w:space="0" w:color="auto"/>
        <w:bottom w:val="none" w:sz="0" w:space="0" w:color="auto"/>
        <w:right w:val="none" w:sz="0" w:space="0" w:color="auto"/>
      </w:divBdr>
    </w:div>
    <w:div w:id="1502113578">
      <w:bodyDiv w:val="1"/>
      <w:marLeft w:val="0"/>
      <w:marRight w:val="0"/>
      <w:marTop w:val="0"/>
      <w:marBottom w:val="0"/>
      <w:divBdr>
        <w:top w:val="none" w:sz="0" w:space="0" w:color="auto"/>
        <w:left w:val="none" w:sz="0" w:space="0" w:color="auto"/>
        <w:bottom w:val="none" w:sz="0" w:space="0" w:color="auto"/>
        <w:right w:val="none" w:sz="0" w:space="0" w:color="auto"/>
      </w:divBdr>
    </w:div>
    <w:div w:id="1508246994">
      <w:bodyDiv w:val="1"/>
      <w:marLeft w:val="0"/>
      <w:marRight w:val="0"/>
      <w:marTop w:val="0"/>
      <w:marBottom w:val="0"/>
      <w:divBdr>
        <w:top w:val="none" w:sz="0" w:space="0" w:color="auto"/>
        <w:left w:val="none" w:sz="0" w:space="0" w:color="auto"/>
        <w:bottom w:val="none" w:sz="0" w:space="0" w:color="auto"/>
        <w:right w:val="none" w:sz="0" w:space="0" w:color="auto"/>
      </w:divBdr>
    </w:div>
    <w:div w:id="1512799156">
      <w:bodyDiv w:val="1"/>
      <w:marLeft w:val="0"/>
      <w:marRight w:val="0"/>
      <w:marTop w:val="0"/>
      <w:marBottom w:val="0"/>
      <w:divBdr>
        <w:top w:val="none" w:sz="0" w:space="0" w:color="auto"/>
        <w:left w:val="none" w:sz="0" w:space="0" w:color="auto"/>
        <w:bottom w:val="none" w:sz="0" w:space="0" w:color="auto"/>
        <w:right w:val="none" w:sz="0" w:space="0" w:color="auto"/>
      </w:divBdr>
    </w:div>
    <w:div w:id="1514110678">
      <w:bodyDiv w:val="1"/>
      <w:marLeft w:val="0"/>
      <w:marRight w:val="0"/>
      <w:marTop w:val="0"/>
      <w:marBottom w:val="0"/>
      <w:divBdr>
        <w:top w:val="none" w:sz="0" w:space="0" w:color="auto"/>
        <w:left w:val="none" w:sz="0" w:space="0" w:color="auto"/>
        <w:bottom w:val="none" w:sz="0" w:space="0" w:color="auto"/>
        <w:right w:val="none" w:sz="0" w:space="0" w:color="auto"/>
      </w:divBdr>
    </w:div>
    <w:div w:id="1522746929">
      <w:bodyDiv w:val="1"/>
      <w:marLeft w:val="0"/>
      <w:marRight w:val="0"/>
      <w:marTop w:val="0"/>
      <w:marBottom w:val="0"/>
      <w:divBdr>
        <w:top w:val="none" w:sz="0" w:space="0" w:color="auto"/>
        <w:left w:val="none" w:sz="0" w:space="0" w:color="auto"/>
        <w:bottom w:val="none" w:sz="0" w:space="0" w:color="auto"/>
        <w:right w:val="none" w:sz="0" w:space="0" w:color="auto"/>
      </w:divBdr>
    </w:div>
    <w:div w:id="1527864697">
      <w:bodyDiv w:val="1"/>
      <w:marLeft w:val="0"/>
      <w:marRight w:val="0"/>
      <w:marTop w:val="0"/>
      <w:marBottom w:val="0"/>
      <w:divBdr>
        <w:top w:val="none" w:sz="0" w:space="0" w:color="auto"/>
        <w:left w:val="none" w:sz="0" w:space="0" w:color="auto"/>
        <w:bottom w:val="none" w:sz="0" w:space="0" w:color="auto"/>
        <w:right w:val="none" w:sz="0" w:space="0" w:color="auto"/>
      </w:divBdr>
    </w:div>
    <w:div w:id="1531336927">
      <w:bodyDiv w:val="1"/>
      <w:marLeft w:val="0"/>
      <w:marRight w:val="0"/>
      <w:marTop w:val="0"/>
      <w:marBottom w:val="0"/>
      <w:divBdr>
        <w:top w:val="none" w:sz="0" w:space="0" w:color="auto"/>
        <w:left w:val="none" w:sz="0" w:space="0" w:color="auto"/>
        <w:bottom w:val="none" w:sz="0" w:space="0" w:color="auto"/>
        <w:right w:val="none" w:sz="0" w:space="0" w:color="auto"/>
      </w:divBdr>
    </w:div>
    <w:div w:id="1535801861">
      <w:bodyDiv w:val="1"/>
      <w:marLeft w:val="0"/>
      <w:marRight w:val="0"/>
      <w:marTop w:val="0"/>
      <w:marBottom w:val="0"/>
      <w:divBdr>
        <w:top w:val="none" w:sz="0" w:space="0" w:color="auto"/>
        <w:left w:val="none" w:sz="0" w:space="0" w:color="auto"/>
        <w:bottom w:val="none" w:sz="0" w:space="0" w:color="auto"/>
        <w:right w:val="none" w:sz="0" w:space="0" w:color="auto"/>
      </w:divBdr>
    </w:div>
    <w:div w:id="1544176405">
      <w:bodyDiv w:val="1"/>
      <w:marLeft w:val="0"/>
      <w:marRight w:val="0"/>
      <w:marTop w:val="0"/>
      <w:marBottom w:val="0"/>
      <w:divBdr>
        <w:top w:val="none" w:sz="0" w:space="0" w:color="auto"/>
        <w:left w:val="none" w:sz="0" w:space="0" w:color="auto"/>
        <w:bottom w:val="none" w:sz="0" w:space="0" w:color="auto"/>
        <w:right w:val="none" w:sz="0" w:space="0" w:color="auto"/>
      </w:divBdr>
    </w:div>
    <w:div w:id="1547141069">
      <w:bodyDiv w:val="1"/>
      <w:marLeft w:val="0"/>
      <w:marRight w:val="0"/>
      <w:marTop w:val="0"/>
      <w:marBottom w:val="0"/>
      <w:divBdr>
        <w:top w:val="none" w:sz="0" w:space="0" w:color="auto"/>
        <w:left w:val="none" w:sz="0" w:space="0" w:color="auto"/>
        <w:bottom w:val="none" w:sz="0" w:space="0" w:color="auto"/>
        <w:right w:val="none" w:sz="0" w:space="0" w:color="auto"/>
      </w:divBdr>
    </w:div>
    <w:div w:id="1553269533">
      <w:bodyDiv w:val="1"/>
      <w:marLeft w:val="0"/>
      <w:marRight w:val="0"/>
      <w:marTop w:val="0"/>
      <w:marBottom w:val="0"/>
      <w:divBdr>
        <w:top w:val="none" w:sz="0" w:space="0" w:color="auto"/>
        <w:left w:val="none" w:sz="0" w:space="0" w:color="auto"/>
        <w:bottom w:val="none" w:sz="0" w:space="0" w:color="auto"/>
        <w:right w:val="none" w:sz="0" w:space="0" w:color="auto"/>
      </w:divBdr>
    </w:div>
    <w:div w:id="1554193843">
      <w:bodyDiv w:val="1"/>
      <w:marLeft w:val="0"/>
      <w:marRight w:val="0"/>
      <w:marTop w:val="0"/>
      <w:marBottom w:val="0"/>
      <w:divBdr>
        <w:top w:val="none" w:sz="0" w:space="0" w:color="auto"/>
        <w:left w:val="none" w:sz="0" w:space="0" w:color="auto"/>
        <w:bottom w:val="none" w:sz="0" w:space="0" w:color="auto"/>
        <w:right w:val="none" w:sz="0" w:space="0" w:color="auto"/>
      </w:divBdr>
    </w:div>
    <w:div w:id="1569611085">
      <w:bodyDiv w:val="1"/>
      <w:marLeft w:val="0"/>
      <w:marRight w:val="0"/>
      <w:marTop w:val="0"/>
      <w:marBottom w:val="0"/>
      <w:divBdr>
        <w:top w:val="none" w:sz="0" w:space="0" w:color="auto"/>
        <w:left w:val="none" w:sz="0" w:space="0" w:color="auto"/>
        <w:bottom w:val="none" w:sz="0" w:space="0" w:color="auto"/>
        <w:right w:val="none" w:sz="0" w:space="0" w:color="auto"/>
      </w:divBdr>
    </w:div>
    <w:div w:id="1575427668">
      <w:bodyDiv w:val="1"/>
      <w:marLeft w:val="0"/>
      <w:marRight w:val="0"/>
      <w:marTop w:val="0"/>
      <w:marBottom w:val="0"/>
      <w:divBdr>
        <w:top w:val="none" w:sz="0" w:space="0" w:color="auto"/>
        <w:left w:val="none" w:sz="0" w:space="0" w:color="auto"/>
        <w:bottom w:val="none" w:sz="0" w:space="0" w:color="auto"/>
        <w:right w:val="none" w:sz="0" w:space="0" w:color="auto"/>
      </w:divBdr>
    </w:div>
    <w:div w:id="1578443683">
      <w:bodyDiv w:val="1"/>
      <w:marLeft w:val="0"/>
      <w:marRight w:val="0"/>
      <w:marTop w:val="0"/>
      <w:marBottom w:val="0"/>
      <w:divBdr>
        <w:top w:val="none" w:sz="0" w:space="0" w:color="auto"/>
        <w:left w:val="none" w:sz="0" w:space="0" w:color="auto"/>
        <w:bottom w:val="none" w:sz="0" w:space="0" w:color="auto"/>
        <w:right w:val="none" w:sz="0" w:space="0" w:color="auto"/>
      </w:divBdr>
    </w:div>
    <w:div w:id="1595166816">
      <w:bodyDiv w:val="1"/>
      <w:marLeft w:val="0"/>
      <w:marRight w:val="0"/>
      <w:marTop w:val="0"/>
      <w:marBottom w:val="0"/>
      <w:divBdr>
        <w:top w:val="none" w:sz="0" w:space="0" w:color="auto"/>
        <w:left w:val="none" w:sz="0" w:space="0" w:color="auto"/>
        <w:bottom w:val="none" w:sz="0" w:space="0" w:color="auto"/>
        <w:right w:val="none" w:sz="0" w:space="0" w:color="auto"/>
      </w:divBdr>
    </w:div>
    <w:div w:id="1600064281">
      <w:bodyDiv w:val="1"/>
      <w:marLeft w:val="0"/>
      <w:marRight w:val="0"/>
      <w:marTop w:val="0"/>
      <w:marBottom w:val="0"/>
      <w:divBdr>
        <w:top w:val="none" w:sz="0" w:space="0" w:color="auto"/>
        <w:left w:val="none" w:sz="0" w:space="0" w:color="auto"/>
        <w:bottom w:val="none" w:sz="0" w:space="0" w:color="auto"/>
        <w:right w:val="none" w:sz="0" w:space="0" w:color="auto"/>
      </w:divBdr>
    </w:div>
    <w:div w:id="1601141948">
      <w:bodyDiv w:val="1"/>
      <w:marLeft w:val="0"/>
      <w:marRight w:val="0"/>
      <w:marTop w:val="0"/>
      <w:marBottom w:val="0"/>
      <w:divBdr>
        <w:top w:val="none" w:sz="0" w:space="0" w:color="auto"/>
        <w:left w:val="none" w:sz="0" w:space="0" w:color="auto"/>
        <w:bottom w:val="none" w:sz="0" w:space="0" w:color="auto"/>
        <w:right w:val="none" w:sz="0" w:space="0" w:color="auto"/>
      </w:divBdr>
    </w:div>
    <w:div w:id="1604411791">
      <w:bodyDiv w:val="1"/>
      <w:marLeft w:val="0"/>
      <w:marRight w:val="0"/>
      <w:marTop w:val="0"/>
      <w:marBottom w:val="0"/>
      <w:divBdr>
        <w:top w:val="none" w:sz="0" w:space="0" w:color="auto"/>
        <w:left w:val="none" w:sz="0" w:space="0" w:color="auto"/>
        <w:bottom w:val="none" w:sz="0" w:space="0" w:color="auto"/>
        <w:right w:val="none" w:sz="0" w:space="0" w:color="auto"/>
      </w:divBdr>
    </w:div>
    <w:div w:id="1612274613">
      <w:bodyDiv w:val="1"/>
      <w:marLeft w:val="0"/>
      <w:marRight w:val="0"/>
      <w:marTop w:val="0"/>
      <w:marBottom w:val="0"/>
      <w:divBdr>
        <w:top w:val="none" w:sz="0" w:space="0" w:color="auto"/>
        <w:left w:val="none" w:sz="0" w:space="0" w:color="auto"/>
        <w:bottom w:val="none" w:sz="0" w:space="0" w:color="auto"/>
        <w:right w:val="none" w:sz="0" w:space="0" w:color="auto"/>
      </w:divBdr>
    </w:div>
    <w:div w:id="1614437964">
      <w:bodyDiv w:val="1"/>
      <w:marLeft w:val="0"/>
      <w:marRight w:val="0"/>
      <w:marTop w:val="0"/>
      <w:marBottom w:val="0"/>
      <w:divBdr>
        <w:top w:val="none" w:sz="0" w:space="0" w:color="auto"/>
        <w:left w:val="none" w:sz="0" w:space="0" w:color="auto"/>
        <w:bottom w:val="none" w:sz="0" w:space="0" w:color="auto"/>
        <w:right w:val="none" w:sz="0" w:space="0" w:color="auto"/>
      </w:divBdr>
    </w:div>
    <w:div w:id="1617101628">
      <w:bodyDiv w:val="1"/>
      <w:marLeft w:val="0"/>
      <w:marRight w:val="0"/>
      <w:marTop w:val="0"/>
      <w:marBottom w:val="0"/>
      <w:divBdr>
        <w:top w:val="none" w:sz="0" w:space="0" w:color="auto"/>
        <w:left w:val="none" w:sz="0" w:space="0" w:color="auto"/>
        <w:bottom w:val="none" w:sz="0" w:space="0" w:color="auto"/>
        <w:right w:val="none" w:sz="0" w:space="0" w:color="auto"/>
      </w:divBdr>
    </w:div>
    <w:div w:id="1620528809">
      <w:bodyDiv w:val="1"/>
      <w:marLeft w:val="0"/>
      <w:marRight w:val="0"/>
      <w:marTop w:val="0"/>
      <w:marBottom w:val="0"/>
      <w:divBdr>
        <w:top w:val="none" w:sz="0" w:space="0" w:color="auto"/>
        <w:left w:val="none" w:sz="0" w:space="0" w:color="auto"/>
        <w:bottom w:val="none" w:sz="0" w:space="0" w:color="auto"/>
        <w:right w:val="none" w:sz="0" w:space="0" w:color="auto"/>
      </w:divBdr>
    </w:div>
    <w:div w:id="1624118009">
      <w:bodyDiv w:val="1"/>
      <w:marLeft w:val="0"/>
      <w:marRight w:val="0"/>
      <w:marTop w:val="0"/>
      <w:marBottom w:val="0"/>
      <w:divBdr>
        <w:top w:val="none" w:sz="0" w:space="0" w:color="auto"/>
        <w:left w:val="none" w:sz="0" w:space="0" w:color="auto"/>
        <w:bottom w:val="none" w:sz="0" w:space="0" w:color="auto"/>
        <w:right w:val="none" w:sz="0" w:space="0" w:color="auto"/>
      </w:divBdr>
    </w:div>
    <w:div w:id="1629774897">
      <w:bodyDiv w:val="1"/>
      <w:marLeft w:val="0"/>
      <w:marRight w:val="0"/>
      <w:marTop w:val="0"/>
      <w:marBottom w:val="0"/>
      <w:divBdr>
        <w:top w:val="none" w:sz="0" w:space="0" w:color="auto"/>
        <w:left w:val="none" w:sz="0" w:space="0" w:color="auto"/>
        <w:bottom w:val="none" w:sz="0" w:space="0" w:color="auto"/>
        <w:right w:val="none" w:sz="0" w:space="0" w:color="auto"/>
      </w:divBdr>
    </w:div>
    <w:div w:id="1633093962">
      <w:bodyDiv w:val="1"/>
      <w:marLeft w:val="0"/>
      <w:marRight w:val="0"/>
      <w:marTop w:val="0"/>
      <w:marBottom w:val="0"/>
      <w:divBdr>
        <w:top w:val="none" w:sz="0" w:space="0" w:color="auto"/>
        <w:left w:val="none" w:sz="0" w:space="0" w:color="auto"/>
        <w:bottom w:val="none" w:sz="0" w:space="0" w:color="auto"/>
        <w:right w:val="none" w:sz="0" w:space="0" w:color="auto"/>
      </w:divBdr>
    </w:div>
    <w:div w:id="1636377101">
      <w:bodyDiv w:val="1"/>
      <w:marLeft w:val="0"/>
      <w:marRight w:val="0"/>
      <w:marTop w:val="0"/>
      <w:marBottom w:val="0"/>
      <w:divBdr>
        <w:top w:val="none" w:sz="0" w:space="0" w:color="auto"/>
        <w:left w:val="none" w:sz="0" w:space="0" w:color="auto"/>
        <w:bottom w:val="none" w:sz="0" w:space="0" w:color="auto"/>
        <w:right w:val="none" w:sz="0" w:space="0" w:color="auto"/>
      </w:divBdr>
    </w:div>
    <w:div w:id="1644504190">
      <w:bodyDiv w:val="1"/>
      <w:marLeft w:val="0"/>
      <w:marRight w:val="0"/>
      <w:marTop w:val="0"/>
      <w:marBottom w:val="0"/>
      <w:divBdr>
        <w:top w:val="none" w:sz="0" w:space="0" w:color="auto"/>
        <w:left w:val="none" w:sz="0" w:space="0" w:color="auto"/>
        <w:bottom w:val="none" w:sz="0" w:space="0" w:color="auto"/>
        <w:right w:val="none" w:sz="0" w:space="0" w:color="auto"/>
      </w:divBdr>
    </w:div>
    <w:div w:id="1645311994">
      <w:bodyDiv w:val="1"/>
      <w:marLeft w:val="0"/>
      <w:marRight w:val="0"/>
      <w:marTop w:val="0"/>
      <w:marBottom w:val="0"/>
      <w:divBdr>
        <w:top w:val="none" w:sz="0" w:space="0" w:color="auto"/>
        <w:left w:val="none" w:sz="0" w:space="0" w:color="auto"/>
        <w:bottom w:val="none" w:sz="0" w:space="0" w:color="auto"/>
        <w:right w:val="none" w:sz="0" w:space="0" w:color="auto"/>
      </w:divBdr>
    </w:div>
    <w:div w:id="1655599297">
      <w:bodyDiv w:val="1"/>
      <w:marLeft w:val="0"/>
      <w:marRight w:val="0"/>
      <w:marTop w:val="0"/>
      <w:marBottom w:val="0"/>
      <w:divBdr>
        <w:top w:val="none" w:sz="0" w:space="0" w:color="auto"/>
        <w:left w:val="none" w:sz="0" w:space="0" w:color="auto"/>
        <w:bottom w:val="none" w:sz="0" w:space="0" w:color="auto"/>
        <w:right w:val="none" w:sz="0" w:space="0" w:color="auto"/>
      </w:divBdr>
    </w:div>
    <w:div w:id="1657880831">
      <w:bodyDiv w:val="1"/>
      <w:marLeft w:val="0"/>
      <w:marRight w:val="0"/>
      <w:marTop w:val="0"/>
      <w:marBottom w:val="0"/>
      <w:divBdr>
        <w:top w:val="none" w:sz="0" w:space="0" w:color="auto"/>
        <w:left w:val="none" w:sz="0" w:space="0" w:color="auto"/>
        <w:bottom w:val="none" w:sz="0" w:space="0" w:color="auto"/>
        <w:right w:val="none" w:sz="0" w:space="0" w:color="auto"/>
      </w:divBdr>
    </w:div>
    <w:div w:id="1666935918">
      <w:bodyDiv w:val="1"/>
      <w:marLeft w:val="0"/>
      <w:marRight w:val="0"/>
      <w:marTop w:val="0"/>
      <w:marBottom w:val="0"/>
      <w:divBdr>
        <w:top w:val="none" w:sz="0" w:space="0" w:color="auto"/>
        <w:left w:val="none" w:sz="0" w:space="0" w:color="auto"/>
        <w:bottom w:val="none" w:sz="0" w:space="0" w:color="auto"/>
        <w:right w:val="none" w:sz="0" w:space="0" w:color="auto"/>
      </w:divBdr>
    </w:div>
    <w:div w:id="1671641081">
      <w:bodyDiv w:val="1"/>
      <w:marLeft w:val="0"/>
      <w:marRight w:val="0"/>
      <w:marTop w:val="0"/>
      <w:marBottom w:val="0"/>
      <w:divBdr>
        <w:top w:val="none" w:sz="0" w:space="0" w:color="auto"/>
        <w:left w:val="none" w:sz="0" w:space="0" w:color="auto"/>
        <w:bottom w:val="none" w:sz="0" w:space="0" w:color="auto"/>
        <w:right w:val="none" w:sz="0" w:space="0" w:color="auto"/>
      </w:divBdr>
    </w:div>
    <w:div w:id="1682581060">
      <w:bodyDiv w:val="1"/>
      <w:marLeft w:val="0"/>
      <w:marRight w:val="0"/>
      <w:marTop w:val="0"/>
      <w:marBottom w:val="0"/>
      <w:divBdr>
        <w:top w:val="none" w:sz="0" w:space="0" w:color="auto"/>
        <w:left w:val="none" w:sz="0" w:space="0" w:color="auto"/>
        <w:bottom w:val="none" w:sz="0" w:space="0" w:color="auto"/>
        <w:right w:val="none" w:sz="0" w:space="0" w:color="auto"/>
      </w:divBdr>
    </w:div>
    <w:div w:id="1696878761">
      <w:bodyDiv w:val="1"/>
      <w:marLeft w:val="0"/>
      <w:marRight w:val="0"/>
      <w:marTop w:val="0"/>
      <w:marBottom w:val="0"/>
      <w:divBdr>
        <w:top w:val="none" w:sz="0" w:space="0" w:color="auto"/>
        <w:left w:val="none" w:sz="0" w:space="0" w:color="auto"/>
        <w:bottom w:val="none" w:sz="0" w:space="0" w:color="auto"/>
        <w:right w:val="none" w:sz="0" w:space="0" w:color="auto"/>
      </w:divBdr>
    </w:div>
    <w:div w:id="1698506971">
      <w:bodyDiv w:val="1"/>
      <w:marLeft w:val="0"/>
      <w:marRight w:val="0"/>
      <w:marTop w:val="0"/>
      <w:marBottom w:val="0"/>
      <w:divBdr>
        <w:top w:val="none" w:sz="0" w:space="0" w:color="auto"/>
        <w:left w:val="none" w:sz="0" w:space="0" w:color="auto"/>
        <w:bottom w:val="none" w:sz="0" w:space="0" w:color="auto"/>
        <w:right w:val="none" w:sz="0" w:space="0" w:color="auto"/>
      </w:divBdr>
    </w:div>
    <w:div w:id="1699547562">
      <w:bodyDiv w:val="1"/>
      <w:marLeft w:val="0"/>
      <w:marRight w:val="0"/>
      <w:marTop w:val="0"/>
      <w:marBottom w:val="0"/>
      <w:divBdr>
        <w:top w:val="none" w:sz="0" w:space="0" w:color="auto"/>
        <w:left w:val="none" w:sz="0" w:space="0" w:color="auto"/>
        <w:bottom w:val="none" w:sz="0" w:space="0" w:color="auto"/>
        <w:right w:val="none" w:sz="0" w:space="0" w:color="auto"/>
      </w:divBdr>
    </w:div>
    <w:div w:id="1701471614">
      <w:bodyDiv w:val="1"/>
      <w:marLeft w:val="0"/>
      <w:marRight w:val="0"/>
      <w:marTop w:val="0"/>
      <w:marBottom w:val="0"/>
      <w:divBdr>
        <w:top w:val="none" w:sz="0" w:space="0" w:color="auto"/>
        <w:left w:val="none" w:sz="0" w:space="0" w:color="auto"/>
        <w:bottom w:val="none" w:sz="0" w:space="0" w:color="auto"/>
        <w:right w:val="none" w:sz="0" w:space="0" w:color="auto"/>
      </w:divBdr>
    </w:div>
    <w:div w:id="1702975510">
      <w:bodyDiv w:val="1"/>
      <w:marLeft w:val="0"/>
      <w:marRight w:val="0"/>
      <w:marTop w:val="0"/>
      <w:marBottom w:val="0"/>
      <w:divBdr>
        <w:top w:val="none" w:sz="0" w:space="0" w:color="auto"/>
        <w:left w:val="none" w:sz="0" w:space="0" w:color="auto"/>
        <w:bottom w:val="none" w:sz="0" w:space="0" w:color="auto"/>
        <w:right w:val="none" w:sz="0" w:space="0" w:color="auto"/>
      </w:divBdr>
    </w:div>
    <w:div w:id="1710256174">
      <w:bodyDiv w:val="1"/>
      <w:marLeft w:val="0"/>
      <w:marRight w:val="0"/>
      <w:marTop w:val="0"/>
      <w:marBottom w:val="0"/>
      <w:divBdr>
        <w:top w:val="none" w:sz="0" w:space="0" w:color="auto"/>
        <w:left w:val="none" w:sz="0" w:space="0" w:color="auto"/>
        <w:bottom w:val="none" w:sz="0" w:space="0" w:color="auto"/>
        <w:right w:val="none" w:sz="0" w:space="0" w:color="auto"/>
      </w:divBdr>
    </w:div>
    <w:div w:id="1711489788">
      <w:bodyDiv w:val="1"/>
      <w:marLeft w:val="0"/>
      <w:marRight w:val="0"/>
      <w:marTop w:val="0"/>
      <w:marBottom w:val="0"/>
      <w:divBdr>
        <w:top w:val="none" w:sz="0" w:space="0" w:color="auto"/>
        <w:left w:val="none" w:sz="0" w:space="0" w:color="auto"/>
        <w:bottom w:val="none" w:sz="0" w:space="0" w:color="auto"/>
        <w:right w:val="none" w:sz="0" w:space="0" w:color="auto"/>
      </w:divBdr>
    </w:div>
    <w:div w:id="1722174600">
      <w:bodyDiv w:val="1"/>
      <w:marLeft w:val="0"/>
      <w:marRight w:val="0"/>
      <w:marTop w:val="0"/>
      <w:marBottom w:val="0"/>
      <w:divBdr>
        <w:top w:val="none" w:sz="0" w:space="0" w:color="auto"/>
        <w:left w:val="none" w:sz="0" w:space="0" w:color="auto"/>
        <w:bottom w:val="none" w:sz="0" w:space="0" w:color="auto"/>
        <w:right w:val="none" w:sz="0" w:space="0" w:color="auto"/>
      </w:divBdr>
    </w:div>
    <w:div w:id="1728216984">
      <w:bodyDiv w:val="1"/>
      <w:marLeft w:val="0"/>
      <w:marRight w:val="0"/>
      <w:marTop w:val="0"/>
      <w:marBottom w:val="0"/>
      <w:divBdr>
        <w:top w:val="none" w:sz="0" w:space="0" w:color="auto"/>
        <w:left w:val="none" w:sz="0" w:space="0" w:color="auto"/>
        <w:bottom w:val="none" w:sz="0" w:space="0" w:color="auto"/>
        <w:right w:val="none" w:sz="0" w:space="0" w:color="auto"/>
      </w:divBdr>
    </w:div>
    <w:div w:id="1730108899">
      <w:bodyDiv w:val="1"/>
      <w:marLeft w:val="0"/>
      <w:marRight w:val="0"/>
      <w:marTop w:val="0"/>
      <w:marBottom w:val="0"/>
      <w:divBdr>
        <w:top w:val="none" w:sz="0" w:space="0" w:color="auto"/>
        <w:left w:val="none" w:sz="0" w:space="0" w:color="auto"/>
        <w:bottom w:val="none" w:sz="0" w:space="0" w:color="auto"/>
        <w:right w:val="none" w:sz="0" w:space="0" w:color="auto"/>
      </w:divBdr>
    </w:div>
    <w:div w:id="1739135753">
      <w:bodyDiv w:val="1"/>
      <w:marLeft w:val="0"/>
      <w:marRight w:val="0"/>
      <w:marTop w:val="0"/>
      <w:marBottom w:val="0"/>
      <w:divBdr>
        <w:top w:val="none" w:sz="0" w:space="0" w:color="auto"/>
        <w:left w:val="none" w:sz="0" w:space="0" w:color="auto"/>
        <w:bottom w:val="none" w:sz="0" w:space="0" w:color="auto"/>
        <w:right w:val="none" w:sz="0" w:space="0" w:color="auto"/>
      </w:divBdr>
    </w:div>
    <w:div w:id="1750346913">
      <w:bodyDiv w:val="1"/>
      <w:marLeft w:val="0"/>
      <w:marRight w:val="0"/>
      <w:marTop w:val="0"/>
      <w:marBottom w:val="0"/>
      <w:divBdr>
        <w:top w:val="none" w:sz="0" w:space="0" w:color="auto"/>
        <w:left w:val="none" w:sz="0" w:space="0" w:color="auto"/>
        <w:bottom w:val="none" w:sz="0" w:space="0" w:color="auto"/>
        <w:right w:val="none" w:sz="0" w:space="0" w:color="auto"/>
      </w:divBdr>
    </w:div>
    <w:div w:id="1754820594">
      <w:bodyDiv w:val="1"/>
      <w:marLeft w:val="0"/>
      <w:marRight w:val="0"/>
      <w:marTop w:val="0"/>
      <w:marBottom w:val="0"/>
      <w:divBdr>
        <w:top w:val="none" w:sz="0" w:space="0" w:color="auto"/>
        <w:left w:val="none" w:sz="0" w:space="0" w:color="auto"/>
        <w:bottom w:val="none" w:sz="0" w:space="0" w:color="auto"/>
        <w:right w:val="none" w:sz="0" w:space="0" w:color="auto"/>
      </w:divBdr>
    </w:div>
    <w:div w:id="1765762640">
      <w:bodyDiv w:val="1"/>
      <w:marLeft w:val="0"/>
      <w:marRight w:val="0"/>
      <w:marTop w:val="0"/>
      <w:marBottom w:val="0"/>
      <w:divBdr>
        <w:top w:val="none" w:sz="0" w:space="0" w:color="auto"/>
        <w:left w:val="none" w:sz="0" w:space="0" w:color="auto"/>
        <w:bottom w:val="none" w:sz="0" w:space="0" w:color="auto"/>
        <w:right w:val="none" w:sz="0" w:space="0" w:color="auto"/>
      </w:divBdr>
    </w:div>
    <w:div w:id="1770199757">
      <w:bodyDiv w:val="1"/>
      <w:marLeft w:val="0"/>
      <w:marRight w:val="0"/>
      <w:marTop w:val="0"/>
      <w:marBottom w:val="0"/>
      <w:divBdr>
        <w:top w:val="none" w:sz="0" w:space="0" w:color="auto"/>
        <w:left w:val="none" w:sz="0" w:space="0" w:color="auto"/>
        <w:bottom w:val="none" w:sz="0" w:space="0" w:color="auto"/>
        <w:right w:val="none" w:sz="0" w:space="0" w:color="auto"/>
      </w:divBdr>
    </w:div>
    <w:div w:id="1770850061">
      <w:bodyDiv w:val="1"/>
      <w:marLeft w:val="0"/>
      <w:marRight w:val="0"/>
      <w:marTop w:val="0"/>
      <w:marBottom w:val="0"/>
      <w:divBdr>
        <w:top w:val="none" w:sz="0" w:space="0" w:color="auto"/>
        <w:left w:val="none" w:sz="0" w:space="0" w:color="auto"/>
        <w:bottom w:val="none" w:sz="0" w:space="0" w:color="auto"/>
        <w:right w:val="none" w:sz="0" w:space="0" w:color="auto"/>
      </w:divBdr>
    </w:div>
    <w:div w:id="1778023559">
      <w:bodyDiv w:val="1"/>
      <w:marLeft w:val="0"/>
      <w:marRight w:val="0"/>
      <w:marTop w:val="0"/>
      <w:marBottom w:val="0"/>
      <w:divBdr>
        <w:top w:val="none" w:sz="0" w:space="0" w:color="auto"/>
        <w:left w:val="none" w:sz="0" w:space="0" w:color="auto"/>
        <w:bottom w:val="none" w:sz="0" w:space="0" w:color="auto"/>
        <w:right w:val="none" w:sz="0" w:space="0" w:color="auto"/>
      </w:divBdr>
    </w:div>
    <w:div w:id="1798527595">
      <w:bodyDiv w:val="1"/>
      <w:marLeft w:val="0"/>
      <w:marRight w:val="0"/>
      <w:marTop w:val="0"/>
      <w:marBottom w:val="0"/>
      <w:divBdr>
        <w:top w:val="none" w:sz="0" w:space="0" w:color="auto"/>
        <w:left w:val="none" w:sz="0" w:space="0" w:color="auto"/>
        <w:bottom w:val="none" w:sz="0" w:space="0" w:color="auto"/>
        <w:right w:val="none" w:sz="0" w:space="0" w:color="auto"/>
      </w:divBdr>
    </w:div>
    <w:div w:id="1800875198">
      <w:bodyDiv w:val="1"/>
      <w:marLeft w:val="0"/>
      <w:marRight w:val="0"/>
      <w:marTop w:val="0"/>
      <w:marBottom w:val="0"/>
      <w:divBdr>
        <w:top w:val="none" w:sz="0" w:space="0" w:color="auto"/>
        <w:left w:val="none" w:sz="0" w:space="0" w:color="auto"/>
        <w:bottom w:val="none" w:sz="0" w:space="0" w:color="auto"/>
        <w:right w:val="none" w:sz="0" w:space="0" w:color="auto"/>
      </w:divBdr>
    </w:div>
    <w:div w:id="1816336430">
      <w:bodyDiv w:val="1"/>
      <w:marLeft w:val="0"/>
      <w:marRight w:val="0"/>
      <w:marTop w:val="0"/>
      <w:marBottom w:val="0"/>
      <w:divBdr>
        <w:top w:val="none" w:sz="0" w:space="0" w:color="auto"/>
        <w:left w:val="none" w:sz="0" w:space="0" w:color="auto"/>
        <w:bottom w:val="none" w:sz="0" w:space="0" w:color="auto"/>
        <w:right w:val="none" w:sz="0" w:space="0" w:color="auto"/>
      </w:divBdr>
    </w:div>
    <w:div w:id="1819956221">
      <w:bodyDiv w:val="1"/>
      <w:marLeft w:val="0"/>
      <w:marRight w:val="0"/>
      <w:marTop w:val="0"/>
      <w:marBottom w:val="0"/>
      <w:divBdr>
        <w:top w:val="none" w:sz="0" w:space="0" w:color="auto"/>
        <w:left w:val="none" w:sz="0" w:space="0" w:color="auto"/>
        <w:bottom w:val="none" w:sz="0" w:space="0" w:color="auto"/>
        <w:right w:val="none" w:sz="0" w:space="0" w:color="auto"/>
      </w:divBdr>
    </w:div>
    <w:div w:id="1822501453">
      <w:bodyDiv w:val="1"/>
      <w:marLeft w:val="0"/>
      <w:marRight w:val="0"/>
      <w:marTop w:val="0"/>
      <w:marBottom w:val="0"/>
      <w:divBdr>
        <w:top w:val="none" w:sz="0" w:space="0" w:color="auto"/>
        <w:left w:val="none" w:sz="0" w:space="0" w:color="auto"/>
        <w:bottom w:val="none" w:sz="0" w:space="0" w:color="auto"/>
        <w:right w:val="none" w:sz="0" w:space="0" w:color="auto"/>
      </w:divBdr>
    </w:div>
    <w:div w:id="1830486971">
      <w:bodyDiv w:val="1"/>
      <w:marLeft w:val="0"/>
      <w:marRight w:val="0"/>
      <w:marTop w:val="0"/>
      <w:marBottom w:val="0"/>
      <w:divBdr>
        <w:top w:val="none" w:sz="0" w:space="0" w:color="auto"/>
        <w:left w:val="none" w:sz="0" w:space="0" w:color="auto"/>
        <w:bottom w:val="none" w:sz="0" w:space="0" w:color="auto"/>
        <w:right w:val="none" w:sz="0" w:space="0" w:color="auto"/>
      </w:divBdr>
    </w:div>
    <w:div w:id="1835758412">
      <w:bodyDiv w:val="1"/>
      <w:marLeft w:val="0"/>
      <w:marRight w:val="0"/>
      <w:marTop w:val="0"/>
      <w:marBottom w:val="0"/>
      <w:divBdr>
        <w:top w:val="none" w:sz="0" w:space="0" w:color="auto"/>
        <w:left w:val="none" w:sz="0" w:space="0" w:color="auto"/>
        <w:bottom w:val="none" w:sz="0" w:space="0" w:color="auto"/>
        <w:right w:val="none" w:sz="0" w:space="0" w:color="auto"/>
      </w:divBdr>
    </w:div>
    <w:div w:id="1850899614">
      <w:bodyDiv w:val="1"/>
      <w:marLeft w:val="0"/>
      <w:marRight w:val="0"/>
      <w:marTop w:val="0"/>
      <w:marBottom w:val="0"/>
      <w:divBdr>
        <w:top w:val="none" w:sz="0" w:space="0" w:color="auto"/>
        <w:left w:val="none" w:sz="0" w:space="0" w:color="auto"/>
        <w:bottom w:val="none" w:sz="0" w:space="0" w:color="auto"/>
        <w:right w:val="none" w:sz="0" w:space="0" w:color="auto"/>
      </w:divBdr>
    </w:div>
    <w:div w:id="1865826948">
      <w:bodyDiv w:val="1"/>
      <w:marLeft w:val="0"/>
      <w:marRight w:val="0"/>
      <w:marTop w:val="0"/>
      <w:marBottom w:val="0"/>
      <w:divBdr>
        <w:top w:val="none" w:sz="0" w:space="0" w:color="auto"/>
        <w:left w:val="none" w:sz="0" w:space="0" w:color="auto"/>
        <w:bottom w:val="none" w:sz="0" w:space="0" w:color="auto"/>
        <w:right w:val="none" w:sz="0" w:space="0" w:color="auto"/>
      </w:divBdr>
    </w:div>
    <w:div w:id="1872916000">
      <w:bodyDiv w:val="1"/>
      <w:marLeft w:val="0"/>
      <w:marRight w:val="0"/>
      <w:marTop w:val="0"/>
      <w:marBottom w:val="0"/>
      <w:divBdr>
        <w:top w:val="none" w:sz="0" w:space="0" w:color="auto"/>
        <w:left w:val="none" w:sz="0" w:space="0" w:color="auto"/>
        <w:bottom w:val="none" w:sz="0" w:space="0" w:color="auto"/>
        <w:right w:val="none" w:sz="0" w:space="0" w:color="auto"/>
      </w:divBdr>
    </w:div>
    <w:div w:id="1891576179">
      <w:bodyDiv w:val="1"/>
      <w:marLeft w:val="0"/>
      <w:marRight w:val="0"/>
      <w:marTop w:val="0"/>
      <w:marBottom w:val="0"/>
      <w:divBdr>
        <w:top w:val="none" w:sz="0" w:space="0" w:color="auto"/>
        <w:left w:val="none" w:sz="0" w:space="0" w:color="auto"/>
        <w:bottom w:val="none" w:sz="0" w:space="0" w:color="auto"/>
        <w:right w:val="none" w:sz="0" w:space="0" w:color="auto"/>
      </w:divBdr>
    </w:div>
    <w:div w:id="1891720284">
      <w:bodyDiv w:val="1"/>
      <w:marLeft w:val="0"/>
      <w:marRight w:val="0"/>
      <w:marTop w:val="0"/>
      <w:marBottom w:val="0"/>
      <w:divBdr>
        <w:top w:val="none" w:sz="0" w:space="0" w:color="auto"/>
        <w:left w:val="none" w:sz="0" w:space="0" w:color="auto"/>
        <w:bottom w:val="none" w:sz="0" w:space="0" w:color="auto"/>
        <w:right w:val="none" w:sz="0" w:space="0" w:color="auto"/>
      </w:divBdr>
    </w:div>
    <w:div w:id="1898541616">
      <w:bodyDiv w:val="1"/>
      <w:marLeft w:val="0"/>
      <w:marRight w:val="0"/>
      <w:marTop w:val="0"/>
      <w:marBottom w:val="0"/>
      <w:divBdr>
        <w:top w:val="none" w:sz="0" w:space="0" w:color="auto"/>
        <w:left w:val="none" w:sz="0" w:space="0" w:color="auto"/>
        <w:bottom w:val="none" w:sz="0" w:space="0" w:color="auto"/>
        <w:right w:val="none" w:sz="0" w:space="0" w:color="auto"/>
      </w:divBdr>
    </w:div>
    <w:div w:id="1899244115">
      <w:bodyDiv w:val="1"/>
      <w:marLeft w:val="0"/>
      <w:marRight w:val="0"/>
      <w:marTop w:val="0"/>
      <w:marBottom w:val="0"/>
      <w:divBdr>
        <w:top w:val="none" w:sz="0" w:space="0" w:color="auto"/>
        <w:left w:val="none" w:sz="0" w:space="0" w:color="auto"/>
        <w:bottom w:val="none" w:sz="0" w:space="0" w:color="auto"/>
        <w:right w:val="none" w:sz="0" w:space="0" w:color="auto"/>
      </w:divBdr>
    </w:div>
    <w:div w:id="1899244574">
      <w:bodyDiv w:val="1"/>
      <w:marLeft w:val="0"/>
      <w:marRight w:val="0"/>
      <w:marTop w:val="0"/>
      <w:marBottom w:val="0"/>
      <w:divBdr>
        <w:top w:val="none" w:sz="0" w:space="0" w:color="auto"/>
        <w:left w:val="none" w:sz="0" w:space="0" w:color="auto"/>
        <w:bottom w:val="none" w:sz="0" w:space="0" w:color="auto"/>
        <w:right w:val="none" w:sz="0" w:space="0" w:color="auto"/>
      </w:divBdr>
    </w:div>
    <w:div w:id="1901593349">
      <w:bodyDiv w:val="1"/>
      <w:marLeft w:val="0"/>
      <w:marRight w:val="0"/>
      <w:marTop w:val="0"/>
      <w:marBottom w:val="0"/>
      <w:divBdr>
        <w:top w:val="none" w:sz="0" w:space="0" w:color="auto"/>
        <w:left w:val="none" w:sz="0" w:space="0" w:color="auto"/>
        <w:bottom w:val="none" w:sz="0" w:space="0" w:color="auto"/>
        <w:right w:val="none" w:sz="0" w:space="0" w:color="auto"/>
      </w:divBdr>
    </w:div>
    <w:div w:id="1903517984">
      <w:bodyDiv w:val="1"/>
      <w:marLeft w:val="0"/>
      <w:marRight w:val="0"/>
      <w:marTop w:val="0"/>
      <w:marBottom w:val="0"/>
      <w:divBdr>
        <w:top w:val="none" w:sz="0" w:space="0" w:color="auto"/>
        <w:left w:val="none" w:sz="0" w:space="0" w:color="auto"/>
        <w:bottom w:val="none" w:sz="0" w:space="0" w:color="auto"/>
        <w:right w:val="none" w:sz="0" w:space="0" w:color="auto"/>
      </w:divBdr>
    </w:div>
    <w:div w:id="1905293388">
      <w:bodyDiv w:val="1"/>
      <w:marLeft w:val="0"/>
      <w:marRight w:val="0"/>
      <w:marTop w:val="0"/>
      <w:marBottom w:val="0"/>
      <w:divBdr>
        <w:top w:val="none" w:sz="0" w:space="0" w:color="auto"/>
        <w:left w:val="none" w:sz="0" w:space="0" w:color="auto"/>
        <w:bottom w:val="none" w:sz="0" w:space="0" w:color="auto"/>
        <w:right w:val="none" w:sz="0" w:space="0" w:color="auto"/>
      </w:divBdr>
    </w:div>
    <w:div w:id="1906254906">
      <w:bodyDiv w:val="1"/>
      <w:marLeft w:val="0"/>
      <w:marRight w:val="0"/>
      <w:marTop w:val="0"/>
      <w:marBottom w:val="0"/>
      <w:divBdr>
        <w:top w:val="none" w:sz="0" w:space="0" w:color="auto"/>
        <w:left w:val="none" w:sz="0" w:space="0" w:color="auto"/>
        <w:bottom w:val="none" w:sz="0" w:space="0" w:color="auto"/>
        <w:right w:val="none" w:sz="0" w:space="0" w:color="auto"/>
      </w:divBdr>
    </w:div>
    <w:div w:id="1911690927">
      <w:bodyDiv w:val="1"/>
      <w:marLeft w:val="0"/>
      <w:marRight w:val="0"/>
      <w:marTop w:val="0"/>
      <w:marBottom w:val="0"/>
      <w:divBdr>
        <w:top w:val="none" w:sz="0" w:space="0" w:color="auto"/>
        <w:left w:val="none" w:sz="0" w:space="0" w:color="auto"/>
        <w:bottom w:val="none" w:sz="0" w:space="0" w:color="auto"/>
        <w:right w:val="none" w:sz="0" w:space="0" w:color="auto"/>
      </w:divBdr>
    </w:div>
    <w:div w:id="1923444664">
      <w:bodyDiv w:val="1"/>
      <w:marLeft w:val="0"/>
      <w:marRight w:val="0"/>
      <w:marTop w:val="0"/>
      <w:marBottom w:val="0"/>
      <w:divBdr>
        <w:top w:val="none" w:sz="0" w:space="0" w:color="auto"/>
        <w:left w:val="none" w:sz="0" w:space="0" w:color="auto"/>
        <w:bottom w:val="none" w:sz="0" w:space="0" w:color="auto"/>
        <w:right w:val="none" w:sz="0" w:space="0" w:color="auto"/>
      </w:divBdr>
    </w:div>
    <w:div w:id="1926111402">
      <w:bodyDiv w:val="1"/>
      <w:marLeft w:val="0"/>
      <w:marRight w:val="0"/>
      <w:marTop w:val="0"/>
      <w:marBottom w:val="0"/>
      <w:divBdr>
        <w:top w:val="none" w:sz="0" w:space="0" w:color="auto"/>
        <w:left w:val="none" w:sz="0" w:space="0" w:color="auto"/>
        <w:bottom w:val="none" w:sz="0" w:space="0" w:color="auto"/>
        <w:right w:val="none" w:sz="0" w:space="0" w:color="auto"/>
      </w:divBdr>
    </w:div>
    <w:div w:id="1926304064">
      <w:bodyDiv w:val="1"/>
      <w:marLeft w:val="0"/>
      <w:marRight w:val="0"/>
      <w:marTop w:val="0"/>
      <w:marBottom w:val="0"/>
      <w:divBdr>
        <w:top w:val="none" w:sz="0" w:space="0" w:color="auto"/>
        <w:left w:val="none" w:sz="0" w:space="0" w:color="auto"/>
        <w:bottom w:val="none" w:sz="0" w:space="0" w:color="auto"/>
        <w:right w:val="none" w:sz="0" w:space="0" w:color="auto"/>
      </w:divBdr>
    </w:div>
    <w:div w:id="1932927311">
      <w:bodyDiv w:val="1"/>
      <w:marLeft w:val="0"/>
      <w:marRight w:val="0"/>
      <w:marTop w:val="0"/>
      <w:marBottom w:val="0"/>
      <w:divBdr>
        <w:top w:val="none" w:sz="0" w:space="0" w:color="auto"/>
        <w:left w:val="none" w:sz="0" w:space="0" w:color="auto"/>
        <w:bottom w:val="none" w:sz="0" w:space="0" w:color="auto"/>
        <w:right w:val="none" w:sz="0" w:space="0" w:color="auto"/>
      </w:divBdr>
    </w:div>
    <w:div w:id="1941600221">
      <w:bodyDiv w:val="1"/>
      <w:marLeft w:val="0"/>
      <w:marRight w:val="0"/>
      <w:marTop w:val="0"/>
      <w:marBottom w:val="0"/>
      <w:divBdr>
        <w:top w:val="none" w:sz="0" w:space="0" w:color="auto"/>
        <w:left w:val="none" w:sz="0" w:space="0" w:color="auto"/>
        <w:bottom w:val="none" w:sz="0" w:space="0" w:color="auto"/>
        <w:right w:val="none" w:sz="0" w:space="0" w:color="auto"/>
      </w:divBdr>
    </w:div>
    <w:div w:id="1949116859">
      <w:bodyDiv w:val="1"/>
      <w:marLeft w:val="0"/>
      <w:marRight w:val="0"/>
      <w:marTop w:val="0"/>
      <w:marBottom w:val="0"/>
      <w:divBdr>
        <w:top w:val="none" w:sz="0" w:space="0" w:color="auto"/>
        <w:left w:val="none" w:sz="0" w:space="0" w:color="auto"/>
        <w:bottom w:val="none" w:sz="0" w:space="0" w:color="auto"/>
        <w:right w:val="none" w:sz="0" w:space="0" w:color="auto"/>
      </w:divBdr>
    </w:div>
    <w:div w:id="1950119877">
      <w:bodyDiv w:val="1"/>
      <w:marLeft w:val="0"/>
      <w:marRight w:val="0"/>
      <w:marTop w:val="0"/>
      <w:marBottom w:val="0"/>
      <w:divBdr>
        <w:top w:val="none" w:sz="0" w:space="0" w:color="auto"/>
        <w:left w:val="none" w:sz="0" w:space="0" w:color="auto"/>
        <w:bottom w:val="none" w:sz="0" w:space="0" w:color="auto"/>
        <w:right w:val="none" w:sz="0" w:space="0" w:color="auto"/>
      </w:divBdr>
    </w:div>
    <w:div w:id="1953828094">
      <w:bodyDiv w:val="1"/>
      <w:marLeft w:val="0"/>
      <w:marRight w:val="0"/>
      <w:marTop w:val="0"/>
      <w:marBottom w:val="0"/>
      <w:divBdr>
        <w:top w:val="none" w:sz="0" w:space="0" w:color="auto"/>
        <w:left w:val="none" w:sz="0" w:space="0" w:color="auto"/>
        <w:bottom w:val="none" w:sz="0" w:space="0" w:color="auto"/>
        <w:right w:val="none" w:sz="0" w:space="0" w:color="auto"/>
      </w:divBdr>
    </w:div>
    <w:div w:id="1969971590">
      <w:bodyDiv w:val="1"/>
      <w:marLeft w:val="0"/>
      <w:marRight w:val="0"/>
      <w:marTop w:val="0"/>
      <w:marBottom w:val="0"/>
      <w:divBdr>
        <w:top w:val="none" w:sz="0" w:space="0" w:color="auto"/>
        <w:left w:val="none" w:sz="0" w:space="0" w:color="auto"/>
        <w:bottom w:val="none" w:sz="0" w:space="0" w:color="auto"/>
        <w:right w:val="none" w:sz="0" w:space="0" w:color="auto"/>
      </w:divBdr>
    </w:div>
    <w:div w:id="1973711242">
      <w:bodyDiv w:val="1"/>
      <w:marLeft w:val="0"/>
      <w:marRight w:val="0"/>
      <w:marTop w:val="0"/>
      <w:marBottom w:val="0"/>
      <w:divBdr>
        <w:top w:val="none" w:sz="0" w:space="0" w:color="auto"/>
        <w:left w:val="none" w:sz="0" w:space="0" w:color="auto"/>
        <w:bottom w:val="none" w:sz="0" w:space="0" w:color="auto"/>
        <w:right w:val="none" w:sz="0" w:space="0" w:color="auto"/>
      </w:divBdr>
    </w:div>
    <w:div w:id="1976642027">
      <w:bodyDiv w:val="1"/>
      <w:marLeft w:val="0"/>
      <w:marRight w:val="0"/>
      <w:marTop w:val="0"/>
      <w:marBottom w:val="0"/>
      <w:divBdr>
        <w:top w:val="none" w:sz="0" w:space="0" w:color="auto"/>
        <w:left w:val="none" w:sz="0" w:space="0" w:color="auto"/>
        <w:bottom w:val="none" w:sz="0" w:space="0" w:color="auto"/>
        <w:right w:val="none" w:sz="0" w:space="0" w:color="auto"/>
      </w:divBdr>
    </w:div>
    <w:div w:id="1983341754">
      <w:bodyDiv w:val="1"/>
      <w:marLeft w:val="0"/>
      <w:marRight w:val="0"/>
      <w:marTop w:val="0"/>
      <w:marBottom w:val="0"/>
      <w:divBdr>
        <w:top w:val="none" w:sz="0" w:space="0" w:color="auto"/>
        <w:left w:val="none" w:sz="0" w:space="0" w:color="auto"/>
        <w:bottom w:val="none" w:sz="0" w:space="0" w:color="auto"/>
        <w:right w:val="none" w:sz="0" w:space="0" w:color="auto"/>
      </w:divBdr>
    </w:div>
    <w:div w:id="1984847822">
      <w:bodyDiv w:val="1"/>
      <w:marLeft w:val="0"/>
      <w:marRight w:val="0"/>
      <w:marTop w:val="0"/>
      <w:marBottom w:val="0"/>
      <w:divBdr>
        <w:top w:val="none" w:sz="0" w:space="0" w:color="auto"/>
        <w:left w:val="none" w:sz="0" w:space="0" w:color="auto"/>
        <w:bottom w:val="none" w:sz="0" w:space="0" w:color="auto"/>
        <w:right w:val="none" w:sz="0" w:space="0" w:color="auto"/>
      </w:divBdr>
    </w:div>
    <w:div w:id="1990480577">
      <w:bodyDiv w:val="1"/>
      <w:marLeft w:val="0"/>
      <w:marRight w:val="0"/>
      <w:marTop w:val="0"/>
      <w:marBottom w:val="0"/>
      <w:divBdr>
        <w:top w:val="none" w:sz="0" w:space="0" w:color="auto"/>
        <w:left w:val="none" w:sz="0" w:space="0" w:color="auto"/>
        <w:bottom w:val="none" w:sz="0" w:space="0" w:color="auto"/>
        <w:right w:val="none" w:sz="0" w:space="0" w:color="auto"/>
      </w:divBdr>
    </w:div>
    <w:div w:id="1993098906">
      <w:bodyDiv w:val="1"/>
      <w:marLeft w:val="0"/>
      <w:marRight w:val="0"/>
      <w:marTop w:val="0"/>
      <w:marBottom w:val="0"/>
      <w:divBdr>
        <w:top w:val="none" w:sz="0" w:space="0" w:color="auto"/>
        <w:left w:val="none" w:sz="0" w:space="0" w:color="auto"/>
        <w:bottom w:val="none" w:sz="0" w:space="0" w:color="auto"/>
        <w:right w:val="none" w:sz="0" w:space="0" w:color="auto"/>
      </w:divBdr>
    </w:div>
    <w:div w:id="2011987452">
      <w:bodyDiv w:val="1"/>
      <w:marLeft w:val="0"/>
      <w:marRight w:val="0"/>
      <w:marTop w:val="0"/>
      <w:marBottom w:val="0"/>
      <w:divBdr>
        <w:top w:val="none" w:sz="0" w:space="0" w:color="auto"/>
        <w:left w:val="none" w:sz="0" w:space="0" w:color="auto"/>
        <w:bottom w:val="none" w:sz="0" w:space="0" w:color="auto"/>
        <w:right w:val="none" w:sz="0" w:space="0" w:color="auto"/>
      </w:divBdr>
    </w:div>
    <w:div w:id="2012829621">
      <w:bodyDiv w:val="1"/>
      <w:marLeft w:val="0"/>
      <w:marRight w:val="0"/>
      <w:marTop w:val="0"/>
      <w:marBottom w:val="0"/>
      <w:divBdr>
        <w:top w:val="none" w:sz="0" w:space="0" w:color="auto"/>
        <w:left w:val="none" w:sz="0" w:space="0" w:color="auto"/>
        <w:bottom w:val="none" w:sz="0" w:space="0" w:color="auto"/>
        <w:right w:val="none" w:sz="0" w:space="0" w:color="auto"/>
      </w:divBdr>
    </w:div>
    <w:div w:id="2029679613">
      <w:bodyDiv w:val="1"/>
      <w:marLeft w:val="0"/>
      <w:marRight w:val="0"/>
      <w:marTop w:val="0"/>
      <w:marBottom w:val="0"/>
      <w:divBdr>
        <w:top w:val="none" w:sz="0" w:space="0" w:color="auto"/>
        <w:left w:val="none" w:sz="0" w:space="0" w:color="auto"/>
        <w:bottom w:val="none" w:sz="0" w:space="0" w:color="auto"/>
        <w:right w:val="none" w:sz="0" w:space="0" w:color="auto"/>
      </w:divBdr>
    </w:div>
    <w:div w:id="2033535984">
      <w:bodyDiv w:val="1"/>
      <w:marLeft w:val="0"/>
      <w:marRight w:val="0"/>
      <w:marTop w:val="0"/>
      <w:marBottom w:val="0"/>
      <w:divBdr>
        <w:top w:val="none" w:sz="0" w:space="0" w:color="auto"/>
        <w:left w:val="none" w:sz="0" w:space="0" w:color="auto"/>
        <w:bottom w:val="none" w:sz="0" w:space="0" w:color="auto"/>
        <w:right w:val="none" w:sz="0" w:space="0" w:color="auto"/>
      </w:divBdr>
    </w:div>
    <w:div w:id="2035690636">
      <w:bodyDiv w:val="1"/>
      <w:marLeft w:val="0"/>
      <w:marRight w:val="0"/>
      <w:marTop w:val="0"/>
      <w:marBottom w:val="0"/>
      <w:divBdr>
        <w:top w:val="none" w:sz="0" w:space="0" w:color="auto"/>
        <w:left w:val="none" w:sz="0" w:space="0" w:color="auto"/>
        <w:bottom w:val="none" w:sz="0" w:space="0" w:color="auto"/>
        <w:right w:val="none" w:sz="0" w:space="0" w:color="auto"/>
      </w:divBdr>
    </w:div>
    <w:div w:id="2042365461">
      <w:bodyDiv w:val="1"/>
      <w:marLeft w:val="0"/>
      <w:marRight w:val="0"/>
      <w:marTop w:val="0"/>
      <w:marBottom w:val="0"/>
      <w:divBdr>
        <w:top w:val="none" w:sz="0" w:space="0" w:color="auto"/>
        <w:left w:val="none" w:sz="0" w:space="0" w:color="auto"/>
        <w:bottom w:val="none" w:sz="0" w:space="0" w:color="auto"/>
        <w:right w:val="none" w:sz="0" w:space="0" w:color="auto"/>
      </w:divBdr>
    </w:div>
    <w:div w:id="2043436648">
      <w:bodyDiv w:val="1"/>
      <w:marLeft w:val="0"/>
      <w:marRight w:val="0"/>
      <w:marTop w:val="0"/>
      <w:marBottom w:val="0"/>
      <w:divBdr>
        <w:top w:val="none" w:sz="0" w:space="0" w:color="auto"/>
        <w:left w:val="none" w:sz="0" w:space="0" w:color="auto"/>
        <w:bottom w:val="none" w:sz="0" w:space="0" w:color="auto"/>
        <w:right w:val="none" w:sz="0" w:space="0" w:color="auto"/>
      </w:divBdr>
    </w:div>
    <w:div w:id="2058118514">
      <w:bodyDiv w:val="1"/>
      <w:marLeft w:val="0"/>
      <w:marRight w:val="0"/>
      <w:marTop w:val="0"/>
      <w:marBottom w:val="0"/>
      <w:divBdr>
        <w:top w:val="none" w:sz="0" w:space="0" w:color="auto"/>
        <w:left w:val="none" w:sz="0" w:space="0" w:color="auto"/>
        <w:bottom w:val="none" w:sz="0" w:space="0" w:color="auto"/>
        <w:right w:val="none" w:sz="0" w:space="0" w:color="auto"/>
      </w:divBdr>
    </w:div>
    <w:div w:id="2061395718">
      <w:bodyDiv w:val="1"/>
      <w:marLeft w:val="0"/>
      <w:marRight w:val="0"/>
      <w:marTop w:val="0"/>
      <w:marBottom w:val="0"/>
      <w:divBdr>
        <w:top w:val="none" w:sz="0" w:space="0" w:color="auto"/>
        <w:left w:val="none" w:sz="0" w:space="0" w:color="auto"/>
        <w:bottom w:val="none" w:sz="0" w:space="0" w:color="auto"/>
        <w:right w:val="none" w:sz="0" w:space="0" w:color="auto"/>
      </w:divBdr>
    </w:div>
    <w:div w:id="2066878124">
      <w:bodyDiv w:val="1"/>
      <w:marLeft w:val="0"/>
      <w:marRight w:val="0"/>
      <w:marTop w:val="0"/>
      <w:marBottom w:val="0"/>
      <w:divBdr>
        <w:top w:val="none" w:sz="0" w:space="0" w:color="auto"/>
        <w:left w:val="none" w:sz="0" w:space="0" w:color="auto"/>
        <w:bottom w:val="none" w:sz="0" w:space="0" w:color="auto"/>
        <w:right w:val="none" w:sz="0" w:space="0" w:color="auto"/>
      </w:divBdr>
    </w:div>
    <w:div w:id="2072382647">
      <w:bodyDiv w:val="1"/>
      <w:marLeft w:val="0"/>
      <w:marRight w:val="0"/>
      <w:marTop w:val="0"/>
      <w:marBottom w:val="0"/>
      <w:divBdr>
        <w:top w:val="none" w:sz="0" w:space="0" w:color="auto"/>
        <w:left w:val="none" w:sz="0" w:space="0" w:color="auto"/>
        <w:bottom w:val="none" w:sz="0" w:space="0" w:color="auto"/>
        <w:right w:val="none" w:sz="0" w:space="0" w:color="auto"/>
      </w:divBdr>
    </w:div>
    <w:div w:id="2076928613">
      <w:bodyDiv w:val="1"/>
      <w:marLeft w:val="0"/>
      <w:marRight w:val="0"/>
      <w:marTop w:val="0"/>
      <w:marBottom w:val="0"/>
      <w:divBdr>
        <w:top w:val="none" w:sz="0" w:space="0" w:color="auto"/>
        <w:left w:val="none" w:sz="0" w:space="0" w:color="auto"/>
        <w:bottom w:val="none" w:sz="0" w:space="0" w:color="auto"/>
        <w:right w:val="none" w:sz="0" w:space="0" w:color="auto"/>
      </w:divBdr>
    </w:div>
    <w:div w:id="2083789679">
      <w:bodyDiv w:val="1"/>
      <w:marLeft w:val="0"/>
      <w:marRight w:val="0"/>
      <w:marTop w:val="0"/>
      <w:marBottom w:val="0"/>
      <w:divBdr>
        <w:top w:val="none" w:sz="0" w:space="0" w:color="auto"/>
        <w:left w:val="none" w:sz="0" w:space="0" w:color="auto"/>
        <w:bottom w:val="none" w:sz="0" w:space="0" w:color="auto"/>
        <w:right w:val="none" w:sz="0" w:space="0" w:color="auto"/>
      </w:divBdr>
    </w:div>
    <w:div w:id="2087334257">
      <w:bodyDiv w:val="1"/>
      <w:marLeft w:val="0"/>
      <w:marRight w:val="0"/>
      <w:marTop w:val="0"/>
      <w:marBottom w:val="0"/>
      <w:divBdr>
        <w:top w:val="none" w:sz="0" w:space="0" w:color="auto"/>
        <w:left w:val="none" w:sz="0" w:space="0" w:color="auto"/>
        <w:bottom w:val="none" w:sz="0" w:space="0" w:color="auto"/>
        <w:right w:val="none" w:sz="0" w:space="0" w:color="auto"/>
      </w:divBdr>
    </w:div>
    <w:div w:id="2090077717">
      <w:bodyDiv w:val="1"/>
      <w:marLeft w:val="0"/>
      <w:marRight w:val="0"/>
      <w:marTop w:val="0"/>
      <w:marBottom w:val="0"/>
      <w:divBdr>
        <w:top w:val="none" w:sz="0" w:space="0" w:color="auto"/>
        <w:left w:val="none" w:sz="0" w:space="0" w:color="auto"/>
        <w:bottom w:val="none" w:sz="0" w:space="0" w:color="auto"/>
        <w:right w:val="none" w:sz="0" w:space="0" w:color="auto"/>
      </w:divBdr>
    </w:div>
    <w:div w:id="2091274001">
      <w:bodyDiv w:val="1"/>
      <w:marLeft w:val="0"/>
      <w:marRight w:val="0"/>
      <w:marTop w:val="0"/>
      <w:marBottom w:val="0"/>
      <w:divBdr>
        <w:top w:val="none" w:sz="0" w:space="0" w:color="auto"/>
        <w:left w:val="none" w:sz="0" w:space="0" w:color="auto"/>
        <w:bottom w:val="none" w:sz="0" w:space="0" w:color="auto"/>
        <w:right w:val="none" w:sz="0" w:space="0" w:color="auto"/>
      </w:divBdr>
    </w:div>
    <w:div w:id="2092265099">
      <w:bodyDiv w:val="1"/>
      <w:marLeft w:val="0"/>
      <w:marRight w:val="0"/>
      <w:marTop w:val="0"/>
      <w:marBottom w:val="0"/>
      <w:divBdr>
        <w:top w:val="none" w:sz="0" w:space="0" w:color="auto"/>
        <w:left w:val="none" w:sz="0" w:space="0" w:color="auto"/>
        <w:bottom w:val="none" w:sz="0" w:space="0" w:color="auto"/>
        <w:right w:val="none" w:sz="0" w:space="0" w:color="auto"/>
      </w:divBdr>
    </w:div>
    <w:div w:id="2109227369">
      <w:bodyDiv w:val="1"/>
      <w:marLeft w:val="0"/>
      <w:marRight w:val="0"/>
      <w:marTop w:val="0"/>
      <w:marBottom w:val="0"/>
      <w:divBdr>
        <w:top w:val="none" w:sz="0" w:space="0" w:color="auto"/>
        <w:left w:val="none" w:sz="0" w:space="0" w:color="auto"/>
        <w:bottom w:val="none" w:sz="0" w:space="0" w:color="auto"/>
        <w:right w:val="none" w:sz="0" w:space="0" w:color="auto"/>
      </w:divBdr>
    </w:div>
    <w:div w:id="2114090433">
      <w:bodyDiv w:val="1"/>
      <w:marLeft w:val="0"/>
      <w:marRight w:val="0"/>
      <w:marTop w:val="0"/>
      <w:marBottom w:val="0"/>
      <w:divBdr>
        <w:top w:val="none" w:sz="0" w:space="0" w:color="auto"/>
        <w:left w:val="none" w:sz="0" w:space="0" w:color="auto"/>
        <w:bottom w:val="none" w:sz="0" w:space="0" w:color="auto"/>
        <w:right w:val="none" w:sz="0" w:space="0" w:color="auto"/>
      </w:divBdr>
    </w:div>
    <w:div w:id="2115586048">
      <w:bodyDiv w:val="1"/>
      <w:marLeft w:val="0"/>
      <w:marRight w:val="0"/>
      <w:marTop w:val="0"/>
      <w:marBottom w:val="0"/>
      <w:divBdr>
        <w:top w:val="none" w:sz="0" w:space="0" w:color="auto"/>
        <w:left w:val="none" w:sz="0" w:space="0" w:color="auto"/>
        <w:bottom w:val="none" w:sz="0" w:space="0" w:color="auto"/>
        <w:right w:val="none" w:sz="0" w:space="0" w:color="auto"/>
      </w:divBdr>
    </w:div>
    <w:div w:id="2119059662">
      <w:bodyDiv w:val="1"/>
      <w:marLeft w:val="0"/>
      <w:marRight w:val="0"/>
      <w:marTop w:val="0"/>
      <w:marBottom w:val="0"/>
      <w:divBdr>
        <w:top w:val="none" w:sz="0" w:space="0" w:color="auto"/>
        <w:left w:val="none" w:sz="0" w:space="0" w:color="auto"/>
        <w:bottom w:val="none" w:sz="0" w:space="0" w:color="auto"/>
        <w:right w:val="none" w:sz="0" w:space="0" w:color="auto"/>
      </w:divBdr>
    </w:div>
    <w:div w:id="2129736684">
      <w:bodyDiv w:val="1"/>
      <w:marLeft w:val="0"/>
      <w:marRight w:val="0"/>
      <w:marTop w:val="0"/>
      <w:marBottom w:val="0"/>
      <w:divBdr>
        <w:top w:val="none" w:sz="0" w:space="0" w:color="auto"/>
        <w:left w:val="none" w:sz="0" w:space="0" w:color="auto"/>
        <w:bottom w:val="none" w:sz="0" w:space="0" w:color="auto"/>
        <w:right w:val="none" w:sz="0" w:space="0" w:color="auto"/>
      </w:divBdr>
    </w:div>
    <w:div w:id="2139061815">
      <w:bodyDiv w:val="1"/>
      <w:marLeft w:val="0"/>
      <w:marRight w:val="0"/>
      <w:marTop w:val="0"/>
      <w:marBottom w:val="0"/>
      <w:divBdr>
        <w:top w:val="none" w:sz="0" w:space="0" w:color="auto"/>
        <w:left w:val="none" w:sz="0" w:space="0" w:color="auto"/>
        <w:bottom w:val="none" w:sz="0" w:space="0" w:color="auto"/>
        <w:right w:val="none" w:sz="0" w:space="0" w:color="auto"/>
      </w:divBdr>
    </w:div>
    <w:div w:id="214604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v1175874-18" TargetMode="External"/><Relationship Id="rId299" Type="http://schemas.openxmlformats.org/officeDocument/2006/relationships/hyperlink" Target="https://zakon-pro.ligazakon.net/document/GK52652?ed=2022_12_02&amp;an=67" TargetMode="External"/><Relationship Id="rId21" Type="http://schemas.openxmlformats.org/officeDocument/2006/relationships/hyperlink" Target="https://zakon-pro.ligazakon.net/document/GK46684?ed=2020_08_26&amp;an=76" TargetMode="External"/><Relationship Id="rId63" Type="http://schemas.openxmlformats.org/officeDocument/2006/relationships/hyperlink" Target="https://zakon-pro.ligazakon.net/document/GK45274?ed=2020_02_07&amp;an=40" TargetMode="External"/><Relationship Id="rId159" Type="http://schemas.openxmlformats.org/officeDocument/2006/relationships/hyperlink" Target="https://zakon.rada.gov.ua/laws/file/imgs/129/p478167n801-44.bmp" TargetMode="External"/><Relationship Id="rId324" Type="http://schemas.openxmlformats.org/officeDocument/2006/relationships/hyperlink" Target="https://zakon-pro.ligazakon.net/document/GK57132?ed=2024_08_14&amp;an=144" TargetMode="External"/><Relationship Id="rId366" Type="http://schemas.openxmlformats.org/officeDocument/2006/relationships/image" Target="media/image100.gif"/><Relationship Id="rId170" Type="http://schemas.openxmlformats.org/officeDocument/2006/relationships/image" Target="media/image50.gif"/><Relationship Id="rId226" Type="http://schemas.openxmlformats.org/officeDocument/2006/relationships/hyperlink" Target="https://zakon.rada.gov.ua/laws/file/imgs/129/p478167n597v1-111.bmp" TargetMode="External"/><Relationship Id="rId268" Type="http://schemas.openxmlformats.org/officeDocument/2006/relationships/hyperlink" Target="https://zakon-pro.ligazakon.net/document/GK52652?ed=2022_12_02&amp;an=37" TargetMode="External"/><Relationship Id="rId32" Type="http://schemas.openxmlformats.org/officeDocument/2006/relationships/image" Target="media/image11.gif"/><Relationship Id="rId74" Type="http://schemas.openxmlformats.org/officeDocument/2006/relationships/hyperlink" Target="https://zakon.rada.gov.ua/laws/file/imgs/99/p478167n136v3-26.emf" TargetMode="External"/><Relationship Id="rId128" Type="http://schemas.openxmlformats.org/officeDocument/2006/relationships/image" Target="media/image33.gif"/><Relationship Id="rId335" Type="http://schemas.openxmlformats.org/officeDocument/2006/relationships/image" Target="media/image85.gif"/><Relationship Id="rId377" Type="http://schemas.openxmlformats.org/officeDocument/2006/relationships/hyperlink" Target="https://zakon-pro.ligazakon.net/document/GK45274?ed=2020_02_07&amp;an=40" TargetMode="External"/><Relationship Id="rId5" Type="http://schemas.openxmlformats.org/officeDocument/2006/relationships/webSettings" Target="webSettings.xml"/><Relationship Id="rId181" Type="http://schemas.openxmlformats.org/officeDocument/2006/relationships/hyperlink" Target="https://zakon-pro.ligazakon.net/document/GK59300?ed=2025_08_12&amp;an=156" TargetMode="External"/><Relationship Id="rId237" Type="http://schemas.openxmlformats.org/officeDocument/2006/relationships/image" Target="media/image79.gif"/><Relationship Id="rId279" Type="http://schemas.openxmlformats.org/officeDocument/2006/relationships/hyperlink" Target="https://zakon-pro.ligazakon.net/document/GK52652?ed=2022_12_02&amp;an=40" TargetMode="External"/><Relationship Id="rId43" Type="http://schemas.openxmlformats.org/officeDocument/2006/relationships/hyperlink" Target="https://zakon-pro.ligazakon.net/document/GK51735?ed=2022_07_12&amp;an=22" TargetMode="External"/><Relationship Id="rId139" Type="http://schemas.openxmlformats.org/officeDocument/2006/relationships/hyperlink" Target="https://zakon-pro.ligazakon.net/document/GK59300?ed=2025_08_12&amp;an=161" TargetMode="External"/><Relationship Id="rId290" Type="http://schemas.openxmlformats.org/officeDocument/2006/relationships/hyperlink" Target="https://zakon-pro.ligazakon.net/document/GK52652?ed=2022_12_02&amp;an=47" TargetMode="External"/><Relationship Id="rId304" Type="http://schemas.openxmlformats.org/officeDocument/2006/relationships/hyperlink" Target="https://zakon-pro.ligazakon.net/document/GK52652?ed=2022_12_02&amp;an=40" TargetMode="External"/><Relationship Id="rId346" Type="http://schemas.openxmlformats.org/officeDocument/2006/relationships/hyperlink" Target="https://zakon.rada.gov.ua/laws/file/imgs/129/p478167n275v1-147.emf" TargetMode="External"/><Relationship Id="rId388" Type="http://schemas.openxmlformats.org/officeDocument/2006/relationships/hyperlink" Target="https://zakon.rada.gov.ua/laws/show/v1470874-17" TargetMode="External"/><Relationship Id="rId85" Type="http://schemas.openxmlformats.org/officeDocument/2006/relationships/hyperlink" Target="https://zakon.rada.gov.ua/laws/show/v1175874-18" TargetMode="External"/><Relationship Id="rId150" Type="http://schemas.openxmlformats.org/officeDocument/2006/relationships/hyperlink" Target="https://zakon-pro.ligazakon.net/document/GK59300?ed=2025_08_12&amp;an=146" TargetMode="External"/><Relationship Id="rId192" Type="http://schemas.openxmlformats.org/officeDocument/2006/relationships/image" Target="media/image58.gif"/><Relationship Id="rId206" Type="http://schemas.openxmlformats.org/officeDocument/2006/relationships/hyperlink" Target="https://zakon.rada.gov.ua/laws/show/v1175874-18" TargetMode="External"/><Relationship Id="rId248" Type="http://schemas.openxmlformats.org/officeDocument/2006/relationships/hyperlink" Target="https://zakon-pro.ligazakon.net/document/GK52652?ed=2022_12_02&amp;an=40" TargetMode="External"/><Relationship Id="rId12" Type="http://schemas.openxmlformats.org/officeDocument/2006/relationships/hyperlink" Target="https://zakon.rada.gov.ua/go/v0310874-18/ed20260326" TargetMode="External"/><Relationship Id="rId108" Type="http://schemas.openxmlformats.org/officeDocument/2006/relationships/hyperlink" Target="https://zakon.rada.gov.ua/laws/show/z1431-15" TargetMode="External"/><Relationship Id="rId315" Type="http://schemas.openxmlformats.org/officeDocument/2006/relationships/hyperlink" Target="https://zakon-pro.ligazakon.net/document/GK52652?ed=2022_12_02&amp;an=45" TargetMode="External"/><Relationship Id="rId357" Type="http://schemas.openxmlformats.org/officeDocument/2006/relationships/image" Target="media/image96.gif"/><Relationship Id="rId54" Type="http://schemas.openxmlformats.org/officeDocument/2006/relationships/hyperlink" Target="https://zakon-pro.ligazakon.net/document/GK46684?ed=2020_08_26&amp;an=78" TargetMode="External"/><Relationship Id="rId96" Type="http://schemas.openxmlformats.org/officeDocument/2006/relationships/hyperlink" Target="https://zakon.rada.gov.ua/laws/show/z1431-15" TargetMode="External"/><Relationship Id="rId161" Type="http://schemas.openxmlformats.org/officeDocument/2006/relationships/hyperlink" Target="https://zakon.rada.gov.ua/laws/file/imgs/129/p478167n803-46.bmp" TargetMode="External"/><Relationship Id="rId217" Type="http://schemas.openxmlformats.org/officeDocument/2006/relationships/image" Target="media/image69.gif"/><Relationship Id="rId399" Type="http://schemas.openxmlformats.org/officeDocument/2006/relationships/fontTable" Target="fontTable.xml"/><Relationship Id="rId259" Type="http://schemas.openxmlformats.org/officeDocument/2006/relationships/hyperlink" Target="https://zakon-pro.ligazakon.net/document/GK52652?ed=2022_12_02&amp;an=72" TargetMode="External"/><Relationship Id="rId23" Type="http://schemas.openxmlformats.org/officeDocument/2006/relationships/hyperlink" Target="https://zakon-pro.ligazakon.net/document/GK46684?ed=2020_08_26&amp;an=77" TargetMode="External"/><Relationship Id="rId119" Type="http://schemas.openxmlformats.org/officeDocument/2006/relationships/hyperlink" Target="https://zakon.rada.gov.ua/laws/show/v1175874-18" TargetMode="External"/><Relationship Id="rId270" Type="http://schemas.openxmlformats.org/officeDocument/2006/relationships/hyperlink" Target="https://zakon-pro.ligazakon.net/document/GK52652?ed=2022_12_02&amp;an=41" TargetMode="External"/><Relationship Id="rId326" Type="http://schemas.openxmlformats.org/officeDocument/2006/relationships/hyperlink" Target="https://zakon-pro.ligazakon.net/document/GK52652?ed=2022_12_02&amp;an=71" TargetMode="External"/><Relationship Id="rId65" Type="http://schemas.openxmlformats.org/officeDocument/2006/relationships/image" Target="media/image20.gif"/><Relationship Id="rId130" Type="http://schemas.openxmlformats.org/officeDocument/2006/relationships/hyperlink" Target="https://zakon-pro.ligazakon.net/document/GK59300?ed=2025_08_12&amp;an=152" TargetMode="External"/><Relationship Id="rId368" Type="http://schemas.openxmlformats.org/officeDocument/2006/relationships/image" Target="media/image101.gif"/><Relationship Id="rId172" Type="http://schemas.openxmlformats.org/officeDocument/2006/relationships/image" Target="media/image51.gif"/><Relationship Id="rId228" Type="http://schemas.openxmlformats.org/officeDocument/2006/relationships/hyperlink" Target="https://zakon.rada.gov.ua/laws/file/imgs/129/p478167n597v1-112.emf" TargetMode="External"/><Relationship Id="rId281" Type="http://schemas.openxmlformats.org/officeDocument/2006/relationships/hyperlink" Target="https://zakon-pro.ligazakon.net/document/GK52652?ed=2022_12_02&amp;an=40" TargetMode="External"/><Relationship Id="rId337" Type="http://schemas.openxmlformats.org/officeDocument/2006/relationships/image" Target="media/image86.gif"/><Relationship Id="rId34" Type="http://schemas.openxmlformats.org/officeDocument/2006/relationships/image" Target="media/image13.gif"/><Relationship Id="rId76" Type="http://schemas.openxmlformats.org/officeDocument/2006/relationships/hyperlink" Target="https://zakon.rada.gov.ua/laws/file/imgs/99/p478167n136v3-27.emf" TargetMode="External"/><Relationship Id="rId141" Type="http://schemas.openxmlformats.org/officeDocument/2006/relationships/image" Target="media/image37.gif"/><Relationship Id="rId379" Type="http://schemas.openxmlformats.org/officeDocument/2006/relationships/hyperlink" Target="https://zakon-pro.ligazakon.net/document/GK45274?ed=2020_02_07&amp;an=40" TargetMode="External"/><Relationship Id="rId7" Type="http://schemas.openxmlformats.org/officeDocument/2006/relationships/endnotes" Target="endnotes.xml"/><Relationship Id="rId183" Type="http://schemas.openxmlformats.org/officeDocument/2006/relationships/hyperlink" Target="https://zakon-pro.ligazakon.net/document/GK46990?ed=2020_10_21&amp;an=24" TargetMode="External"/><Relationship Id="rId239" Type="http://schemas.openxmlformats.org/officeDocument/2006/relationships/hyperlink" Target="https://zakon-pro.ligazakon.net/document/GK52652?ed=2022_12_02&amp;an=72" TargetMode="External"/><Relationship Id="rId390" Type="http://schemas.openxmlformats.org/officeDocument/2006/relationships/hyperlink" Target="https://zakon.rada.gov.ua/laws/show/v1175874-18" TargetMode="External"/><Relationship Id="rId250" Type="http://schemas.openxmlformats.org/officeDocument/2006/relationships/hyperlink" Target="https://zakon-pro.ligazakon.net/document/GK52652?ed=2022_12_02&amp;an=39" TargetMode="External"/><Relationship Id="rId292" Type="http://schemas.openxmlformats.org/officeDocument/2006/relationships/hyperlink" Target="https://zakon-pro.ligazakon.net/document/GK52652?ed=2022_12_02&amp;an=67" TargetMode="External"/><Relationship Id="rId306" Type="http://schemas.openxmlformats.org/officeDocument/2006/relationships/hyperlink" Target="https://zakon-pro.ligazakon.net/document/GK59300?ed=2025_08_12&amp;an=174" TargetMode="External"/><Relationship Id="rId45" Type="http://schemas.openxmlformats.org/officeDocument/2006/relationships/hyperlink" Target="https://zakon-pro.ligazakon.net/document/GK45274?ed=2020_02_07&amp;an=40" TargetMode="External"/><Relationship Id="rId87" Type="http://schemas.openxmlformats.org/officeDocument/2006/relationships/hyperlink" Target="https://zakon.rada.gov.ua/laws/show/z1431-15" TargetMode="External"/><Relationship Id="rId110" Type="http://schemas.openxmlformats.org/officeDocument/2006/relationships/hyperlink" Target="https://zakon.rada.gov.ua/laws/show/z1431-15" TargetMode="External"/><Relationship Id="rId348" Type="http://schemas.openxmlformats.org/officeDocument/2006/relationships/hyperlink" Target="https://zakon.rada.gov.ua/laws/file/imgs/129/p478167n353v3-148.bmp" TargetMode="External"/><Relationship Id="rId152" Type="http://schemas.openxmlformats.org/officeDocument/2006/relationships/hyperlink" Target="https://zakon-pro.ligazakon.net/document/GK59300?ed=2025_08_12&amp;an=151" TargetMode="External"/><Relationship Id="rId194" Type="http://schemas.openxmlformats.org/officeDocument/2006/relationships/image" Target="media/image59.gif"/><Relationship Id="rId208" Type="http://schemas.openxmlformats.org/officeDocument/2006/relationships/hyperlink" Target="https://zakon.rada.gov.ua/laws/show/v1175874-18" TargetMode="External"/><Relationship Id="rId261" Type="http://schemas.openxmlformats.org/officeDocument/2006/relationships/hyperlink" Target="https://zakon-pro.ligazakon.net/document/GK52652?ed=2022_12_02&amp;an=71" TargetMode="External"/><Relationship Id="rId14" Type="http://schemas.openxmlformats.org/officeDocument/2006/relationships/hyperlink" Target="https://zakon.rada.gov.ua/laws/show/v1175874-18" TargetMode="External"/><Relationship Id="rId56" Type="http://schemas.openxmlformats.org/officeDocument/2006/relationships/hyperlink" Target="https://zakon-pro.ligazakon.net/document/GK45274?ed=2020_02_07&amp;an=33" TargetMode="External"/><Relationship Id="rId317" Type="http://schemas.openxmlformats.org/officeDocument/2006/relationships/hyperlink" Target="https://zakon-pro.ligazakon.net/document/GK52652?ed=2022_12_02&amp;an=67" TargetMode="External"/><Relationship Id="rId359" Type="http://schemas.openxmlformats.org/officeDocument/2006/relationships/image" Target="media/image97.gif"/><Relationship Id="rId98" Type="http://schemas.openxmlformats.org/officeDocument/2006/relationships/hyperlink" Target="https://zakon.rada.gov.ua/laws/show/v1175874-18" TargetMode="External"/><Relationship Id="rId121" Type="http://schemas.openxmlformats.org/officeDocument/2006/relationships/image" Target="media/image30.gif"/><Relationship Id="rId163" Type="http://schemas.openxmlformats.org/officeDocument/2006/relationships/hyperlink" Target="https://zakon.rada.gov.ua/laws/file/imgs/129/p478167n803-47.bmp" TargetMode="External"/><Relationship Id="rId219" Type="http://schemas.openxmlformats.org/officeDocument/2006/relationships/image" Target="media/image70.gif"/><Relationship Id="rId370" Type="http://schemas.openxmlformats.org/officeDocument/2006/relationships/image" Target="media/image102.gif"/><Relationship Id="rId230" Type="http://schemas.openxmlformats.org/officeDocument/2006/relationships/hyperlink" Target="https://zakon.rada.gov.ua/laws/file/imgs/129/p478167n597v1-113.bmp" TargetMode="External"/><Relationship Id="rId25" Type="http://schemas.openxmlformats.org/officeDocument/2006/relationships/hyperlink" Target="https://zakon-pro.ligazakon.net/document/GK46684?ed=2020_08_26&amp;an=78" TargetMode="External"/><Relationship Id="rId67" Type="http://schemas.openxmlformats.org/officeDocument/2006/relationships/hyperlink" Target="https://zakon.rada.gov.ua/laws/show/v1175874-18" TargetMode="External"/><Relationship Id="rId272" Type="http://schemas.openxmlformats.org/officeDocument/2006/relationships/hyperlink" Target="https://zakon-pro.ligazakon.net/document/GK52652?ed=2022_12_02&amp;an=47" TargetMode="External"/><Relationship Id="rId328" Type="http://schemas.openxmlformats.org/officeDocument/2006/relationships/hyperlink" Target="https://zakon.rada.gov.ua/laws/file/imgs/129/p478167n270-138.emf" TargetMode="External"/><Relationship Id="rId132" Type="http://schemas.openxmlformats.org/officeDocument/2006/relationships/image" Target="media/image34.gif"/><Relationship Id="rId174" Type="http://schemas.openxmlformats.org/officeDocument/2006/relationships/image" Target="media/image52.gif"/><Relationship Id="rId381" Type="http://schemas.openxmlformats.org/officeDocument/2006/relationships/hyperlink" Target="https://zakon.rada.gov.ua/laws/file/imgs/129/p478167n601v2-177.bmp" TargetMode="External"/><Relationship Id="rId241" Type="http://schemas.openxmlformats.org/officeDocument/2006/relationships/hyperlink" Target="https://zakon-pro.ligazakon.net/document/GK52652?ed=2022_12_02&amp;an=72" TargetMode="External"/><Relationship Id="rId36" Type="http://schemas.openxmlformats.org/officeDocument/2006/relationships/image" Target="media/image14.gif"/><Relationship Id="rId283" Type="http://schemas.openxmlformats.org/officeDocument/2006/relationships/hyperlink" Target="https://zakon-pro.ligazakon.net/document/GK52652?ed=2022_12_02&amp;an=40" TargetMode="External"/><Relationship Id="rId339" Type="http://schemas.openxmlformats.org/officeDocument/2006/relationships/image" Target="media/image87.gif"/><Relationship Id="rId78" Type="http://schemas.openxmlformats.org/officeDocument/2006/relationships/hyperlink" Target="https://zakon.rada.gov.ua/laws/file/imgs/99/p478167n136v3-28.emf" TargetMode="External"/><Relationship Id="rId101" Type="http://schemas.openxmlformats.org/officeDocument/2006/relationships/hyperlink" Target="https://zakon.rada.gov.ua/laws/show/z1431-15" TargetMode="External"/><Relationship Id="rId143" Type="http://schemas.openxmlformats.org/officeDocument/2006/relationships/image" Target="media/image38.gif"/><Relationship Id="rId185" Type="http://schemas.openxmlformats.org/officeDocument/2006/relationships/hyperlink" Target="https://zakon-pro.ligazakon.net/document/GK46990?ed=2020_10_21&amp;an=24" TargetMode="External"/><Relationship Id="rId350" Type="http://schemas.openxmlformats.org/officeDocument/2006/relationships/hyperlink" Target="https://zakon.rada.gov.ua/laws/file/imgs/129/p478167n277v3-149.bmp" TargetMode="External"/><Relationship Id="rId9" Type="http://schemas.openxmlformats.org/officeDocument/2006/relationships/hyperlink" Target="https://zakon-pro.ligazakon.net/document/GK59300?ed=2025_08_12&amp;an=45" TargetMode="External"/><Relationship Id="rId210" Type="http://schemas.openxmlformats.org/officeDocument/2006/relationships/hyperlink" Target="https://zakon.rada.gov.ua/laws/file/imgs/129/p478167n590v2-103.bmp" TargetMode="External"/><Relationship Id="rId392" Type="http://schemas.openxmlformats.org/officeDocument/2006/relationships/hyperlink" Target="https://zakon-pro.ligazakon.net/document/GK59300?ed=2025_08_12&amp;an=271" TargetMode="External"/><Relationship Id="rId252" Type="http://schemas.openxmlformats.org/officeDocument/2006/relationships/hyperlink" Target="https://zakon-pro.ligazakon.net/document/GK52652?ed=2022_12_02&amp;an=45" TargetMode="External"/><Relationship Id="rId294" Type="http://schemas.openxmlformats.org/officeDocument/2006/relationships/hyperlink" Target="https://zakon-pro.ligazakon.net/document/GK52652?ed=2022_12_02&amp;an=72" TargetMode="External"/><Relationship Id="rId308" Type="http://schemas.openxmlformats.org/officeDocument/2006/relationships/hyperlink" Target="https://zakon-pro.ligazakon.net/document/GK52652?ed=2022_12_02&amp;an=51" TargetMode="External"/><Relationship Id="rId47" Type="http://schemas.openxmlformats.org/officeDocument/2006/relationships/hyperlink" Target="https://zakon-pro.ligazakon.net/document/GK51735?ed=2022_07_12&amp;an=23" TargetMode="External"/><Relationship Id="rId89" Type="http://schemas.openxmlformats.org/officeDocument/2006/relationships/hyperlink" Target="https://zakon.rada.gov.ua/laws/show/z1431-15" TargetMode="External"/><Relationship Id="rId112" Type="http://schemas.openxmlformats.org/officeDocument/2006/relationships/hyperlink" Target="https://zakon.rada.gov.ua/laws/show/z1431-15" TargetMode="External"/><Relationship Id="rId154" Type="http://schemas.openxmlformats.org/officeDocument/2006/relationships/hyperlink" Target="https://zakon-pro.ligazakon.net/document/GK59300?ed=2025_08_12&amp;an=160" TargetMode="External"/><Relationship Id="rId361" Type="http://schemas.openxmlformats.org/officeDocument/2006/relationships/hyperlink" Target="https://zakon.rada.gov.ua/laws/file/imgs/129/p478167n278v4-154.emf" TargetMode="External"/><Relationship Id="rId196" Type="http://schemas.openxmlformats.org/officeDocument/2006/relationships/image" Target="media/image60.gif"/><Relationship Id="rId16" Type="http://schemas.openxmlformats.org/officeDocument/2006/relationships/image" Target="media/image1.gif"/><Relationship Id="rId221" Type="http://schemas.openxmlformats.org/officeDocument/2006/relationships/image" Target="media/image71.gif"/><Relationship Id="rId263" Type="http://schemas.openxmlformats.org/officeDocument/2006/relationships/hyperlink" Target="https://zakon.rada.gov.ua/go/v0310874-18/ed20260326" TargetMode="External"/><Relationship Id="rId319" Type="http://schemas.openxmlformats.org/officeDocument/2006/relationships/hyperlink" Target="https://zakon-pro.ligazakon.net/document/GK52652?ed=2022_12_02&amp;an=72" TargetMode="External"/><Relationship Id="rId37" Type="http://schemas.openxmlformats.org/officeDocument/2006/relationships/image" Target="media/image15.gif"/><Relationship Id="rId58" Type="http://schemas.openxmlformats.org/officeDocument/2006/relationships/hyperlink" Target="https://zakon-pro.ligazakon.net/document/GK45274?ed=2020_02_07&amp;an=39" TargetMode="External"/><Relationship Id="rId79" Type="http://schemas.openxmlformats.org/officeDocument/2006/relationships/image" Target="media/image25.gif"/><Relationship Id="rId102" Type="http://schemas.openxmlformats.org/officeDocument/2006/relationships/hyperlink" Target="https://zakon.rada.gov.ua/laws/show/v1175874-18" TargetMode="External"/><Relationship Id="rId123" Type="http://schemas.openxmlformats.org/officeDocument/2006/relationships/hyperlink" Target="https://zakon-pro.ligazakon.net/document/GK59300?ed=2025_08_12&amp;an=147" TargetMode="External"/><Relationship Id="rId144" Type="http://schemas.openxmlformats.org/officeDocument/2006/relationships/hyperlink" Target="https://zakon-pro.ligazakon.net/document/GK59300?ed=2025_08_12&amp;an=156" TargetMode="External"/><Relationship Id="rId330" Type="http://schemas.openxmlformats.org/officeDocument/2006/relationships/hyperlink" Target="https://zakon.rada.gov.ua/laws/file/imgs/129/p478167n270-139.emf" TargetMode="External"/><Relationship Id="rId90" Type="http://schemas.openxmlformats.org/officeDocument/2006/relationships/hyperlink" Target="https://zakon.rada.gov.ua/laws/show/v1175874-18" TargetMode="External"/><Relationship Id="rId165" Type="http://schemas.openxmlformats.org/officeDocument/2006/relationships/hyperlink" Target="https://zakon.rada.gov.ua/laws/file/imgs/129/p478167n803-48.bmp" TargetMode="External"/><Relationship Id="rId186" Type="http://schemas.openxmlformats.org/officeDocument/2006/relationships/image" Target="media/image55.gif"/><Relationship Id="rId351" Type="http://schemas.openxmlformats.org/officeDocument/2006/relationships/image" Target="media/image93.gif"/><Relationship Id="rId372" Type="http://schemas.openxmlformats.org/officeDocument/2006/relationships/hyperlink" Target="https://zakon-pro.ligazakon.net/document/GK46684?ed=2020_08_26&amp;an=77" TargetMode="External"/><Relationship Id="rId393" Type="http://schemas.openxmlformats.org/officeDocument/2006/relationships/hyperlink" Target="https://zakon.rada.gov.ua/go/v0310874-18/ed20260326" TargetMode="External"/><Relationship Id="rId211" Type="http://schemas.openxmlformats.org/officeDocument/2006/relationships/image" Target="media/image66.gif"/><Relationship Id="rId232" Type="http://schemas.openxmlformats.org/officeDocument/2006/relationships/hyperlink" Target="https://zakon.rada.gov.ua/laws/file/imgs/129/p478167n597v1-114.emf" TargetMode="External"/><Relationship Id="rId253" Type="http://schemas.openxmlformats.org/officeDocument/2006/relationships/image" Target="media/image80.gif"/><Relationship Id="rId274" Type="http://schemas.openxmlformats.org/officeDocument/2006/relationships/hyperlink" Target="https://zakon-pro.ligazakon.net/document/GK52652?ed=2022_12_02&amp;an=67" TargetMode="External"/><Relationship Id="rId295" Type="http://schemas.openxmlformats.org/officeDocument/2006/relationships/hyperlink" Target="https://zakon-pro.ligazakon.net/document/GK57132?ed=2024_08_14&amp;an=144" TargetMode="External"/><Relationship Id="rId309" Type="http://schemas.openxmlformats.org/officeDocument/2006/relationships/hyperlink" Target="https://zakon-pro.ligazakon.net/document/GK52652?ed=2022_12_02&amp;an=40" TargetMode="External"/><Relationship Id="rId27" Type="http://schemas.openxmlformats.org/officeDocument/2006/relationships/hyperlink" Target="https://zakon-pro.ligazakon.net/document/GK46684?ed=2020_08_26&amp;an=78" TargetMode="External"/><Relationship Id="rId48" Type="http://schemas.openxmlformats.org/officeDocument/2006/relationships/hyperlink" Target="https://zakon-pro.ligazakon.net/document/GK45274?ed=2020_02_07&amp;an=40" TargetMode="External"/><Relationship Id="rId69" Type="http://schemas.openxmlformats.org/officeDocument/2006/relationships/image" Target="media/image21.gif"/><Relationship Id="rId113" Type="http://schemas.openxmlformats.org/officeDocument/2006/relationships/hyperlink" Target="https://zakon.rada.gov.ua/laws/show/v1175874-18" TargetMode="External"/><Relationship Id="rId134" Type="http://schemas.openxmlformats.org/officeDocument/2006/relationships/hyperlink" Target="https://zakon-pro.ligazakon.net/document/GK59300?ed=2025_08_12&amp;an=157" TargetMode="External"/><Relationship Id="rId320" Type="http://schemas.openxmlformats.org/officeDocument/2006/relationships/hyperlink" Target="https://zakon-pro.ligazakon.net/document/GK57132?ed=2024_08_14&amp;an=144" TargetMode="External"/><Relationship Id="rId80" Type="http://schemas.openxmlformats.org/officeDocument/2006/relationships/image" Target="media/image26.jpeg"/><Relationship Id="rId155" Type="http://schemas.openxmlformats.org/officeDocument/2006/relationships/image" Target="media/image43.jpeg"/><Relationship Id="rId176" Type="http://schemas.openxmlformats.org/officeDocument/2006/relationships/hyperlink" Target="https://zakon-pro.ligazakon.net/document/GK59300?ed=2025_08_12&amp;an=156" TargetMode="External"/><Relationship Id="rId197" Type="http://schemas.openxmlformats.org/officeDocument/2006/relationships/hyperlink" Target="https://zakon.rada.gov.ua/laws/show/v1175874-18" TargetMode="External"/><Relationship Id="rId341" Type="http://schemas.openxmlformats.org/officeDocument/2006/relationships/image" Target="media/image88.gif"/><Relationship Id="rId362" Type="http://schemas.openxmlformats.org/officeDocument/2006/relationships/image" Target="media/image98.gif"/><Relationship Id="rId383" Type="http://schemas.openxmlformats.org/officeDocument/2006/relationships/hyperlink" Target="https://zakon-pro.ligazakon.net/document/GK52652?ed=2022_12_02&amp;an=95" TargetMode="External"/><Relationship Id="rId201" Type="http://schemas.openxmlformats.org/officeDocument/2006/relationships/hyperlink" Target="https://zakon.rada.gov.ua/laws/file/imgs/129/p478167n529v7-77.emf" TargetMode="External"/><Relationship Id="rId222" Type="http://schemas.openxmlformats.org/officeDocument/2006/relationships/hyperlink" Target="https://zakon.rada.gov.ua/laws/file/imgs/129/p478167n594v2-109.bmp" TargetMode="External"/><Relationship Id="rId243" Type="http://schemas.openxmlformats.org/officeDocument/2006/relationships/hyperlink" Target="https://zakon-pro.ligazakon.net/document/GK59300?ed=2025_08_12&amp;an=193" TargetMode="External"/><Relationship Id="rId264" Type="http://schemas.openxmlformats.org/officeDocument/2006/relationships/hyperlink" Target="https://zakon.rada.gov.ua/laws/show/v0311874-18" TargetMode="External"/><Relationship Id="rId285" Type="http://schemas.openxmlformats.org/officeDocument/2006/relationships/hyperlink" Target="https://zakon-pro.ligazakon.net/document/GK52652?ed=2022_12_02&amp;an=40" TargetMode="External"/><Relationship Id="rId17" Type="http://schemas.openxmlformats.org/officeDocument/2006/relationships/hyperlink" Target="https://zakon-pro.ligazakon.net/document/GK57132?ed=2024_08_14&amp;an=151" TargetMode="External"/><Relationship Id="rId38" Type="http://schemas.openxmlformats.org/officeDocument/2006/relationships/image" Target="media/image16.gif"/><Relationship Id="rId59" Type="http://schemas.openxmlformats.org/officeDocument/2006/relationships/hyperlink" Target="https://zakon-pro.ligazakon.net/document/GK51735?ed=2022_07_12&amp;an=22" TargetMode="External"/><Relationship Id="rId103" Type="http://schemas.openxmlformats.org/officeDocument/2006/relationships/hyperlink" Target="https://zakon.rada.gov.ua/laws/show/z1431-15" TargetMode="External"/><Relationship Id="rId124" Type="http://schemas.openxmlformats.org/officeDocument/2006/relationships/hyperlink" Target="https://zakon-pro.ligazakon.net/document/GK59300?ed=2025_08_12&amp;an=148" TargetMode="External"/><Relationship Id="rId310" Type="http://schemas.openxmlformats.org/officeDocument/2006/relationships/hyperlink" Target="https://zakon-pro.ligazakon.net/document/GK59300?ed=2025_08_12&amp;an=174" TargetMode="External"/><Relationship Id="rId70" Type="http://schemas.openxmlformats.org/officeDocument/2006/relationships/hyperlink" Target="https://zakon.rada.gov.ua/laws/show/z1431-15" TargetMode="External"/><Relationship Id="rId91" Type="http://schemas.openxmlformats.org/officeDocument/2006/relationships/hyperlink" Target="https://zakon.rada.gov.ua/laws/show/v1175874-18" TargetMode="External"/><Relationship Id="rId145" Type="http://schemas.openxmlformats.org/officeDocument/2006/relationships/image" Target="media/image39.gif"/><Relationship Id="rId166" Type="http://schemas.openxmlformats.org/officeDocument/2006/relationships/image" Target="media/image48.gif"/><Relationship Id="rId187" Type="http://schemas.openxmlformats.org/officeDocument/2006/relationships/hyperlink" Target="https://zakon.rada.gov.ua/laws/file/imgs/129/p478167n528v2-71.bmp" TargetMode="External"/><Relationship Id="rId331" Type="http://schemas.openxmlformats.org/officeDocument/2006/relationships/image" Target="media/image83.gif"/><Relationship Id="rId352" Type="http://schemas.openxmlformats.org/officeDocument/2006/relationships/hyperlink" Target="https://zakon.rada.gov.ua/laws/file/imgs/129/p478167n278v4-150.emf" TargetMode="External"/><Relationship Id="rId373" Type="http://schemas.openxmlformats.org/officeDocument/2006/relationships/hyperlink" Target="https://zakon-pro.ligazakon.net/document/GK45274?ed=2020_02_07&amp;an=33" TargetMode="External"/><Relationship Id="rId394" Type="http://schemas.openxmlformats.org/officeDocument/2006/relationships/hyperlink" Target="https://zakon.rada.gov.ua/laws/show/v0311874-18" TargetMode="External"/><Relationship Id="rId1" Type="http://schemas.openxmlformats.org/officeDocument/2006/relationships/customXml" Target="../customXml/item1.xml"/><Relationship Id="rId212" Type="http://schemas.openxmlformats.org/officeDocument/2006/relationships/hyperlink" Target="https://zakon.rada.gov.ua/laws/file/imgs/129/p478167n590v2-104.bmp" TargetMode="External"/><Relationship Id="rId233" Type="http://schemas.openxmlformats.org/officeDocument/2006/relationships/image" Target="media/image77.gif"/><Relationship Id="rId254" Type="http://schemas.openxmlformats.org/officeDocument/2006/relationships/hyperlink" Target="https://zakon-pro.ligazakon.net/document/GK52652?ed=2022_12_02&amp;an=47" TargetMode="External"/><Relationship Id="rId28" Type="http://schemas.openxmlformats.org/officeDocument/2006/relationships/image" Target="media/image7.gif"/><Relationship Id="rId49" Type="http://schemas.openxmlformats.org/officeDocument/2006/relationships/hyperlink" Target="https://zakon-pro.ligazakon.net/document/GK38815?ed=2017_12_27&amp;an=4223" TargetMode="External"/><Relationship Id="rId114" Type="http://schemas.openxmlformats.org/officeDocument/2006/relationships/hyperlink" Target="https://zakon.rada.gov.ua/laws/show/v1175874-18" TargetMode="External"/><Relationship Id="rId275" Type="http://schemas.openxmlformats.org/officeDocument/2006/relationships/hyperlink" Target="https://zakon-pro.ligazakon.net/document/GK52652?ed=2022_12_02&amp;an=71" TargetMode="External"/><Relationship Id="rId296" Type="http://schemas.openxmlformats.org/officeDocument/2006/relationships/hyperlink" Target="https://zakon-pro.ligazakon.net/document/GK52652?ed=2022_12_02&amp;an=72" TargetMode="External"/><Relationship Id="rId300" Type="http://schemas.openxmlformats.org/officeDocument/2006/relationships/hyperlink" Target="https://zakon-pro.ligazakon.net/document/GK52652?ed=2022_12_02&amp;an=71" TargetMode="External"/><Relationship Id="rId60" Type="http://schemas.openxmlformats.org/officeDocument/2006/relationships/hyperlink" Target="https://zakon-pro.ligazakon.net/document/GK45274?ed=2020_02_07&amp;an=39" TargetMode="External"/><Relationship Id="rId81" Type="http://schemas.openxmlformats.org/officeDocument/2006/relationships/image" Target="media/image27.jpeg"/><Relationship Id="rId135" Type="http://schemas.openxmlformats.org/officeDocument/2006/relationships/image" Target="media/image35.gif"/><Relationship Id="rId156" Type="http://schemas.openxmlformats.org/officeDocument/2006/relationships/hyperlink" Target="https://zakon-pro.ligazakon.net/document/GK59300?ed=2025_08_12&amp;an=156" TargetMode="External"/><Relationship Id="rId177" Type="http://schemas.openxmlformats.org/officeDocument/2006/relationships/hyperlink" Target="https://zakon-pro.ligazakon.net/document/GK59300?ed=2025_08_12&amp;an=156" TargetMode="External"/><Relationship Id="rId198" Type="http://schemas.openxmlformats.org/officeDocument/2006/relationships/hyperlink" Target="https://zakon.rada.gov.ua/laws/file/imgs/129/p478167n529v7-76.emf" TargetMode="External"/><Relationship Id="rId321" Type="http://schemas.openxmlformats.org/officeDocument/2006/relationships/hyperlink" Target="https://zakon-pro.ligazakon.net/document/GK52652?ed=2022_12_02&amp;an=72" TargetMode="External"/><Relationship Id="rId342" Type="http://schemas.openxmlformats.org/officeDocument/2006/relationships/hyperlink" Target="https://zakon.rada.gov.ua/laws/file/imgs/129/p478167n275v1-145.emf" TargetMode="External"/><Relationship Id="rId363" Type="http://schemas.openxmlformats.org/officeDocument/2006/relationships/hyperlink" Target="https://zakon.rada.gov.ua/laws/file/imgs/129/p478167n278v4-155.emf" TargetMode="External"/><Relationship Id="rId384" Type="http://schemas.openxmlformats.org/officeDocument/2006/relationships/image" Target="media/image104.gif"/><Relationship Id="rId202" Type="http://schemas.openxmlformats.org/officeDocument/2006/relationships/image" Target="media/image62.gif"/><Relationship Id="rId223" Type="http://schemas.openxmlformats.org/officeDocument/2006/relationships/image" Target="media/image72.gif"/><Relationship Id="rId244" Type="http://schemas.openxmlformats.org/officeDocument/2006/relationships/hyperlink" Target="https://zakon-pro.ligazakon.net/document/GK57132?ed=2024_08_14&amp;an=144" TargetMode="External"/><Relationship Id="rId18" Type="http://schemas.openxmlformats.org/officeDocument/2006/relationships/image" Target="media/image2.gif"/><Relationship Id="rId39" Type="http://schemas.openxmlformats.org/officeDocument/2006/relationships/hyperlink" Target="https://zakon-pro.ligazakon.net/document/GK45274?ed=2020_02_07&amp;an=37" TargetMode="External"/><Relationship Id="rId265" Type="http://schemas.openxmlformats.org/officeDocument/2006/relationships/hyperlink" Target="https://zakon-pro.ligazakon.net/document/GK52652?ed=2022_12_02&amp;an=40" TargetMode="External"/><Relationship Id="rId286" Type="http://schemas.openxmlformats.org/officeDocument/2006/relationships/hyperlink" Target="https://zakon-pro.ligazakon.net/document/GK52652?ed=2022_12_02&amp;an=37" TargetMode="External"/><Relationship Id="rId50" Type="http://schemas.openxmlformats.org/officeDocument/2006/relationships/hyperlink" Target="https://zakon-pro.ligazakon.net/document/GK46684?ed=2020_08_26&amp;an=78" TargetMode="External"/><Relationship Id="rId104" Type="http://schemas.openxmlformats.org/officeDocument/2006/relationships/hyperlink" Target="https://zakon.rada.gov.ua/laws/show/v1175874-18" TargetMode="External"/><Relationship Id="rId125" Type="http://schemas.openxmlformats.org/officeDocument/2006/relationships/image" Target="media/image31.gif"/><Relationship Id="rId146" Type="http://schemas.openxmlformats.org/officeDocument/2006/relationships/image" Target="media/image40.gif"/><Relationship Id="rId167" Type="http://schemas.openxmlformats.org/officeDocument/2006/relationships/hyperlink" Target="https://zakon.rada.gov.ua/laws/file/imgs/129/p478167n803-49.bmp" TargetMode="External"/><Relationship Id="rId188" Type="http://schemas.openxmlformats.org/officeDocument/2006/relationships/image" Target="media/image56.gif"/><Relationship Id="rId311" Type="http://schemas.openxmlformats.org/officeDocument/2006/relationships/hyperlink" Target="https://zakon-pro.ligazakon.net/document/GK52652?ed=2022_12_02&amp;an=40" TargetMode="External"/><Relationship Id="rId332" Type="http://schemas.openxmlformats.org/officeDocument/2006/relationships/hyperlink" Target="https://zakon.rada.gov.ua/laws/file/imgs/129/p478167n271v3-140.bmp" TargetMode="External"/><Relationship Id="rId353" Type="http://schemas.openxmlformats.org/officeDocument/2006/relationships/image" Target="media/image94.gif"/><Relationship Id="rId374" Type="http://schemas.openxmlformats.org/officeDocument/2006/relationships/hyperlink" Target="https://zakon-pro.ligazakon.net/document/GK45274?ed=2020_02_07&amp;an=37" TargetMode="External"/><Relationship Id="rId395" Type="http://schemas.openxmlformats.org/officeDocument/2006/relationships/hyperlink" Target="https://zakon.rada.gov.ua/go/v0310874-18/ed20260326" TargetMode="External"/><Relationship Id="rId71" Type="http://schemas.openxmlformats.org/officeDocument/2006/relationships/hyperlink" Target="https://zakon.rada.gov.ua/laws/file/imgs/99/p478167n136v3-25.emf" TargetMode="External"/><Relationship Id="rId92" Type="http://schemas.openxmlformats.org/officeDocument/2006/relationships/hyperlink" Target="https://zakon.rada.gov.ua/laws/show/v1175874-18" TargetMode="External"/><Relationship Id="rId213" Type="http://schemas.openxmlformats.org/officeDocument/2006/relationships/image" Target="media/image67.gif"/><Relationship Id="rId234" Type="http://schemas.openxmlformats.org/officeDocument/2006/relationships/hyperlink" Target="https://zakon.rada.gov.ua/laws/file/imgs/129/p478167n597v1-115.emf" TargetMode="External"/><Relationship Id="rId2" Type="http://schemas.openxmlformats.org/officeDocument/2006/relationships/numbering" Target="numbering.xml"/><Relationship Id="rId29" Type="http://schemas.openxmlformats.org/officeDocument/2006/relationships/image" Target="media/image8.gif"/><Relationship Id="rId255" Type="http://schemas.openxmlformats.org/officeDocument/2006/relationships/hyperlink" Target="https://zakon-pro.ligazakon.net/document/GK52652?ed=2022_12_02&amp;an=67" TargetMode="External"/><Relationship Id="rId276" Type="http://schemas.openxmlformats.org/officeDocument/2006/relationships/hyperlink" Target="https://zakon-pro.ligazakon.net/document/GK52652?ed=2022_12_02&amp;an=72" TargetMode="External"/><Relationship Id="rId297" Type="http://schemas.openxmlformats.org/officeDocument/2006/relationships/hyperlink" Target="https://zakon-pro.ligazakon.net/document/GK57132?ed=2024_08_14&amp;an=144" TargetMode="External"/><Relationship Id="rId40" Type="http://schemas.openxmlformats.org/officeDocument/2006/relationships/image" Target="media/image17.gif"/><Relationship Id="rId115" Type="http://schemas.openxmlformats.org/officeDocument/2006/relationships/hyperlink" Target="https://zakon.rada.gov.ua/laws/show/v1175874-18" TargetMode="External"/><Relationship Id="rId136" Type="http://schemas.openxmlformats.org/officeDocument/2006/relationships/hyperlink" Target="https://zakon-pro.ligazakon.net/document/GK59300?ed=2025_08_12&amp;an=156" TargetMode="External"/><Relationship Id="rId157" Type="http://schemas.openxmlformats.org/officeDocument/2006/relationships/hyperlink" Target="https://zakon.rada.gov.ua/laws/file/imgs/129/p478167n799-42.bmp" TargetMode="External"/><Relationship Id="rId178" Type="http://schemas.openxmlformats.org/officeDocument/2006/relationships/hyperlink" Target="https://zakon-pro.ligazakon.net/document/GK59300?ed=2025_08_12&amp;an=156" TargetMode="External"/><Relationship Id="rId301" Type="http://schemas.openxmlformats.org/officeDocument/2006/relationships/hyperlink" Target="https://zakon-pro.ligazakon.net/document/GK52652?ed=2022_12_02&amp;an=67" TargetMode="External"/><Relationship Id="rId322" Type="http://schemas.openxmlformats.org/officeDocument/2006/relationships/hyperlink" Target="https://zakon-pro.ligazakon.net/document/GK57132?ed=2024_08_14&amp;an=144" TargetMode="External"/><Relationship Id="rId343" Type="http://schemas.openxmlformats.org/officeDocument/2006/relationships/image" Target="media/image89.gif"/><Relationship Id="rId364" Type="http://schemas.openxmlformats.org/officeDocument/2006/relationships/image" Target="media/image99.gif"/><Relationship Id="rId61" Type="http://schemas.openxmlformats.org/officeDocument/2006/relationships/hyperlink" Target="https://zakon-pro.ligazakon.net/document/GK45274?ed=2020_02_07&amp;an=40" TargetMode="External"/><Relationship Id="rId82" Type="http://schemas.openxmlformats.org/officeDocument/2006/relationships/image" Target="media/image28.jpeg"/><Relationship Id="rId199" Type="http://schemas.openxmlformats.org/officeDocument/2006/relationships/image" Target="media/image61.gif"/><Relationship Id="rId203" Type="http://schemas.openxmlformats.org/officeDocument/2006/relationships/hyperlink" Target="https://zakon.rada.gov.ua/laws/show/v1175874-18" TargetMode="External"/><Relationship Id="rId385" Type="http://schemas.openxmlformats.org/officeDocument/2006/relationships/hyperlink" Target="https://zakon.rada.gov.ua/laws/show/v1470874-17" TargetMode="External"/><Relationship Id="rId19" Type="http://schemas.openxmlformats.org/officeDocument/2006/relationships/image" Target="media/image3.gif"/><Relationship Id="rId224" Type="http://schemas.openxmlformats.org/officeDocument/2006/relationships/hyperlink" Target="https://zakon.rada.gov.ua/laws/file/imgs/129/p478167n596v2-110.bmp" TargetMode="External"/><Relationship Id="rId245" Type="http://schemas.openxmlformats.org/officeDocument/2006/relationships/hyperlink" Target="https://zakon-pro.ligazakon.net/document/GK52652?ed=2022_12_02&amp;an=72" TargetMode="External"/><Relationship Id="rId266" Type="http://schemas.openxmlformats.org/officeDocument/2006/relationships/hyperlink" Target="https://zakon-pro.ligazakon.net/document/GK59300?ed=2025_08_12&amp;an=174" TargetMode="External"/><Relationship Id="rId287" Type="http://schemas.openxmlformats.org/officeDocument/2006/relationships/hyperlink" Target="https://zakon-pro.ligazakon.net/document/GK52652?ed=2022_12_02&amp;an=39" TargetMode="External"/><Relationship Id="rId30" Type="http://schemas.openxmlformats.org/officeDocument/2006/relationships/image" Target="media/image9.gif"/><Relationship Id="rId105" Type="http://schemas.openxmlformats.org/officeDocument/2006/relationships/hyperlink" Target="https://zakon.rada.gov.ua/laws/show/v1175874-18" TargetMode="External"/><Relationship Id="rId126" Type="http://schemas.openxmlformats.org/officeDocument/2006/relationships/hyperlink" Target="https://zakon-pro.ligazakon.net/document/GK59300?ed=2025_08_12&amp;an=149" TargetMode="External"/><Relationship Id="rId147" Type="http://schemas.openxmlformats.org/officeDocument/2006/relationships/image" Target="media/image41.gif"/><Relationship Id="rId168" Type="http://schemas.openxmlformats.org/officeDocument/2006/relationships/image" Target="media/image49.gif"/><Relationship Id="rId312" Type="http://schemas.openxmlformats.org/officeDocument/2006/relationships/hyperlink" Target="https://zakon-pro.ligazakon.net/document/GK52652?ed=2022_12_02&amp;an=37" TargetMode="External"/><Relationship Id="rId333" Type="http://schemas.openxmlformats.org/officeDocument/2006/relationships/image" Target="media/image84.gif"/><Relationship Id="rId354" Type="http://schemas.openxmlformats.org/officeDocument/2006/relationships/hyperlink" Target="https://zakon.rada.gov.ua/laws/file/imgs/129/p478167n278v4-151.emf" TargetMode="External"/><Relationship Id="rId51" Type="http://schemas.openxmlformats.org/officeDocument/2006/relationships/hyperlink" Target="https://zakon-pro.ligazakon.net/document/GK46684?ed=2020_08_26&amp;an=78" TargetMode="External"/><Relationship Id="rId72" Type="http://schemas.openxmlformats.org/officeDocument/2006/relationships/image" Target="media/image22.gif"/><Relationship Id="rId93" Type="http://schemas.openxmlformats.org/officeDocument/2006/relationships/hyperlink" Target="https://zakon.rada.gov.ua/laws/show/v1175874-18" TargetMode="External"/><Relationship Id="rId189" Type="http://schemas.openxmlformats.org/officeDocument/2006/relationships/hyperlink" Target="https://zakon.rada.gov.ua/laws/file/imgs/129/p478167n529v7-72.emf" TargetMode="External"/><Relationship Id="rId375" Type="http://schemas.openxmlformats.org/officeDocument/2006/relationships/hyperlink" Target="https://zakon-pro.ligazakon.net/document/GK51735?ed=2022_07_12&amp;an=22" TargetMode="External"/><Relationship Id="rId396" Type="http://schemas.openxmlformats.org/officeDocument/2006/relationships/hyperlink" Target="https://zakon.rada.gov.ua/laws/show/v0311874-18" TargetMode="External"/><Relationship Id="rId3" Type="http://schemas.openxmlformats.org/officeDocument/2006/relationships/styles" Target="styles.xml"/><Relationship Id="rId214" Type="http://schemas.openxmlformats.org/officeDocument/2006/relationships/hyperlink" Target="https://zakon.rada.gov.ua/laws/file/imgs/129/p478167n591-105.emf" TargetMode="External"/><Relationship Id="rId235" Type="http://schemas.openxmlformats.org/officeDocument/2006/relationships/image" Target="media/image78.gif"/><Relationship Id="rId256" Type="http://schemas.openxmlformats.org/officeDocument/2006/relationships/hyperlink" Target="https://zakon-pro.ligazakon.net/document/GK52652?ed=2022_12_02&amp;an=71" TargetMode="External"/><Relationship Id="rId277" Type="http://schemas.openxmlformats.org/officeDocument/2006/relationships/hyperlink" Target="https://zakon-pro.ligazakon.net/document/GK57132?ed=2024_08_14&amp;an=144" TargetMode="External"/><Relationship Id="rId298" Type="http://schemas.openxmlformats.org/officeDocument/2006/relationships/hyperlink" Target="https://zakon-pro.ligazakon.net/document/GK52652?ed=2022_12_02&amp;an=72" TargetMode="External"/><Relationship Id="rId400" Type="http://schemas.openxmlformats.org/officeDocument/2006/relationships/theme" Target="theme/theme1.xml"/><Relationship Id="rId116" Type="http://schemas.openxmlformats.org/officeDocument/2006/relationships/hyperlink" Target="https://zakon.rada.gov.ua/laws/show/z1431-15" TargetMode="External"/><Relationship Id="rId137" Type="http://schemas.openxmlformats.org/officeDocument/2006/relationships/image" Target="media/image36.gif"/><Relationship Id="rId158" Type="http://schemas.openxmlformats.org/officeDocument/2006/relationships/image" Target="media/image44.gif"/><Relationship Id="rId302" Type="http://schemas.openxmlformats.org/officeDocument/2006/relationships/hyperlink" Target="https://zakon-pro.ligazakon.net/document/GK52652?ed=2022_12_02&amp;an=40" TargetMode="External"/><Relationship Id="rId323" Type="http://schemas.openxmlformats.org/officeDocument/2006/relationships/hyperlink" Target="https://zakon-pro.ligazakon.net/document/GK52652?ed=2022_12_02&amp;an=72" TargetMode="External"/><Relationship Id="rId344" Type="http://schemas.openxmlformats.org/officeDocument/2006/relationships/hyperlink" Target="https://zakon.rada.gov.ua/laws/file/imgs/129/p478167n275v1-146.emf" TargetMode="External"/><Relationship Id="rId20" Type="http://schemas.openxmlformats.org/officeDocument/2006/relationships/hyperlink" Target="https://zakon-pro.ligazakon.net/document/GK57132?ed=2024_08_14&amp;an=151" TargetMode="External"/><Relationship Id="rId41" Type="http://schemas.openxmlformats.org/officeDocument/2006/relationships/hyperlink" Target="https://zakon-pro.ligazakon.net/document/GK45274?ed=2020_02_07&amp;an=39" TargetMode="External"/><Relationship Id="rId62" Type="http://schemas.openxmlformats.org/officeDocument/2006/relationships/hyperlink" Target="https://zakon-pro.ligazakon.net/document/GK51735?ed=2022_07_12&amp;an=23" TargetMode="External"/><Relationship Id="rId83" Type="http://schemas.openxmlformats.org/officeDocument/2006/relationships/image" Target="media/image29.jpeg"/><Relationship Id="rId179" Type="http://schemas.openxmlformats.org/officeDocument/2006/relationships/image" Target="media/image53.png"/><Relationship Id="rId365" Type="http://schemas.openxmlformats.org/officeDocument/2006/relationships/hyperlink" Target="https://zakon.rada.gov.ua/laws/file/imgs/129/p478167n278v4-156.emf" TargetMode="External"/><Relationship Id="rId386" Type="http://schemas.openxmlformats.org/officeDocument/2006/relationships/hyperlink" Target="https://zakon.rada.gov.ua/laws/show/v1175874-18" TargetMode="External"/><Relationship Id="rId190" Type="http://schemas.openxmlformats.org/officeDocument/2006/relationships/image" Target="media/image57.gif"/><Relationship Id="rId204" Type="http://schemas.openxmlformats.org/officeDocument/2006/relationships/hyperlink" Target="https://zakon.rada.gov.ua/laws/file/imgs/129/p478167n529v7-78.emf" TargetMode="External"/><Relationship Id="rId225" Type="http://schemas.openxmlformats.org/officeDocument/2006/relationships/image" Target="media/image73.gif"/><Relationship Id="rId246" Type="http://schemas.openxmlformats.org/officeDocument/2006/relationships/hyperlink" Target="https://zakon-pro.ligazakon.net/document/GK52652?ed=2022_12_02&amp;an=40" TargetMode="External"/><Relationship Id="rId267" Type="http://schemas.openxmlformats.org/officeDocument/2006/relationships/hyperlink" Target="https://zakon-pro.ligazakon.net/document/GK52652?ed=2022_12_02&amp;an=40" TargetMode="External"/><Relationship Id="rId288" Type="http://schemas.openxmlformats.org/officeDocument/2006/relationships/hyperlink" Target="https://zakon-pro.ligazakon.net/document/GK52652?ed=2022_12_02&amp;an=41" TargetMode="External"/><Relationship Id="rId106" Type="http://schemas.openxmlformats.org/officeDocument/2006/relationships/hyperlink" Target="https://zakon.rada.gov.ua/laws/show/v1175874-18" TargetMode="External"/><Relationship Id="rId127" Type="http://schemas.openxmlformats.org/officeDocument/2006/relationships/image" Target="media/image32.gif"/><Relationship Id="rId313" Type="http://schemas.openxmlformats.org/officeDocument/2006/relationships/hyperlink" Target="https://zakon-pro.ligazakon.net/document/GK52652?ed=2022_12_02&amp;an=39" TargetMode="External"/><Relationship Id="rId10" Type="http://schemas.openxmlformats.org/officeDocument/2006/relationships/hyperlink" Target="https://zakon-pro.ligazakon.net/document/GK40721?ed=2024_10_22&amp;an=21" TargetMode="External"/><Relationship Id="rId31" Type="http://schemas.openxmlformats.org/officeDocument/2006/relationships/image" Target="media/image10.gif"/><Relationship Id="rId52" Type="http://schemas.openxmlformats.org/officeDocument/2006/relationships/hyperlink" Target="https://zakon-pro.ligazakon.net/document/GK45274?ed=2020_02_07&amp;an=33" TargetMode="External"/><Relationship Id="rId73" Type="http://schemas.openxmlformats.org/officeDocument/2006/relationships/hyperlink" Target="https://zakon.rada.gov.ua/laws/show/z1431-15" TargetMode="External"/><Relationship Id="rId94" Type="http://schemas.openxmlformats.org/officeDocument/2006/relationships/hyperlink" Target="https://zakon.rada.gov.ua/laws/show/z1431-15" TargetMode="External"/><Relationship Id="rId148" Type="http://schemas.openxmlformats.org/officeDocument/2006/relationships/hyperlink" Target="https://zakon-pro.ligazakon.net/document/GK59300?ed=2025_08_12&amp;an=172" TargetMode="External"/><Relationship Id="rId169" Type="http://schemas.openxmlformats.org/officeDocument/2006/relationships/hyperlink" Target="https://zakon.rada.gov.ua/laws/file/imgs/129/p478167n803-50.bmp" TargetMode="External"/><Relationship Id="rId334" Type="http://schemas.openxmlformats.org/officeDocument/2006/relationships/hyperlink" Target="https://zakon.rada.gov.ua/laws/file/imgs/129/p478167n272-141.emf" TargetMode="External"/><Relationship Id="rId355" Type="http://schemas.openxmlformats.org/officeDocument/2006/relationships/image" Target="media/image95.gif"/><Relationship Id="rId376" Type="http://schemas.openxmlformats.org/officeDocument/2006/relationships/hyperlink" Target="https://zakon-pro.ligazakon.net/document/GK45274?ed=2020_02_07&amp;an=39" TargetMode="External"/><Relationship Id="rId397" Type="http://schemas.openxmlformats.org/officeDocument/2006/relationships/header" Target="header1.xml"/><Relationship Id="rId4" Type="http://schemas.openxmlformats.org/officeDocument/2006/relationships/settings" Target="settings.xml"/><Relationship Id="rId180" Type="http://schemas.openxmlformats.org/officeDocument/2006/relationships/image" Target="media/image54.png"/><Relationship Id="rId215" Type="http://schemas.openxmlformats.org/officeDocument/2006/relationships/image" Target="media/image68.gif"/><Relationship Id="rId236" Type="http://schemas.openxmlformats.org/officeDocument/2006/relationships/hyperlink" Target="https://zakon.rada.gov.ua/laws/file/imgs/129/p478167n597v1-116.emf" TargetMode="External"/><Relationship Id="rId257" Type="http://schemas.openxmlformats.org/officeDocument/2006/relationships/hyperlink" Target="https://zakon-pro.ligazakon.net/document/GK52652?ed=2022_12_02&amp;an=72" TargetMode="External"/><Relationship Id="rId278" Type="http://schemas.openxmlformats.org/officeDocument/2006/relationships/hyperlink" Target="https://zakon-pro.ligazakon.net/document/GK52652?ed=2022_12_02&amp;an=72" TargetMode="External"/><Relationship Id="rId303" Type="http://schemas.openxmlformats.org/officeDocument/2006/relationships/hyperlink" Target="https://zakon-pro.ligazakon.net/document/GK59300?ed=2025_08_12&amp;an=174" TargetMode="External"/><Relationship Id="rId42" Type="http://schemas.openxmlformats.org/officeDocument/2006/relationships/image" Target="media/image18.gif"/><Relationship Id="rId84" Type="http://schemas.openxmlformats.org/officeDocument/2006/relationships/hyperlink" Target="https://zakon.rada.gov.ua/laws/show/v1175874-18" TargetMode="External"/><Relationship Id="rId138" Type="http://schemas.openxmlformats.org/officeDocument/2006/relationships/hyperlink" Target="https://zakon-pro.ligazakon.net/document/GK59300?ed=2025_08_12&amp;an=160" TargetMode="External"/><Relationship Id="rId345" Type="http://schemas.openxmlformats.org/officeDocument/2006/relationships/image" Target="media/image90.gif"/><Relationship Id="rId387" Type="http://schemas.openxmlformats.org/officeDocument/2006/relationships/hyperlink" Target="https://zakon-pro.ligazakon.net/document/GK52652?ed=2022_12_02&amp;an=95" TargetMode="External"/><Relationship Id="rId191" Type="http://schemas.openxmlformats.org/officeDocument/2006/relationships/hyperlink" Target="https://zakon.rada.gov.ua/laws/file/imgs/129/p478167n529v7-73.emf" TargetMode="External"/><Relationship Id="rId205" Type="http://schemas.openxmlformats.org/officeDocument/2006/relationships/image" Target="media/image63.gif"/><Relationship Id="rId247" Type="http://schemas.openxmlformats.org/officeDocument/2006/relationships/hyperlink" Target="https://zakon-pro.ligazakon.net/document/GK59300?ed=2025_08_12&amp;an=174" TargetMode="External"/><Relationship Id="rId107" Type="http://schemas.openxmlformats.org/officeDocument/2006/relationships/hyperlink" Target="https://zakon.rada.gov.ua/laws/show/v1175874-18" TargetMode="External"/><Relationship Id="rId289" Type="http://schemas.openxmlformats.org/officeDocument/2006/relationships/hyperlink" Target="https://zakon-pro.ligazakon.net/document/GK52652?ed=2022_12_02&amp;an=45" TargetMode="External"/><Relationship Id="rId11" Type="http://schemas.openxmlformats.org/officeDocument/2006/relationships/hyperlink" Target="https://zakon-pro.ligazakon.net/document/GK51968?ed=2022_08_16&amp;an=44" TargetMode="External"/><Relationship Id="rId53" Type="http://schemas.openxmlformats.org/officeDocument/2006/relationships/hyperlink" Target="https://zakon-pro.ligazakon.net/document/GK46684?ed=2020_08_26&amp;an=77" TargetMode="External"/><Relationship Id="rId149" Type="http://schemas.openxmlformats.org/officeDocument/2006/relationships/image" Target="media/image42.gif"/><Relationship Id="rId314" Type="http://schemas.openxmlformats.org/officeDocument/2006/relationships/hyperlink" Target="https://zakon-pro.ligazakon.net/document/GK52652?ed=2022_12_02&amp;an=41" TargetMode="External"/><Relationship Id="rId356" Type="http://schemas.openxmlformats.org/officeDocument/2006/relationships/hyperlink" Target="https://zakon.rada.gov.ua/laws/file/imgs/129/p478167n278v4-152.emf" TargetMode="External"/><Relationship Id="rId398" Type="http://schemas.openxmlformats.org/officeDocument/2006/relationships/footer" Target="footer1.xml"/><Relationship Id="rId95" Type="http://schemas.openxmlformats.org/officeDocument/2006/relationships/hyperlink" Target="https://zakon.rada.gov.ua/laws/show/v1175874-18" TargetMode="External"/><Relationship Id="rId160" Type="http://schemas.openxmlformats.org/officeDocument/2006/relationships/image" Target="media/image45.gif"/><Relationship Id="rId216" Type="http://schemas.openxmlformats.org/officeDocument/2006/relationships/hyperlink" Target="https://zakon.rada.gov.ua/laws/file/imgs/129/p478167n592v2-106.bmp" TargetMode="External"/><Relationship Id="rId258" Type="http://schemas.openxmlformats.org/officeDocument/2006/relationships/hyperlink" Target="https://zakon-pro.ligazakon.net/document/GK57132?ed=2024_08_14&amp;an=144" TargetMode="External"/><Relationship Id="rId22" Type="http://schemas.openxmlformats.org/officeDocument/2006/relationships/image" Target="media/image4.gif"/><Relationship Id="rId64" Type="http://schemas.openxmlformats.org/officeDocument/2006/relationships/hyperlink" Target="https://zakon.rada.gov.ua/laws/file/imgs/99/p478167n136v3-23.emf" TargetMode="External"/><Relationship Id="rId118" Type="http://schemas.openxmlformats.org/officeDocument/2006/relationships/hyperlink" Target="https://zakon.rada.gov.ua/laws/show/z1431-15" TargetMode="External"/><Relationship Id="rId325" Type="http://schemas.openxmlformats.org/officeDocument/2006/relationships/hyperlink" Target="https://zakon-pro.ligazakon.net/document/GK52652?ed=2022_12_02&amp;an=72" TargetMode="External"/><Relationship Id="rId367" Type="http://schemas.openxmlformats.org/officeDocument/2006/relationships/hyperlink" Target="https://zakon.rada.gov.ua/laws/file/imgs/129/p478167n278v4-157.emf" TargetMode="External"/><Relationship Id="rId171" Type="http://schemas.openxmlformats.org/officeDocument/2006/relationships/hyperlink" Target="https://zakon.rada.gov.ua/laws/file/imgs/129/p478167n803-51.bmp" TargetMode="External"/><Relationship Id="rId227" Type="http://schemas.openxmlformats.org/officeDocument/2006/relationships/image" Target="media/image74.gif"/><Relationship Id="rId269" Type="http://schemas.openxmlformats.org/officeDocument/2006/relationships/hyperlink" Target="https://zakon-pro.ligazakon.net/document/GK52652?ed=2022_12_02&amp;an=39" TargetMode="External"/><Relationship Id="rId33" Type="http://schemas.openxmlformats.org/officeDocument/2006/relationships/image" Target="media/image12.gif"/><Relationship Id="rId129" Type="http://schemas.openxmlformats.org/officeDocument/2006/relationships/hyperlink" Target="https://zakon-pro.ligazakon.net/document/GK59300?ed=2025_08_12&amp;an=151" TargetMode="External"/><Relationship Id="rId280" Type="http://schemas.openxmlformats.org/officeDocument/2006/relationships/hyperlink" Target="https://zakon-pro.ligazakon.net/document/GK59300?ed=2025_08_12&amp;an=174" TargetMode="External"/><Relationship Id="rId336" Type="http://schemas.openxmlformats.org/officeDocument/2006/relationships/hyperlink" Target="https://zakon.rada.gov.ua/laws/file/imgs/129/p478167n272-142.emf" TargetMode="External"/><Relationship Id="rId75" Type="http://schemas.openxmlformats.org/officeDocument/2006/relationships/image" Target="media/image23.gif"/><Relationship Id="rId140" Type="http://schemas.openxmlformats.org/officeDocument/2006/relationships/hyperlink" Target="https://zakon-pro.ligazakon.net/document/GK59300?ed=2025_08_12&amp;an=162" TargetMode="External"/><Relationship Id="rId182" Type="http://schemas.openxmlformats.org/officeDocument/2006/relationships/hyperlink" Target="https://zakon-pro.ligazakon.net/document/GK46990?ed=2020_10_21&amp;an=24" TargetMode="External"/><Relationship Id="rId378" Type="http://schemas.openxmlformats.org/officeDocument/2006/relationships/hyperlink" Target="https://zakon-pro.ligazakon.net/document/GK51735?ed=2022_07_12&amp;an=23" TargetMode="External"/><Relationship Id="rId6" Type="http://schemas.openxmlformats.org/officeDocument/2006/relationships/footnotes" Target="footnotes.xml"/><Relationship Id="rId238" Type="http://schemas.openxmlformats.org/officeDocument/2006/relationships/hyperlink" Target="https://zakon.rada.gov.ua/laws/show/v1470874-17" TargetMode="External"/><Relationship Id="rId291" Type="http://schemas.openxmlformats.org/officeDocument/2006/relationships/hyperlink" Target="https://zakon-pro.ligazakon.net/document/GK52652?ed=2022_12_02&amp;an=51" TargetMode="External"/><Relationship Id="rId305" Type="http://schemas.openxmlformats.org/officeDocument/2006/relationships/hyperlink" Target="https://zakon-pro.ligazakon.net/document/GK52652?ed=2022_12_02&amp;an=40" TargetMode="External"/><Relationship Id="rId347" Type="http://schemas.openxmlformats.org/officeDocument/2006/relationships/image" Target="media/image91.gif"/><Relationship Id="rId44" Type="http://schemas.openxmlformats.org/officeDocument/2006/relationships/hyperlink" Target="https://zakon-pro.ligazakon.net/document/GK45274?ed=2020_02_07&amp;an=39" TargetMode="External"/><Relationship Id="rId86" Type="http://schemas.openxmlformats.org/officeDocument/2006/relationships/hyperlink" Target="https://zakon.rada.gov.ua/laws/show/v1175874-18" TargetMode="External"/><Relationship Id="rId151" Type="http://schemas.openxmlformats.org/officeDocument/2006/relationships/hyperlink" Target="https://zakon-pro.ligazakon.net/document/GK59300?ed=2025_08_12&amp;an=147" TargetMode="External"/><Relationship Id="rId389" Type="http://schemas.openxmlformats.org/officeDocument/2006/relationships/hyperlink" Target="https://zakon.rada.gov.ua/laws/show/v1175874-18" TargetMode="External"/><Relationship Id="rId193" Type="http://schemas.openxmlformats.org/officeDocument/2006/relationships/hyperlink" Target="https://zakon.rada.gov.ua/laws/file/imgs/129/p478167n529v7-74.emf" TargetMode="External"/><Relationship Id="rId207" Type="http://schemas.openxmlformats.org/officeDocument/2006/relationships/image" Target="media/image64.png"/><Relationship Id="rId249" Type="http://schemas.openxmlformats.org/officeDocument/2006/relationships/hyperlink" Target="https://zakon-pro.ligazakon.net/document/GK52652?ed=2022_12_02&amp;an=37" TargetMode="External"/><Relationship Id="rId13" Type="http://schemas.openxmlformats.org/officeDocument/2006/relationships/hyperlink" Target="https://zakon.rada.gov.ua/laws/show/v0311874-18" TargetMode="External"/><Relationship Id="rId109" Type="http://schemas.openxmlformats.org/officeDocument/2006/relationships/hyperlink" Target="https://zakon.rada.gov.ua/laws/show/v1175874-18" TargetMode="External"/><Relationship Id="rId260" Type="http://schemas.openxmlformats.org/officeDocument/2006/relationships/hyperlink" Target="https://zakon-pro.ligazakon.net/document/GK52652?ed=2022_12_02&amp;an=67" TargetMode="External"/><Relationship Id="rId316" Type="http://schemas.openxmlformats.org/officeDocument/2006/relationships/hyperlink" Target="https://zakon-pro.ligazakon.net/document/GK52652?ed=2022_12_02&amp;an=47" TargetMode="External"/><Relationship Id="rId55" Type="http://schemas.openxmlformats.org/officeDocument/2006/relationships/hyperlink" Target="https://zakon-pro.ligazakon.net/document/GK46684?ed=2020_08_26&amp;an=78" TargetMode="External"/><Relationship Id="rId97" Type="http://schemas.openxmlformats.org/officeDocument/2006/relationships/hyperlink" Target="https://zakon.rada.gov.ua/laws/show/v1175874-18" TargetMode="External"/><Relationship Id="rId120" Type="http://schemas.openxmlformats.org/officeDocument/2006/relationships/hyperlink" Target="https://zakon-pro.ligazakon.net/document/GK59300?ed=2025_08_12&amp;an=145" TargetMode="External"/><Relationship Id="rId358" Type="http://schemas.openxmlformats.org/officeDocument/2006/relationships/hyperlink" Target="https://zakon.rada.gov.ua/laws/file/imgs/129/p478167n278v4-153.emf" TargetMode="External"/><Relationship Id="rId162" Type="http://schemas.openxmlformats.org/officeDocument/2006/relationships/image" Target="media/image46.gif"/><Relationship Id="rId218" Type="http://schemas.openxmlformats.org/officeDocument/2006/relationships/hyperlink" Target="https://zakon.rada.gov.ua/laws/file/imgs/129/p478167n592v2-107.bmp" TargetMode="External"/><Relationship Id="rId271" Type="http://schemas.openxmlformats.org/officeDocument/2006/relationships/hyperlink" Target="https://zakon-pro.ligazakon.net/document/GK52652?ed=2022_12_02&amp;an=45" TargetMode="External"/><Relationship Id="rId24" Type="http://schemas.openxmlformats.org/officeDocument/2006/relationships/image" Target="media/image5.gif"/><Relationship Id="rId66" Type="http://schemas.openxmlformats.org/officeDocument/2006/relationships/hyperlink" Target="https://zakon.rada.gov.ua/laws/show/v1175874-18" TargetMode="External"/><Relationship Id="rId131" Type="http://schemas.openxmlformats.org/officeDocument/2006/relationships/hyperlink" Target="https://zakon-pro.ligazakon.net/document/GK59300?ed=2025_08_12&amp;an=277" TargetMode="External"/><Relationship Id="rId327" Type="http://schemas.openxmlformats.org/officeDocument/2006/relationships/image" Target="media/image81.jpeg"/><Relationship Id="rId369" Type="http://schemas.openxmlformats.org/officeDocument/2006/relationships/hyperlink" Target="https://zakon.rada.gov.ua/laws/file/imgs/129/p478167n278v4-158.emf" TargetMode="External"/><Relationship Id="rId173" Type="http://schemas.openxmlformats.org/officeDocument/2006/relationships/hyperlink" Target="https://zakon.rada.gov.ua/laws/file/imgs/129/p478167n803-52.bmp" TargetMode="External"/><Relationship Id="rId229" Type="http://schemas.openxmlformats.org/officeDocument/2006/relationships/image" Target="media/image75.gif"/><Relationship Id="rId380" Type="http://schemas.openxmlformats.org/officeDocument/2006/relationships/hyperlink" Target="https://zakon.rada.gov.ua/laws/show/v0981874-17" TargetMode="External"/><Relationship Id="rId240" Type="http://schemas.openxmlformats.org/officeDocument/2006/relationships/hyperlink" Target="https://zakon-pro.ligazakon.net/document/GK54950?ed=2023_10_25&amp;an=23" TargetMode="External"/><Relationship Id="rId35" Type="http://schemas.openxmlformats.org/officeDocument/2006/relationships/hyperlink" Target="https://zakon-pro.ligazakon.net/document/GK45274?ed=2020_02_07&amp;an=33" TargetMode="External"/><Relationship Id="rId77" Type="http://schemas.openxmlformats.org/officeDocument/2006/relationships/image" Target="media/image24.gif"/><Relationship Id="rId100" Type="http://schemas.openxmlformats.org/officeDocument/2006/relationships/hyperlink" Target="https://zakon.rada.gov.ua/laws/show/v1175874-18" TargetMode="External"/><Relationship Id="rId282" Type="http://schemas.openxmlformats.org/officeDocument/2006/relationships/hyperlink" Target="https://zakon-pro.ligazakon.net/document/GK52652?ed=2022_12_02&amp;an=51" TargetMode="External"/><Relationship Id="rId338" Type="http://schemas.openxmlformats.org/officeDocument/2006/relationships/hyperlink" Target="https://zakon.rada.gov.ua/laws/file/imgs/129/p478167n273v3-143.bmp" TargetMode="External"/><Relationship Id="rId8" Type="http://schemas.openxmlformats.org/officeDocument/2006/relationships/hyperlink" Target="https://zakon-pro.ligazakon.net/document/GK51968?ed=2022_08_16&amp;an=44" TargetMode="External"/><Relationship Id="rId142" Type="http://schemas.openxmlformats.org/officeDocument/2006/relationships/hyperlink" Target="https://zakon-pro.ligazakon.net/document/GK59300?ed=2025_08_12&amp;an=166" TargetMode="External"/><Relationship Id="rId184" Type="http://schemas.openxmlformats.org/officeDocument/2006/relationships/hyperlink" Target="https://zakon-pro.ligazakon.net/document/GK46990?ed=2020_10_21&amp;an=24" TargetMode="External"/><Relationship Id="rId391" Type="http://schemas.openxmlformats.org/officeDocument/2006/relationships/hyperlink" Target="https://zakon.rada.gov.ua/laws/show/v1175874-18" TargetMode="External"/><Relationship Id="rId251" Type="http://schemas.openxmlformats.org/officeDocument/2006/relationships/hyperlink" Target="https://zakon-pro.ligazakon.net/document/GK52652?ed=2022_12_02&amp;an=41" TargetMode="External"/><Relationship Id="rId46" Type="http://schemas.openxmlformats.org/officeDocument/2006/relationships/image" Target="media/image19.gif"/><Relationship Id="rId293" Type="http://schemas.openxmlformats.org/officeDocument/2006/relationships/hyperlink" Target="https://zakon-pro.ligazakon.net/document/GK52652?ed=2022_12_02&amp;an=71" TargetMode="External"/><Relationship Id="rId307" Type="http://schemas.openxmlformats.org/officeDocument/2006/relationships/hyperlink" Target="https://zakon-pro.ligazakon.net/document/GK52652?ed=2022_12_02&amp;an=40" TargetMode="External"/><Relationship Id="rId349" Type="http://schemas.openxmlformats.org/officeDocument/2006/relationships/image" Target="media/image92.gif"/><Relationship Id="rId88" Type="http://schemas.openxmlformats.org/officeDocument/2006/relationships/hyperlink" Target="https://zakon.rada.gov.ua/laws/show/v1175874-18" TargetMode="External"/><Relationship Id="rId111" Type="http://schemas.openxmlformats.org/officeDocument/2006/relationships/hyperlink" Target="https://zakon.rada.gov.ua/laws/show/v1175874-18" TargetMode="External"/><Relationship Id="rId153" Type="http://schemas.openxmlformats.org/officeDocument/2006/relationships/hyperlink" Target="https://zakon-pro.ligazakon.net/document/GK59300?ed=2025_08_12&amp;an=152" TargetMode="External"/><Relationship Id="rId195" Type="http://schemas.openxmlformats.org/officeDocument/2006/relationships/hyperlink" Target="https://zakon.rada.gov.ua/laws/file/imgs/129/p478167n529v7-75.emf" TargetMode="External"/><Relationship Id="rId209" Type="http://schemas.openxmlformats.org/officeDocument/2006/relationships/image" Target="media/image65.gif"/><Relationship Id="rId360" Type="http://schemas.openxmlformats.org/officeDocument/2006/relationships/hyperlink" Target="https://zakon.rada.gov.ua/laws/show/v0981874-17" TargetMode="External"/><Relationship Id="rId220" Type="http://schemas.openxmlformats.org/officeDocument/2006/relationships/hyperlink" Target="https://zakon.rada.gov.ua/laws/file/imgs/129/p478167n593-108.emf" TargetMode="External"/><Relationship Id="rId15" Type="http://schemas.openxmlformats.org/officeDocument/2006/relationships/hyperlink" Target="https://zakon.rada.gov.ua/laws/show/v1175874-18" TargetMode="External"/><Relationship Id="rId57" Type="http://schemas.openxmlformats.org/officeDocument/2006/relationships/hyperlink" Target="https://zakon-pro.ligazakon.net/document/GK45274?ed=2020_02_07&amp;an=37" TargetMode="External"/><Relationship Id="rId262" Type="http://schemas.openxmlformats.org/officeDocument/2006/relationships/hyperlink" Target="https://zakon-pro.ligazakon.net/document/GK52652?ed=2022_12_02&amp;an=67" TargetMode="External"/><Relationship Id="rId318" Type="http://schemas.openxmlformats.org/officeDocument/2006/relationships/hyperlink" Target="https://zakon-pro.ligazakon.net/document/GK52652?ed=2022_12_02&amp;an=71" TargetMode="External"/><Relationship Id="rId99" Type="http://schemas.openxmlformats.org/officeDocument/2006/relationships/hyperlink" Target="https://zakon.rada.gov.ua/laws/show/v1175874-18" TargetMode="External"/><Relationship Id="rId122" Type="http://schemas.openxmlformats.org/officeDocument/2006/relationships/hyperlink" Target="https://zakon-pro.ligazakon.net/document/GK59300?ed=2025_08_12&amp;an=146" TargetMode="External"/><Relationship Id="rId164" Type="http://schemas.openxmlformats.org/officeDocument/2006/relationships/image" Target="media/image47.gif"/><Relationship Id="rId371" Type="http://schemas.openxmlformats.org/officeDocument/2006/relationships/hyperlink" Target="https://zakon.rada.gov.ua/laws/show/v0981874-17" TargetMode="External"/><Relationship Id="rId26" Type="http://schemas.openxmlformats.org/officeDocument/2006/relationships/image" Target="media/image6.gif"/><Relationship Id="rId231" Type="http://schemas.openxmlformats.org/officeDocument/2006/relationships/image" Target="media/image76.gif"/><Relationship Id="rId273" Type="http://schemas.openxmlformats.org/officeDocument/2006/relationships/hyperlink" Target="https://zakon-pro.ligazakon.net/document/GK52652?ed=2022_12_02&amp;an=51" TargetMode="External"/><Relationship Id="rId329" Type="http://schemas.openxmlformats.org/officeDocument/2006/relationships/image" Target="media/image82.gif"/><Relationship Id="rId68" Type="http://schemas.openxmlformats.org/officeDocument/2006/relationships/hyperlink" Target="https://zakon.rada.gov.ua/laws/file/imgs/99/p478167n136v3-24.emf" TargetMode="External"/><Relationship Id="rId133" Type="http://schemas.openxmlformats.org/officeDocument/2006/relationships/hyperlink" Target="https://zakon-pro.ligazakon.net/document/GK59300?ed=2025_08_12&amp;an=156" TargetMode="External"/><Relationship Id="rId175" Type="http://schemas.openxmlformats.org/officeDocument/2006/relationships/hyperlink" Target="https://zakon-pro.ligazakon.net/document/GK59300?ed=2025_08_12&amp;an=156" TargetMode="External"/><Relationship Id="rId340" Type="http://schemas.openxmlformats.org/officeDocument/2006/relationships/hyperlink" Target="https://zakon.rada.gov.ua/laws/file/imgs/129/p478167n274v3-144.bmp" TargetMode="External"/><Relationship Id="rId200" Type="http://schemas.openxmlformats.org/officeDocument/2006/relationships/hyperlink" Target="https://zakon.rada.gov.ua/laws/show/v1175874-18" TargetMode="External"/><Relationship Id="rId382" Type="http://schemas.openxmlformats.org/officeDocument/2006/relationships/image" Target="media/image103.gif"/><Relationship Id="rId242" Type="http://schemas.openxmlformats.org/officeDocument/2006/relationships/hyperlink" Target="https://zakon-pro.ligazakon.net/document/GK57132?ed=2024_08_14&amp;an=144" TargetMode="External"/><Relationship Id="rId284" Type="http://schemas.openxmlformats.org/officeDocument/2006/relationships/hyperlink" Target="https://zakon-pro.ligazakon.net/document/GK59300?ed=2025_08_12&amp;an=17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D748D-E666-4127-94CD-F030EC49A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196</Pages>
  <Words>386710</Words>
  <Characters>220425</Characters>
  <Application>Microsoft Office Word</Application>
  <DocSecurity>0</DocSecurity>
  <Lines>1836</Lines>
  <Paragraphs>1211</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605924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Вадим Ландар</dc:creator>
  <cp:keywords/>
  <dc:description/>
  <cp:lastModifiedBy>Вадим Ландар</cp:lastModifiedBy>
  <cp:revision>3</cp:revision>
  <dcterms:created xsi:type="dcterms:W3CDTF">2026-08-07T13:54:00Z</dcterms:created>
  <dcterms:modified xsi:type="dcterms:W3CDTF">2026-08-07T13:54:00Z</dcterms:modified>
</cp:coreProperties>
</file>