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48528" w14:textId="77777777" w:rsidR="00992E46" w:rsidRPr="00AE1E78" w:rsidRDefault="00135205" w:rsidP="00C14E3D">
      <w:pPr>
        <w:spacing w:after="0" w:line="240" w:lineRule="auto"/>
        <w:jc w:val="center"/>
        <w:rPr>
          <w:rFonts w:ascii="Times New Roman" w:hAnsi="Times New Roman" w:cs="Times New Roman"/>
          <w:b/>
          <w:sz w:val="28"/>
          <w:szCs w:val="28"/>
        </w:rPr>
      </w:pPr>
      <w:bookmarkStart w:id="0" w:name="n281"/>
      <w:bookmarkEnd w:id="0"/>
      <w:r w:rsidRPr="00AE1E78">
        <w:rPr>
          <w:rFonts w:ascii="Times New Roman" w:eastAsia="Times New Roman" w:hAnsi="Times New Roman" w:cs="Times New Roman"/>
          <w:b/>
          <w:bCs/>
          <w:sz w:val="28"/>
          <w:szCs w:val="28"/>
          <w:lang w:eastAsia="uk-UA"/>
        </w:rPr>
        <w:t>УЗАГАЛЬНЕНІ ЗАУВАЖЕННЯ</w:t>
      </w:r>
      <w:r w:rsidRPr="00AE1E78">
        <w:rPr>
          <w:rFonts w:ascii="Times New Roman" w:eastAsia="Times New Roman" w:hAnsi="Times New Roman" w:cs="Times New Roman"/>
          <w:sz w:val="28"/>
          <w:szCs w:val="28"/>
          <w:lang w:eastAsia="uk-UA"/>
        </w:rPr>
        <w:br/>
      </w:r>
      <w:r w:rsidRPr="00AE1E78">
        <w:rPr>
          <w:rFonts w:ascii="Times New Roman" w:eastAsia="Times New Roman" w:hAnsi="Times New Roman" w:cs="Times New Roman"/>
          <w:b/>
          <w:bCs/>
          <w:sz w:val="28"/>
          <w:szCs w:val="28"/>
          <w:lang w:eastAsia="uk-UA"/>
        </w:rPr>
        <w:t xml:space="preserve">та пропозиції до </w:t>
      </w:r>
      <w:proofErr w:type="spellStart"/>
      <w:r w:rsidRPr="00AE1E78">
        <w:rPr>
          <w:rFonts w:ascii="Times New Roman" w:eastAsia="Times New Roman" w:hAnsi="Times New Roman" w:cs="Times New Roman"/>
          <w:b/>
          <w:bCs/>
          <w:sz w:val="28"/>
          <w:szCs w:val="28"/>
          <w:lang w:eastAsia="uk-UA"/>
        </w:rPr>
        <w:t>проекту</w:t>
      </w:r>
      <w:proofErr w:type="spellEnd"/>
      <w:r w:rsidRPr="00AE1E78">
        <w:rPr>
          <w:rFonts w:ascii="Times New Roman" w:eastAsia="Times New Roman" w:hAnsi="Times New Roman" w:cs="Times New Roman"/>
          <w:b/>
          <w:bCs/>
          <w:sz w:val="28"/>
          <w:szCs w:val="28"/>
          <w:lang w:eastAsia="uk-UA"/>
        </w:rPr>
        <w:t xml:space="preserve"> рішення НКРЕКП, що має ознаки регуляторного акта, - </w:t>
      </w:r>
      <w:r w:rsidRPr="00AE1E78">
        <w:rPr>
          <w:rFonts w:ascii="Times New Roman" w:hAnsi="Times New Roman" w:cs="Times New Roman"/>
          <w:b/>
          <w:sz w:val="28"/>
          <w:szCs w:val="28"/>
        </w:rPr>
        <w:t xml:space="preserve">постанови НКРЕКП </w:t>
      </w:r>
      <w:r w:rsidR="00FD763B" w:rsidRPr="00AE1E78">
        <w:rPr>
          <w:rFonts w:ascii="Times New Roman" w:hAnsi="Times New Roman" w:cs="Times New Roman"/>
          <w:b/>
          <w:sz w:val="28"/>
          <w:szCs w:val="28"/>
        </w:rPr>
        <w:t>«</w:t>
      </w:r>
      <w:r w:rsidR="00B006D7" w:rsidRPr="00AE1E78">
        <w:rPr>
          <w:rFonts w:ascii="Times New Roman" w:eastAsia="Times New Roman" w:hAnsi="Times New Roman" w:cs="Times New Roman"/>
          <w:b/>
          <w:sz w:val="28"/>
          <w:szCs w:val="28"/>
        </w:rPr>
        <w:t>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00FD763B" w:rsidRPr="00AE1E78">
        <w:rPr>
          <w:rFonts w:ascii="Times New Roman" w:hAnsi="Times New Roman" w:cs="Times New Roman"/>
          <w:b/>
          <w:sz w:val="28"/>
          <w:szCs w:val="28"/>
        </w:rPr>
        <w:t>»</w:t>
      </w:r>
      <w:r w:rsidR="00CD0B24" w:rsidRPr="00AE1E78">
        <w:rPr>
          <w:rFonts w:ascii="Times New Roman" w:hAnsi="Times New Roman" w:cs="Times New Roman"/>
          <w:b/>
          <w:sz w:val="28"/>
          <w:szCs w:val="28"/>
        </w:rPr>
        <w:t xml:space="preserve"> (далі – Проєкт постанови)</w:t>
      </w:r>
    </w:p>
    <w:tbl>
      <w:tblPr>
        <w:tblStyle w:val="a3"/>
        <w:tblW w:w="15310" w:type="dxa"/>
        <w:tblInd w:w="-289" w:type="dxa"/>
        <w:tblLayout w:type="fixed"/>
        <w:tblLook w:val="04A0" w:firstRow="1" w:lastRow="0" w:firstColumn="1" w:lastColumn="0" w:noHBand="0" w:noVBand="1"/>
      </w:tblPr>
      <w:tblGrid>
        <w:gridCol w:w="6305"/>
        <w:gridCol w:w="6306"/>
        <w:gridCol w:w="2699"/>
      </w:tblGrid>
      <w:tr w:rsidR="00AE1E78" w:rsidRPr="00AE1E78" w14:paraId="7D05E83F" w14:textId="77777777" w:rsidTr="00CF620A">
        <w:tc>
          <w:tcPr>
            <w:tcW w:w="6305" w:type="dxa"/>
            <w:vAlign w:val="center"/>
          </w:tcPr>
          <w:p w14:paraId="5E453D73" w14:textId="77777777" w:rsidR="00135205" w:rsidRPr="00AE1E78" w:rsidRDefault="00135205" w:rsidP="00C14E3D">
            <w:pPr>
              <w:jc w:val="center"/>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Редакція проєкту рішення НКРЕКП</w:t>
            </w:r>
          </w:p>
          <w:p w14:paraId="2153509A" w14:textId="77777777" w:rsidR="00135205" w:rsidRPr="00AE1E78" w:rsidRDefault="00135205" w:rsidP="00C14E3D">
            <w:pPr>
              <w:jc w:val="center"/>
              <w:rPr>
                <w:rFonts w:ascii="Times New Roman" w:hAnsi="Times New Roman" w:cs="Times New Roman"/>
                <w:b/>
                <w:bCs/>
                <w:iCs/>
                <w:sz w:val="24"/>
                <w:szCs w:val="24"/>
                <w:lang w:val="uk-UA"/>
              </w:rPr>
            </w:pPr>
          </w:p>
        </w:tc>
        <w:tc>
          <w:tcPr>
            <w:tcW w:w="6306" w:type="dxa"/>
            <w:vAlign w:val="center"/>
          </w:tcPr>
          <w:p w14:paraId="1447E609" w14:textId="77777777" w:rsidR="00135205" w:rsidRPr="00AE1E78" w:rsidRDefault="00135205" w:rsidP="00C14E3D">
            <w:pPr>
              <w:jc w:val="center"/>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Зауваження та пропозиції</w:t>
            </w:r>
          </w:p>
          <w:p w14:paraId="2550A2B1" w14:textId="77777777" w:rsidR="00135205" w:rsidRPr="00AE1E78" w:rsidRDefault="00135205" w:rsidP="00C14E3D">
            <w:pPr>
              <w:jc w:val="center"/>
              <w:rPr>
                <w:rFonts w:ascii="Times New Roman" w:hAnsi="Times New Roman" w:cs="Times New Roman"/>
                <w:b/>
                <w:bCs/>
                <w:iCs/>
                <w:sz w:val="24"/>
                <w:szCs w:val="24"/>
                <w:lang w:val="uk-UA"/>
              </w:rPr>
            </w:pPr>
            <w:r w:rsidRPr="00AE1E78">
              <w:rPr>
                <w:rFonts w:ascii="Times New Roman" w:hAnsi="Times New Roman" w:cs="Times New Roman"/>
                <w:b/>
                <w:bCs/>
                <w:iCs/>
                <w:sz w:val="24"/>
                <w:szCs w:val="24"/>
                <w:shd w:val="clear" w:color="auto" w:fill="FFFFFF"/>
                <w:lang w:val="uk-UA"/>
              </w:rPr>
              <w:t>до проєкту рішення НКРЕКП</w:t>
            </w:r>
          </w:p>
        </w:tc>
        <w:tc>
          <w:tcPr>
            <w:tcW w:w="2699" w:type="dxa"/>
            <w:vAlign w:val="center"/>
          </w:tcPr>
          <w:p w14:paraId="217E155A" w14:textId="77777777" w:rsidR="00135205" w:rsidRPr="00AE1E78" w:rsidRDefault="00135205" w:rsidP="00C14E3D">
            <w:pPr>
              <w:jc w:val="center"/>
              <w:rPr>
                <w:rFonts w:ascii="Times New Roman" w:hAnsi="Times New Roman" w:cs="Times New Roman"/>
                <w:b/>
                <w:bCs/>
                <w:iCs/>
                <w:sz w:val="24"/>
                <w:szCs w:val="24"/>
                <w:lang w:val="uk-UA"/>
              </w:rPr>
            </w:pPr>
            <w:r w:rsidRPr="00AE1E78">
              <w:rPr>
                <w:rFonts w:ascii="Times New Roman" w:eastAsia="Times New Roman" w:hAnsi="Times New Roman" w:cs="Times New Roman"/>
                <w:b/>
                <w:sz w:val="24"/>
                <w:szCs w:val="24"/>
                <w:lang w:val="uk-UA" w:eastAsia="uk-UA"/>
              </w:rPr>
              <w:t>Попередня позиція НКРЕКП щодо наданих зауважень та пропозицій з обґрунтуваннями щодо прийняття або відхилення</w:t>
            </w:r>
          </w:p>
        </w:tc>
      </w:tr>
      <w:tr w:rsidR="00AE1E78" w:rsidRPr="00AE1E78" w14:paraId="41CEEFA7" w14:textId="77777777" w:rsidTr="00CF620A">
        <w:trPr>
          <w:trHeight w:val="1034"/>
        </w:trPr>
        <w:tc>
          <w:tcPr>
            <w:tcW w:w="15310" w:type="dxa"/>
            <w:gridSpan w:val="3"/>
            <w:vAlign w:val="center"/>
          </w:tcPr>
          <w:p w14:paraId="66ABAED2" w14:textId="77777777" w:rsidR="004C5FFA" w:rsidRPr="00AE1E78" w:rsidRDefault="004C5FFA" w:rsidP="00C14E3D">
            <w:pPr>
              <w:jc w:val="center"/>
              <w:rPr>
                <w:rFonts w:ascii="Times New Roman" w:hAnsi="Times New Roman" w:cs="Times New Roman"/>
                <w:b/>
                <w:sz w:val="24"/>
                <w:szCs w:val="20"/>
                <w:lang w:val="uk-UA"/>
              </w:rPr>
            </w:pPr>
            <w:r w:rsidRPr="00AE1E78">
              <w:rPr>
                <w:rFonts w:ascii="Times New Roman" w:hAnsi="Times New Roman" w:cs="Times New Roman"/>
                <w:b/>
                <w:sz w:val="24"/>
                <w:szCs w:val="20"/>
                <w:lang w:val="uk-UA"/>
              </w:rPr>
              <w:t>Методика</w:t>
            </w:r>
          </w:p>
          <w:p w14:paraId="635EAAE5" w14:textId="77777777" w:rsidR="00295C7A" w:rsidRPr="00AE1E78" w:rsidRDefault="004C5FFA" w:rsidP="00C14E3D">
            <w:pPr>
              <w:jc w:val="center"/>
              <w:rPr>
                <w:rFonts w:ascii="Times New Roman" w:eastAsia="Times New Roman" w:hAnsi="Times New Roman" w:cs="Times New Roman"/>
                <w:b/>
                <w:sz w:val="28"/>
                <w:szCs w:val="28"/>
                <w:lang w:val="uk-UA" w:eastAsia="uk-UA"/>
              </w:rPr>
            </w:pPr>
            <w:r w:rsidRPr="00AE1E78">
              <w:rPr>
                <w:rFonts w:ascii="Times New Roman" w:hAnsi="Times New Roman" w:cs="Times New Roman"/>
                <w:b/>
                <w:sz w:val="24"/>
                <w:szCs w:val="20"/>
                <w:lang w:val="uk-UA"/>
              </w:rPr>
              <w:t>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(постанова НКРЕКП від 30.09.2015  № 2517)</w:t>
            </w:r>
          </w:p>
        </w:tc>
      </w:tr>
      <w:tr w:rsidR="00AE1E78" w:rsidRPr="00AE1E78" w14:paraId="5AE40A54" w14:textId="77777777" w:rsidTr="00CF620A">
        <w:trPr>
          <w:trHeight w:val="273"/>
        </w:trPr>
        <w:tc>
          <w:tcPr>
            <w:tcW w:w="15310" w:type="dxa"/>
            <w:gridSpan w:val="3"/>
            <w:vAlign w:val="center"/>
          </w:tcPr>
          <w:p w14:paraId="3ACCB90D" w14:textId="77777777" w:rsidR="00943ECE" w:rsidRPr="00AE1E78" w:rsidRDefault="00B006D7" w:rsidP="00C14E3D">
            <w:pPr>
              <w:jc w:val="center"/>
              <w:rPr>
                <w:rFonts w:ascii="Times New Roman" w:hAnsi="Times New Roman" w:cs="Times New Roman"/>
                <w:b/>
                <w:sz w:val="24"/>
                <w:szCs w:val="20"/>
              </w:rPr>
            </w:pPr>
            <w:r w:rsidRPr="00AE1E78">
              <w:rPr>
                <w:rFonts w:ascii="Times New Roman" w:hAnsi="Times New Roman" w:cs="Times New Roman"/>
                <w:b/>
                <w:sz w:val="24"/>
                <w:szCs w:val="20"/>
                <w:lang w:val="uk-UA"/>
              </w:rPr>
              <w:t>V. Визначення регуляторної бази активів, яка створена після переходу до стимулюючого регулювання</w:t>
            </w:r>
          </w:p>
        </w:tc>
      </w:tr>
      <w:tr w:rsidR="00AE1E78" w:rsidRPr="00AE1E78" w14:paraId="4E5C6C67" w14:textId="77777777" w:rsidTr="00CF620A">
        <w:tc>
          <w:tcPr>
            <w:tcW w:w="6305" w:type="dxa"/>
          </w:tcPr>
          <w:p w14:paraId="796D13DA" w14:textId="77777777" w:rsidR="00146CA4" w:rsidRPr="00AE1E78" w:rsidRDefault="00146CA4" w:rsidP="00146CA4">
            <w:pPr>
              <w:jc w:val="both"/>
              <w:rPr>
                <w:rFonts w:ascii="Times New Roman" w:hAnsi="Times New Roman" w:cs="Times New Roman"/>
                <w:lang w:val="uk-UA"/>
              </w:rPr>
            </w:pPr>
          </w:p>
          <w:p w14:paraId="689F7C24" w14:textId="77777777" w:rsidR="00146CA4" w:rsidRPr="00AE1E78" w:rsidRDefault="00146CA4" w:rsidP="00146CA4">
            <w:pPr>
              <w:jc w:val="both"/>
              <w:rPr>
                <w:rFonts w:ascii="Times New Roman" w:hAnsi="Times New Roman" w:cs="Times New Roman"/>
                <w:b/>
                <w:bCs/>
                <w:lang w:val="uk-UA"/>
              </w:rPr>
            </w:pPr>
            <w:r w:rsidRPr="00AE1E78">
              <w:rPr>
                <w:rFonts w:ascii="Times New Roman" w:hAnsi="Times New Roman" w:cs="Times New Roman"/>
                <w:lang w:val="uk-UA"/>
              </w:rPr>
              <w:t>4. Амортизація на активи, які включені до складу регуляторної бази активів, що створена після переходу до стимулюючого регулювання, нараховується із застосуванням прямолінійного методу щокварталу з урахуванням строків їх корисного використання згідно з </w:t>
            </w:r>
            <w:r w:rsidRPr="00AE1E78">
              <w:rPr>
                <w:rFonts w:ascii="Times New Roman" w:hAnsi="Times New Roman" w:cs="Times New Roman"/>
                <w:b/>
                <w:bCs/>
                <w:lang w:val="uk-UA"/>
              </w:rPr>
              <w:t>додатком 10</w:t>
            </w:r>
            <w:r w:rsidRPr="00AE1E78">
              <w:rPr>
                <w:rFonts w:ascii="Times New Roman" w:hAnsi="Times New Roman" w:cs="Times New Roman"/>
                <w:lang w:val="uk-UA"/>
              </w:rPr>
              <w:t> до цієї Методики.</w:t>
            </w:r>
          </w:p>
        </w:tc>
        <w:tc>
          <w:tcPr>
            <w:tcW w:w="6306" w:type="dxa"/>
          </w:tcPr>
          <w:p w14:paraId="496A6B49" w14:textId="77777777" w:rsidR="00146CA4" w:rsidRPr="00AE1E78" w:rsidRDefault="00146CA4" w:rsidP="00AE1E78">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12A2B32D" w14:textId="77777777" w:rsidR="00146CA4" w:rsidRPr="00AE1E78" w:rsidRDefault="00146CA4" w:rsidP="00AE1E78">
            <w:pPr>
              <w:tabs>
                <w:tab w:val="left" w:pos="1470"/>
              </w:tabs>
              <w:ind w:firstLine="530"/>
              <w:jc w:val="both"/>
              <w:rPr>
                <w:rFonts w:ascii="Times New Roman" w:hAnsi="Times New Roman" w:cs="Times New Roman"/>
                <w:b/>
                <w:iCs/>
                <w:strike/>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4. Амортизація на активи, які включені до складу регуляторної бази активів, що створена після переходу до стимулюючого регулювання, нараховується із застосуванням прямолінійного методу </w:t>
            </w:r>
            <w:r w:rsidRPr="00AE1E78">
              <w:rPr>
                <w:rFonts w:ascii="Times New Roman" w:hAnsi="Times New Roman" w:cs="Times New Roman"/>
                <w:bCs/>
                <w:iCs/>
                <w:strike/>
                <w:sz w:val="24"/>
                <w:szCs w:val="24"/>
                <w:shd w:val="clear" w:color="auto" w:fill="FFFFFF"/>
                <w:lang w:val="uk-UA"/>
              </w:rPr>
              <w:t>щокварталу</w:t>
            </w:r>
            <w:r w:rsidRPr="00AE1E78">
              <w:rPr>
                <w:rFonts w:ascii="Times New Roman" w:hAnsi="Times New Roman" w:cs="Times New Roman"/>
                <w:bCs/>
                <w:iCs/>
                <w:sz w:val="24"/>
                <w:szCs w:val="24"/>
                <w:shd w:val="clear" w:color="auto" w:fill="FFFFFF"/>
                <w:lang w:val="uk-UA"/>
              </w:rPr>
              <w:t xml:space="preserve"> </w:t>
            </w:r>
            <w:r w:rsidRPr="00AE1E78">
              <w:rPr>
                <w:rFonts w:ascii="Times New Roman" w:hAnsi="Times New Roman" w:cs="Times New Roman"/>
                <w:b/>
                <w:iCs/>
                <w:sz w:val="24"/>
                <w:szCs w:val="24"/>
                <w:shd w:val="clear" w:color="auto" w:fill="FFFFFF"/>
                <w:lang w:val="uk-UA"/>
              </w:rPr>
              <w:t>щомісяця</w:t>
            </w:r>
            <w:r w:rsidRPr="00AE1E78">
              <w:rPr>
                <w:rFonts w:ascii="Times New Roman" w:hAnsi="Times New Roman" w:cs="Times New Roman"/>
                <w:bCs/>
                <w:iCs/>
                <w:sz w:val="24"/>
                <w:szCs w:val="24"/>
                <w:shd w:val="clear" w:color="auto" w:fill="FFFFFF"/>
                <w:lang w:val="uk-UA"/>
              </w:rPr>
              <w:t xml:space="preserve"> з урахуванням строків їх корисного використання.</w:t>
            </w:r>
            <w:r w:rsidRPr="00AE1E78">
              <w:rPr>
                <w:rFonts w:ascii="Times New Roman" w:hAnsi="Times New Roman" w:cs="Times New Roman"/>
                <w:b/>
                <w:iCs/>
                <w:strike/>
                <w:sz w:val="24"/>
                <w:szCs w:val="24"/>
                <w:shd w:val="clear" w:color="auto" w:fill="FFFFFF"/>
                <w:lang w:val="uk-UA"/>
              </w:rPr>
              <w:t>, згідно з додатком 10 до цієї Методики.</w:t>
            </w:r>
          </w:p>
          <w:p w14:paraId="06C08F28" w14:textId="77777777" w:rsidR="00146CA4" w:rsidRPr="00AE1E78" w:rsidRDefault="00146CA4" w:rsidP="00AE1E78">
            <w:pPr>
              <w:tabs>
                <w:tab w:val="left" w:pos="1470"/>
              </w:tabs>
              <w:ind w:firstLine="530"/>
              <w:jc w:val="both"/>
              <w:rPr>
                <w:rFonts w:ascii="Times New Roman" w:hAnsi="Times New Roman" w:cs="Times New Roman"/>
                <w:b/>
                <w:bCs/>
                <w:iCs/>
                <w:strike/>
                <w:sz w:val="24"/>
                <w:szCs w:val="24"/>
                <w:shd w:val="clear" w:color="auto" w:fill="FFFFFF"/>
                <w:lang w:val="uk-UA"/>
              </w:rPr>
            </w:pPr>
          </w:p>
          <w:p w14:paraId="2440A1C9" w14:textId="77777777" w:rsidR="00146CA4" w:rsidRPr="00AE1E78" w:rsidRDefault="00146CA4" w:rsidP="00AE1E78">
            <w:pPr>
              <w:tabs>
                <w:tab w:val="left" w:pos="1470"/>
              </w:tabs>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r w:rsidR="00AE1E78">
              <w:rPr>
                <w:rFonts w:ascii="Times New Roman" w:hAnsi="Times New Roman" w:cs="Times New Roman"/>
                <w:b/>
                <w:iCs/>
                <w:sz w:val="24"/>
                <w:szCs w:val="24"/>
                <w:u w:val="single"/>
                <w:shd w:val="clear" w:color="auto" w:fill="FFFFFF"/>
                <w:lang w:val="uk-UA"/>
              </w:rPr>
              <w:t>:</w:t>
            </w:r>
          </w:p>
          <w:p w14:paraId="5E8B74F5" w14:textId="77777777" w:rsidR="00AE1E78" w:rsidRDefault="00146CA4" w:rsidP="00AE1E78">
            <w:pPr>
              <w:tabs>
                <w:tab w:val="left" w:pos="1470"/>
              </w:tabs>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Пропонуємо </w:t>
            </w:r>
            <w:r w:rsidRPr="00AE1E78">
              <w:rPr>
                <w:rFonts w:ascii="Times New Roman" w:hAnsi="Times New Roman" w:cs="Times New Roman"/>
                <w:b/>
                <w:iCs/>
                <w:sz w:val="24"/>
                <w:szCs w:val="24"/>
                <w:shd w:val="clear" w:color="auto" w:fill="FFFFFF"/>
                <w:lang w:val="uk-UA"/>
              </w:rPr>
              <w:t>виключити з пункту 4 слова «згідно з додатком 10 до цієї Методики»</w:t>
            </w:r>
            <w:r w:rsidRPr="00AE1E78">
              <w:rPr>
                <w:rFonts w:ascii="Times New Roman" w:hAnsi="Times New Roman" w:cs="Times New Roman"/>
                <w:bCs/>
                <w:iCs/>
                <w:sz w:val="24"/>
                <w:szCs w:val="24"/>
                <w:shd w:val="clear" w:color="auto" w:fill="FFFFFF"/>
                <w:lang w:val="uk-UA"/>
              </w:rPr>
              <w:t xml:space="preserve"> та передбачити нарахування амортизації на активи, які включені до складу регуляторної бази активів, щомісяця.</w:t>
            </w:r>
          </w:p>
          <w:p w14:paraId="2712CC26" w14:textId="77777777" w:rsidR="00146CA4" w:rsidRPr="00AE1E78" w:rsidRDefault="00146CA4" w:rsidP="00AE1E78">
            <w:pPr>
              <w:tabs>
                <w:tab w:val="left" w:pos="1470"/>
              </w:tabs>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Вважаємо недоцільним встановлення на рівні Методики визначеного переліку груп активів та строків їх корисного використання для цілей нарахування амортизації активів, включених до регуляторної бази активів, адже, відповідно до вимог Національного положення (стандарту) </w:t>
            </w:r>
            <w:r w:rsidRPr="00AE1E78">
              <w:rPr>
                <w:rFonts w:ascii="Times New Roman" w:hAnsi="Times New Roman" w:cs="Times New Roman"/>
                <w:bCs/>
                <w:iCs/>
                <w:sz w:val="24"/>
                <w:szCs w:val="24"/>
                <w:shd w:val="clear" w:color="auto" w:fill="FFFFFF"/>
                <w:lang w:val="uk-UA"/>
              </w:rPr>
              <w:lastRenderedPageBreak/>
              <w:t>бухгалтерського обліку 7 «Основні засоби» (далі</w:t>
            </w:r>
            <w:r w:rsidRPr="00AE1E78">
              <w:rPr>
                <w:rFonts w:ascii="Times New Roman" w:hAnsi="Times New Roman" w:cs="Times New Roman"/>
                <w:b/>
                <w:iCs/>
                <w:sz w:val="24"/>
                <w:szCs w:val="24"/>
                <w:u w:val="single"/>
                <w:shd w:val="clear" w:color="auto" w:fill="FFFFFF"/>
                <w:lang w:val="uk-UA"/>
              </w:rPr>
              <w:t xml:space="preserve"> - </w:t>
            </w:r>
            <w:r w:rsidRPr="00AE1E78">
              <w:rPr>
                <w:rFonts w:ascii="Times New Roman" w:hAnsi="Times New Roman" w:cs="Times New Roman"/>
                <w:bCs/>
                <w:iCs/>
                <w:sz w:val="24"/>
                <w:szCs w:val="24"/>
                <w:shd w:val="clear" w:color="auto" w:fill="FFFFFF"/>
                <w:lang w:val="uk-UA"/>
              </w:rPr>
              <w:t>НП(С)БО 7), строк корисного</w:t>
            </w:r>
            <w:r w:rsidRPr="00AE1E78">
              <w:rPr>
                <w:rFonts w:ascii="Times New Roman" w:hAnsi="Times New Roman" w:cs="Times New Roman"/>
                <w:b/>
                <w:iCs/>
                <w:sz w:val="24"/>
                <w:szCs w:val="24"/>
                <w:u w:val="single"/>
                <w:shd w:val="clear" w:color="auto" w:fill="FFFFFF"/>
                <w:lang w:val="uk-UA"/>
              </w:rPr>
              <w:t xml:space="preserve"> </w:t>
            </w:r>
            <w:r w:rsidRPr="00AE1E78">
              <w:rPr>
                <w:rFonts w:ascii="Times New Roman" w:hAnsi="Times New Roman" w:cs="Times New Roman"/>
                <w:bCs/>
                <w:iCs/>
                <w:sz w:val="24"/>
                <w:szCs w:val="24"/>
                <w:shd w:val="clear" w:color="auto" w:fill="FFFFFF"/>
                <w:lang w:val="uk-UA"/>
              </w:rPr>
              <w:t>використання об’єкта основних засобів визначається підприємством самостійно з урахуванням очікуваного способу використання активу, його фізичного та морального зносу, правових чи інших обмежень щодо строків використання активу та інших факторів. Аналогічний підхід застосовується і Міжнародним стандартом бухгалтерського обліку 16 «Основні засоби» (далі - МСБО 16), відповідно до якого строк корисного використання характеристикою активу є індивідуальною та визначається підприємством на підставі професійного судження з урахуванням особливостей експлуатації.</w:t>
            </w:r>
          </w:p>
          <w:p w14:paraId="172E8BEC" w14:textId="77777777" w:rsidR="00146CA4" w:rsidRPr="00AE1E78" w:rsidRDefault="00146CA4" w:rsidP="00AE1E78">
            <w:pPr>
              <w:tabs>
                <w:tab w:val="left" w:pos="1470"/>
              </w:tabs>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
                <w:iCs/>
                <w:sz w:val="24"/>
                <w:szCs w:val="24"/>
                <w:shd w:val="clear" w:color="auto" w:fill="FFFFFF"/>
                <w:lang w:val="uk-UA"/>
              </w:rPr>
              <w:t>У ТОВ «Оператор ГТС України» строки корисного використання об'єктів основних засобів визначаються відповідно до Компонентного класифікатора основних засобів,</w:t>
            </w:r>
            <w:r w:rsidRPr="00AE1E78">
              <w:rPr>
                <w:rFonts w:ascii="Times New Roman" w:hAnsi="Times New Roman" w:cs="Times New Roman"/>
                <w:bCs/>
                <w:iCs/>
                <w:sz w:val="24"/>
                <w:szCs w:val="24"/>
                <w:shd w:val="clear" w:color="auto" w:fill="FFFFFF"/>
                <w:lang w:val="uk-UA"/>
              </w:rPr>
              <w:t xml:space="preserve"> затвердженого наказом від 22.11.2019 № 258 (далі – Класифікатор), яким встановлено мінімальні строки використання активів з урахуванням галузевих вимог та особливостей функціонування об'єктів газотранспортної системи. Визначені строки корисного використання фіксуються у внутрішніх нормативних затверджуються документах відповідними та наказами Товариства. </w:t>
            </w:r>
          </w:p>
          <w:p w14:paraId="6FBAA676" w14:textId="77777777" w:rsidR="00146CA4" w:rsidRPr="00AE1E78" w:rsidRDefault="00146CA4" w:rsidP="00AE1E78">
            <w:pPr>
              <w:tabs>
                <w:tab w:val="left" w:pos="1470"/>
              </w:tabs>
              <w:ind w:firstLine="530"/>
              <w:jc w:val="both"/>
              <w:rPr>
                <w:rFonts w:ascii="Times New Roman" w:hAnsi="Times New Roman" w:cs="Times New Roman"/>
                <w:b/>
                <w:iCs/>
                <w:sz w:val="24"/>
                <w:szCs w:val="24"/>
                <w:shd w:val="clear" w:color="auto" w:fill="FFFFFF"/>
                <w:lang w:val="uk-UA"/>
              </w:rPr>
            </w:pPr>
            <w:r w:rsidRPr="00AE1E78">
              <w:rPr>
                <w:rFonts w:ascii="Times New Roman" w:hAnsi="Times New Roman" w:cs="Times New Roman"/>
                <w:b/>
                <w:iCs/>
                <w:sz w:val="24"/>
                <w:szCs w:val="24"/>
                <w:shd w:val="clear" w:color="auto" w:fill="FFFFFF"/>
                <w:lang w:val="uk-UA"/>
              </w:rPr>
              <w:t>У зв'язку з цим, встановлення обов'язкових строків корисного використання активів виключно на підставі додатка 10 не враховує галузевих особливостей експлуатації об'єктів газотранспортної системи та специфіки окремих видів активів.</w:t>
            </w:r>
          </w:p>
          <w:p w14:paraId="6690F2E1" w14:textId="77777777" w:rsidR="00AE1E78" w:rsidRDefault="00146CA4" w:rsidP="00AE1E78">
            <w:pPr>
              <w:tabs>
                <w:tab w:val="left" w:pos="1470"/>
              </w:tabs>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Детальне обґрунтування щодо необхідності перегляду структури додатка 10, зокрема застосування примірного переліку груп активів та примірних строків їх корисного використання, наведено в обґрунтуваннях до відповідних</w:t>
            </w:r>
            <w:r w:rsidRPr="00AE1E78">
              <w:rPr>
                <w:rFonts w:ascii="Times New Roman" w:hAnsi="Times New Roman" w:cs="Times New Roman"/>
                <w:b/>
                <w:iCs/>
                <w:sz w:val="24"/>
                <w:szCs w:val="24"/>
                <w:u w:val="single"/>
                <w:shd w:val="clear" w:color="auto" w:fill="FFFFFF"/>
                <w:lang w:val="uk-UA"/>
              </w:rPr>
              <w:t xml:space="preserve"> </w:t>
            </w:r>
            <w:r w:rsidRPr="00AE1E78">
              <w:rPr>
                <w:rFonts w:ascii="Times New Roman" w:hAnsi="Times New Roman" w:cs="Times New Roman"/>
                <w:bCs/>
                <w:iCs/>
                <w:sz w:val="24"/>
                <w:szCs w:val="24"/>
                <w:shd w:val="clear" w:color="auto" w:fill="FFFFFF"/>
                <w:lang w:val="uk-UA"/>
              </w:rPr>
              <w:t>змін до додатка 10 (</w:t>
            </w:r>
            <w:proofErr w:type="spellStart"/>
            <w:r w:rsidRPr="00AE1E78">
              <w:rPr>
                <w:rFonts w:ascii="Times New Roman" w:hAnsi="Times New Roman" w:cs="Times New Roman"/>
                <w:bCs/>
                <w:iCs/>
                <w:sz w:val="24"/>
                <w:szCs w:val="24"/>
                <w:shd w:val="clear" w:color="auto" w:fill="FFFFFF"/>
                <w:lang w:val="uk-UA"/>
              </w:rPr>
              <w:t>стор</w:t>
            </w:r>
            <w:proofErr w:type="spellEnd"/>
            <w:r w:rsidRPr="00AE1E78">
              <w:rPr>
                <w:rFonts w:ascii="Times New Roman" w:hAnsi="Times New Roman" w:cs="Times New Roman"/>
                <w:bCs/>
                <w:iCs/>
                <w:sz w:val="24"/>
                <w:szCs w:val="24"/>
                <w:shd w:val="clear" w:color="auto" w:fill="FFFFFF"/>
                <w:lang w:val="uk-UA"/>
              </w:rPr>
              <w:t>. 6).</w:t>
            </w:r>
          </w:p>
          <w:p w14:paraId="61C27EDF" w14:textId="77777777" w:rsidR="00AE1E78" w:rsidRDefault="00146CA4" w:rsidP="00AE1E78">
            <w:pPr>
              <w:tabs>
                <w:tab w:val="left" w:pos="1470"/>
              </w:tabs>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lastRenderedPageBreak/>
              <w:t>Окремо зазначаємо, що нарахування амортизації щомісяця відповідає вимогам національних та міжнародних стандартів</w:t>
            </w:r>
            <w:r w:rsidRPr="00AE1E78">
              <w:rPr>
                <w:rFonts w:ascii="Times New Roman" w:hAnsi="Times New Roman" w:cs="Times New Roman"/>
                <w:b/>
                <w:iCs/>
                <w:sz w:val="24"/>
                <w:szCs w:val="24"/>
                <w:u w:val="single"/>
                <w:shd w:val="clear" w:color="auto" w:fill="FFFFFF"/>
                <w:lang w:val="uk-UA"/>
              </w:rPr>
              <w:t xml:space="preserve"> </w:t>
            </w:r>
            <w:r w:rsidRPr="00AE1E78">
              <w:rPr>
                <w:rFonts w:ascii="Times New Roman" w:hAnsi="Times New Roman" w:cs="Times New Roman"/>
                <w:bCs/>
                <w:iCs/>
                <w:sz w:val="24"/>
                <w:szCs w:val="24"/>
                <w:shd w:val="clear" w:color="auto" w:fill="FFFFFF"/>
                <w:lang w:val="uk-UA"/>
              </w:rPr>
              <w:t>бухгалтерського обліку, а також забезпечує узгодженість регуляторного обліку з бухгалтерським обліком Товариства.</w:t>
            </w:r>
          </w:p>
          <w:p w14:paraId="7D8A28BE" w14:textId="77777777" w:rsidR="00146CA4" w:rsidRPr="00AE1E78" w:rsidRDefault="00146CA4" w:rsidP="00AE1E78">
            <w:pPr>
              <w:tabs>
                <w:tab w:val="left" w:pos="1470"/>
              </w:tabs>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bCs/>
                <w:iCs/>
                <w:sz w:val="24"/>
                <w:szCs w:val="24"/>
                <w:shd w:val="clear" w:color="auto" w:fill="FFFFFF"/>
                <w:lang w:val="uk-UA"/>
              </w:rPr>
              <w:t>З огляду на викладене, пропонуємо виключити посилання на додаток 10 та передбачити нарахування амортизації щомісяця з урахуванням строків корисного використання активів</w:t>
            </w:r>
            <w:r w:rsidRPr="00AE1E78">
              <w:rPr>
                <w:rFonts w:ascii="Times New Roman" w:hAnsi="Times New Roman" w:cs="Times New Roman"/>
                <w:bCs/>
                <w:iCs/>
                <w:sz w:val="24"/>
                <w:szCs w:val="24"/>
                <w:shd w:val="clear" w:color="auto" w:fill="FFFFFF"/>
                <w:lang w:val="uk-UA"/>
              </w:rPr>
              <w:t>, що визначаються відповідно до Класифікатора, яким встановлено мінімальні строки використання активів з урахуванням галузевих вимог та особливостей експлуатації об'єктів газотранспортної системи.</w:t>
            </w:r>
          </w:p>
        </w:tc>
        <w:tc>
          <w:tcPr>
            <w:tcW w:w="2699" w:type="dxa"/>
          </w:tcPr>
          <w:p w14:paraId="384A0B44" w14:textId="77777777" w:rsidR="0039150C" w:rsidRPr="00603120" w:rsidRDefault="0039150C" w:rsidP="0039150C">
            <w:pPr>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lastRenderedPageBreak/>
              <w:t>Попередньо відхилено</w:t>
            </w:r>
          </w:p>
          <w:p w14:paraId="0B9F0E7E" w14:textId="77777777" w:rsidR="00253FC0" w:rsidRPr="00FA0E2E" w:rsidRDefault="00253FC0" w:rsidP="00253FC0">
            <w:pPr>
              <w:tabs>
                <w:tab w:val="left" w:pos="1470"/>
              </w:tabs>
              <w:ind w:firstLine="530"/>
              <w:jc w:val="both"/>
              <w:rPr>
                <w:rFonts w:ascii="Times New Roman" w:hAnsi="Times New Roman" w:cs="Times New Roman"/>
                <w:bCs/>
                <w:iCs/>
                <w:sz w:val="24"/>
                <w:szCs w:val="24"/>
                <w:shd w:val="clear" w:color="auto" w:fill="FFFFFF"/>
                <w:lang w:val="uk-UA"/>
              </w:rPr>
            </w:pPr>
            <w:r w:rsidRPr="00FA0E2E">
              <w:rPr>
                <w:rFonts w:ascii="Times New Roman" w:hAnsi="Times New Roman" w:cs="Times New Roman"/>
                <w:bCs/>
                <w:iCs/>
                <w:sz w:val="24"/>
                <w:szCs w:val="24"/>
                <w:shd w:val="clear" w:color="auto" w:fill="FFFFFF"/>
                <w:lang w:val="uk-UA"/>
              </w:rPr>
              <w:t>Періодичність нарахування амортизації в бухгалтерському обліку не визначає порядок її врахування для цілей тарифоутворення.</w:t>
            </w:r>
          </w:p>
          <w:p w14:paraId="6FFBA2A1" w14:textId="77777777" w:rsidR="004834B8" w:rsidRPr="00FA0E2E" w:rsidRDefault="004834B8" w:rsidP="004834B8">
            <w:pPr>
              <w:ind w:firstLine="567"/>
              <w:jc w:val="both"/>
              <w:rPr>
                <w:rFonts w:ascii="Times New Roman" w:hAnsi="Times New Roman" w:cs="Times New Roman"/>
                <w:sz w:val="28"/>
                <w:szCs w:val="28"/>
                <w:lang w:val="uk-UA"/>
              </w:rPr>
            </w:pPr>
            <w:r w:rsidRPr="00FA0E2E">
              <w:rPr>
                <w:rFonts w:ascii="Times New Roman" w:hAnsi="Times New Roman" w:cs="Times New Roman"/>
                <w:iCs/>
                <w:sz w:val="24"/>
                <w:szCs w:val="24"/>
                <w:shd w:val="clear" w:color="auto" w:fill="FFFFFF"/>
                <w:lang w:val="uk-UA"/>
              </w:rPr>
              <w:t>Передбачена Методикою</w:t>
            </w:r>
            <w:r w:rsidR="007B5EEF" w:rsidRPr="00FA0E2E">
              <w:rPr>
                <w:rFonts w:ascii="Times New Roman" w:hAnsi="Times New Roman" w:cs="Times New Roman"/>
                <w:iCs/>
                <w:sz w:val="24"/>
                <w:szCs w:val="24"/>
                <w:shd w:val="clear" w:color="auto" w:fill="FFFFFF"/>
                <w:lang w:val="uk-UA"/>
              </w:rPr>
              <w:t xml:space="preserve"> деталізаці</w:t>
            </w:r>
            <w:r w:rsidRPr="00FA0E2E">
              <w:rPr>
                <w:rFonts w:ascii="Times New Roman" w:hAnsi="Times New Roman" w:cs="Times New Roman"/>
                <w:iCs/>
                <w:sz w:val="24"/>
                <w:szCs w:val="24"/>
                <w:shd w:val="clear" w:color="auto" w:fill="FFFFFF"/>
                <w:lang w:val="uk-UA"/>
              </w:rPr>
              <w:t>я</w:t>
            </w:r>
            <w:r w:rsidR="007B5EEF" w:rsidRPr="00FA0E2E">
              <w:rPr>
                <w:rFonts w:ascii="Times New Roman" w:hAnsi="Times New Roman" w:cs="Times New Roman"/>
                <w:iCs/>
                <w:sz w:val="24"/>
                <w:szCs w:val="24"/>
                <w:shd w:val="clear" w:color="auto" w:fill="FFFFFF"/>
                <w:lang w:val="uk-UA"/>
              </w:rPr>
              <w:t xml:space="preserve"> груп активів забезпечує прозорість формування амортизаційних відрахувань, чіткість та уніфікованість класифікації активів, а також</w:t>
            </w:r>
            <w:r w:rsidRPr="00FA0E2E">
              <w:rPr>
                <w:rFonts w:ascii="Times New Roman" w:hAnsi="Times New Roman" w:cs="Times New Roman"/>
                <w:iCs/>
                <w:sz w:val="24"/>
                <w:szCs w:val="24"/>
                <w:shd w:val="clear" w:color="auto" w:fill="FFFFFF"/>
                <w:lang w:val="uk-UA"/>
              </w:rPr>
              <w:t xml:space="preserve"> </w:t>
            </w:r>
            <w:proofErr w:type="spellStart"/>
            <w:r w:rsidRPr="00FA0E2E">
              <w:rPr>
                <w:rFonts w:ascii="Times New Roman" w:hAnsi="Times New Roman" w:cs="Times New Roman"/>
                <w:iCs/>
                <w:sz w:val="24"/>
                <w:szCs w:val="24"/>
                <w:shd w:val="clear" w:color="auto" w:fill="FFFFFF"/>
                <w:lang w:val="uk-UA"/>
              </w:rPr>
              <w:t>зіставність</w:t>
            </w:r>
            <w:proofErr w:type="spellEnd"/>
            <w:r w:rsidRPr="00FA0E2E">
              <w:rPr>
                <w:rFonts w:ascii="Times New Roman" w:hAnsi="Times New Roman" w:cs="Times New Roman"/>
                <w:iCs/>
                <w:sz w:val="24"/>
                <w:szCs w:val="24"/>
                <w:shd w:val="clear" w:color="auto" w:fill="FFFFFF"/>
                <w:lang w:val="uk-UA"/>
              </w:rPr>
              <w:t xml:space="preserve"> інформації між </w:t>
            </w:r>
            <w:r w:rsidRPr="00FA0E2E">
              <w:rPr>
                <w:rFonts w:ascii="Times New Roman" w:hAnsi="Times New Roman" w:cs="Times New Roman"/>
                <w:iCs/>
                <w:sz w:val="24"/>
                <w:szCs w:val="24"/>
                <w:shd w:val="clear" w:color="auto" w:fill="FFFFFF"/>
                <w:lang w:val="uk-UA"/>
              </w:rPr>
              <w:lastRenderedPageBreak/>
              <w:t xml:space="preserve">регуляторними періодами та можливість перевірки зміни вартості регуляторної бази активів унаслідок введення активів в експлуатацію, їх вибуття та нарахування амортизації. </w:t>
            </w:r>
          </w:p>
          <w:p w14:paraId="239AF6CC" w14:textId="77777777" w:rsidR="007B5EEF" w:rsidRPr="009F3ECE" w:rsidRDefault="004834B8" w:rsidP="004834B8">
            <w:pPr>
              <w:tabs>
                <w:tab w:val="left" w:pos="1470"/>
              </w:tabs>
              <w:jc w:val="both"/>
              <w:rPr>
                <w:rFonts w:ascii="Times New Roman" w:hAnsi="Times New Roman" w:cs="Times New Roman"/>
                <w:iCs/>
                <w:sz w:val="24"/>
                <w:szCs w:val="24"/>
                <w:shd w:val="clear" w:color="auto" w:fill="FFFFFF"/>
                <w:lang w:val="uk-UA"/>
              </w:rPr>
            </w:pPr>
            <w:r w:rsidRPr="00FA0E2E">
              <w:rPr>
                <w:rFonts w:ascii="Times New Roman" w:hAnsi="Times New Roman" w:cs="Times New Roman"/>
                <w:iCs/>
                <w:sz w:val="24"/>
                <w:szCs w:val="24"/>
                <w:shd w:val="clear" w:color="auto" w:fill="FFFFFF"/>
                <w:lang w:val="uk-UA"/>
              </w:rPr>
              <w:t>Крім того, у</w:t>
            </w:r>
            <w:r w:rsidR="007B5EEF" w:rsidRPr="00FA0E2E">
              <w:rPr>
                <w:rFonts w:ascii="Times New Roman" w:hAnsi="Times New Roman" w:cs="Times New Roman"/>
                <w:iCs/>
                <w:sz w:val="24"/>
                <w:szCs w:val="24"/>
                <w:shd w:val="clear" w:color="auto" w:fill="FFFFFF"/>
                <w:lang w:val="uk-UA"/>
              </w:rPr>
              <w:t xml:space="preserve">крупнення груп активів та запровадження примірних строків їх корисного використання зменшуватиме деталізацію відповідної інформації та може призвести до варіативності підходів до класифікації активів і визначення строків їх амортизації, що ускладнюватиме забезпечення послідовності та </w:t>
            </w:r>
            <w:proofErr w:type="spellStart"/>
            <w:r w:rsidR="007B5EEF" w:rsidRPr="00FA0E2E">
              <w:rPr>
                <w:rFonts w:ascii="Times New Roman" w:hAnsi="Times New Roman" w:cs="Times New Roman"/>
                <w:iCs/>
                <w:sz w:val="24"/>
                <w:szCs w:val="24"/>
                <w:shd w:val="clear" w:color="auto" w:fill="FFFFFF"/>
                <w:lang w:val="uk-UA"/>
              </w:rPr>
              <w:t>зіставності</w:t>
            </w:r>
            <w:proofErr w:type="spellEnd"/>
            <w:r w:rsidR="007B5EEF" w:rsidRPr="00FA0E2E">
              <w:rPr>
                <w:rFonts w:ascii="Times New Roman" w:hAnsi="Times New Roman" w:cs="Times New Roman"/>
                <w:iCs/>
                <w:sz w:val="24"/>
                <w:szCs w:val="24"/>
                <w:shd w:val="clear" w:color="auto" w:fill="FFFFFF"/>
                <w:lang w:val="uk-UA"/>
              </w:rPr>
              <w:t xml:space="preserve"> показників, які враховуються при </w:t>
            </w:r>
            <w:r w:rsidR="006D0933" w:rsidRPr="00FA0E2E">
              <w:rPr>
                <w:rFonts w:ascii="Times New Roman" w:hAnsi="Times New Roman" w:cs="Times New Roman"/>
                <w:iCs/>
                <w:sz w:val="24"/>
                <w:szCs w:val="24"/>
                <w:shd w:val="clear" w:color="auto" w:fill="FFFFFF"/>
                <w:lang w:val="uk-UA"/>
              </w:rPr>
              <w:t>визначенні</w:t>
            </w:r>
            <w:r w:rsidR="007B5EEF" w:rsidRPr="00FA0E2E">
              <w:rPr>
                <w:rFonts w:ascii="Times New Roman" w:hAnsi="Times New Roman" w:cs="Times New Roman"/>
                <w:iCs/>
                <w:sz w:val="24"/>
                <w:szCs w:val="24"/>
                <w:shd w:val="clear" w:color="auto" w:fill="FFFFFF"/>
                <w:lang w:val="uk-UA"/>
              </w:rPr>
              <w:t xml:space="preserve"> тарифу.</w:t>
            </w:r>
          </w:p>
          <w:p w14:paraId="0AFAB0C7" w14:textId="77777777" w:rsidR="00FE0872" w:rsidRPr="00603120" w:rsidRDefault="00FE0872" w:rsidP="00603120">
            <w:pPr>
              <w:tabs>
                <w:tab w:val="left" w:pos="1470"/>
              </w:tabs>
              <w:ind w:firstLine="185"/>
              <w:jc w:val="both"/>
              <w:rPr>
                <w:rFonts w:ascii="Times New Roman" w:eastAsia="Times New Roman" w:hAnsi="Times New Roman" w:cs="Times New Roman"/>
                <w:sz w:val="24"/>
                <w:szCs w:val="24"/>
                <w:lang w:val="uk-UA" w:eastAsia="uk-UA"/>
              </w:rPr>
            </w:pPr>
          </w:p>
        </w:tc>
      </w:tr>
      <w:tr w:rsidR="00AE1E78" w:rsidRPr="00AE1E78" w14:paraId="7DF8C137" w14:textId="77777777" w:rsidTr="00CF620A">
        <w:tc>
          <w:tcPr>
            <w:tcW w:w="15310" w:type="dxa"/>
            <w:gridSpan w:val="3"/>
          </w:tcPr>
          <w:p w14:paraId="4AB78867" w14:textId="77777777" w:rsidR="00146CA4" w:rsidRPr="00AE1E78" w:rsidRDefault="00146CA4" w:rsidP="00146CA4">
            <w:pPr>
              <w:ind w:firstLine="181"/>
              <w:jc w:val="center"/>
              <w:rPr>
                <w:rFonts w:ascii="Times New Roman" w:eastAsia="Times New Roman" w:hAnsi="Times New Roman" w:cs="Times New Roman"/>
                <w:sz w:val="24"/>
                <w:szCs w:val="24"/>
                <w:lang w:val="uk-UA" w:eastAsia="uk-UA"/>
              </w:rPr>
            </w:pPr>
            <w:r w:rsidRPr="00AE1E78">
              <w:rPr>
                <w:rFonts w:ascii="Times New Roman" w:hAnsi="Times New Roman" w:cs="Times New Roman"/>
                <w:b/>
                <w:bCs/>
                <w:sz w:val="24"/>
                <w:szCs w:val="24"/>
                <w:lang w:val="uk-UA"/>
              </w:rPr>
              <w:lastRenderedPageBreak/>
              <w:t>X. Процедура встановлення та перегляду тарифів на послуги транспортування природного газу для точок входу і точок виходу</w:t>
            </w:r>
          </w:p>
        </w:tc>
      </w:tr>
      <w:tr w:rsidR="00AE1E78" w:rsidRPr="00AE1E78" w14:paraId="23C98E7B" w14:textId="77777777" w:rsidTr="00CF620A">
        <w:tc>
          <w:tcPr>
            <w:tcW w:w="15310" w:type="dxa"/>
            <w:gridSpan w:val="3"/>
          </w:tcPr>
          <w:p w14:paraId="4B19471A" w14:textId="77777777" w:rsidR="00146CA4" w:rsidRPr="00AE1E78" w:rsidRDefault="00146CA4" w:rsidP="00146CA4">
            <w:pPr>
              <w:tabs>
                <w:tab w:val="left" w:pos="8880"/>
              </w:tabs>
              <w:ind w:firstLine="181"/>
              <w:jc w:val="center"/>
              <w:rPr>
                <w:rFonts w:ascii="Times New Roman" w:hAnsi="Times New Roman" w:cs="Times New Roman"/>
                <w:b/>
                <w:bCs/>
                <w:sz w:val="24"/>
                <w:szCs w:val="24"/>
              </w:rPr>
            </w:pPr>
            <w:r w:rsidRPr="00AE1E78">
              <w:rPr>
                <w:rFonts w:ascii="Times New Roman" w:hAnsi="Times New Roman" w:cs="Times New Roman"/>
                <w:b/>
                <w:sz w:val="24"/>
                <w:szCs w:val="24"/>
                <w:lang w:val="uk-UA"/>
              </w:rPr>
              <w:t>4. Особливості проведення ліцензіатом відкритого обговорення (відкритого слухання) питання щодо необхідності встановлення тарифів на послуги транспортування природного газу для точок входу і точок виходу</w:t>
            </w:r>
          </w:p>
        </w:tc>
      </w:tr>
      <w:tr w:rsidR="00AE1E78" w:rsidRPr="00AE1E78" w14:paraId="76DCC187" w14:textId="77777777" w:rsidTr="00AE1E78">
        <w:trPr>
          <w:trHeight w:val="983"/>
        </w:trPr>
        <w:tc>
          <w:tcPr>
            <w:tcW w:w="6305" w:type="dxa"/>
            <w:vMerge w:val="restart"/>
          </w:tcPr>
          <w:p w14:paraId="066BDCF4" w14:textId="77777777" w:rsidR="00AE1E78" w:rsidRPr="00AE1E78" w:rsidRDefault="00AE1E78" w:rsidP="00AE1E78">
            <w:pPr>
              <w:ind w:firstLine="313"/>
              <w:jc w:val="both"/>
              <w:rPr>
                <w:rFonts w:ascii="Times New Roman" w:hAnsi="Times New Roman" w:cs="Times New Roman"/>
                <w:b/>
                <w:sz w:val="24"/>
                <w:szCs w:val="24"/>
                <w:lang w:val="uk-UA"/>
              </w:rPr>
            </w:pPr>
            <w:bookmarkStart w:id="1" w:name="_Hlk233202312"/>
          </w:p>
          <w:p w14:paraId="73082F11" w14:textId="77777777" w:rsidR="00AE1E78" w:rsidRPr="00AE1E78" w:rsidRDefault="00AE1E78" w:rsidP="00AE1E78">
            <w:pPr>
              <w:ind w:firstLine="313"/>
              <w:jc w:val="both"/>
              <w:rPr>
                <w:rFonts w:ascii="Times New Roman" w:hAnsi="Times New Roman" w:cs="Times New Roman"/>
                <w:b/>
                <w:sz w:val="24"/>
                <w:szCs w:val="24"/>
                <w:lang w:val="uk-UA"/>
              </w:rPr>
            </w:pPr>
          </w:p>
          <w:p w14:paraId="1C028262" w14:textId="77777777" w:rsidR="00AE1E78" w:rsidRPr="00AE1E78" w:rsidRDefault="00AE1E78" w:rsidP="00AE1E78">
            <w:pPr>
              <w:ind w:firstLine="313"/>
              <w:jc w:val="both"/>
              <w:rPr>
                <w:rFonts w:ascii="Times New Roman" w:hAnsi="Times New Roman" w:cs="Times New Roman"/>
                <w:b/>
                <w:sz w:val="24"/>
                <w:szCs w:val="24"/>
                <w:lang w:val="uk-UA"/>
              </w:rPr>
            </w:pPr>
            <w:r w:rsidRPr="00AE1E78">
              <w:rPr>
                <w:rFonts w:ascii="Times New Roman" w:hAnsi="Times New Roman" w:cs="Times New Roman"/>
                <w:b/>
                <w:sz w:val="24"/>
                <w:szCs w:val="24"/>
                <w:lang w:val="uk-UA"/>
              </w:rPr>
              <w:t>2. До подання заяви на перегляд (уточнення, коригування) тарифів на послуги транспортування природного газу для точок входу і точок виходу ліцензіат оприлюднює на своєму вебсайті Консультаційний документ.</w:t>
            </w:r>
          </w:p>
          <w:p w14:paraId="2750AFF6"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Ліцензіат протягом 10 робочих днів після отримання від НКРЕКП схваленого проєкту рішення НКРЕКП про встановлення тарифів у разі необхідності коригує Консультаційний документ з урахуванням схваленого НКРЕКП проєкту рішення та оприлюднює його на власному вебсайті з метою отримання зауважень та пропозицій від усіх заінтересованих осіб разом із інформаційним повідомленням, яке містить:</w:t>
            </w:r>
          </w:p>
          <w:p w14:paraId="5D7B3959"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дату, до якої приймаються зауваження та пропозиції (не менше 2-х місяців з дня оприлюднення інформаційного повідомлення);</w:t>
            </w:r>
          </w:p>
          <w:p w14:paraId="5B53E206"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lastRenderedPageBreak/>
              <w:t>формат надання пропозицій та зауважень до Консультаційного документа та проєкту рішення НКРЕКП;</w:t>
            </w:r>
          </w:p>
          <w:p w14:paraId="3C12E017"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поштову адресу та адресу електронної пошти, на які надсилаються зауваження та пропозиції;</w:t>
            </w:r>
          </w:p>
          <w:p w14:paraId="3B2B9903"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прізвище, власне ім'я та контактний телефон відповідальної контактної особи ліцензіата.</w:t>
            </w:r>
          </w:p>
          <w:bookmarkEnd w:id="1"/>
          <w:p w14:paraId="1299ECF2" w14:textId="77777777" w:rsidR="00AE1E78" w:rsidRPr="00AE1E78" w:rsidRDefault="00AE1E78" w:rsidP="00AE1E78">
            <w:pPr>
              <w:ind w:firstLine="312"/>
              <w:jc w:val="both"/>
              <w:rPr>
                <w:rFonts w:ascii="Times New Roman" w:hAnsi="Times New Roman" w:cs="Times New Roman"/>
                <w:b/>
                <w:bCs/>
                <w:sz w:val="24"/>
                <w:szCs w:val="24"/>
              </w:rPr>
            </w:pPr>
            <w:r w:rsidRPr="00AE1E78">
              <w:rPr>
                <w:rFonts w:ascii="Times New Roman" w:hAnsi="Times New Roman" w:cs="Times New Roman"/>
                <w:sz w:val="24"/>
                <w:szCs w:val="24"/>
                <w:lang w:val="uk-UA"/>
              </w:rPr>
              <w:t>…</w:t>
            </w:r>
          </w:p>
        </w:tc>
        <w:tc>
          <w:tcPr>
            <w:tcW w:w="6306" w:type="dxa"/>
          </w:tcPr>
          <w:p w14:paraId="3623C61F" w14:textId="77777777" w:rsidR="00AE1E78" w:rsidRPr="00AE1E78" w:rsidRDefault="00AE1E78" w:rsidP="00AE1E78">
            <w:pPr>
              <w:shd w:val="clear" w:color="auto" w:fill="FFFFFF"/>
              <w:ind w:firstLine="530"/>
              <w:rPr>
                <w:rFonts w:ascii="Times New Roman" w:hAnsi="Times New Roman" w:cs="Times New Roman"/>
                <w:b/>
                <w:sz w:val="24"/>
                <w:szCs w:val="24"/>
                <w:u w:val="single"/>
                <w:shd w:val="clear" w:color="auto" w:fill="FFFFFF"/>
              </w:rPr>
            </w:pPr>
            <w:r w:rsidRPr="00AE1E78">
              <w:rPr>
                <w:rFonts w:ascii="Times New Roman" w:hAnsi="Times New Roman" w:cs="Times New Roman"/>
                <w:b/>
                <w:sz w:val="24"/>
                <w:szCs w:val="24"/>
                <w:u w:val="single"/>
                <w:shd w:val="clear" w:color="auto" w:fill="FFFFFF"/>
              </w:rPr>
              <w:lastRenderedPageBreak/>
              <w:t>Олег БАКУЛІН</w:t>
            </w:r>
          </w:p>
          <w:p w14:paraId="157474AC" w14:textId="77777777" w:rsidR="00AE1E78" w:rsidRPr="00AE1E78" w:rsidRDefault="00AE1E78" w:rsidP="00AE1E78">
            <w:pPr>
              <w:ind w:firstLine="313"/>
              <w:jc w:val="both"/>
              <w:rPr>
                <w:rFonts w:ascii="Times New Roman" w:hAnsi="Times New Roman" w:cs="Times New Roman"/>
                <w:sz w:val="24"/>
                <w:szCs w:val="24"/>
                <w:lang w:val="uk-UA"/>
              </w:rPr>
            </w:pPr>
          </w:p>
          <w:p w14:paraId="2FACA30E" w14:textId="77777777" w:rsidR="00AE1E78" w:rsidRPr="00AE1E78" w:rsidRDefault="00AE1E78" w:rsidP="00AE1E78">
            <w:pPr>
              <w:ind w:firstLine="313"/>
              <w:jc w:val="both"/>
              <w:rPr>
                <w:rFonts w:ascii="Times New Roman" w:hAnsi="Times New Roman" w:cs="Times New Roman"/>
                <w:b/>
                <w:sz w:val="24"/>
                <w:szCs w:val="24"/>
                <w:lang w:val="uk-UA"/>
              </w:rPr>
            </w:pPr>
            <w:r w:rsidRPr="00AE1E78">
              <w:rPr>
                <w:rFonts w:ascii="Times New Roman" w:hAnsi="Times New Roman" w:cs="Times New Roman"/>
                <w:sz w:val="24"/>
                <w:szCs w:val="24"/>
                <w:lang w:val="uk-UA"/>
              </w:rPr>
              <w:t>2.</w:t>
            </w:r>
            <w:r w:rsidRPr="00AE1E78">
              <w:rPr>
                <w:rFonts w:ascii="Times New Roman" w:hAnsi="Times New Roman" w:cs="Times New Roman"/>
                <w:b/>
                <w:sz w:val="24"/>
                <w:szCs w:val="24"/>
                <w:lang w:val="uk-UA"/>
              </w:rPr>
              <w:t xml:space="preserve"> До подання заяви на перегляд (уточнення, коригування) тарифів на послуги транспортування природного газу для точок входу і точок виходу, ліцензіат оприлюднює на своєму вебсайті Консультаційний документ, </w:t>
            </w:r>
            <w:r w:rsidRPr="00AE1E78">
              <w:rPr>
                <w:rFonts w:ascii="Times New Roman" w:hAnsi="Times New Roman" w:cs="Times New Roman"/>
                <w:b/>
                <w:sz w:val="24"/>
                <w:szCs w:val="24"/>
                <w:u w:val="single"/>
                <w:lang w:val="uk-UA"/>
              </w:rPr>
              <w:t xml:space="preserve">який має містити в тому числі обґрунтування та розрахунок коефіцієнтів, </w:t>
            </w:r>
            <w:r w:rsidRPr="00AE1E78">
              <w:rPr>
                <w:rFonts w:ascii="Times New Roman" w:eastAsia="Times New Roman" w:hAnsi="Times New Roman" w:cs="Times New Roman"/>
                <w:b/>
                <w:sz w:val="24"/>
                <w:szCs w:val="24"/>
                <w:u w:val="single"/>
                <w:lang w:val="uk-UA" w:eastAsia="uk-UA"/>
              </w:rPr>
              <w:t>які враховують період замовлення потужності та сезон замовлення потужності.</w:t>
            </w:r>
          </w:p>
          <w:p w14:paraId="0CF82F40"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Ліцензіат протягом 10 робочих днів після отримання від НКРЕКП схваленого проєкту рішення НКРЕКП про встановлення тарифів у разі необхідності коригує Консультаційний документ,</w:t>
            </w:r>
            <w:r w:rsidRPr="00AE1E78">
              <w:rPr>
                <w:rFonts w:ascii="Times New Roman" w:hAnsi="Times New Roman" w:cs="Times New Roman"/>
                <w:b/>
                <w:sz w:val="24"/>
                <w:szCs w:val="24"/>
                <w:u w:val="single"/>
                <w:lang w:val="uk-UA"/>
              </w:rPr>
              <w:t xml:space="preserve"> який має містити в тому числі обґрунтування та розрахунок коефіцієнтів, </w:t>
            </w:r>
            <w:r w:rsidRPr="00AE1E78">
              <w:rPr>
                <w:rFonts w:ascii="Times New Roman" w:eastAsia="Times New Roman" w:hAnsi="Times New Roman" w:cs="Times New Roman"/>
                <w:b/>
                <w:sz w:val="24"/>
                <w:szCs w:val="24"/>
                <w:u w:val="single"/>
                <w:lang w:val="uk-UA" w:eastAsia="uk-UA"/>
              </w:rPr>
              <w:t>які враховують період замовлення потужності та сезон замовлення потужності,</w:t>
            </w:r>
            <w:r w:rsidRPr="00AE1E78">
              <w:rPr>
                <w:rFonts w:ascii="Times New Roman" w:hAnsi="Times New Roman" w:cs="Times New Roman"/>
                <w:sz w:val="24"/>
                <w:szCs w:val="24"/>
                <w:lang w:val="uk-UA"/>
              </w:rPr>
              <w:t xml:space="preserve"> з урахуванням схваленого НКРЕКП проєкту рішення та оприлюднює його на </w:t>
            </w:r>
            <w:r w:rsidRPr="00AE1E78">
              <w:rPr>
                <w:rFonts w:ascii="Times New Roman" w:hAnsi="Times New Roman" w:cs="Times New Roman"/>
                <w:sz w:val="24"/>
                <w:szCs w:val="24"/>
                <w:lang w:val="uk-UA"/>
              </w:rPr>
              <w:lastRenderedPageBreak/>
              <w:t>власному вебсайті з метою отримання зауважень та пропозицій від усіх заінтересованих осіб разом із інформаційним повідомленням, яке містить:</w:t>
            </w:r>
          </w:p>
          <w:p w14:paraId="28395197"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дату, до якої приймаються зауваження та пропозиції (не менше 2-х місяців з дня оприлюднення інформаційного повідомлення);</w:t>
            </w:r>
          </w:p>
          <w:p w14:paraId="39FBCF32"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формат надання пропозицій та зауважень до Консультаційного документа та проєкту рішення НКРЕКП;</w:t>
            </w:r>
          </w:p>
          <w:p w14:paraId="0C4873A1"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поштову адресу та адресу електронної пошти, на які надсилаються зауваження та пропозиції;</w:t>
            </w:r>
          </w:p>
          <w:p w14:paraId="52889F62" w14:textId="77777777" w:rsidR="00AE1E78" w:rsidRPr="00AE1E78" w:rsidRDefault="00AE1E78" w:rsidP="00AE1E78">
            <w:pPr>
              <w:ind w:firstLine="313"/>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прізвище, власне ім'я та контактний телефон відповідальної контактної особи ліцензіата.</w:t>
            </w:r>
          </w:p>
          <w:p w14:paraId="5E575FC5" w14:textId="77777777" w:rsidR="00AE1E78" w:rsidRPr="00AE1E78" w:rsidRDefault="00AE1E78" w:rsidP="00AE1E78">
            <w:pPr>
              <w:jc w:val="both"/>
              <w:rPr>
                <w:rFonts w:ascii="Times New Roman" w:hAnsi="Times New Roman" w:cs="Times New Roman"/>
                <w:sz w:val="24"/>
                <w:szCs w:val="24"/>
                <w:lang w:val="uk-UA"/>
              </w:rPr>
            </w:pPr>
            <w:r w:rsidRPr="00AE1E78">
              <w:rPr>
                <w:rFonts w:ascii="Times New Roman" w:hAnsi="Times New Roman" w:cs="Times New Roman"/>
                <w:sz w:val="24"/>
                <w:szCs w:val="24"/>
                <w:lang w:val="uk-UA"/>
              </w:rPr>
              <w:t>…</w:t>
            </w:r>
          </w:p>
          <w:p w14:paraId="5901FB5B" w14:textId="77777777" w:rsidR="00AE1E78" w:rsidRPr="00AE1E78" w:rsidRDefault="00AE1E78" w:rsidP="00AE1E78">
            <w:pPr>
              <w:tabs>
                <w:tab w:val="left" w:pos="1470"/>
              </w:tabs>
              <w:ind w:firstLine="388"/>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3C14B663" w14:textId="77777777" w:rsidR="00AE1E78" w:rsidRPr="00AE1E78" w:rsidRDefault="00AE1E78" w:rsidP="00AE1E78">
            <w:pPr>
              <w:shd w:val="clear" w:color="auto" w:fill="FFFFFF"/>
              <w:ind w:firstLine="45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Відповідно до підпункту  8 п</w:t>
            </w:r>
            <w:r w:rsidRPr="00AE1E78">
              <w:rPr>
                <w:rFonts w:ascii="Times New Roman" w:hAnsi="Times New Roman" w:cs="Times New Roman"/>
                <w:sz w:val="24"/>
                <w:szCs w:val="24"/>
                <w:shd w:val="clear" w:color="auto" w:fill="FFFFFF"/>
                <w:lang w:val="uk-UA"/>
              </w:rPr>
              <w:t xml:space="preserve">ункту 1 глави 1 розділу </w:t>
            </w:r>
            <w:r w:rsidRPr="00AE1E78">
              <w:rPr>
                <w:rFonts w:ascii="Times New Roman" w:hAnsi="Times New Roman" w:cs="Times New Roman"/>
                <w:sz w:val="24"/>
                <w:szCs w:val="24"/>
                <w:shd w:val="clear" w:color="auto" w:fill="FFFFFF"/>
              </w:rPr>
              <w:t>X</w:t>
            </w:r>
            <w:r w:rsidRPr="00AE1E78">
              <w:rPr>
                <w:rFonts w:ascii="Times New Roman" w:hAnsi="Times New Roman" w:cs="Times New Roman"/>
                <w:sz w:val="24"/>
                <w:szCs w:val="24"/>
                <w:shd w:val="clear" w:color="auto" w:fill="FFFFFF"/>
                <w:lang w:val="uk-UA"/>
              </w:rPr>
              <w:t xml:space="preserve"> Методики для перегляду тарифів ліцензіат подає до НКРЕКП заяву за встановленою формою) і такі документи у друкованій та електронній формах в 1 примірнику, зокрема </w:t>
            </w:r>
            <w:r w:rsidRPr="00AE1E78">
              <w:rPr>
                <w:rFonts w:ascii="Times New Roman" w:eastAsia="Times New Roman" w:hAnsi="Times New Roman" w:cs="Times New Roman"/>
                <w:sz w:val="24"/>
                <w:szCs w:val="24"/>
                <w:lang w:val="uk-UA" w:eastAsia="uk-UA"/>
              </w:rPr>
              <w:t>консультаційний документ, обґрунтування застосування коефіцієнтів, які враховують період замовлення потужності, та, у разі необхідності, розрахунок коефіцієнтів, які враховують сезон замовлення потужності.</w:t>
            </w:r>
          </w:p>
          <w:p w14:paraId="01A5D620" w14:textId="77777777" w:rsidR="00AE1E78" w:rsidRPr="00AE1E78" w:rsidRDefault="00AE1E78" w:rsidP="00AE1E78">
            <w:pPr>
              <w:shd w:val="clear" w:color="auto" w:fill="FFFFFF"/>
              <w:jc w:val="both"/>
              <w:rPr>
                <w:rFonts w:ascii="Times New Roman" w:eastAsia="Times New Roman" w:hAnsi="Times New Roman" w:cs="Times New Roman"/>
                <w:sz w:val="24"/>
                <w:szCs w:val="24"/>
                <w:lang w:val="uk-UA" w:eastAsia="uk-UA"/>
              </w:rPr>
            </w:pPr>
            <w:bookmarkStart w:id="2" w:name="n747"/>
            <w:bookmarkEnd w:id="2"/>
            <w:r w:rsidRPr="00AE1E78">
              <w:rPr>
                <w:rFonts w:ascii="Times New Roman" w:eastAsia="Times New Roman" w:hAnsi="Times New Roman" w:cs="Times New Roman"/>
                <w:sz w:val="24"/>
                <w:szCs w:val="24"/>
                <w:lang w:val="uk-UA" w:eastAsia="uk-UA"/>
              </w:rPr>
              <w:t>Консультаційний документ, який включає інформацію, передбачену пунктом 1 статті 26 Регламенту (ЄС) 2017/460 (далі - Консультаційний документ), готується ліцензіатом українською і англійською мовами згідно з формою, розміщеною на вебсайті Агентства з питань співробітництва енергетичних регуляторів.</w:t>
            </w:r>
          </w:p>
          <w:p w14:paraId="52143B27" w14:textId="77777777" w:rsidR="00AE1E78" w:rsidRPr="00AE1E78" w:rsidRDefault="00AE1E78" w:rsidP="00AE1E78">
            <w:pPr>
              <w:jc w:val="both"/>
              <w:rPr>
                <w:rFonts w:ascii="Times New Roman" w:eastAsia="Times New Roman" w:hAnsi="Times New Roman" w:cs="Times New Roman"/>
                <w:b/>
                <w:bCs/>
                <w:sz w:val="24"/>
                <w:szCs w:val="24"/>
                <w:u w:val="single"/>
                <w:lang w:val="uk-UA" w:eastAsia="uk-UA"/>
              </w:rPr>
            </w:pPr>
            <w:bookmarkStart w:id="3" w:name="n748"/>
            <w:bookmarkEnd w:id="3"/>
            <w:r w:rsidRPr="00AE1E78">
              <w:rPr>
                <w:rFonts w:ascii="Times New Roman" w:eastAsia="Times New Roman" w:hAnsi="Times New Roman" w:cs="Times New Roman"/>
                <w:sz w:val="24"/>
                <w:szCs w:val="24"/>
                <w:lang w:val="uk-UA" w:eastAsia="uk-UA"/>
              </w:rPr>
              <w:t xml:space="preserve">Обґрунтування коефіцієнтів, які враховують період замовлення потужності, та, у разі необхідності, розрахунок коефіцієнтів, які враховують сезон замовлення потужності, що включає вимоги, передбачені статтею28 (3) Регламенту (ЄС) 2017/460, готується українською і англійською мовами. </w:t>
            </w:r>
            <w:r w:rsidRPr="00AE1E78">
              <w:rPr>
                <w:rFonts w:ascii="Times New Roman" w:eastAsia="Times New Roman" w:hAnsi="Times New Roman" w:cs="Times New Roman"/>
                <w:b/>
                <w:bCs/>
                <w:sz w:val="24"/>
                <w:szCs w:val="24"/>
                <w:u w:val="single"/>
                <w:lang w:val="uk-UA" w:eastAsia="uk-UA"/>
              </w:rPr>
              <w:t xml:space="preserve">Обґрунтування коефіцієнтів відповідно до </w:t>
            </w:r>
            <w:r w:rsidRPr="00AE1E78">
              <w:rPr>
                <w:rFonts w:ascii="Times New Roman" w:eastAsia="Times New Roman" w:hAnsi="Times New Roman" w:cs="Times New Roman"/>
                <w:b/>
                <w:bCs/>
                <w:sz w:val="24"/>
                <w:szCs w:val="24"/>
                <w:u w:val="single"/>
                <w:lang w:val="uk-UA" w:eastAsia="uk-UA"/>
              </w:rPr>
              <w:lastRenderedPageBreak/>
              <w:t>наведеного положення оприлюднення оператором ГТС не передбачає, що веде до приховування інформації від замовників послуг транспортування  газу.</w:t>
            </w:r>
          </w:p>
        </w:tc>
        <w:tc>
          <w:tcPr>
            <w:tcW w:w="2699" w:type="dxa"/>
          </w:tcPr>
          <w:p w14:paraId="6D2E237A" w14:textId="77777777" w:rsidR="00AE1E78" w:rsidRDefault="00AE1E78" w:rsidP="00AE1E78">
            <w:pPr>
              <w:ind w:firstLine="181"/>
              <w:jc w:val="both"/>
              <w:rPr>
                <w:rFonts w:ascii="Times New Roman" w:eastAsia="Times New Roman" w:hAnsi="Times New Roman" w:cs="Times New Roman"/>
                <w:b/>
                <w:sz w:val="24"/>
                <w:szCs w:val="24"/>
                <w:lang w:eastAsia="uk-UA"/>
              </w:rPr>
            </w:pPr>
            <w:proofErr w:type="spellStart"/>
            <w:r w:rsidRPr="00AE1E78">
              <w:rPr>
                <w:rFonts w:ascii="Times New Roman" w:eastAsia="Times New Roman" w:hAnsi="Times New Roman" w:cs="Times New Roman"/>
                <w:b/>
                <w:sz w:val="24"/>
                <w:szCs w:val="24"/>
                <w:lang w:eastAsia="uk-UA"/>
              </w:rPr>
              <w:lastRenderedPageBreak/>
              <w:t>Попередньо</w:t>
            </w:r>
            <w:proofErr w:type="spellEnd"/>
            <w:r w:rsidRPr="00AE1E78">
              <w:rPr>
                <w:rFonts w:ascii="Times New Roman" w:eastAsia="Times New Roman" w:hAnsi="Times New Roman" w:cs="Times New Roman"/>
                <w:b/>
                <w:sz w:val="24"/>
                <w:szCs w:val="24"/>
                <w:lang w:eastAsia="uk-UA"/>
              </w:rPr>
              <w:t xml:space="preserve"> </w:t>
            </w:r>
            <w:proofErr w:type="spellStart"/>
            <w:r w:rsidRPr="00AE1E78">
              <w:rPr>
                <w:rFonts w:ascii="Times New Roman" w:eastAsia="Times New Roman" w:hAnsi="Times New Roman" w:cs="Times New Roman"/>
                <w:b/>
                <w:sz w:val="24"/>
                <w:szCs w:val="24"/>
                <w:lang w:eastAsia="uk-UA"/>
              </w:rPr>
              <w:t>враховано</w:t>
            </w:r>
            <w:proofErr w:type="spellEnd"/>
            <w:r w:rsidRPr="00AE1E78">
              <w:rPr>
                <w:rFonts w:ascii="Times New Roman" w:eastAsia="Times New Roman" w:hAnsi="Times New Roman" w:cs="Times New Roman"/>
                <w:b/>
                <w:sz w:val="24"/>
                <w:szCs w:val="24"/>
                <w:lang w:eastAsia="uk-UA"/>
              </w:rPr>
              <w:t xml:space="preserve"> </w:t>
            </w:r>
            <w:proofErr w:type="spellStart"/>
            <w:r w:rsidRPr="00AE1E78">
              <w:rPr>
                <w:rFonts w:ascii="Times New Roman" w:eastAsia="Times New Roman" w:hAnsi="Times New Roman" w:cs="Times New Roman"/>
                <w:b/>
                <w:sz w:val="24"/>
                <w:szCs w:val="24"/>
                <w:lang w:eastAsia="uk-UA"/>
              </w:rPr>
              <w:t>частково</w:t>
            </w:r>
            <w:proofErr w:type="spellEnd"/>
          </w:p>
          <w:p w14:paraId="1E140299" w14:textId="77777777" w:rsidR="00AE1E78" w:rsidRPr="00AE1E78" w:rsidRDefault="00AE1E78" w:rsidP="00AE1E78">
            <w:pPr>
              <w:ind w:firstLine="181"/>
              <w:jc w:val="both"/>
              <w:rPr>
                <w:rFonts w:ascii="Times New Roman" w:eastAsia="Times New Roman" w:hAnsi="Times New Roman" w:cs="Times New Roman"/>
                <w:b/>
                <w:sz w:val="24"/>
                <w:szCs w:val="24"/>
                <w:lang w:eastAsia="uk-UA"/>
              </w:rPr>
            </w:pPr>
          </w:p>
          <w:p w14:paraId="00B4640E" w14:textId="77777777" w:rsidR="00AE1E78" w:rsidRPr="00AE1E78" w:rsidRDefault="00AE1E78" w:rsidP="00AE1E78">
            <w:pPr>
              <w:ind w:firstLine="181"/>
              <w:jc w:val="both"/>
              <w:rPr>
                <w:rFonts w:ascii="Times New Roman" w:eastAsia="Times New Roman" w:hAnsi="Times New Roman" w:cs="Times New Roman"/>
                <w:b/>
                <w:sz w:val="24"/>
                <w:szCs w:val="24"/>
                <w:lang w:val="uk-UA" w:eastAsia="uk-UA"/>
              </w:rPr>
            </w:pPr>
            <w:r w:rsidRPr="00AE1E78">
              <w:rPr>
                <w:rFonts w:ascii="Times New Roman" w:eastAsia="Times New Roman" w:hAnsi="Times New Roman" w:cs="Times New Roman"/>
                <w:b/>
                <w:sz w:val="24"/>
                <w:szCs w:val="24"/>
                <w:lang w:val="uk-UA" w:eastAsia="uk-UA"/>
              </w:rPr>
              <w:t>абзац перший пункту 2 глави 4 викласти у такій редакції:</w:t>
            </w:r>
          </w:p>
          <w:p w14:paraId="236F109B" w14:textId="77777777" w:rsidR="00AE1E78" w:rsidRPr="00AE1E78" w:rsidRDefault="00AE1E78" w:rsidP="00AE1E78">
            <w:pPr>
              <w:ind w:firstLine="181"/>
              <w:jc w:val="both"/>
              <w:rPr>
                <w:rFonts w:ascii="Times New Roman" w:eastAsia="Times New Roman" w:hAnsi="Times New Roman" w:cs="Times New Roman"/>
                <w:b/>
                <w:sz w:val="24"/>
                <w:szCs w:val="24"/>
                <w:lang w:val="uk-UA" w:eastAsia="uk-UA"/>
              </w:rPr>
            </w:pPr>
            <w:r w:rsidRPr="00AE1E78">
              <w:rPr>
                <w:rFonts w:ascii="Times New Roman" w:eastAsia="Times New Roman" w:hAnsi="Times New Roman" w:cs="Times New Roman"/>
                <w:bCs/>
                <w:sz w:val="24"/>
                <w:szCs w:val="24"/>
                <w:lang w:val="uk-UA" w:eastAsia="uk-UA"/>
              </w:rPr>
              <w:t xml:space="preserve">«2. До подання заяви на перегляд (уточнення, коригування) тарифів на послуги транспортування природного газу для точок входу і точок виходу ліцензіат оприлюднює на своєму вебсайті Консультаційний </w:t>
            </w:r>
            <w:r w:rsidRPr="00AE1E78">
              <w:rPr>
                <w:rFonts w:ascii="Times New Roman" w:eastAsia="Times New Roman" w:hAnsi="Times New Roman" w:cs="Times New Roman"/>
                <w:bCs/>
                <w:sz w:val="24"/>
                <w:szCs w:val="24"/>
                <w:lang w:val="uk-UA" w:eastAsia="uk-UA"/>
              </w:rPr>
              <w:lastRenderedPageBreak/>
              <w:t xml:space="preserve">документ та  обґрунтування застосування коефіцієнтів, які враховують період замовлення потужності, та, у разі необхідності, </w:t>
            </w:r>
            <w:r w:rsidR="0039150C">
              <w:rPr>
                <w:rFonts w:ascii="Times New Roman" w:eastAsia="Times New Roman" w:hAnsi="Times New Roman" w:cs="Times New Roman"/>
                <w:bCs/>
                <w:sz w:val="24"/>
                <w:szCs w:val="24"/>
                <w:lang w:val="uk-UA" w:eastAsia="uk-UA"/>
              </w:rPr>
              <w:t>значення</w:t>
            </w:r>
            <w:r w:rsidRPr="00AE1E78">
              <w:rPr>
                <w:rFonts w:ascii="Times New Roman" w:eastAsia="Times New Roman" w:hAnsi="Times New Roman" w:cs="Times New Roman"/>
                <w:bCs/>
                <w:sz w:val="24"/>
                <w:szCs w:val="24"/>
                <w:lang w:val="uk-UA" w:eastAsia="uk-UA"/>
              </w:rPr>
              <w:t xml:space="preserve"> коефіцієнтів, які враховують сезон замовлення потужності.»</w:t>
            </w:r>
          </w:p>
        </w:tc>
      </w:tr>
      <w:tr w:rsidR="00AE1E78" w:rsidRPr="00AE1E78" w14:paraId="128D241E" w14:textId="77777777" w:rsidTr="00CF620A">
        <w:tc>
          <w:tcPr>
            <w:tcW w:w="6305" w:type="dxa"/>
            <w:vMerge/>
          </w:tcPr>
          <w:p w14:paraId="0DF95EBB" w14:textId="77777777" w:rsidR="00AE1E78" w:rsidRPr="00AE1E78" w:rsidRDefault="00AE1E78" w:rsidP="00AE1E78">
            <w:pPr>
              <w:ind w:firstLine="22"/>
              <w:jc w:val="center"/>
              <w:rPr>
                <w:rFonts w:ascii="Times New Roman" w:hAnsi="Times New Roman" w:cs="Times New Roman"/>
                <w:b/>
                <w:bCs/>
                <w:lang w:val="uk-UA"/>
              </w:rPr>
            </w:pPr>
          </w:p>
        </w:tc>
        <w:tc>
          <w:tcPr>
            <w:tcW w:w="6306" w:type="dxa"/>
          </w:tcPr>
          <w:p w14:paraId="32B3DF69" w14:textId="77777777" w:rsidR="00AE1E78" w:rsidRPr="00AE1E78" w:rsidRDefault="00AE1E78" w:rsidP="00AE1E78">
            <w:pPr>
              <w:shd w:val="clear" w:color="auto" w:fill="FFFFFF"/>
              <w:ind w:firstLine="530"/>
              <w:rPr>
                <w:rFonts w:ascii="Times New Roman" w:hAnsi="Times New Roman" w:cs="Times New Roman"/>
                <w:b/>
                <w:sz w:val="24"/>
                <w:szCs w:val="24"/>
                <w:u w:val="single"/>
                <w:shd w:val="clear" w:color="auto" w:fill="FFFFFF"/>
              </w:rPr>
            </w:pPr>
            <w:proofErr w:type="spellStart"/>
            <w:r>
              <w:rPr>
                <w:rFonts w:ascii="Times New Roman" w:hAnsi="Times New Roman" w:cs="Times New Roman"/>
                <w:b/>
                <w:sz w:val="24"/>
                <w:szCs w:val="24"/>
                <w:u w:val="single"/>
                <w:shd w:val="clear" w:color="auto" w:fill="FFFFFF"/>
              </w:rPr>
              <w:t>Володимир</w:t>
            </w:r>
            <w:proofErr w:type="spellEnd"/>
            <w:r>
              <w:rPr>
                <w:rFonts w:ascii="Times New Roman" w:hAnsi="Times New Roman" w:cs="Times New Roman"/>
                <w:b/>
                <w:sz w:val="24"/>
                <w:szCs w:val="24"/>
                <w:u w:val="single"/>
                <w:shd w:val="clear" w:color="auto" w:fill="FFFFFF"/>
              </w:rPr>
              <w:t xml:space="preserve"> ГНОЄВИЙ</w:t>
            </w:r>
          </w:p>
          <w:p w14:paraId="398E90D1" w14:textId="77777777" w:rsidR="00AE1E78" w:rsidRPr="00AE1E78" w:rsidRDefault="00AE1E78" w:rsidP="00AE1E78">
            <w:pPr>
              <w:ind w:firstLine="530"/>
              <w:jc w:val="both"/>
              <w:rPr>
                <w:rFonts w:ascii="Times New Roman" w:eastAsia="Times New Roman" w:hAnsi="Times New Roman" w:cs="Times New Roman"/>
                <w:b/>
                <w:bCs/>
                <w:sz w:val="24"/>
                <w:szCs w:val="24"/>
                <w:lang w:val="uk-UA" w:eastAsia="uk-UA"/>
              </w:rPr>
            </w:pPr>
            <w:r w:rsidRPr="00AE1E78">
              <w:rPr>
                <w:rFonts w:ascii="Times New Roman" w:eastAsia="Times New Roman" w:hAnsi="Times New Roman" w:cs="Times New Roman"/>
                <w:b/>
                <w:bCs/>
                <w:sz w:val="24"/>
                <w:szCs w:val="24"/>
                <w:lang w:val="uk-UA" w:eastAsia="uk-UA"/>
              </w:rPr>
              <w:t>Викласти в редакції:</w:t>
            </w:r>
          </w:p>
          <w:p w14:paraId="2D567B51" w14:textId="77777777" w:rsidR="00AE1E78" w:rsidRPr="00AE1E78" w:rsidRDefault="00AE1E78" w:rsidP="00AE1E78">
            <w:pPr>
              <w:ind w:firstLine="530"/>
              <w:jc w:val="both"/>
              <w:rPr>
                <w:rFonts w:ascii="Times New Roman" w:eastAsia="Times New Roman" w:hAnsi="Times New Roman" w:cs="Times New Roman"/>
                <w:b/>
                <w:bCs/>
                <w:sz w:val="24"/>
                <w:szCs w:val="24"/>
                <w:lang w:val="uk-UA" w:eastAsia="uk-UA"/>
              </w:rPr>
            </w:pPr>
          </w:p>
          <w:p w14:paraId="69C5A0A6" w14:textId="77777777" w:rsidR="00AE1E78" w:rsidRPr="00AE1E78" w:rsidRDefault="00AE1E78" w:rsidP="00AE1E78">
            <w:pPr>
              <w:ind w:firstLine="530"/>
              <w:jc w:val="both"/>
              <w:rPr>
                <w:rFonts w:ascii="Times New Roman" w:eastAsia="Times New Roman" w:hAnsi="Times New Roman" w:cs="Times New Roman"/>
                <w:b/>
                <w:bCs/>
                <w:sz w:val="24"/>
                <w:szCs w:val="24"/>
                <w:lang w:val="uk-UA" w:eastAsia="uk-UA"/>
              </w:rPr>
            </w:pPr>
            <w:r w:rsidRPr="00AE1E78">
              <w:rPr>
                <w:rFonts w:ascii="Times New Roman" w:eastAsia="Times New Roman" w:hAnsi="Times New Roman" w:cs="Times New Roman"/>
                <w:b/>
                <w:bCs/>
                <w:sz w:val="24"/>
                <w:szCs w:val="24"/>
                <w:lang w:val="uk-UA" w:eastAsia="uk-UA"/>
              </w:rPr>
              <w:t>2. До подання заяви на перегляд (уточнення, коригування) тарифів на послуги транспортування природного газу для точок входу і точок виходу ліцензіат оприлюднює на своєму вебсайті Консультаційний документ, що має відповідати вимогам, визначеним в статті 26 Регламенту Комісії (ЄС) 2017/460 від 16 березня 2017 та обов’язково включати розрахунки і обґрунтування коефіцієнтів, які враховують період замовлення потужності, та, у разі необхідності, розрахунок коефіцієнтів, які враховують сезон замовлення потужності.</w:t>
            </w:r>
          </w:p>
          <w:p w14:paraId="5DB0F26B" w14:textId="77777777" w:rsidR="00AE1E78" w:rsidRPr="00AE1E78" w:rsidRDefault="00AE1E78" w:rsidP="00AE1E78">
            <w:pPr>
              <w:ind w:firstLine="530"/>
              <w:jc w:val="both"/>
              <w:rPr>
                <w:rFonts w:ascii="Times New Roman" w:eastAsia="Times New Roman" w:hAnsi="Times New Roman" w:cs="Times New Roman"/>
                <w:b/>
                <w:bCs/>
                <w:sz w:val="24"/>
                <w:szCs w:val="24"/>
                <w:lang w:val="uk-UA" w:eastAsia="uk-UA"/>
              </w:rPr>
            </w:pPr>
            <w:r w:rsidRPr="00AE1E78">
              <w:rPr>
                <w:rFonts w:ascii="Times New Roman" w:eastAsia="Times New Roman" w:hAnsi="Times New Roman" w:cs="Times New Roman"/>
                <w:b/>
                <w:bCs/>
                <w:sz w:val="24"/>
                <w:szCs w:val="24"/>
                <w:lang w:val="uk-UA" w:eastAsia="uk-UA"/>
              </w:rPr>
              <w:t>Розрахунки мають базуватися на витратах, фактично здійснених оператором при забезпеченні потужності точок входу і точок виходу при різних періодах замовлення потужності (в розрізі кожної фізичної та/або віртуальної точки входу і точки виходу) за останні 3 газових роки.</w:t>
            </w:r>
          </w:p>
          <w:p w14:paraId="6850E536"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p>
          <w:p w14:paraId="02762981"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Ліцензіат протягом 10 робочих днів після отримання від НКРЕКП схваленого проєкту рішення НКРЕКП про встановлення тарифів у разі необхідності коригує Консультаційний документ з урахуванням схваленого НКРЕКП проєкту рішення та оприлюднює його на власному вебсайті з метою отримання зауважень та пропозицій від усіх заінтересованих осіб разом із інформаційним повідомленням, яке містить:</w:t>
            </w:r>
          </w:p>
          <w:p w14:paraId="0A22E806"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lastRenderedPageBreak/>
              <w:t>дату, до якої приймаються зауваження та пропозиції (не менше 2-х місяців з дня оприлюднення інформаційного повідомлення);</w:t>
            </w:r>
          </w:p>
          <w:p w14:paraId="782BDD75"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формат надання пропозицій та зауважень до Консультаційного документа та проєкту рішення НКРЕКП;</w:t>
            </w:r>
          </w:p>
          <w:p w14:paraId="45DBD9F0"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поштову адресу та адресу електронної пошти, на які надсилаються зауваження та пропозиції;</w:t>
            </w:r>
          </w:p>
          <w:p w14:paraId="1E44B444" w14:textId="77777777" w:rsidR="00AE1E78" w:rsidRP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прізвище, власне ім'я та контактний телефон відповідальної контактної особи ліцензіата.</w:t>
            </w:r>
          </w:p>
          <w:p w14:paraId="4CC453A4" w14:textId="77777777" w:rsidR="00AE1E78" w:rsidRPr="00AE1E78" w:rsidRDefault="00AE1E78" w:rsidP="00AE1E78">
            <w:pPr>
              <w:shd w:val="clear" w:color="auto" w:fill="FFFFFF"/>
              <w:ind w:firstLine="530"/>
              <w:jc w:val="center"/>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w:t>
            </w:r>
          </w:p>
          <w:p w14:paraId="22C9AA99" w14:textId="77777777" w:rsidR="00AE1E78" w:rsidRPr="00AE1E78" w:rsidRDefault="00AE1E78" w:rsidP="00AE1E78">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2DA27844" w14:textId="77777777" w:rsidR="00AE1E78" w:rsidRDefault="00AE1E78" w:rsidP="00AE1E78">
            <w:pPr>
              <w:ind w:firstLine="530"/>
              <w:jc w:val="both"/>
              <w:rPr>
                <w:rFonts w:ascii="Times New Roman" w:eastAsia="Times New Roman" w:hAnsi="Times New Roman" w:cs="Times New Roman"/>
                <w:sz w:val="24"/>
                <w:szCs w:val="24"/>
                <w:lang w:val="uk-UA" w:eastAsia="uk-UA"/>
              </w:rPr>
            </w:pPr>
            <w:r w:rsidRPr="00AE1E78">
              <w:rPr>
                <w:rFonts w:ascii="Times New Roman" w:eastAsia="Times New Roman" w:hAnsi="Times New Roman" w:cs="Times New Roman"/>
                <w:sz w:val="24"/>
                <w:szCs w:val="24"/>
                <w:lang w:val="uk-UA" w:eastAsia="uk-UA"/>
              </w:rPr>
              <w:t>Викладення пункту 2 глави 4 розділу Х проєкту в запропонованій редакції має привести нормативний документ до вимог пункту 4 частини третьої статті 3 ЗУ «Про НКРЕКП» та пункту 3 частини шостої статті 4 ЗУ «Про ринок природного газу» та дозволить наповнити конкретним змістом пусті, декларативні та необґрунтовані на сьогоднішній день значення коефіцієнтів, які враховують період замовлення потужності, та коефіцієнтів, які враховують сезон замовлення потужності.</w:t>
            </w:r>
          </w:p>
          <w:p w14:paraId="4CEC8385"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287E75B6"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16768C47"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5CF04C5E"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09AEA46B"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0BE6506D"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1DA817E1"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54A8C1A4"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6919A58A"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17F08DBB"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0279F64F"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1BEAF118"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1F2FE8A2" w14:textId="77777777" w:rsidR="00AE1E78" w:rsidRDefault="00AE1E78" w:rsidP="00AE1E78">
            <w:pPr>
              <w:ind w:firstLine="530"/>
              <w:jc w:val="both"/>
              <w:rPr>
                <w:rFonts w:ascii="Times New Roman" w:eastAsia="Times New Roman" w:hAnsi="Times New Roman" w:cs="Times New Roman"/>
                <w:sz w:val="24"/>
                <w:szCs w:val="24"/>
                <w:lang w:val="uk-UA" w:eastAsia="uk-UA"/>
              </w:rPr>
            </w:pPr>
          </w:p>
          <w:p w14:paraId="0BFC6134" w14:textId="77777777" w:rsidR="00AE1E78" w:rsidRPr="00AE1E78" w:rsidRDefault="00AE1E78" w:rsidP="00AE1E78">
            <w:pPr>
              <w:jc w:val="both"/>
              <w:rPr>
                <w:rFonts w:ascii="Times New Roman" w:eastAsia="Times New Roman" w:hAnsi="Times New Roman" w:cs="Times New Roman"/>
                <w:sz w:val="24"/>
                <w:szCs w:val="24"/>
                <w:lang w:val="uk-UA" w:eastAsia="uk-UA"/>
              </w:rPr>
            </w:pPr>
          </w:p>
        </w:tc>
        <w:tc>
          <w:tcPr>
            <w:tcW w:w="2699" w:type="dxa"/>
          </w:tcPr>
          <w:p w14:paraId="6C29ACE7" w14:textId="77777777" w:rsidR="00AE1E78" w:rsidRDefault="00AE1E78" w:rsidP="00AE1E78">
            <w:pPr>
              <w:ind w:firstLine="181"/>
              <w:jc w:val="both"/>
              <w:rPr>
                <w:rFonts w:ascii="Times New Roman" w:eastAsia="Times New Roman" w:hAnsi="Times New Roman" w:cs="Times New Roman"/>
                <w:b/>
                <w:sz w:val="24"/>
                <w:szCs w:val="24"/>
                <w:lang w:eastAsia="uk-UA"/>
              </w:rPr>
            </w:pPr>
            <w:proofErr w:type="spellStart"/>
            <w:r w:rsidRPr="00AE1E78">
              <w:rPr>
                <w:rFonts w:ascii="Times New Roman" w:eastAsia="Times New Roman" w:hAnsi="Times New Roman" w:cs="Times New Roman"/>
                <w:b/>
                <w:sz w:val="24"/>
                <w:szCs w:val="24"/>
                <w:lang w:eastAsia="uk-UA"/>
              </w:rPr>
              <w:lastRenderedPageBreak/>
              <w:t>Попередньо</w:t>
            </w:r>
            <w:proofErr w:type="spellEnd"/>
            <w:r w:rsidRPr="00AE1E78">
              <w:rPr>
                <w:rFonts w:ascii="Times New Roman" w:eastAsia="Times New Roman" w:hAnsi="Times New Roman" w:cs="Times New Roman"/>
                <w:b/>
                <w:sz w:val="24"/>
                <w:szCs w:val="24"/>
                <w:lang w:eastAsia="uk-UA"/>
              </w:rPr>
              <w:t xml:space="preserve"> </w:t>
            </w:r>
            <w:proofErr w:type="spellStart"/>
            <w:r w:rsidRPr="00AE1E78">
              <w:rPr>
                <w:rFonts w:ascii="Times New Roman" w:eastAsia="Times New Roman" w:hAnsi="Times New Roman" w:cs="Times New Roman"/>
                <w:b/>
                <w:sz w:val="24"/>
                <w:szCs w:val="24"/>
                <w:lang w:eastAsia="uk-UA"/>
              </w:rPr>
              <w:t>враховано</w:t>
            </w:r>
            <w:proofErr w:type="spellEnd"/>
            <w:r w:rsidRPr="00AE1E78">
              <w:rPr>
                <w:rFonts w:ascii="Times New Roman" w:eastAsia="Times New Roman" w:hAnsi="Times New Roman" w:cs="Times New Roman"/>
                <w:b/>
                <w:sz w:val="24"/>
                <w:szCs w:val="24"/>
                <w:lang w:eastAsia="uk-UA"/>
              </w:rPr>
              <w:t xml:space="preserve"> </w:t>
            </w:r>
            <w:proofErr w:type="spellStart"/>
            <w:r w:rsidRPr="00AE1E78">
              <w:rPr>
                <w:rFonts w:ascii="Times New Roman" w:eastAsia="Times New Roman" w:hAnsi="Times New Roman" w:cs="Times New Roman"/>
                <w:b/>
                <w:sz w:val="24"/>
                <w:szCs w:val="24"/>
                <w:lang w:eastAsia="uk-UA"/>
              </w:rPr>
              <w:t>частково</w:t>
            </w:r>
            <w:proofErr w:type="spellEnd"/>
          </w:p>
          <w:p w14:paraId="15DB0FC8" w14:textId="77777777" w:rsidR="00AE1E78" w:rsidRPr="00AE1E78" w:rsidRDefault="00AE1E78" w:rsidP="00AE1E78">
            <w:pPr>
              <w:ind w:firstLine="181"/>
              <w:jc w:val="both"/>
              <w:rPr>
                <w:rFonts w:ascii="Times New Roman" w:eastAsia="Times New Roman" w:hAnsi="Times New Roman" w:cs="Times New Roman"/>
                <w:b/>
                <w:sz w:val="24"/>
                <w:szCs w:val="24"/>
                <w:lang w:eastAsia="uk-UA"/>
              </w:rPr>
            </w:pPr>
          </w:p>
          <w:p w14:paraId="0FF93ADC" w14:textId="77777777" w:rsidR="00AE1E78" w:rsidRPr="00AE1E78" w:rsidRDefault="00AE1E78" w:rsidP="00AE1E78">
            <w:pPr>
              <w:ind w:firstLine="181"/>
              <w:jc w:val="both"/>
              <w:rPr>
                <w:rFonts w:ascii="Times New Roman" w:eastAsia="Times New Roman" w:hAnsi="Times New Roman" w:cs="Times New Roman"/>
                <w:b/>
                <w:sz w:val="24"/>
                <w:szCs w:val="24"/>
                <w:lang w:val="uk-UA" w:eastAsia="uk-UA"/>
              </w:rPr>
            </w:pPr>
            <w:r w:rsidRPr="00AE1E78">
              <w:rPr>
                <w:rFonts w:ascii="Times New Roman" w:eastAsia="Times New Roman" w:hAnsi="Times New Roman" w:cs="Times New Roman"/>
                <w:b/>
                <w:sz w:val="24"/>
                <w:szCs w:val="24"/>
                <w:lang w:val="uk-UA" w:eastAsia="uk-UA"/>
              </w:rPr>
              <w:t>абзац перший пункту 2 глави 4 викласти у такій редакції:</w:t>
            </w:r>
          </w:p>
          <w:p w14:paraId="6753BD2C" w14:textId="77777777" w:rsidR="00AE1E78" w:rsidRPr="00AE1E78" w:rsidRDefault="00AE1E78" w:rsidP="00AE1E78">
            <w:pPr>
              <w:ind w:firstLine="181"/>
              <w:jc w:val="both"/>
              <w:rPr>
                <w:rFonts w:ascii="Times New Roman" w:eastAsia="Times New Roman" w:hAnsi="Times New Roman" w:cs="Times New Roman"/>
                <w:b/>
                <w:sz w:val="24"/>
                <w:szCs w:val="24"/>
                <w:lang w:val="uk-UA" w:eastAsia="uk-UA"/>
              </w:rPr>
            </w:pPr>
            <w:r w:rsidRPr="00AE1E78">
              <w:rPr>
                <w:rFonts w:ascii="Times New Roman" w:eastAsia="Times New Roman" w:hAnsi="Times New Roman" w:cs="Times New Roman"/>
                <w:bCs/>
                <w:sz w:val="24"/>
                <w:szCs w:val="24"/>
                <w:lang w:val="uk-UA" w:eastAsia="uk-UA"/>
              </w:rPr>
              <w:t xml:space="preserve">«2. До подання заяви на перегляд (уточнення, коригування) тарифів на послуги транспортування природного газу для точок входу і точок виходу ліцензіат оприлюднює на своєму вебсайті Консультаційний документ та  обґрунтування застосування коефіцієнтів, які враховують період замовлення потужності, та, у разі необхідності, </w:t>
            </w:r>
            <w:r w:rsidR="00ED117E">
              <w:rPr>
                <w:rFonts w:ascii="Times New Roman" w:eastAsia="Times New Roman" w:hAnsi="Times New Roman" w:cs="Times New Roman"/>
                <w:bCs/>
                <w:sz w:val="24"/>
                <w:szCs w:val="24"/>
                <w:lang w:val="uk-UA" w:eastAsia="uk-UA"/>
              </w:rPr>
              <w:t>значення</w:t>
            </w:r>
            <w:r w:rsidRPr="00AE1E78">
              <w:rPr>
                <w:rFonts w:ascii="Times New Roman" w:eastAsia="Times New Roman" w:hAnsi="Times New Roman" w:cs="Times New Roman"/>
                <w:bCs/>
                <w:sz w:val="24"/>
                <w:szCs w:val="24"/>
                <w:lang w:val="uk-UA" w:eastAsia="uk-UA"/>
              </w:rPr>
              <w:t xml:space="preserve"> коефіцієнтів, які враховують сезон замовлення потужності.»</w:t>
            </w:r>
          </w:p>
        </w:tc>
      </w:tr>
      <w:tr w:rsidR="00AE1E78" w:rsidRPr="00AE1E78" w14:paraId="791A50CB" w14:textId="77777777" w:rsidTr="00CF620A">
        <w:tc>
          <w:tcPr>
            <w:tcW w:w="6305" w:type="dxa"/>
          </w:tcPr>
          <w:p w14:paraId="4BAF524A" w14:textId="77777777" w:rsidR="00146CA4" w:rsidRPr="00AE1E78" w:rsidRDefault="0021059A" w:rsidP="00146CA4">
            <w:pPr>
              <w:jc w:val="center"/>
              <w:rPr>
                <w:rFonts w:ascii="Times New Roman" w:hAnsi="Times New Roman" w:cs="Times New Roman"/>
                <w:b/>
                <w:bCs/>
              </w:rPr>
            </w:pPr>
            <w:r w:rsidRPr="00AE1E78">
              <w:rPr>
                <w:noProof/>
                <w:lang w:eastAsia="ru-RU"/>
              </w:rPr>
              <w:lastRenderedPageBreak/>
              <w:drawing>
                <wp:inline distT="0" distB="0" distL="0" distR="0" wp14:anchorId="2B4627FA" wp14:editId="2EA2D4F7">
                  <wp:extent cx="4017805" cy="5776108"/>
                  <wp:effectExtent l="19050" t="19050" r="20955" b="15240"/>
                  <wp:docPr id="2" name="Рисунок 1">
                    <a:extLst xmlns:a="http://schemas.openxmlformats.org/drawingml/2006/main">
                      <a:ext uri="{FF2B5EF4-FFF2-40B4-BE49-F238E27FC236}">
                        <a16:creationId xmlns:a16="http://schemas.microsoft.com/office/drawing/2014/main" id="{6E82ACD3-942B-BFF4-3812-A72631D38C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6E82ACD3-942B-BFF4-3812-A72631D38CB2}"/>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298"/>
                          <a:stretch>
                            <a:fillRect/>
                          </a:stretch>
                        </pic:blipFill>
                        <pic:spPr bwMode="auto">
                          <a:xfrm>
                            <a:off x="0" y="0"/>
                            <a:ext cx="4036227" cy="5802592"/>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tc>
        <w:tc>
          <w:tcPr>
            <w:tcW w:w="6306" w:type="dxa"/>
          </w:tcPr>
          <w:p w14:paraId="1FF4ADFC" w14:textId="77777777" w:rsidR="0021059A" w:rsidRPr="00AE1E78" w:rsidRDefault="0021059A" w:rsidP="00AE1E78">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08C372DE" w14:textId="77777777" w:rsidR="0021059A" w:rsidRPr="00AE1E78" w:rsidRDefault="0021059A" w:rsidP="0021059A">
            <w:pPr>
              <w:spacing w:line="240" w:lineRule="atLeast"/>
              <w:jc w:val="both"/>
              <w:rPr>
                <w:rFonts w:ascii="Times New Roman" w:hAnsi="Times New Roman" w:cs="Times New Roman"/>
                <w:b/>
                <w:bCs/>
                <w:iCs/>
                <w:sz w:val="24"/>
                <w:szCs w:val="24"/>
                <w:shd w:val="clear" w:color="auto" w:fill="FFFFFF"/>
                <w:lang w:val="uk-UA"/>
              </w:rPr>
            </w:pPr>
            <w:r w:rsidRPr="00AE1E78">
              <w:rPr>
                <w:noProof/>
                <w:lang w:eastAsia="ru-RU"/>
              </w:rPr>
              <w:drawing>
                <wp:inline distT="0" distB="0" distL="0" distR="0" wp14:anchorId="5C4D568F" wp14:editId="5AABE374">
                  <wp:extent cx="3672890" cy="5450774"/>
                  <wp:effectExtent l="0" t="0" r="3810" b="0"/>
                  <wp:docPr id="4" name="Рисунок 3">
                    <a:extLst xmlns:a="http://schemas.openxmlformats.org/drawingml/2006/main">
                      <a:ext uri="{FF2B5EF4-FFF2-40B4-BE49-F238E27FC236}">
                        <a16:creationId xmlns:a16="http://schemas.microsoft.com/office/drawing/2014/main" id="{94228C67-9C81-32C6-5444-B2ECD335EE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94228C67-9C81-32C6-5444-B2ECD335EEEA}"/>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5230" cy="5469088"/>
                          </a:xfrm>
                          <a:prstGeom prst="rect">
                            <a:avLst/>
                          </a:prstGeom>
                          <a:noFill/>
                        </pic:spPr>
                      </pic:pic>
                    </a:graphicData>
                  </a:graphic>
                </wp:inline>
              </w:drawing>
            </w:r>
          </w:p>
          <w:p w14:paraId="4D1A6BB7" w14:textId="77777777" w:rsidR="0021059A" w:rsidRDefault="0021059A" w:rsidP="0021059A">
            <w:pPr>
              <w:shd w:val="clear" w:color="auto" w:fill="FFFFFF"/>
              <w:jc w:val="center"/>
              <w:rPr>
                <w:rFonts w:ascii="Times New Roman" w:hAnsi="Times New Roman" w:cs="Times New Roman"/>
                <w:b/>
                <w:iCs/>
                <w:sz w:val="24"/>
                <w:szCs w:val="24"/>
                <w:u w:val="single"/>
                <w:shd w:val="clear" w:color="auto" w:fill="FFFFFF"/>
                <w:lang w:val="uk-UA"/>
              </w:rPr>
            </w:pPr>
          </w:p>
          <w:p w14:paraId="09A326BF" w14:textId="77777777" w:rsidR="00AE1E78" w:rsidRPr="00AE1E78" w:rsidRDefault="00AE1E78" w:rsidP="0021059A">
            <w:pPr>
              <w:shd w:val="clear" w:color="auto" w:fill="FFFFFF"/>
              <w:jc w:val="center"/>
              <w:rPr>
                <w:rFonts w:ascii="Times New Roman" w:hAnsi="Times New Roman" w:cs="Times New Roman"/>
                <w:b/>
                <w:iCs/>
                <w:sz w:val="24"/>
                <w:szCs w:val="24"/>
                <w:u w:val="single"/>
                <w:shd w:val="clear" w:color="auto" w:fill="FFFFFF"/>
                <w:lang w:val="uk-UA"/>
              </w:rPr>
            </w:pPr>
          </w:p>
          <w:p w14:paraId="53122A01" w14:textId="77777777" w:rsidR="0021059A" w:rsidRPr="00AE1E78" w:rsidRDefault="0021059A" w:rsidP="00AE1E78">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lastRenderedPageBreak/>
              <w:t>Обґрунтування</w:t>
            </w:r>
          </w:p>
          <w:p w14:paraId="7AE2402D" w14:textId="77777777" w:rsidR="0021059A" w:rsidRP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Пропонуємо виключити зі складу операційних контрольованих витрат та перенести до складу операційно неконтрольованих витрат, </w:t>
            </w:r>
            <w:r w:rsidRPr="00AE1E78">
              <w:rPr>
                <w:rFonts w:ascii="Times New Roman" w:hAnsi="Times New Roman" w:cs="Times New Roman"/>
                <w:b/>
                <w:bCs/>
                <w:iCs/>
                <w:sz w:val="24"/>
                <w:szCs w:val="24"/>
                <w:shd w:val="clear" w:color="auto" w:fill="FFFFFF"/>
                <w:lang w:val="uk-UA"/>
              </w:rPr>
              <w:t>витрати на послуги з обслуговування будинків та інші комунальні послуги, витрати на обов'язкове страхування, а також витрати на придбання ліцензій та інших спеціальних дозволів, що видаються для провадження господарської діяльності.</w:t>
            </w:r>
            <w:r w:rsidRPr="00AE1E78">
              <w:rPr>
                <w:rFonts w:ascii="Times New Roman" w:hAnsi="Times New Roman" w:cs="Times New Roman"/>
                <w:iCs/>
                <w:sz w:val="24"/>
                <w:szCs w:val="24"/>
                <w:shd w:val="clear" w:color="auto" w:fill="FFFFFF"/>
                <w:lang w:val="uk-UA"/>
              </w:rPr>
              <w:t xml:space="preserve"> </w:t>
            </w:r>
          </w:p>
          <w:p w14:paraId="54C4FA0E" w14:textId="77777777" w:rsid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Зазначені витрати за своєю економічною суттю </w:t>
            </w:r>
            <w:r w:rsidRPr="00AE1E78">
              <w:rPr>
                <w:rFonts w:ascii="Times New Roman" w:hAnsi="Times New Roman" w:cs="Times New Roman"/>
                <w:b/>
                <w:bCs/>
                <w:iCs/>
                <w:sz w:val="24"/>
                <w:szCs w:val="24"/>
                <w:shd w:val="clear" w:color="auto" w:fill="FFFFFF"/>
                <w:lang w:val="uk-UA"/>
              </w:rPr>
              <w:t>не відповідають критеріям контрольованих витрат</w:t>
            </w:r>
            <w:r w:rsidRPr="00AE1E78">
              <w:rPr>
                <w:rFonts w:ascii="Times New Roman" w:hAnsi="Times New Roman" w:cs="Times New Roman"/>
                <w:iCs/>
                <w:sz w:val="24"/>
                <w:szCs w:val="24"/>
                <w:shd w:val="clear" w:color="auto" w:fill="FFFFFF"/>
                <w:lang w:val="uk-UA"/>
              </w:rPr>
              <w:t>, оскільки їх величина визначається зовнішніми чинниками, які не перебувають під безпосереднім впливом ліцензіата та не можуть бути істотно змінені шляхом прийняття управлінських рішень.</w:t>
            </w:r>
          </w:p>
          <w:p w14:paraId="23B9C0BB" w14:textId="77777777" w:rsid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Так, витрати на послуги з обслуговування будинків та комунальні послуги формуються відповідно до договорів із постачальниками послуг, затверджених тарифів та цін, встановлених органами державної влади, органами місцевого самоврядування або іншими уповноваженими суб'єктами. До складу таких витрат, зокрема, входять послуги з водопостачання та водовідведення, що надаються комунальними підприємствами (КП «</w:t>
            </w:r>
            <w:proofErr w:type="spellStart"/>
            <w:r w:rsidRPr="00AE1E78">
              <w:rPr>
                <w:rFonts w:ascii="Times New Roman" w:hAnsi="Times New Roman" w:cs="Times New Roman"/>
                <w:iCs/>
                <w:sz w:val="24"/>
                <w:szCs w:val="24"/>
                <w:shd w:val="clear" w:color="auto" w:fill="FFFFFF"/>
                <w:lang w:val="uk-UA"/>
              </w:rPr>
              <w:t>Кам'янкаводоканал</w:t>
            </w:r>
            <w:proofErr w:type="spellEnd"/>
            <w:r w:rsidRPr="00AE1E78">
              <w:rPr>
                <w:rFonts w:ascii="Times New Roman" w:hAnsi="Times New Roman" w:cs="Times New Roman"/>
                <w:iCs/>
                <w:sz w:val="24"/>
                <w:szCs w:val="24"/>
                <w:shd w:val="clear" w:color="auto" w:fill="FFFFFF"/>
                <w:lang w:val="uk-UA"/>
              </w:rPr>
              <w:t>», КП «</w:t>
            </w:r>
            <w:proofErr w:type="spellStart"/>
            <w:r w:rsidRPr="00AE1E78">
              <w:rPr>
                <w:rFonts w:ascii="Times New Roman" w:hAnsi="Times New Roman" w:cs="Times New Roman"/>
                <w:iCs/>
                <w:sz w:val="24"/>
                <w:szCs w:val="24"/>
                <w:shd w:val="clear" w:color="auto" w:fill="FFFFFF"/>
                <w:lang w:val="uk-UA"/>
              </w:rPr>
              <w:t>Бібрський</w:t>
            </w:r>
            <w:proofErr w:type="spellEnd"/>
            <w:r w:rsidRPr="00AE1E78">
              <w:rPr>
                <w:rFonts w:ascii="Times New Roman" w:hAnsi="Times New Roman" w:cs="Times New Roman"/>
                <w:iCs/>
                <w:sz w:val="24"/>
                <w:szCs w:val="24"/>
                <w:shd w:val="clear" w:color="auto" w:fill="FFFFFF"/>
                <w:lang w:val="uk-UA"/>
              </w:rPr>
              <w:t xml:space="preserve"> водоканал», КП «</w:t>
            </w:r>
            <w:proofErr w:type="spellStart"/>
            <w:r w:rsidRPr="00AE1E78">
              <w:rPr>
                <w:rFonts w:ascii="Times New Roman" w:hAnsi="Times New Roman" w:cs="Times New Roman"/>
                <w:iCs/>
                <w:sz w:val="24"/>
                <w:szCs w:val="24"/>
                <w:shd w:val="clear" w:color="auto" w:fill="FFFFFF"/>
                <w:lang w:val="uk-UA"/>
              </w:rPr>
              <w:t>Нікопольводоканал</w:t>
            </w:r>
            <w:proofErr w:type="spellEnd"/>
            <w:r w:rsidRPr="00AE1E78">
              <w:rPr>
                <w:rFonts w:ascii="Times New Roman" w:hAnsi="Times New Roman" w:cs="Times New Roman"/>
                <w:iCs/>
                <w:sz w:val="24"/>
                <w:szCs w:val="24"/>
                <w:shd w:val="clear" w:color="auto" w:fill="FFFFFF"/>
                <w:lang w:val="uk-UA"/>
              </w:rPr>
              <w:t>» тощо), послуги з вивезення сміття та твердих побутових відходів (КП «</w:t>
            </w:r>
            <w:proofErr w:type="spellStart"/>
            <w:r w:rsidRPr="00AE1E78">
              <w:rPr>
                <w:rFonts w:ascii="Times New Roman" w:hAnsi="Times New Roman" w:cs="Times New Roman"/>
                <w:iCs/>
                <w:sz w:val="24"/>
                <w:szCs w:val="24"/>
                <w:shd w:val="clear" w:color="auto" w:fill="FFFFFF"/>
                <w:lang w:val="uk-UA"/>
              </w:rPr>
              <w:t>Хотинблагоустрій</w:t>
            </w:r>
            <w:proofErr w:type="spellEnd"/>
            <w:r w:rsidRPr="00AE1E78">
              <w:rPr>
                <w:rFonts w:ascii="Times New Roman" w:hAnsi="Times New Roman" w:cs="Times New Roman"/>
                <w:iCs/>
                <w:sz w:val="24"/>
                <w:szCs w:val="24"/>
                <w:shd w:val="clear" w:color="auto" w:fill="FFFFFF"/>
                <w:lang w:val="uk-UA"/>
              </w:rPr>
              <w:t>», КП «</w:t>
            </w:r>
            <w:proofErr w:type="spellStart"/>
            <w:r w:rsidRPr="00AE1E78">
              <w:rPr>
                <w:rFonts w:ascii="Times New Roman" w:hAnsi="Times New Roman" w:cs="Times New Roman"/>
                <w:iCs/>
                <w:sz w:val="24"/>
                <w:szCs w:val="24"/>
                <w:shd w:val="clear" w:color="auto" w:fill="FFFFFF"/>
                <w:lang w:val="uk-UA"/>
              </w:rPr>
              <w:t>Комунсервіс</w:t>
            </w:r>
            <w:proofErr w:type="spellEnd"/>
            <w:r w:rsidRPr="00AE1E78">
              <w:rPr>
                <w:rFonts w:ascii="Times New Roman" w:hAnsi="Times New Roman" w:cs="Times New Roman"/>
                <w:iCs/>
                <w:sz w:val="24"/>
                <w:szCs w:val="24"/>
                <w:shd w:val="clear" w:color="auto" w:fill="FFFFFF"/>
                <w:lang w:val="uk-UA"/>
              </w:rPr>
              <w:t>», тощо), а також інші комунальні послуги. Розмір таких витрат залежить від встановлених тарифів, обсягів споживання, вимог щодо утримання об'єктів нерухомого майна та інших об'єктивних факторів, що не залежать від волевиявлення ліцензіата.</w:t>
            </w:r>
          </w:p>
          <w:p w14:paraId="28239103" w14:textId="77777777" w:rsid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Витрати на обов'язкове страхування є законодавчо встановленими витратами, здійснення яких визначається обов'язковість нормативно правовими актами. Товариство </w:t>
            </w:r>
            <w:r w:rsidRPr="00AE1E78">
              <w:rPr>
                <w:rFonts w:ascii="Times New Roman" w:hAnsi="Times New Roman" w:cs="Times New Roman"/>
                <w:iCs/>
                <w:sz w:val="24"/>
                <w:szCs w:val="24"/>
                <w:shd w:val="clear" w:color="auto" w:fill="FFFFFF"/>
                <w:lang w:val="uk-UA"/>
              </w:rPr>
              <w:lastRenderedPageBreak/>
              <w:t>не має права відмовитися від здійснення таких витрат або самостійно визначати необхідність їх понесення.</w:t>
            </w:r>
          </w:p>
          <w:p w14:paraId="777EFA13" w14:textId="77777777" w:rsid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Вартість страхування залежить від законодавчо встановлених вимог до страхового покриття, страхових тарифів, оцінки ризиків страховиками та інших чинників, що перебувають поза сферою контролю ліцензіата. </w:t>
            </w:r>
          </w:p>
          <w:p w14:paraId="5D4CB0DF" w14:textId="77777777" w:rsidR="0021059A" w:rsidRP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Аналогічно витрати на придбання ліцензій та інших спеціальних дозволів є обов'язковою передумовою провадження діяльності та окремих визначаються видів вимогами законодавства, рішеннями уповноважених державних органів і встановленими розмірами відповідних платежів. Товариство не має можливості впливати на розмір таких платежів або уникнути їх сплати за умови здійснення ліцензованої діяльності. </w:t>
            </w:r>
          </w:p>
          <w:p w14:paraId="622A5285" w14:textId="77777777" w:rsidR="0021059A" w:rsidRPr="00AE1E78" w:rsidRDefault="0021059A" w:rsidP="00AE1E78">
            <w:pPr>
              <w:spacing w:line="240" w:lineRule="atLeast"/>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Окремо звертаємо увагу, що </w:t>
            </w:r>
            <w:r w:rsidRPr="00AE1E78">
              <w:rPr>
                <w:rFonts w:ascii="Times New Roman" w:hAnsi="Times New Roman" w:cs="Times New Roman"/>
                <w:b/>
                <w:bCs/>
                <w:iCs/>
                <w:sz w:val="24"/>
                <w:szCs w:val="24"/>
                <w:shd w:val="clear" w:color="auto" w:fill="FFFFFF"/>
                <w:lang w:val="uk-UA"/>
              </w:rPr>
              <w:t>у складі операційних неконтрольованих витрат вже передбачена стаття витрат «отримання ліцензій та спеціальних дозволів».</w:t>
            </w:r>
            <w:r w:rsidRPr="00AE1E78">
              <w:rPr>
                <w:rFonts w:ascii="Times New Roman" w:hAnsi="Times New Roman" w:cs="Times New Roman"/>
                <w:iCs/>
                <w:sz w:val="24"/>
                <w:szCs w:val="24"/>
                <w:shd w:val="clear" w:color="auto" w:fill="FFFFFF"/>
                <w:lang w:val="uk-UA"/>
              </w:rPr>
              <w:t xml:space="preserve"> Запровадження додаткової статті «витрати на придбання ліцензій та інших спеціальних дозволів, що видані для ведення господарської діяльності» у складі операційних контрольованих витрат створює ризик неоднозначного тлумачення та дублювання однорідних витрат у різних категоріях витрат, що суперечить принципам прозорості, послідовності та однозначності регуляторного обліку.</w:t>
            </w:r>
          </w:p>
          <w:p w14:paraId="0CACADA8" w14:textId="77777777" w:rsidR="00146CA4" w:rsidRPr="00AE1E78" w:rsidRDefault="0021059A" w:rsidP="00AE1E78">
            <w:pPr>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Таким чином, </w:t>
            </w:r>
            <w:r w:rsidRPr="00AE1E78">
              <w:rPr>
                <w:rFonts w:ascii="Times New Roman" w:hAnsi="Times New Roman" w:cs="Times New Roman"/>
                <w:b/>
                <w:bCs/>
                <w:iCs/>
                <w:sz w:val="24"/>
                <w:szCs w:val="24"/>
                <w:shd w:val="clear" w:color="auto" w:fill="FFFFFF"/>
                <w:lang w:val="uk-UA"/>
              </w:rPr>
              <w:t>віднесення витрат на послуги з обслуговування будинків та інші комунальні послуги, витрат на обов'язкове страхування, а також витрат на придбання ліцензій та інших спеціальних дозволів до складу операційних контрольованих витрат є необґрунтованим,</w:t>
            </w:r>
            <w:r w:rsidRPr="00AE1E78">
              <w:rPr>
                <w:rFonts w:ascii="Times New Roman" w:hAnsi="Times New Roman" w:cs="Times New Roman"/>
                <w:iCs/>
                <w:sz w:val="24"/>
                <w:szCs w:val="24"/>
                <w:shd w:val="clear" w:color="auto" w:fill="FFFFFF"/>
                <w:lang w:val="uk-UA"/>
              </w:rPr>
              <w:t xml:space="preserve"> оскільки такі витрати мають об'єктивний, нормативно зумовлений та незалежний від діяльності ліцензіата характер та не відповідають сутності операційних контрольованих витрат.</w:t>
            </w:r>
          </w:p>
        </w:tc>
        <w:tc>
          <w:tcPr>
            <w:tcW w:w="2699" w:type="dxa"/>
          </w:tcPr>
          <w:p w14:paraId="578ECABD" w14:textId="77777777" w:rsidR="00146CA4" w:rsidRPr="00375AC3" w:rsidRDefault="00EC532B" w:rsidP="00D56973">
            <w:pPr>
              <w:jc w:val="both"/>
              <w:rPr>
                <w:rFonts w:ascii="Times New Roman" w:eastAsia="Times New Roman" w:hAnsi="Times New Roman" w:cs="Times New Roman"/>
                <w:b/>
                <w:color w:val="FF0000"/>
                <w:sz w:val="24"/>
                <w:szCs w:val="24"/>
                <w:lang w:val="uk-UA" w:eastAsia="uk-UA"/>
              </w:rPr>
            </w:pPr>
            <w:r w:rsidRPr="00375AC3">
              <w:rPr>
                <w:rFonts w:ascii="Times New Roman" w:eastAsia="Times New Roman" w:hAnsi="Times New Roman" w:cs="Times New Roman"/>
                <w:b/>
                <w:sz w:val="24"/>
                <w:szCs w:val="24"/>
                <w:lang w:val="uk-UA" w:eastAsia="uk-UA"/>
              </w:rPr>
              <w:lastRenderedPageBreak/>
              <w:t>Попередньо відхилено</w:t>
            </w:r>
          </w:p>
          <w:p w14:paraId="1C04A428" w14:textId="7B5F766E" w:rsidR="00D56973" w:rsidRPr="0060452B" w:rsidRDefault="0060452B" w:rsidP="0081274D">
            <w:pPr>
              <w:jc w:val="both"/>
              <w:rPr>
                <w:rFonts w:ascii="Times New Roman" w:eastAsia="Times New Roman" w:hAnsi="Times New Roman" w:cs="Times New Roman"/>
                <w:bCs/>
                <w:sz w:val="24"/>
                <w:szCs w:val="24"/>
                <w:lang w:val="uk-UA" w:eastAsia="uk-UA"/>
              </w:rPr>
            </w:pPr>
            <w:r w:rsidRPr="00375AC3">
              <w:rPr>
                <w:rFonts w:ascii="Times New Roman" w:eastAsia="Times New Roman" w:hAnsi="Times New Roman" w:cs="Times New Roman"/>
                <w:bCs/>
                <w:sz w:val="24"/>
                <w:szCs w:val="24"/>
                <w:lang w:val="uk-UA" w:eastAsia="uk-UA"/>
              </w:rPr>
              <w:t xml:space="preserve">Зазначені витрати відповідають критеріям операційних контрольованих витрат, оскільки їх рівень залежить </w:t>
            </w:r>
            <w:r w:rsidR="00663166" w:rsidRPr="00375AC3">
              <w:rPr>
                <w:rFonts w:ascii="Times New Roman" w:eastAsia="Times New Roman" w:hAnsi="Times New Roman" w:cs="Times New Roman"/>
                <w:bCs/>
                <w:sz w:val="24"/>
                <w:szCs w:val="24"/>
                <w:lang w:val="uk-UA" w:eastAsia="uk-UA"/>
              </w:rPr>
              <w:t>від організації господарської діяльності, обсягів залучення та використання ресурсів, умов укладених договорів і можуть бути оптимізовані ліцензіатом.</w:t>
            </w:r>
            <w:r w:rsidRPr="00375AC3">
              <w:rPr>
                <w:rFonts w:ascii="Times New Roman" w:eastAsia="Times New Roman" w:hAnsi="Times New Roman" w:cs="Times New Roman"/>
                <w:bCs/>
                <w:sz w:val="24"/>
                <w:szCs w:val="24"/>
                <w:lang w:val="uk-UA" w:eastAsia="uk-UA"/>
              </w:rPr>
              <w:t xml:space="preserve"> </w:t>
            </w:r>
            <w:r w:rsidR="00663166" w:rsidRPr="00375AC3">
              <w:rPr>
                <w:rFonts w:ascii="Times New Roman" w:eastAsia="Times New Roman" w:hAnsi="Times New Roman" w:cs="Times New Roman"/>
                <w:bCs/>
                <w:sz w:val="24"/>
                <w:szCs w:val="24"/>
                <w:lang w:val="uk-UA" w:eastAsia="uk-UA"/>
              </w:rPr>
              <w:t>Таким чином</w:t>
            </w:r>
            <w:r w:rsidRPr="00375AC3">
              <w:rPr>
                <w:rFonts w:ascii="Times New Roman" w:eastAsia="Times New Roman" w:hAnsi="Times New Roman" w:cs="Times New Roman"/>
                <w:bCs/>
                <w:sz w:val="24"/>
                <w:szCs w:val="24"/>
                <w:lang w:val="uk-UA" w:eastAsia="uk-UA"/>
              </w:rPr>
              <w:t xml:space="preserve"> ліцензіат має можливість впливати на їх величину та забезпечувати їх оптимізацію</w:t>
            </w:r>
            <w:r w:rsidR="00663166" w:rsidRPr="00375AC3">
              <w:rPr>
                <w:rFonts w:ascii="Times New Roman" w:eastAsia="Times New Roman" w:hAnsi="Times New Roman" w:cs="Times New Roman"/>
                <w:bCs/>
                <w:sz w:val="24"/>
                <w:szCs w:val="24"/>
                <w:lang w:val="uk-UA" w:eastAsia="uk-UA"/>
              </w:rPr>
              <w:t>.</w:t>
            </w:r>
          </w:p>
        </w:tc>
      </w:tr>
      <w:tr w:rsidR="00AE1E78" w:rsidRPr="00AE1E78" w14:paraId="26D0FD2C" w14:textId="77777777" w:rsidTr="00CF620A">
        <w:tc>
          <w:tcPr>
            <w:tcW w:w="6305" w:type="dxa"/>
          </w:tcPr>
          <w:p w14:paraId="019A79C8" w14:textId="77777777" w:rsidR="00146CA4" w:rsidRPr="00AE1E78" w:rsidRDefault="0021059A" w:rsidP="00146CA4">
            <w:pPr>
              <w:ind w:firstLine="312"/>
              <w:jc w:val="both"/>
              <w:rPr>
                <w:rFonts w:ascii="Times New Roman" w:hAnsi="Times New Roman" w:cs="Times New Roman"/>
                <w:bCs/>
              </w:rPr>
            </w:pPr>
            <w:r w:rsidRPr="00AE1E78">
              <w:rPr>
                <w:noProof/>
                <w:lang w:eastAsia="ru-RU"/>
              </w:rPr>
              <w:lastRenderedPageBreak/>
              <w:drawing>
                <wp:inline distT="0" distB="0" distL="0" distR="0" wp14:anchorId="3E31BDD8" wp14:editId="71264753">
                  <wp:extent cx="3655183" cy="2474768"/>
                  <wp:effectExtent l="19050" t="19050" r="21590" b="20955"/>
                  <wp:docPr id="1545807025" name="Рисунок 2">
                    <a:extLst xmlns:a="http://schemas.openxmlformats.org/drawingml/2006/main">
                      <a:ext uri="{FF2B5EF4-FFF2-40B4-BE49-F238E27FC236}">
                        <a16:creationId xmlns:a16="http://schemas.microsoft.com/office/drawing/2014/main" id="{178343C3-E341-E0FA-7DDE-C3282D8BA8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178343C3-E341-E0FA-7DDE-C3282D8BA81F}"/>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0566" cy="2512266"/>
                          </a:xfrm>
                          <a:prstGeom prst="rect">
                            <a:avLst/>
                          </a:prstGeom>
                          <a:noFill/>
                          <a:ln>
                            <a:solidFill>
                              <a:schemeClr val="tx1"/>
                            </a:solidFill>
                          </a:ln>
                        </pic:spPr>
                      </pic:pic>
                    </a:graphicData>
                  </a:graphic>
                </wp:inline>
              </w:drawing>
            </w:r>
          </w:p>
        </w:tc>
        <w:tc>
          <w:tcPr>
            <w:tcW w:w="6306" w:type="dxa"/>
          </w:tcPr>
          <w:p w14:paraId="1E3E8EDA" w14:textId="77777777" w:rsidR="0021059A" w:rsidRPr="00AE1E78" w:rsidRDefault="0021059A" w:rsidP="00AE1E78">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60FB0694" w14:textId="77777777" w:rsidR="00146CA4" w:rsidRPr="00AE1E78" w:rsidRDefault="0021059A" w:rsidP="001F078D">
            <w:pPr>
              <w:jc w:val="center"/>
              <w:rPr>
                <w:rFonts w:ascii="Times New Roman" w:hAnsi="Times New Roman" w:cs="Times New Roman"/>
                <w:b/>
                <w:bCs/>
                <w:iCs/>
                <w:sz w:val="24"/>
                <w:szCs w:val="24"/>
                <w:shd w:val="clear" w:color="auto" w:fill="FFFFFF"/>
              </w:rPr>
            </w:pPr>
            <w:r w:rsidRPr="00AE1E78">
              <w:rPr>
                <w:rFonts w:ascii="Times New Roman" w:hAnsi="Times New Roman" w:cs="Times New Roman"/>
                <w:b/>
                <w:bCs/>
                <w:iCs/>
                <w:noProof/>
                <w:sz w:val="24"/>
                <w:szCs w:val="24"/>
                <w:shd w:val="clear" w:color="auto" w:fill="FFFFFF"/>
                <w:lang w:eastAsia="ru-RU"/>
              </w:rPr>
              <w:drawing>
                <wp:inline distT="0" distB="0" distL="0" distR="0" wp14:anchorId="1A66B1B3" wp14:editId="144860E1">
                  <wp:extent cx="2876550" cy="2178794"/>
                  <wp:effectExtent l="0" t="0" r="0" b="0"/>
                  <wp:docPr id="16207645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764502" name=""/>
                          <pic:cNvPicPr/>
                        </pic:nvPicPr>
                        <pic:blipFill>
                          <a:blip r:embed="rId11"/>
                          <a:stretch>
                            <a:fillRect/>
                          </a:stretch>
                        </pic:blipFill>
                        <pic:spPr>
                          <a:xfrm>
                            <a:off x="0" y="0"/>
                            <a:ext cx="2925666" cy="2215996"/>
                          </a:xfrm>
                          <a:prstGeom prst="rect">
                            <a:avLst/>
                          </a:prstGeom>
                        </pic:spPr>
                      </pic:pic>
                    </a:graphicData>
                  </a:graphic>
                </wp:inline>
              </w:drawing>
            </w:r>
          </w:p>
          <w:p w14:paraId="193848C0" w14:textId="77777777" w:rsidR="00AE1E78" w:rsidRDefault="00AE1E78" w:rsidP="0021059A">
            <w:pPr>
              <w:shd w:val="clear" w:color="auto" w:fill="FFFFFF"/>
              <w:jc w:val="center"/>
              <w:rPr>
                <w:rFonts w:ascii="Times New Roman" w:hAnsi="Times New Roman" w:cs="Times New Roman"/>
                <w:b/>
                <w:iCs/>
                <w:sz w:val="24"/>
                <w:szCs w:val="24"/>
                <w:u w:val="single"/>
                <w:shd w:val="clear" w:color="auto" w:fill="FFFFFF"/>
                <w:lang w:val="uk-UA"/>
              </w:rPr>
            </w:pPr>
          </w:p>
          <w:p w14:paraId="1F4BBBFA" w14:textId="77777777" w:rsidR="0021059A" w:rsidRPr="00AE1E78" w:rsidRDefault="0021059A" w:rsidP="00AE1E78">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37773193" w14:textId="77777777" w:rsidR="0021059A" w:rsidRPr="00AE1E78" w:rsidRDefault="0021059A" w:rsidP="00AE1E78">
            <w:pPr>
              <w:ind w:firstLine="530"/>
              <w:jc w:val="both"/>
              <w:rPr>
                <w:rFonts w:ascii="Times New Roman" w:hAnsi="Times New Roman" w:cs="Times New Roman"/>
                <w:iCs/>
                <w:sz w:val="24"/>
                <w:szCs w:val="24"/>
                <w:shd w:val="clear" w:color="auto" w:fill="FFFFFF"/>
                <w:lang w:val="uk-UA"/>
              </w:rPr>
            </w:pPr>
            <w:r w:rsidRPr="00AE1E78">
              <w:rPr>
                <w:rFonts w:ascii="Times New Roman" w:hAnsi="Times New Roman" w:cs="Times New Roman"/>
                <w:iCs/>
                <w:sz w:val="24"/>
                <w:szCs w:val="24"/>
                <w:shd w:val="clear" w:color="auto" w:fill="FFFFFF"/>
                <w:lang w:val="uk-UA"/>
              </w:rPr>
              <w:t xml:space="preserve">Пропонуємо </w:t>
            </w:r>
            <w:r w:rsidRPr="00AE1E78">
              <w:rPr>
                <w:rFonts w:ascii="Times New Roman" w:hAnsi="Times New Roman" w:cs="Times New Roman"/>
                <w:b/>
                <w:bCs/>
                <w:iCs/>
                <w:sz w:val="24"/>
                <w:szCs w:val="24"/>
                <w:shd w:val="clear" w:color="auto" w:fill="FFFFFF"/>
                <w:lang w:val="uk-UA"/>
              </w:rPr>
              <w:t>залишити витрати на послуги з обслуговування будинків та інші комунальні послуги, а також витрати на обов'язкове страхування у складі операційних неконтрольованих витрат (ОНВ)</w:t>
            </w:r>
            <w:r w:rsidRPr="00AE1E78">
              <w:rPr>
                <w:rFonts w:ascii="Times New Roman" w:hAnsi="Times New Roman" w:cs="Times New Roman"/>
                <w:iCs/>
                <w:sz w:val="24"/>
                <w:szCs w:val="24"/>
                <w:shd w:val="clear" w:color="auto" w:fill="FFFFFF"/>
                <w:lang w:val="uk-UA"/>
              </w:rPr>
              <w:t xml:space="preserve"> з урахуванням наведеного</w:t>
            </w:r>
            <w:r w:rsidR="00F022CD" w:rsidRPr="00AE1E78">
              <w:rPr>
                <w:rFonts w:ascii="Times New Roman" w:hAnsi="Times New Roman" w:cs="Times New Roman"/>
                <w:iCs/>
                <w:sz w:val="24"/>
                <w:szCs w:val="24"/>
                <w:shd w:val="clear" w:color="auto" w:fill="FFFFFF"/>
                <w:lang w:val="uk-UA"/>
              </w:rPr>
              <w:t xml:space="preserve"> вище обґрунтування щодо їх невідповідності критеріям контрольованих витрат. Зазначені витрати формуються під впливом зовнішніх регуляторних, законодавчих, тарифних та ринкових факторів, на які ліцензіат не має безпосереднього впливу, а їх здійснення в окремих випадках є обов'язковою умовою забезпечення належного функціонування Товариства та виконання вимог законодавства. Враховуючи об'єктивний та переважно незалежний від діяльності ліцензіата характер таких витрат, </w:t>
            </w:r>
            <w:r w:rsidR="00F022CD" w:rsidRPr="00AE1E78">
              <w:rPr>
                <w:rFonts w:ascii="Times New Roman" w:hAnsi="Times New Roman" w:cs="Times New Roman"/>
                <w:b/>
                <w:bCs/>
                <w:iCs/>
                <w:sz w:val="24"/>
                <w:szCs w:val="24"/>
                <w:shd w:val="clear" w:color="auto" w:fill="FFFFFF"/>
                <w:lang w:val="uk-UA"/>
              </w:rPr>
              <w:t>їх віднесення до складу ОНВ є обґрунтованим та відповідає принципам класифікації витрат для цілей регуляторного обліку.</w:t>
            </w:r>
          </w:p>
        </w:tc>
        <w:tc>
          <w:tcPr>
            <w:tcW w:w="2699" w:type="dxa"/>
          </w:tcPr>
          <w:p w14:paraId="72B5A060" w14:textId="77777777" w:rsidR="00146CA4" w:rsidRPr="00603120" w:rsidRDefault="00EC532B" w:rsidP="00146CA4">
            <w:pPr>
              <w:jc w:val="center"/>
              <w:rPr>
                <w:rFonts w:ascii="Times New Roman" w:eastAsia="Times New Roman" w:hAnsi="Times New Roman" w:cs="Times New Roman"/>
                <w:b/>
                <w:sz w:val="24"/>
                <w:szCs w:val="24"/>
                <w:lang w:val="uk-UA" w:eastAsia="uk-UA"/>
              </w:rPr>
            </w:pPr>
            <w:r w:rsidRPr="00603120">
              <w:rPr>
                <w:rFonts w:ascii="Times New Roman" w:eastAsia="Times New Roman" w:hAnsi="Times New Roman" w:cs="Times New Roman"/>
                <w:b/>
                <w:sz w:val="24"/>
                <w:szCs w:val="24"/>
                <w:lang w:val="uk-UA" w:eastAsia="uk-UA"/>
              </w:rPr>
              <w:t>Попередньо відхилено</w:t>
            </w:r>
          </w:p>
          <w:p w14:paraId="3CD68A1F" w14:textId="77777777" w:rsidR="00036638" w:rsidRDefault="00036638" w:rsidP="00036638">
            <w:pPr>
              <w:jc w:val="both"/>
              <w:rPr>
                <w:rFonts w:ascii="Times New Roman" w:eastAsia="Times New Roman" w:hAnsi="Times New Roman" w:cs="Times New Roman"/>
                <w:bCs/>
                <w:sz w:val="24"/>
                <w:szCs w:val="24"/>
                <w:lang w:val="uk-UA" w:eastAsia="uk-UA"/>
              </w:rPr>
            </w:pPr>
            <w:r w:rsidRPr="00AE1E78">
              <w:rPr>
                <w:rFonts w:ascii="Times New Roman" w:eastAsia="Times New Roman" w:hAnsi="Times New Roman" w:cs="Times New Roman"/>
                <w:bCs/>
                <w:sz w:val="24"/>
                <w:szCs w:val="24"/>
                <w:lang w:val="uk-UA" w:eastAsia="uk-UA"/>
              </w:rPr>
              <w:t xml:space="preserve">Запропоновані зміни до цього додатка є похідними від пропозиції щодо внесення змін до додатка 1, які попередньо </w:t>
            </w:r>
            <w:r w:rsidR="000A15AF">
              <w:rPr>
                <w:rFonts w:ascii="Times New Roman" w:eastAsia="Times New Roman" w:hAnsi="Times New Roman" w:cs="Times New Roman"/>
                <w:bCs/>
                <w:sz w:val="24"/>
                <w:szCs w:val="24"/>
                <w:lang w:val="uk-UA" w:eastAsia="uk-UA"/>
              </w:rPr>
              <w:t>відхилено</w:t>
            </w:r>
            <w:r w:rsidR="006D0933">
              <w:rPr>
                <w:rFonts w:ascii="Times New Roman" w:eastAsia="Times New Roman" w:hAnsi="Times New Roman" w:cs="Times New Roman"/>
                <w:bCs/>
                <w:sz w:val="24"/>
                <w:szCs w:val="24"/>
                <w:lang w:val="uk-UA" w:eastAsia="uk-UA"/>
              </w:rPr>
              <w:t>.</w:t>
            </w:r>
          </w:p>
          <w:p w14:paraId="0D7D9BDC" w14:textId="455FD05D" w:rsidR="006D0933" w:rsidRPr="00603120" w:rsidRDefault="006D0933" w:rsidP="00036638">
            <w:pPr>
              <w:jc w:val="both"/>
              <w:rPr>
                <w:rFonts w:ascii="Times New Roman" w:eastAsia="Times New Roman" w:hAnsi="Times New Roman" w:cs="Times New Roman"/>
                <w:b/>
                <w:sz w:val="24"/>
                <w:szCs w:val="24"/>
                <w:lang w:val="uk-UA" w:eastAsia="uk-UA"/>
              </w:rPr>
            </w:pPr>
          </w:p>
        </w:tc>
      </w:tr>
      <w:tr w:rsidR="00ED117E" w:rsidRPr="00AE1E78" w14:paraId="0CBC183D" w14:textId="77777777" w:rsidTr="00CF620A">
        <w:tc>
          <w:tcPr>
            <w:tcW w:w="6305" w:type="dxa"/>
          </w:tcPr>
          <w:p w14:paraId="3A8D47F1" w14:textId="77777777" w:rsidR="00ED117E" w:rsidRPr="00AE1E78" w:rsidRDefault="00ED117E" w:rsidP="00ED117E">
            <w:pPr>
              <w:ind w:firstLine="312"/>
              <w:jc w:val="both"/>
              <w:rPr>
                <w:noProof/>
              </w:rPr>
            </w:pPr>
            <w:r w:rsidRPr="00AE1E78">
              <w:rPr>
                <w:noProof/>
                <w:lang w:eastAsia="ru-RU"/>
              </w:rPr>
              <w:lastRenderedPageBreak/>
              <w:drawing>
                <wp:inline distT="0" distB="0" distL="0" distR="0" wp14:anchorId="4D2F7892" wp14:editId="6D1BC136">
                  <wp:extent cx="3686051" cy="6120130"/>
                  <wp:effectExtent l="19050" t="19050" r="10160" b="13970"/>
                  <wp:docPr id="171165427" name="Рисунок 1">
                    <a:extLst xmlns:a="http://schemas.openxmlformats.org/drawingml/2006/main">
                      <a:ext uri="{FF2B5EF4-FFF2-40B4-BE49-F238E27FC236}">
                        <a16:creationId xmlns:a16="http://schemas.microsoft.com/office/drawing/2014/main" id="{4958A9D3-98DA-8BB5-A35B-EABDB0030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4958A9D3-98DA-8BB5-A35B-EABDB0030EDA}"/>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8620" cy="6124396"/>
                          </a:xfrm>
                          <a:prstGeom prst="rect">
                            <a:avLst/>
                          </a:prstGeom>
                          <a:noFill/>
                          <a:ln>
                            <a:solidFill>
                              <a:schemeClr val="tx1"/>
                            </a:solidFill>
                          </a:ln>
                        </pic:spPr>
                      </pic:pic>
                    </a:graphicData>
                  </a:graphic>
                </wp:inline>
              </w:drawing>
            </w:r>
          </w:p>
        </w:tc>
        <w:tc>
          <w:tcPr>
            <w:tcW w:w="6306" w:type="dxa"/>
          </w:tcPr>
          <w:p w14:paraId="590DC2EA" w14:textId="77777777" w:rsidR="00ED117E" w:rsidRPr="00AE1E78" w:rsidRDefault="00ED117E" w:rsidP="00ED117E">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7FFB6717" w14:textId="77777777" w:rsidR="00ED117E" w:rsidRPr="00AE1E78" w:rsidRDefault="00ED117E" w:rsidP="00ED117E">
            <w:pPr>
              <w:spacing w:line="240" w:lineRule="atLeast"/>
              <w:jc w:val="both"/>
              <w:rPr>
                <w:noProof/>
              </w:rPr>
            </w:pPr>
          </w:p>
          <w:p w14:paraId="6AAEE69F" w14:textId="77777777" w:rsidR="00ED117E" w:rsidRPr="00AE1E78" w:rsidRDefault="00ED117E" w:rsidP="00ED117E">
            <w:pPr>
              <w:spacing w:line="240" w:lineRule="atLeast"/>
              <w:jc w:val="both"/>
              <w:rPr>
                <w:noProof/>
              </w:rPr>
            </w:pPr>
            <w:r w:rsidRPr="00AE1E78">
              <w:rPr>
                <w:noProof/>
                <w:lang w:eastAsia="ru-RU"/>
              </w:rPr>
              <w:drawing>
                <wp:inline distT="0" distB="0" distL="0" distR="0" wp14:anchorId="211E3012" wp14:editId="2F6EC37D">
                  <wp:extent cx="3790057" cy="2809875"/>
                  <wp:effectExtent l="0" t="0" r="1270" b="0"/>
                  <wp:docPr id="1052470932" name="Рисунок 1">
                    <a:extLst xmlns:a="http://schemas.openxmlformats.org/drawingml/2006/main">
                      <a:ext uri="{FF2B5EF4-FFF2-40B4-BE49-F238E27FC236}">
                        <a16:creationId xmlns:a16="http://schemas.microsoft.com/office/drawing/2014/main" id="{823323F3-4A2F-44A6-B523-129DA54B17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823323F3-4A2F-44A6-B523-129DA54B1703}"/>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5607" cy="2813990"/>
                          </a:xfrm>
                          <a:prstGeom prst="rect">
                            <a:avLst/>
                          </a:prstGeom>
                          <a:noFill/>
                        </pic:spPr>
                      </pic:pic>
                    </a:graphicData>
                  </a:graphic>
                </wp:inline>
              </w:drawing>
            </w:r>
          </w:p>
          <w:p w14:paraId="52D258F9" w14:textId="77777777" w:rsidR="00ED117E" w:rsidRPr="00AE1E78" w:rsidRDefault="00ED117E" w:rsidP="00ED117E">
            <w:pPr>
              <w:rPr>
                <w:noProof/>
              </w:rPr>
            </w:pPr>
          </w:p>
          <w:p w14:paraId="6AAC21EB" w14:textId="77777777" w:rsidR="00ED117E" w:rsidRPr="00AE1E78" w:rsidRDefault="00ED117E" w:rsidP="00ED117E">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689E2FED"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Пропонуємо </w:t>
            </w:r>
            <w:r w:rsidRPr="00AE1E78">
              <w:rPr>
                <w:rFonts w:ascii="Times New Roman" w:hAnsi="Times New Roman" w:cs="Times New Roman"/>
                <w:b/>
                <w:iCs/>
                <w:sz w:val="24"/>
                <w:szCs w:val="24"/>
                <w:shd w:val="clear" w:color="auto" w:fill="FFFFFF"/>
                <w:lang w:val="uk-UA"/>
              </w:rPr>
              <w:t xml:space="preserve">внести зміни до додатка 10 та передбачити в ньому примірний перелік груп активів і примірні строки їх корисного використання. </w:t>
            </w:r>
          </w:p>
          <w:p w14:paraId="17A18518"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Діюча структура додатка 10 була запроваджена у 2015 році, тобто ще до фактичного застосування стимулюючого регулювання діяльності із транспортування природного газу. Зазначений додаток містить як деталізовану класифікацію активів, так і строки їх корисного використання, визначені для окремих категорій активів. </w:t>
            </w:r>
          </w:p>
          <w:p w14:paraId="2A7BB613"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Водночас НКРЕКП у 2019 році було внесено зміни до Методики визначення та розрахунку тарифів на послуги транспортування природного газу, якими, зокрема, вилучено додаток 3, що визначав нормативні строки експлуатації активів для цілей нарахування амортизації. </w:t>
            </w:r>
            <w:r w:rsidRPr="00AE1E78">
              <w:rPr>
                <w:rFonts w:ascii="Times New Roman" w:hAnsi="Times New Roman" w:cs="Times New Roman"/>
                <w:b/>
                <w:iCs/>
                <w:sz w:val="24"/>
                <w:szCs w:val="24"/>
                <w:shd w:val="clear" w:color="auto" w:fill="FFFFFF"/>
                <w:lang w:val="uk-UA"/>
              </w:rPr>
              <w:lastRenderedPageBreak/>
              <w:t>Таким чином, регулятором було підтримано підхід щодо відмови від нормативного встановлення строків експлуатації активів на рівні Методики.</w:t>
            </w:r>
            <w:r w:rsidRPr="00AE1E78">
              <w:rPr>
                <w:rFonts w:ascii="Times New Roman" w:hAnsi="Times New Roman" w:cs="Times New Roman"/>
                <w:bCs/>
                <w:iCs/>
                <w:sz w:val="24"/>
                <w:szCs w:val="24"/>
                <w:shd w:val="clear" w:color="auto" w:fill="FFFFFF"/>
                <w:lang w:val="uk-UA"/>
              </w:rPr>
              <w:t xml:space="preserve"> </w:t>
            </w:r>
          </w:p>
          <w:p w14:paraId="6704ADE6"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На сьогодні строк корисного використання активів, що включаються до регуляторної бази активів, визначається відповідно до вимог законодавства у сфері бухгалтерського обліку, з урахуванням положень Облікової політики Товариства, Класифікатора та мінімальних строків використання об'єктів газотранспортної системи. Такий підхід забезпечує врахування технічних характеристик активів та умов їх експлуатації.</w:t>
            </w:r>
          </w:p>
          <w:p w14:paraId="399036D5"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З огляду на це, доцільним є застосування в додатку 10 саме </w:t>
            </w:r>
            <w:r w:rsidRPr="00AE1E78">
              <w:rPr>
                <w:rFonts w:ascii="Times New Roman" w:hAnsi="Times New Roman" w:cs="Times New Roman"/>
                <w:b/>
                <w:iCs/>
                <w:sz w:val="24"/>
                <w:szCs w:val="24"/>
                <w:shd w:val="clear" w:color="auto" w:fill="FFFFFF"/>
                <w:lang w:val="uk-UA"/>
              </w:rPr>
              <w:t>примірних строків</w:t>
            </w:r>
            <w:r w:rsidRPr="00AE1E78">
              <w:rPr>
                <w:rFonts w:ascii="Times New Roman" w:hAnsi="Times New Roman" w:cs="Times New Roman"/>
                <w:bCs/>
                <w:iCs/>
                <w:sz w:val="24"/>
                <w:szCs w:val="24"/>
                <w:shd w:val="clear" w:color="auto" w:fill="FFFFFF"/>
                <w:lang w:val="uk-UA"/>
              </w:rPr>
              <w:t xml:space="preserve"> корисного використання активів, які можуть використовуватися як орієнтир для цілей регуляторного обліку без обмеження права ліцензіата визначати фактичні строки корисного використання відповідно до вимог бухгалтерського обліку.</w:t>
            </w:r>
          </w:p>
          <w:p w14:paraId="6C9460E5"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Аналогічний підхід доцільно застосовувати і щодо групування активів. Діюча структура додатка 10 містить деталізовану класифікацію активів, яка не повною мірою відповідає структурі активів, що використовуються під час провадження діяльності з транспортування природного газу.</w:t>
            </w:r>
          </w:p>
          <w:p w14:paraId="13561107"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Зокрема, додаток передбачає окреме виділення поліетиленових, сталевих та комбінованих газопроводів із поділом за рівнями тиску, а також деталізацію окремих видів будівель, споруд та інших об'єктів. Такий підхід є більш характерним для обліку активів операторів газорозподільних систем та не відображає особливостей структури активів Оператора газотранспортної системи. </w:t>
            </w:r>
          </w:p>
          <w:p w14:paraId="67D7F94E"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Водночас зазначена деталізація не впливає на кінцевий результат розрахунку амортизаційних відрахувань, оскільки розрахунок здійснюється виходячи з вартості активу, строку його корисного використання та </w:t>
            </w:r>
            <w:r w:rsidRPr="00AE1E78">
              <w:rPr>
                <w:rFonts w:ascii="Times New Roman" w:hAnsi="Times New Roman" w:cs="Times New Roman"/>
                <w:bCs/>
                <w:iCs/>
                <w:sz w:val="24"/>
                <w:szCs w:val="24"/>
                <w:shd w:val="clear" w:color="auto" w:fill="FFFFFF"/>
                <w:lang w:val="uk-UA"/>
              </w:rPr>
              <w:lastRenderedPageBreak/>
              <w:t xml:space="preserve">відповідної суми амортизації. Натомість її застосування ускладнює процес підготовки та подання прогнозних і фактичних показників амортизації, а також створює ризики неоднозначного віднесення активів до окремих груп. </w:t>
            </w:r>
          </w:p>
          <w:p w14:paraId="63841547"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Запропоновані Товариством </w:t>
            </w:r>
            <w:r w:rsidRPr="00AE1E78">
              <w:rPr>
                <w:rFonts w:ascii="Times New Roman" w:hAnsi="Times New Roman" w:cs="Times New Roman"/>
                <w:b/>
                <w:iCs/>
                <w:sz w:val="24"/>
                <w:szCs w:val="24"/>
                <w:shd w:val="clear" w:color="auto" w:fill="FFFFFF"/>
                <w:lang w:val="uk-UA"/>
              </w:rPr>
              <w:t>примірний перелік укрупнених груп активів та примірні строки їх корисного використання</w:t>
            </w:r>
            <w:r w:rsidRPr="00AE1E78">
              <w:rPr>
                <w:rFonts w:ascii="Times New Roman" w:hAnsi="Times New Roman" w:cs="Times New Roman"/>
                <w:bCs/>
                <w:iCs/>
                <w:sz w:val="24"/>
                <w:szCs w:val="24"/>
                <w:shd w:val="clear" w:color="auto" w:fill="FFFFFF"/>
                <w:lang w:val="uk-UA"/>
              </w:rPr>
              <w:t xml:space="preserve"> забезпечують достатній рівень деталізації для цілей тарифоутворення та регуляторного контролю, збереження повноти та достовірності інформації, необхідної для регуляторних цілей, а також отримання тотожного результату розрахунку амортизаційних відрахувань порівняно з деталізованою формою.</w:t>
            </w:r>
          </w:p>
          <w:p w14:paraId="5D312CDE"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Запропонований підхід також узгоджується з групуванням основних засобів, передбаченим Податковим кодексом України, підходами до класифікації активів, визначеними Обліковою політикою Товариства, та принципами бухгалтерського обліку. Використання єдиних підходів до класифікації активів для цілей бухгалтерського, податкового та регуляторного обліку забезпечить послідовність формування показників та мінімізує необхідність додаткових трансформацій даних.</w:t>
            </w:r>
          </w:p>
          <w:p w14:paraId="429325F4"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Крім того, запропонований підхід відповідає принципу уніфікації регуляторних підходів та є аналогічним підходу до групування активів і визначення амортизації, визначених Методикою визначення та розрахунку тарифів на послуги зберігання (закачування, відбору) природного газу щодо газосховищ, до яких застосовується режим регульованого доступу, на основі багаторічного стимулюючого регулювання. </w:t>
            </w:r>
          </w:p>
          <w:p w14:paraId="2223CB4C"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Застосування аналогічного підходу дозволить забезпечити єдність методології формування амортизаційних витрат у різних сегментах газового сектору, підвищить </w:t>
            </w:r>
            <w:proofErr w:type="spellStart"/>
            <w:r w:rsidRPr="00AE1E78">
              <w:rPr>
                <w:rFonts w:ascii="Times New Roman" w:hAnsi="Times New Roman" w:cs="Times New Roman"/>
                <w:bCs/>
                <w:iCs/>
                <w:sz w:val="24"/>
                <w:szCs w:val="24"/>
                <w:shd w:val="clear" w:color="auto" w:fill="FFFFFF"/>
                <w:lang w:val="uk-UA"/>
              </w:rPr>
              <w:t>зіставність</w:t>
            </w:r>
            <w:proofErr w:type="spellEnd"/>
            <w:r w:rsidRPr="00AE1E78">
              <w:rPr>
                <w:rFonts w:ascii="Times New Roman" w:hAnsi="Times New Roman" w:cs="Times New Roman"/>
                <w:bCs/>
                <w:iCs/>
                <w:sz w:val="24"/>
                <w:szCs w:val="24"/>
                <w:shd w:val="clear" w:color="auto" w:fill="FFFFFF"/>
                <w:lang w:val="uk-UA"/>
              </w:rPr>
              <w:t xml:space="preserve"> показників між суб'єктами </w:t>
            </w:r>
            <w:r w:rsidRPr="00AE1E78">
              <w:rPr>
                <w:rFonts w:ascii="Times New Roman" w:hAnsi="Times New Roman" w:cs="Times New Roman"/>
                <w:bCs/>
                <w:iCs/>
                <w:sz w:val="24"/>
                <w:szCs w:val="24"/>
                <w:shd w:val="clear" w:color="auto" w:fill="FFFFFF"/>
                <w:lang w:val="uk-UA"/>
              </w:rPr>
              <w:lastRenderedPageBreak/>
              <w:t xml:space="preserve">регульованої діяльності та сприятиме спрощенню процедур підготовки й аналізу регуляторної звітності. </w:t>
            </w:r>
          </w:p>
          <w:p w14:paraId="523AEB4A"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
                <w:iCs/>
                <w:sz w:val="24"/>
                <w:szCs w:val="24"/>
                <w:shd w:val="clear" w:color="auto" w:fill="FFFFFF"/>
                <w:lang w:val="uk-UA"/>
              </w:rPr>
              <w:t>Ураховуючи викладене, пропонуємо:</w:t>
            </w:r>
          </w:p>
          <w:p w14:paraId="39615711"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1) передбачити в додатку 10 </w:t>
            </w:r>
            <w:r w:rsidRPr="00AE1E78">
              <w:rPr>
                <w:rFonts w:ascii="Times New Roman" w:hAnsi="Times New Roman" w:cs="Times New Roman"/>
                <w:b/>
                <w:iCs/>
                <w:sz w:val="24"/>
                <w:szCs w:val="24"/>
                <w:shd w:val="clear" w:color="auto" w:fill="FFFFFF"/>
                <w:lang w:val="uk-UA"/>
              </w:rPr>
              <w:t xml:space="preserve">примірний </w:t>
            </w:r>
            <w:r w:rsidRPr="00AE1E78">
              <w:rPr>
                <w:rFonts w:ascii="Times New Roman" w:hAnsi="Times New Roman" w:cs="Times New Roman"/>
                <w:bCs/>
                <w:iCs/>
                <w:sz w:val="24"/>
                <w:szCs w:val="24"/>
                <w:shd w:val="clear" w:color="auto" w:fill="FFFFFF"/>
                <w:lang w:val="uk-UA"/>
              </w:rPr>
              <w:t>укрупнений перелік груп активів;</w:t>
            </w:r>
          </w:p>
          <w:p w14:paraId="6655F134"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 xml:space="preserve">2) передбачити в додатку 10 </w:t>
            </w:r>
            <w:r w:rsidRPr="00AE1E78">
              <w:rPr>
                <w:rFonts w:ascii="Times New Roman" w:hAnsi="Times New Roman" w:cs="Times New Roman"/>
                <w:b/>
                <w:iCs/>
                <w:sz w:val="24"/>
                <w:szCs w:val="24"/>
                <w:shd w:val="clear" w:color="auto" w:fill="FFFFFF"/>
                <w:lang w:val="uk-UA"/>
              </w:rPr>
              <w:t>примірні</w:t>
            </w:r>
            <w:r w:rsidRPr="00AE1E78">
              <w:rPr>
                <w:rFonts w:ascii="Times New Roman" w:hAnsi="Times New Roman" w:cs="Times New Roman"/>
                <w:bCs/>
                <w:iCs/>
                <w:sz w:val="24"/>
                <w:szCs w:val="24"/>
                <w:shd w:val="clear" w:color="auto" w:fill="FFFFFF"/>
                <w:lang w:val="uk-UA"/>
              </w:rPr>
              <w:t xml:space="preserve"> строки корисного використання активів.</w:t>
            </w:r>
          </w:p>
          <w:p w14:paraId="0A13436B"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Cs/>
                <w:iCs/>
                <w:sz w:val="24"/>
                <w:szCs w:val="24"/>
                <w:shd w:val="clear" w:color="auto" w:fill="FFFFFF"/>
                <w:lang w:val="uk-UA"/>
              </w:rPr>
              <w:t>Такий підхід забезпечить необхідний рівень деталізації для цілей тарифоутворення та регуляторного контролю, не вплине на коректність визначення амортизаційних відрахувань та узгоджуватиметься з вимогами бухгалтерського обліку і практикою експлуатації активів Товариства.</w:t>
            </w:r>
          </w:p>
          <w:p w14:paraId="200E0616"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50C45E5"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2E23C1B"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4C28B073"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006010C"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1162F7F6"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1CCF609A"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AB9AB51"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1FEE252F"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0E153EFD"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601E2B40"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006E3110"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1E5CDB20"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6B4F29D3"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70468C4"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F341905"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6CB0AB48"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0A7DA86"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527719C6"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3E24ABA1" w14:textId="77777777" w:rsidR="00ED117E"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p>
          <w:p w14:paraId="1FD90C24" w14:textId="77777777" w:rsidR="00ED117E" w:rsidRPr="00AE1E78" w:rsidRDefault="00ED117E" w:rsidP="00ED117E">
            <w:pPr>
              <w:shd w:val="clear" w:color="auto" w:fill="FFFFFF"/>
              <w:jc w:val="both"/>
              <w:rPr>
                <w:rFonts w:ascii="Times New Roman" w:hAnsi="Times New Roman" w:cs="Times New Roman"/>
                <w:bCs/>
                <w:iCs/>
                <w:sz w:val="24"/>
                <w:szCs w:val="24"/>
                <w:shd w:val="clear" w:color="auto" w:fill="FFFFFF"/>
                <w:lang w:val="uk-UA"/>
              </w:rPr>
            </w:pPr>
          </w:p>
        </w:tc>
        <w:tc>
          <w:tcPr>
            <w:tcW w:w="2699" w:type="dxa"/>
          </w:tcPr>
          <w:p w14:paraId="64B393F2" w14:textId="77777777" w:rsidR="00ED117E" w:rsidRPr="00603120" w:rsidRDefault="00ED117E" w:rsidP="00ED117E">
            <w:pPr>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lastRenderedPageBreak/>
              <w:t>Попередньо відхилено</w:t>
            </w:r>
          </w:p>
          <w:p w14:paraId="583FA712" w14:textId="77777777" w:rsidR="006D0933" w:rsidRPr="00FA0E2E" w:rsidRDefault="006D0933" w:rsidP="006D0933">
            <w:pPr>
              <w:ind w:firstLine="567"/>
              <w:jc w:val="both"/>
              <w:rPr>
                <w:rFonts w:ascii="Times New Roman" w:hAnsi="Times New Roman" w:cs="Times New Roman"/>
                <w:sz w:val="28"/>
                <w:szCs w:val="28"/>
                <w:lang w:val="uk-UA"/>
              </w:rPr>
            </w:pPr>
            <w:r w:rsidRPr="00FA0E2E">
              <w:rPr>
                <w:rFonts w:ascii="Times New Roman" w:hAnsi="Times New Roman" w:cs="Times New Roman"/>
                <w:iCs/>
                <w:sz w:val="24"/>
                <w:szCs w:val="24"/>
                <w:shd w:val="clear" w:color="auto" w:fill="FFFFFF"/>
                <w:lang w:val="uk-UA"/>
              </w:rPr>
              <w:t xml:space="preserve">Передбачена Методикою деталізація груп активів забезпечує прозорість формування амортизаційних відрахувань, чіткість та уніфікованість класифікації активів, а також </w:t>
            </w:r>
            <w:proofErr w:type="spellStart"/>
            <w:r w:rsidRPr="00FA0E2E">
              <w:rPr>
                <w:rFonts w:ascii="Times New Roman" w:hAnsi="Times New Roman" w:cs="Times New Roman"/>
                <w:iCs/>
                <w:sz w:val="24"/>
                <w:szCs w:val="24"/>
                <w:shd w:val="clear" w:color="auto" w:fill="FFFFFF"/>
                <w:lang w:val="uk-UA"/>
              </w:rPr>
              <w:t>зіставність</w:t>
            </w:r>
            <w:proofErr w:type="spellEnd"/>
            <w:r w:rsidRPr="00FA0E2E">
              <w:rPr>
                <w:rFonts w:ascii="Times New Roman" w:hAnsi="Times New Roman" w:cs="Times New Roman"/>
                <w:iCs/>
                <w:sz w:val="24"/>
                <w:szCs w:val="24"/>
                <w:shd w:val="clear" w:color="auto" w:fill="FFFFFF"/>
                <w:lang w:val="uk-UA"/>
              </w:rPr>
              <w:t xml:space="preserve"> інформації між регуляторними періодами та можливість перевірки зміни вартості регуляторної бази активів унаслідок введення активів в експлуатацію, їх вибуття та нарахування амортизації. </w:t>
            </w:r>
          </w:p>
          <w:p w14:paraId="1CF9368E" w14:textId="77777777" w:rsidR="006D0933" w:rsidRPr="009F3ECE" w:rsidRDefault="006D0933" w:rsidP="006D0933">
            <w:pPr>
              <w:tabs>
                <w:tab w:val="left" w:pos="1470"/>
              </w:tabs>
              <w:jc w:val="both"/>
              <w:rPr>
                <w:rFonts w:ascii="Times New Roman" w:hAnsi="Times New Roman" w:cs="Times New Roman"/>
                <w:iCs/>
                <w:sz w:val="24"/>
                <w:szCs w:val="24"/>
                <w:shd w:val="clear" w:color="auto" w:fill="FFFFFF"/>
                <w:lang w:val="uk-UA"/>
              </w:rPr>
            </w:pPr>
            <w:r w:rsidRPr="00FA0E2E">
              <w:rPr>
                <w:rFonts w:ascii="Times New Roman" w:hAnsi="Times New Roman" w:cs="Times New Roman"/>
                <w:iCs/>
                <w:sz w:val="24"/>
                <w:szCs w:val="24"/>
                <w:shd w:val="clear" w:color="auto" w:fill="FFFFFF"/>
                <w:lang w:val="uk-UA"/>
              </w:rPr>
              <w:t xml:space="preserve">Крім того, укрупнення груп активів та запровадження примірних строків їх корисного використання зменшуватиме деталізацію відповідної інформації та може призвести до варіативності підходів до класифікації активів і визначення строків їх </w:t>
            </w:r>
            <w:r w:rsidRPr="00FA0E2E">
              <w:rPr>
                <w:rFonts w:ascii="Times New Roman" w:hAnsi="Times New Roman" w:cs="Times New Roman"/>
                <w:iCs/>
                <w:sz w:val="24"/>
                <w:szCs w:val="24"/>
                <w:shd w:val="clear" w:color="auto" w:fill="FFFFFF"/>
                <w:lang w:val="uk-UA"/>
              </w:rPr>
              <w:lastRenderedPageBreak/>
              <w:t xml:space="preserve">амортизації, що ускладнюватиме забезпечення послідовності та </w:t>
            </w:r>
            <w:proofErr w:type="spellStart"/>
            <w:r w:rsidRPr="00FA0E2E">
              <w:rPr>
                <w:rFonts w:ascii="Times New Roman" w:hAnsi="Times New Roman" w:cs="Times New Roman"/>
                <w:iCs/>
                <w:sz w:val="24"/>
                <w:szCs w:val="24"/>
                <w:shd w:val="clear" w:color="auto" w:fill="FFFFFF"/>
                <w:lang w:val="uk-UA"/>
              </w:rPr>
              <w:t>зіставності</w:t>
            </w:r>
            <w:proofErr w:type="spellEnd"/>
            <w:r w:rsidRPr="00FA0E2E">
              <w:rPr>
                <w:rFonts w:ascii="Times New Roman" w:hAnsi="Times New Roman" w:cs="Times New Roman"/>
                <w:iCs/>
                <w:sz w:val="24"/>
                <w:szCs w:val="24"/>
                <w:shd w:val="clear" w:color="auto" w:fill="FFFFFF"/>
                <w:lang w:val="uk-UA"/>
              </w:rPr>
              <w:t xml:space="preserve"> показників, які враховуються при визначенні тарифу.</w:t>
            </w:r>
          </w:p>
          <w:p w14:paraId="1FAEB756" w14:textId="77777777" w:rsidR="00ED117E" w:rsidRPr="00F544E3" w:rsidRDefault="00ED117E" w:rsidP="00ED117E">
            <w:pPr>
              <w:tabs>
                <w:tab w:val="left" w:pos="1470"/>
              </w:tabs>
              <w:ind w:firstLine="185"/>
              <w:jc w:val="both"/>
              <w:rPr>
                <w:rFonts w:ascii="Times New Roman" w:hAnsi="Times New Roman" w:cs="Times New Roman"/>
                <w:bCs/>
                <w:iCs/>
                <w:sz w:val="24"/>
                <w:szCs w:val="24"/>
                <w:shd w:val="clear" w:color="auto" w:fill="FFFFFF"/>
                <w:lang w:val="uk-UA"/>
              </w:rPr>
            </w:pPr>
          </w:p>
        </w:tc>
      </w:tr>
      <w:tr w:rsidR="00ED117E" w:rsidRPr="00AE1E78" w14:paraId="0874D287" w14:textId="77777777" w:rsidTr="00CF620A">
        <w:tc>
          <w:tcPr>
            <w:tcW w:w="6305" w:type="dxa"/>
          </w:tcPr>
          <w:p w14:paraId="26FAA644" w14:textId="77777777" w:rsidR="00ED117E" w:rsidRPr="00AE1E78" w:rsidRDefault="00ED117E" w:rsidP="00ED117E">
            <w:pPr>
              <w:ind w:firstLine="312"/>
              <w:jc w:val="center"/>
              <w:rPr>
                <w:noProof/>
              </w:rPr>
            </w:pPr>
            <w:r w:rsidRPr="00AE1E78">
              <w:rPr>
                <w:noProof/>
                <w:lang w:eastAsia="ru-RU"/>
              </w:rPr>
              <w:lastRenderedPageBreak/>
              <w:drawing>
                <wp:inline distT="0" distB="0" distL="0" distR="0" wp14:anchorId="0C56F9F1" wp14:editId="159C5E23">
                  <wp:extent cx="3542665" cy="5882020"/>
                  <wp:effectExtent l="19050" t="19050" r="19685" b="23495"/>
                  <wp:docPr id="666947432" name="Рисунок 1">
                    <a:extLst xmlns:a="http://schemas.openxmlformats.org/drawingml/2006/main">
                      <a:ext uri="{FF2B5EF4-FFF2-40B4-BE49-F238E27FC236}">
                        <a16:creationId xmlns:a16="http://schemas.microsoft.com/office/drawing/2014/main" id="{1F38DEF7-6550-B581-A0BE-E888B351E0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1F38DEF7-6550-B581-A0BE-E888B351E08E}"/>
                              </a:ext>
                            </a:extLst>
                          </pic:cNvPr>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141"/>
                          <a:stretch>
                            <a:fillRect/>
                          </a:stretch>
                        </pic:blipFill>
                        <pic:spPr bwMode="auto">
                          <a:xfrm>
                            <a:off x="0" y="0"/>
                            <a:ext cx="3552494" cy="589834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tc>
        <w:tc>
          <w:tcPr>
            <w:tcW w:w="6306" w:type="dxa"/>
          </w:tcPr>
          <w:p w14:paraId="78C94AD4" w14:textId="77777777" w:rsidR="00ED117E" w:rsidRPr="00AE1E78" w:rsidRDefault="00ED117E" w:rsidP="00ED117E">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5D4895D5" w14:textId="77777777" w:rsidR="00ED117E" w:rsidRPr="00AE1E78" w:rsidRDefault="00ED117E" w:rsidP="00ED117E">
            <w:pPr>
              <w:spacing w:line="240" w:lineRule="atLeast"/>
              <w:jc w:val="both"/>
              <w:rPr>
                <w:rFonts w:ascii="Times New Roman" w:hAnsi="Times New Roman" w:cs="Times New Roman"/>
                <w:b/>
                <w:bCs/>
                <w:iCs/>
                <w:sz w:val="24"/>
                <w:szCs w:val="24"/>
                <w:shd w:val="clear" w:color="auto" w:fill="FFFFFF"/>
              </w:rPr>
            </w:pPr>
            <w:r w:rsidRPr="00AE1E78">
              <w:rPr>
                <w:rFonts w:ascii="Times New Roman" w:hAnsi="Times New Roman" w:cs="Times New Roman"/>
                <w:b/>
                <w:bCs/>
                <w:iCs/>
                <w:noProof/>
                <w:sz w:val="24"/>
                <w:szCs w:val="24"/>
                <w:shd w:val="clear" w:color="auto" w:fill="FFFFFF"/>
                <w:lang w:eastAsia="ru-RU"/>
              </w:rPr>
              <w:drawing>
                <wp:inline distT="0" distB="0" distL="0" distR="0" wp14:anchorId="140BA64B" wp14:editId="712EB6AB">
                  <wp:extent cx="4173294" cy="2956956"/>
                  <wp:effectExtent l="0" t="0" r="0" b="0"/>
                  <wp:docPr id="13630103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010343" name=""/>
                          <pic:cNvPicPr/>
                        </pic:nvPicPr>
                        <pic:blipFill>
                          <a:blip r:embed="rId15"/>
                          <a:stretch>
                            <a:fillRect/>
                          </a:stretch>
                        </pic:blipFill>
                        <pic:spPr>
                          <a:xfrm>
                            <a:off x="0" y="0"/>
                            <a:ext cx="4194392" cy="2971905"/>
                          </a:xfrm>
                          <a:prstGeom prst="rect">
                            <a:avLst/>
                          </a:prstGeom>
                        </pic:spPr>
                      </pic:pic>
                    </a:graphicData>
                  </a:graphic>
                </wp:inline>
              </w:drawing>
            </w:r>
          </w:p>
          <w:p w14:paraId="44A8FF18" w14:textId="77777777" w:rsidR="00ED117E" w:rsidRPr="00AE1E78" w:rsidRDefault="00ED117E" w:rsidP="00ED117E">
            <w:pPr>
              <w:rPr>
                <w:rFonts w:ascii="Times New Roman" w:hAnsi="Times New Roman" w:cs="Times New Roman"/>
                <w:sz w:val="24"/>
                <w:szCs w:val="24"/>
              </w:rPr>
            </w:pPr>
          </w:p>
          <w:p w14:paraId="224F1915" w14:textId="77777777" w:rsidR="00ED117E" w:rsidRPr="00AE1E78" w:rsidRDefault="00ED117E" w:rsidP="00ED117E">
            <w:pPr>
              <w:rPr>
                <w:rFonts w:ascii="Times New Roman" w:hAnsi="Times New Roman" w:cs="Times New Roman"/>
                <w:b/>
                <w:bCs/>
                <w:iCs/>
                <w:sz w:val="24"/>
                <w:szCs w:val="24"/>
                <w:shd w:val="clear" w:color="auto" w:fill="FFFFFF"/>
              </w:rPr>
            </w:pPr>
          </w:p>
          <w:p w14:paraId="4F81FA8B" w14:textId="77777777" w:rsidR="00ED117E" w:rsidRPr="00AE1E78" w:rsidRDefault="00ED117E" w:rsidP="00ED117E">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48757E03" w14:textId="77777777" w:rsidR="00ED117E" w:rsidRPr="00AE1E78" w:rsidRDefault="00ED117E" w:rsidP="00ED117E">
            <w:pPr>
              <w:shd w:val="clear" w:color="auto" w:fill="FFFFFF"/>
              <w:ind w:firstLine="530"/>
              <w:jc w:val="both"/>
              <w:rPr>
                <w:rFonts w:ascii="Times New Roman" w:hAnsi="Times New Roman" w:cs="Times New Roman"/>
                <w:bCs/>
                <w:iCs/>
                <w:sz w:val="24"/>
                <w:szCs w:val="24"/>
                <w:shd w:val="clear" w:color="auto" w:fill="FFFFFF"/>
                <w:lang w:val="uk-UA"/>
              </w:rPr>
            </w:pPr>
            <w:r w:rsidRPr="00AE1E78">
              <w:rPr>
                <w:rFonts w:ascii="Times New Roman" w:hAnsi="Times New Roman" w:cs="Times New Roman"/>
                <w:b/>
                <w:iCs/>
                <w:sz w:val="24"/>
                <w:szCs w:val="24"/>
                <w:shd w:val="clear" w:color="auto" w:fill="FFFFFF"/>
                <w:lang w:val="uk-UA"/>
              </w:rPr>
              <w:t>Пропонуємо внести аналогічні зміни до додатка 12</w:t>
            </w:r>
            <w:r w:rsidRPr="00AE1E78">
              <w:rPr>
                <w:rFonts w:ascii="Times New Roman" w:hAnsi="Times New Roman" w:cs="Times New Roman"/>
                <w:bCs/>
                <w:iCs/>
                <w:sz w:val="24"/>
                <w:szCs w:val="24"/>
                <w:shd w:val="clear" w:color="auto" w:fill="FFFFFF"/>
                <w:lang w:val="uk-UA"/>
              </w:rPr>
              <w:t xml:space="preserve"> та викласти його у редакції, запропонованій Товариством. Оскільки додаток 12 стосується розрахунку амортизації активів, отриманих на безоплатній основі, підходи до класифікації активів та визначення строків їх корисного використання мають бути уніфікованими з підходами, передбаченими додатком 10. Обґрунтування необхідності внесення відповідних змін наведено до додатка 10.</w:t>
            </w:r>
          </w:p>
          <w:p w14:paraId="5E7018EC" w14:textId="77777777" w:rsidR="00ED117E" w:rsidRPr="00AE1E78" w:rsidRDefault="00ED117E" w:rsidP="00ED117E">
            <w:pPr>
              <w:tabs>
                <w:tab w:val="left" w:pos="1964"/>
              </w:tabs>
              <w:rPr>
                <w:rFonts w:ascii="Times New Roman" w:hAnsi="Times New Roman" w:cs="Times New Roman"/>
                <w:sz w:val="24"/>
                <w:szCs w:val="24"/>
              </w:rPr>
            </w:pPr>
          </w:p>
        </w:tc>
        <w:tc>
          <w:tcPr>
            <w:tcW w:w="2699" w:type="dxa"/>
          </w:tcPr>
          <w:p w14:paraId="0D78FBCA" w14:textId="77777777" w:rsidR="00ED117E" w:rsidRPr="00603120" w:rsidRDefault="00ED117E" w:rsidP="00ED117E">
            <w:pPr>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Попередньо відхилено</w:t>
            </w:r>
          </w:p>
          <w:p w14:paraId="756036FE" w14:textId="77777777" w:rsidR="006D0933" w:rsidRPr="00FA0E2E" w:rsidRDefault="006D0933" w:rsidP="006D0933">
            <w:pPr>
              <w:ind w:firstLine="567"/>
              <w:jc w:val="both"/>
              <w:rPr>
                <w:rFonts w:ascii="Times New Roman" w:hAnsi="Times New Roman" w:cs="Times New Roman"/>
                <w:sz w:val="28"/>
                <w:szCs w:val="28"/>
              </w:rPr>
            </w:pPr>
            <w:proofErr w:type="spellStart"/>
            <w:r w:rsidRPr="00FA0E2E">
              <w:rPr>
                <w:rFonts w:ascii="Times New Roman" w:hAnsi="Times New Roman" w:cs="Times New Roman"/>
                <w:iCs/>
                <w:sz w:val="24"/>
                <w:szCs w:val="24"/>
                <w:shd w:val="clear" w:color="auto" w:fill="FFFFFF"/>
              </w:rPr>
              <w:t>Передбачена</w:t>
            </w:r>
            <w:proofErr w:type="spellEnd"/>
            <w:r w:rsidRPr="00FA0E2E">
              <w:rPr>
                <w:rFonts w:ascii="Times New Roman" w:hAnsi="Times New Roman" w:cs="Times New Roman"/>
                <w:iCs/>
                <w:sz w:val="24"/>
                <w:szCs w:val="24"/>
                <w:shd w:val="clear" w:color="auto" w:fill="FFFFFF"/>
              </w:rPr>
              <w:t xml:space="preserve"> Методикою </w:t>
            </w:r>
            <w:proofErr w:type="spellStart"/>
            <w:r w:rsidRPr="00FA0E2E">
              <w:rPr>
                <w:rFonts w:ascii="Times New Roman" w:hAnsi="Times New Roman" w:cs="Times New Roman"/>
                <w:iCs/>
                <w:sz w:val="24"/>
                <w:szCs w:val="24"/>
                <w:shd w:val="clear" w:color="auto" w:fill="FFFFFF"/>
              </w:rPr>
              <w:t>деталізація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груп</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активів</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забезпечує</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прозорість</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формування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амортизаційних</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відрахувань</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чіткість</w:t>
            </w:r>
            <w:proofErr w:type="spellEnd"/>
            <w:r w:rsidRPr="00FA0E2E">
              <w:rPr>
                <w:rFonts w:ascii="Times New Roman" w:hAnsi="Times New Roman" w:cs="Times New Roman"/>
                <w:iCs/>
                <w:sz w:val="24"/>
                <w:szCs w:val="24"/>
                <w:shd w:val="clear" w:color="auto" w:fill="FFFFFF"/>
              </w:rPr>
              <w:t xml:space="preserve"> та </w:t>
            </w:r>
            <w:proofErr w:type="spellStart"/>
            <w:r w:rsidRPr="00FA0E2E">
              <w:rPr>
                <w:rFonts w:ascii="Times New Roman" w:hAnsi="Times New Roman" w:cs="Times New Roman"/>
                <w:iCs/>
                <w:sz w:val="24"/>
                <w:szCs w:val="24"/>
                <w:shd w:val="clear" w:color="auto" w:fill="FFFFFF"/>
              </w:rPr>
              <w:t>уніфікованість</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класифікації</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активів</w:t>
            </w:r>
            <w:proofErr w:type="spellEnd"/>
            <w:r w:rsidRPr="00FA0E2E">
              <w:rPr>
                <w:rFonts w:ascii="Times New Roman" w:hAnsi="Times New Roman" w:cs="Times New Roman"/>
                <w:iCs/>
                <w:sz w:val="24"/>
                <w:szCs w:val="24"/>
                <w:shd w:val="clear" w:color="auto" w:fill="FFFFFF"/>
              </w:rPr>
              <w:t xml:space="preserve">, а також </w:t>
            </w:r>
            <w:proofErr w:type="spellStart"/>
            <w:r w:rsidRPr="00FA0E2E">
              <w:rPr>
                <w:rFonts w:ascii="Times New Roman" w:hAnsi="Times New Roman" w:cs="Times New Roman"/>
                <w:iCs/>
                <w:sz w:val="24"/>
                <w:szCs w:val="24"/>
                <w:shd w:val="clear" w:color="auto" w:fill="FFFFFF"/>
                <w:lang w:val="uk-UA"/>
              </w:rPr>
              <w:t>зіставність</w:t>
            </w:r>
            <w:proofErr w:type="spellEnd"/>
            <w:r w:rsidRPr="00FA0E2E">
              <w:rPr>
                <w:rFonts w:ascii="Times New Roman" w:hAnsi="Times New Roman" w:cs="Times New Roman"/>
                <w:iCs/>
                <w:sz w:val="24"/>
                <w:szCs w:val="24"/>
                <w:shd w:val="clear" w:color="auto" w:fill="FFFFFF"/>
                <w:lang w:val="uk-UA"/>
              </w:rPr>
              <w:t xml:space="preserve"> інформації між регуляторними періодами та можливість перевірки зміни вартості регуляторної бази активів унаслідок введення активів в експлуатацію, їх вибуття та нарахування амортизації. </w:t>
            </w:r>
          </w:p>
          <w:p w14:paraId="072A9A79" w14:textId="77777777" w:rsidR="00ED117E" w:rsidRPr="006D0933" w:rsidRDefault="006D0933" w:rsidP="006D0933">
            <w:pPr>
              <w:tabs>
                <w:tab w:val="left" w:pos="1470"/>
              </w:tabs>
              <w:jc w:val="both"/>
              <w:rPr>
                <w:rFonts w:ascii="Times New Roman" w:hAnsi="Times New Roman" w:cs="Times New Roman"/>
                <w:iCs/>
                <w:sz w:val="24"/>
                <w:szCs w:val="24"/>
                <w:shd w:val="clear" w:color="auto" w:fill="FFFFFF"/>
              </w:rPr>
            </w:pPr>
            <w:proofErr w:type="spellStart"/>
            <w:r w:rsidRPr="00FA0E2E">
              <w:rPr>
                <w:rFonts w:ascii="Times New Roman" w:hAnsi="Times New Roman" w:cs="Times New Roman"/>
                <w:iCs/>
                <w:sz w:val="24"/>
                <w:szCs w:val="24"/>
                <w:shd w:val="clear" w:color="auto" w:fill="FFFFFF"/>
              </w:rPr>
              <w:t>Крім</w:t>
            </w:r>
            <w:proofErr w:type="spellEnd"/>
            <w:r w:rsidRPr="00FA0E2E">
              <w:rPr>
                <w:rFonts w:ascii="Times New Roman" w:hAnsi="Times New Roman" w:cs="Times New Roman"/>
                <w:iCs/>
                <w:sz w:val="24"/>
                <w:szCs w:val="24"/>
                <w:shd w:val="clear" w:color="auto" w:fill="FFFFFF"/>
              </w:rPr>
              <w:t xml:space="preserve"> того, </w:t>
            </w:r>
            <w:proofErr w:type="spellStart"/>
            <w:r w:rsidRPr="00FA0E2E">
              <w:rPr>
                <w:rFonts w:ascii="Times New Roman" w:hAnsi="Times New Roman" w:cs="Times New Roman"/>
                <w:iCs/>
                <w:sz w:val="24"/>
                <w:szCs w:val="24"/>
                <w:shd w:val="clear" w:color="auto" w:fill="FFFFFF"/>
              </w:rPr>
              <w:t>укрупнення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груп</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активів</w:t>
            </w:r>
            <w:proofErr w:type="spellEnd"/>
            <w:r w:rsidRPr="00FA0E2E">
              <w:rPr>
                <w:rFonts w:ascii="Times New Roman" w:hAnsi="Times New Roman" w:cs="Times New Roman"/>
                <w:iCs/>
                <w:sz w:val="24"/>
                <w:szCs w:val="24"/>
                <w:shd w:val="clear" w:color="auto" w:fill="FFFFFF"/>
              </w:rPr>
              <w:t xml:space="preserve"> та </w:t>
            </w:r>
            <w:proofErr w:type="spellStart"/>
            <w:r w:rsidRPr="00FA0E2E">
              <w:rPr>
                <w:rFonts w:ascii="Times New Roman" w:hAnsi="Times New Roman" w:cs="Times New Roman"/>
                <w:iCs/>
                <w:sz w:val="24"/>
                <w:szCs w:val="24"/>
                <w:shd w:val="clear" w:color="auto" w:fill="FFFFFF"/>
              </w:rPr>
              <w:t>запровадження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примірних</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строків</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їх</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корисного</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використання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зменшуватиме</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деталізацію</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відповідної</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інформації</w:t>
            </w:r>
            <w:proofErr w:type="spellEnd"/>
            <w:r w:rsidRPr="00FA0E2E">
              <w:rPr>
                <w:rFonts w:ascii="Times New Roman" w:hAnsi="Times New Roman" w:cs="Times New Roman"/>
                <w:iCs/>
                <w:sz w:val="24"/>
                <w:szCs w:val="24"/>
                <w:shd w:val="clear" w:color="auto" w:fill="FFFFFF"/>
              </w:rPr>
              <w:t xml:space="preserve"> та </w:t>
            </w:r>
            <w:proofErr w:type="spellStart"/>
            <w:r w:rsidRPr="00FA0E2E">
              <w:rPr>
                <w:rFonts w:ascii="Times New Roman" w:hAnsi="Times New Roman" w:cs="Times New Roman"/>
                <w:iCs/>
                <w:sz w:val="24"/>
                <w:szCs w:val="24"/>
                <w:shd w:val="clear" w:color="auto" w:fill="FFFFFF"/>
              </w:rPr>
              <w:t>може</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призвести</w:t>
            </w:r>
            <w:proofErr w:type="spellEnd"/>
            <w:r w:rsidRPr="00FA0E2E">
              <w:rPr>
                <w:rFonts w:ascii="Times New Roman" w:hAnsi="Times New Roman" w:cs="Times New Roman"/>
                <w:iCs/>
                <w:sz w:val="24"/>
                <w:szCs w:val="24"/>
                <w:shd w:val="clear" w:color="auto" w:fill="FFFFFF"/>
              </w:rPr>
              <w:t xml:space="preserve"> до </w:t>
            </w:r>
            <w:proofErr w:type="spellStart"/>
            <w:r w:rsidRPr="00FA0E2E">
              <w:rPr>
                <w:rFonts w:ascii="Times New Roman" w:hAnsi="Times New Roman" w:cs="Times New Roman"/>
                <w:iCs/>
                <w:sz w:val="24"/>
                <w:szCs w:val="24"/>
                <w:shd w:val="clear" w:color="auto" w:fill="FFFFFF"/>
              </w:rPr>
              <w:t>варіативності</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підходів</w:t>
            </w:r>
            <w:proofErr w:type="spellEnd"/>
            <w:r w:rsidRPr="00FA0E2E">
              <w:rPr>
                <w:rFonts w:ascii="Times New Roman" w:hAnsi="Times New Roman" w:cs="Times New Roman"/>
                <w:iCs/>
                <w:sz w:val="24"/>
                <w:szCs w:val="24"/>
                <w:shd w:val="clear" w:color="auto" w:fill="FFFFFF"/>
              </w:rPr>
              <w:t xml:space="preserve"> до </w:t>
            </w:r>
            <w:proofErr w:type="spellStart"/>
            <w:r w:rsidRPr="00FA0E2E">
              <w:rPr>
                <w:rFonts w:ascii="Times New Roman" w:hAnsi="Times New Roman" w:cs="Times New Roman"/>
                <w:iCs/>
                <w:sz w:val="24"/>
                <w:szCs w:val="24"/>
                <w:shd w:val="clear" w:color="auto" w:fill="FFFFFF"/>
              </w:rPr>
              <w:t>класифікації</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активів</w:t>
            </w:r>
            <w:proofErr w:type="spellEnd"/>
            <w:r w:rsidRPr="00FA0E2E">
              <w:rPr>
                <w:rFonts w:ascii="Times New Roman" w:hAnsi="Times New Roman" w:cs="Times New Roman"/>
                <w:iCs/>
                <w:sz w:val="24"/>
                <w:szCs w:val="24"/>
                <w:shd w:val="clear" w:color="auto" w:fill="FFFFFF"/>
              </w:rPr>
              <w:t xml:space="preserve"> і </w:t>
            </w:r>
            <w:proofErr w:type="spellStart"/>
            <w:r w:rsidRPr="00FA0E2E">
              <w:rPr>
                <w:rFonts w:ascii="Times New Roman" w:hAnsi="Times New Roman" w:cs="Times New Roman"/>
                <w:iCs/>
                <w:sz w:val="24"/>
                <w:szCs w:val="24"/>
                <w:shd w:val="clear" w:color="auto" w:fill="FFFFFF"/>
              </w:rPr>
              <w:t>визначення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строків</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їх</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lastRenderedPageBreak/>
              <w:t>амортизації</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що</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ускладнюватиме</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забезпечення</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послідовності</w:t>
            </w:r>
            <w:proofErr w:type="spellEnd"/>
            <w:r w:rsidRPr="00FA0E2E">
              <w:rPr>
                <w:rFonts w:ascii="Times New Roman" w:hAnsi="Times New Roman" w:cs="Times New Roman"/>
                <w:iCs/>
                <w:sz w:val="24"/>
                <w:szCs w:val="24"/>
                <w:shd w:val="clear" w:color="auto" w:fill="FFFFFF"/>
              </w:rPr>
              <w:t xml:space="preserve"> та </w:t>
            </w:r>
            <w:proofErr w:type="spellStart"/>
            <w:r w:rsidRPr="00FA0E2E">
              <w:rPr>
                <w:rFonts w:ascii="Times New Roman" w:hAnsi="Times New Roman" w:cs="Times New Roman"/>
                <w:iCs/>
                <w:sz w:val="24"/>
                <w:szCs w:val="24"/>
                <w:shd w:val="clear" w:color="auto" w:fill="FFFFFF"/>
              </w:rPr>
              <w:t>зіставності</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показників</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які</w:t>
            </w:r>
            <w:proofErr w:type="spellEnd"/>
            <w:r w:rsidRPr="00FA0E2E">
              <w:rPr>
                <w:rFonts w:ascii="Times New Roman" w:hAnsi="Times New Roman" w:cs="Times New Roman"/>
                <w:iCs/>
                <w:sz w:val="24"/>
                <w:szCs w:val="24"/>
                <w:shd w:val="clear" w:color="auto" w:fill="FFFFFF"/>
              </w:rPr>
              <w:t xml:space="preserve"> </w:t>
            </w:r>
            <w:proofErr w:type="spellStart"/>
            <w:r w:rsidRPr="00FA0E2E">
              <w:rPr>
                <w:rFonts w:ascii="Times New Roman" w:hAnsi="Times New Roman" w:cs="Times New Roman"/>
                <w:iCs/>
                <w:sz w:val="24"/>
                <w:szCs w:val="24"/>
                <w:shd w:val="clear" w:color="auto" w:fill="FFFFFF"/>
              </w:rPr>
              <w:t>враховуються</w:t>
            </w:r>
            <w:proofErr w:type="spellEnd"/>
            <w:r w:rsidRPr="00FA0E2E">
              <w:rPr>
                <w:rFonts w:ascii="Times New Roman" w:hAnsi="Times New Roman" w:cs="Times New Roman"/>
                <w:iCs/>
                <w:sz w:val="24"/>
                <w:szCs w:val="24"/>
                <w:shd w:val="clear" w:color="auto" w:fill="FFFFFF"/>
              </w:rPr>
              <w:t xml:space="preserve"> при </w:t>
            </w:r>
            <w:proofErr w:type="spellStart"/>
            <w:r w:rsidRPr="00FA0E2E">
              <w:rPr>
                <w:rFonts w:ascii="Times New Roman" w:hAnsi="Times New Roman" w:cs="Times New Roman"/>
                <w:iCs/>
                <w:sz w:val="24"/>
                <w:szCs w:val="24"/>
                <w:shd w:val="clear" w:color="auto" w:fill="FFFFFF"/>
              </w:rPr>
              <w:t>визначенні</w:t>
            </w:r>
            <w:proofErr w:type="spellEnd"/>
            <w:r w:rsidRPr="00FA0E2E">
              <w:rPr>
                <w:rFonts w:ascii="Times New Roman" w:hAnsi="Times New Roman" w:cs="Times New Roman"/>
                <w:iCs/>
                <w:sz w:val="24"/>
                <w:szCs w:val="24"/>
                <w:shd w:val="clear" w:color="auto" w:fill="FFFFFF"/>
              </w:rPr>
              <w:t xml:space="preserve"> тарифу.</w:t>
            </w:r>
          </w:p>
        </w:tc>
      </w:tr>
      <w:tr w:rsidR="00ED117E" w:rsidRPr="00AE1E78" w14:paraId="65FEEF28" w14:textId="77777777" w:rsidTr="00CF620A">
        <w:tc>
          <w:tcPr>
            <w:tcW w:w="6305" w:type="dxa"/>
          </w:tcPr>
          <w:p w14:paraId="04BD2BDC" w14:textId="77777777" w:rsidR="00ED117E" w:rsidRPr="00AE1E78" w:rsidRDefault="00ED117E" w:rsidP="00ED117E">
            <w:pPr>
              <w:ind w:firstLine="312"/>
              <w:jc w:val="both"/>
              <w:rPr>
                <w:noProof/>
              </w:rPr>
            </w:pPr>
            <w:r w:rsidRPr="00AE1E78">
              <w:rPr>
                <w:noProof/>
                <w:lang w:eastAsia="ru-RU"/>
              </w:rPr>
              <w:lastRenderedPageBreak/>
              <w:drawing>
                <wp:inline distT="0" distB="0" distL="0" distR="0" wp14:anchorId="43D69DA0" wp14:editId="1B69E91B">
                  <wp:extent cx="3407151" cy="5671524"/>
                  <wp:effectExtent l="19050" t="19050" r="22225" b="24765"/>
                  <wp:docPr id="898242632" name="Рисунок 1">
                    <a:extLst xmlns:a="http://schemas.openxmlformats.org/drawingml/2006/main">
                      <a:ext uri="{FF2B5EF4-FFF2-40B4-BE49-F238E27FC236}">
                        <a16:creationId xmlns:a16="http://schemas.microsoft.com/office/drawing/2014/main" id="{EE25E330-9555-664C-D9C1-B7B17E6D54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EE25E330-9555-664C-D9C1-B7B17E6D5417}"/>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15926" cy="5686131"/>
                          </a:xfrm>
                          <a:prstGeom prst="rect">
                            <a:avLst/>
                          </a:prstGeom>
                          <a:noFill/>
                          <a:ln>
                            <a:solidFill>
                              <a:schemeClr val="tx1"/>
                            </a:solidFill>
                          </a:ln>
                        </pic:spPr>
                      </pic:pic>
                    </a:graphicData>
                  </a:graphic>
                </wp:inline>
              </w:drawing>
            </w:r>
          </w:p>
        </w:tc>
        <w:tc>
          <w:tcPr>
            <w:tcW w:w="6306" w:type="dxa"/>
          </w:tcPr>
          <w:p w14:paraId="68484DD8" w14:textId="77777777" w:rsidR="00ED117E" w:rsidRPr="00AE1E78" w:rsidRDefault="00ED117E" w:rsidP="00ED117E">
            <w:pPr>
              <w:spacing w:line="240" w:lineRule="atLeast"/>
              <w:ind w:firstLine="530"/>
              <w:jc w:val="both"/>
              <w:rPr>
                <w:rFonts w:ascii="Times New Roman" w:hAnsi="Times New Roman" w:cs="Times New Roman"/>
                <w:b/>
                <w:bCs/>
                <w:iCs/>
                <w:sz w:val="24"/>
                <w:szCs w:val="24"/>
                <w:shd w:val="clear" w:color="auto" w:fill="FFFFFF"/>
                <w:lang w:val="uk-UA"/>
              </w:rPr>
            </w:pPr>
            <w:r w:rsidRPr="00AE1E78">
              <w:rPr>
                <w:rFonts w:ascii="Times New Roman" w:hAnsi="Times New Roman" w:cs="Times New Roman"/>
                <w:b/>
                <w:bCs/>
                <w:iCs/>
                <w:sz w:val="24"/>
                <w:szCs w:val="24"/>
                <w:shd w:val="clear" w:color="auto" w:fill="FFFFFF"/>
                <w:lang w:val="uk-UA"/>
              </w:rPr>
              <w:t>ТОВ «Оператор ГТС України»</w:t>
            </w:r>
          </w:p>
          <w:p w14:paraId="38DF36C7" w14:textId="77777777" w:rsidR="00ED117E" w:rsidRPr="00AE1E78" w:rsidRDefault="00ED117E" w:rsidP="00ED117E">
            <w:pPr>
              <w:spacing w:line="240" w:lineRule="atLeast"/>
              <w:jc w:val="both"/>
              <w:rPr>
                <w:rFonts w:ascii="Times New Roman" w:hAnsi="Times New Roman" w:cs="Times New Roman"/>
                <w:b/>
                <w:bCs/>
                <w:iCs/>
                <w:sz w:val="24"/>
                <w:szCs w:val="24"/>
                <w:shd w:val="clear" w:color="auto" w:fill="FFFFFF"/>
              </w:rPr>
            </w:pPr>
          </w:p>
          <w:p w14:paraId="66454BEE" w14:textId="77777777" w:rsidR="00ED117E" w:rsidRPr="00AE1E78" w:rsidRDefault="00ED117E" w:rsidP="00ED117E">
            <w:pPr>
              <w:spacing w:line="240" w:lineRule="atLeast"/>
              <w:jc w:val="both"/>
              <w:rPr>
                <w:rFonts w:ascii="Times New Roman" w:hAnsi="Times New Roman" w:cs="Times New Roman"/>
                <w:b/>
                <w:bCs/>
                <w:iCs/>
                <w:sz w:val="24"/>
                <w:szCs w:val="24"/>
                <w:shd w:val="clear" w:color="auto" w:fill="FFFFFF"/>
              </w:rPr>
            </w:pPr>
            <w:r w:rsidRPr="00AE1E78">
              <w:rPr>
                <w:rFonts w:ascii="Times New Roman" w:hAnsi="Times New Roman" w:cs="Times New Roman"/>
                <w:b/>
                <w:bCs/>
                <w:iCs/>
                <w:noProof/>
                <w:sz w:val="24"/>
                <w:szCs w:val="24"/>
                <w:shd w:val="clear" w:color="auto" w:fill="FFFFFF"/>
                <w:lang w:eastAsia="ru-RU"/>
              </w:rPr>
              <w:drawing>
                <wp:inline distT="0" distB="0" distL="0" distR="0" wp14:anchorId="678C9B17" wp14:editId="63D8EDEE">
                  <wp:extent cx="3854576" cy="2814452"/>
                  <wp:effectExtent l="0" t="0" r="0" b="5080"/>
                  <wp:docPr id="15672515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251503" name=""/>
                          <pic:cNvPicPr/>
                        </pic:nvPicPr>
                        <pic:blipFill>
                          <a:blip r:embed="rId17"/>
                          <a:stretch>
                            <a:fillRect/>
                          </a:stretch>
                        </pic:blipFill>
                        <pic:spPr>
                          <a:xfrm>
                            <a:off x="0" y="0"/>
                            <a:ext cx="3871190" cy="2826583"/>
                          </a:xfrm>
                          <a:prstGeom prst="rect">
                            <a:avLst/>
                          </a:prstGeom>
                        </pic:spPr>
                      </pic:pic>
                    </a:graphicData>
                  </a:graphic>
                </wp:inline>
              </w:drawing>
            </w:r>
          </w:p>
          <w:p w14:paraId="0B7EC8EC" w14:textId="77777777" w:rsidR="00ED117E" w:rsidRPr="00AE1E78" w:rsidRDefault="00ED117E" w:rsidP="00ED117E">
            <w:pPr>
              <w:shd w:val="clear" w:color="auto" w:fill="FFFFFF"/>
              <w:ind w:firstLine="530"/>
              <w:jc w:val="both"/>
              <w:rPr>
                <w:rFonts w:ascii="Times New Roman" w:hAnsi="Times New Roman" w:cs="Times New Roman"/>
                <w:b/>
                <w:iCs/>
                <w:sz w:val="24"/>
                <w:szCs w:val="24"/>
                <w:u w:val="single"/>
                <w:shd w:val="clear" w:color="auto" w:fill="FFFFFF"/>
                <w:lang w:val="uk-UA"/>
              </w:rPr>
            </w:pPr>
            <w:r w:rsidRPr="00AE1E78">
              <w:rPr>
                <w:rFonts w:ascii="Times New Roman" w:hAnsi="Times New Roman" w:cs="Times New Roman"/>
                <w:b/>
                <w:iCs/>
                <w:sz w:val="24"/>
                <w:szCs w:val="24"/>
                <w:u w:val="single"/>
                <w:shd w:val="clear" w:color="auto" w:fill="FFFFFF"/>
                <w:lang w:val="uk-UA"/>
              </w:rPr>
              <w:t>Обґрунтування</w:t>
            </w:r>
          </w:p>
          <w:p w14:paraId="19EEC8F3" w14:textId="77777777" w:rsidR="00ED117E" w:rsidRPr="00AE1E78" w:rsidRDefault="00ED117E" w:rsidP="00ED117E">
            <w:pPr>
              <w:spacing w:line="240" w:lineRule="atLeast"/>
              <w:ind w:firstLine="530"/>
              <w:jc w:val="both"/>
              <w:rPr>
                <w:rFonts w:ascii="Times New Roman" w:hAnsi="Times New Roman" w:cs="Times New Roman"/>
                <w:bCs/>
                <w:iCs/>
                <w:sz w:val="24"/>
                <w:szCs w:val="24"/>
                <w:shd w:val="clear" w:color="auto" w:fill="FFFFFF"/>
              </w:rPr>
            </w:pPr>
            <w:r w:rsidRPr="00AE1E78">
              <w:rPr>
                <w:rFonts w:ascii="Times New Roman" w:hAnsi="Times New Roman" w:cs="Times New Roman"/>
                <w:b/>
                <w:iCs/>
                <w:sz w:val="24"/>
                <w:szCs w:val="24"/>
                <w:shd w:val="clear" w:color="auto" w:fill="FFFFFF"/>
                <w:lang w:val="uk-UA"/>
              </w:rPr>
              <w:t>Пропонуємо внести аналогічні зміни до додатка 13</w:t>
            </w:r>
            <w:r w:rsidRPr="00AE1E78">
              <w:rPr>
                <w:rFonts w:ascii="Times New Roman" w:hAnsi="Times New Roman" w:cs="Times New Roman"/>
                <w:bCs/>
                <w:iCs/>
                <w:sz w:val="24"/>
                <w:szCs w:val="24"/>
                <w:shd w:val="clear" w:color="auto" w:fill="FFFFFF"/>
                <w:lang w:val="uk-UA"/>
              </w:rPr>
              <w:t xml:space="preserve"> та викласти його у редакції, запропонованій Товариством. Оскільки додаток 13 стосується розрахунку амортизації активів, створених за рахунок плати газоспоживання за приєднання (газопостачання) об’єктів замовників, підходи до класифікації активів та визначення строків їх корисного використання мають бути уніфікованими з підходами, передбаченими додатком 10. Обґрунтування необхідності внесення відповідних змін наведено до додатка 10</w:t>
            </w:r>
          </w:p>
        </w:tc>
        <w:tc>
          <w:tcPr>
            <w:tcW w:w="2699" w:type="dxa"/>
          </w:tcPr>
          <w:p w14:paraId="789FC321" w14:textId="77777777" w:rsidR="00ED117E" w:rsidRPr="00603120" w:rsidRDefault="00ED117E" w:rsidP="00ED117E">
            <w:pPr>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Попередньо відхилено</w:t>
            </w:r>
          </w:p>
          <w:p w14:paraId="3CA4D450" w14:textId="77777777" w:rsidR="00ED117E" w:rsidRPr="00375AC3" w:rsidRDefault="00ED117E" w:rsidP="00ED117E">
            <w:pPr>
              <w:ind w:firstLine="567"/>
              <w:jc w:val="both"/>
              <w:rPr>
                <w:rFonts w:ascii="Times New Roman" w:hAnsi="Times New Roman" w:cs="Times New Roman"/>
                <w:sz w:val="28"/>
                <w:szCs w:val="28"/>
                <w:lang w:val="uk-UA"/>
              </w:rPr>
            </w:pPr>
            <w:r w:rsidRPr="00375AC3">
              <w:rPr>
                <w:rFonts w:ascii="Times New Roman" w:hAnsi="Times New Roman" w:cs="Times New Roman"/>
                <w:iCs/>
                <w:sz w:val="24"/>
                <w:szCs w:val="24"/>
                <w:shd w:val="clear" w:color="auto" w:fill="FFFFFF"/>
                <w:lang w:val="uk-UA"/>
              </w:rPr>
              <w:t xml:space="preserve">Передбачена Методикою деталізація груп активів забезпечує прозорість формування амортизаційних відрахувань, чіткість та уніфікованість класифікації активів, а також </w:t>
            </w:r>
            <w:proofErr w:type="spellStart"/>
            <w:r w:rsidRPr="00375AC3">
              <w:rPr>
                <w:rFonts w:ascii="Times New Roman" w:hAnsi="Times New Roman" w:cs="Times New Roman"/>
                <w:iCs/>
                <w:sz w:val="24"/>
                <w:szCs w:val="24"/>
                <w:shd w:val="clear" w:color="auto" w:fill="FFFFFF"/>
                <w:lang w:val="uk-UA"/>
              </w:rPr>
              <w:t>зіставність</w:t>
            </w:r>
            <w:proofErr w:type="spellEnd"/>
            <w:r w:rsidRPr="00375AC3">
              <w:rPr>
                <w:rFonts w:ascii="Times New Roman" w:hAnsi="Times New Roman" w:cs="Times New Roman"/>
                <w:iCs/>
                <w:sz w:val="24"/>
                <w:szCs w:val="24"/>
                <w:shd w:val="clear" w:color="auto" w:fill="FFFFFF"/>
                <w:lang w:val="uk-UA"/>
              </w:rPr>
              <w:t xml:space="preserve"> інформації між регуляторними періодами та можливість перевірки зміни вартості регуляторної бази активів унаслідок введення активів в експлуатацію, їх вибуття та нарахування амортизації. </w:t>
            </w:r>
          </w:p>
          <w:p w14:paraId="1A71C925" w14:textId="77777777" w:rsidR="00ED117E" w:rsidRPr="009F3ECE" w:rsidRDefault="00ED117E" w:rsidP="00ED117E">
            <w:pPr>
              <w:tabs>
                <w:tab w:val="left" w:pos="1470"/>
              </w:tabs>
              <w:jc w:val="both"/>
              <w:rPr>
                <w:rFonts w:ascii="Times New Roman" w:hAnsi="Times New Roman" w:cs="Times New Roman"/>
                <w:iCs/>
                <w:sz w:val="24"/>
                <w:szCs w:val="24"/>
                <w:shd w:val="clear" w:color="auto" w:fill="FFFFFF"/>
                <w:lang w:val="uk-UA"/>
              </w:rPr>
            </w:pPr>
            <w:r w:rsidRPr="00375AC3">
              <w:rPr>
                <w:rFonts w:ascii="Times New Roman" w:hAnsi="Times New Roman" w:cs="Times New Roman"/>
                <w:iCs/>
                <w:sz w:val="24"/>
                <w:szCs w:val="24"/>
                <w:shd w:val="clear" w:color="auto" w:fill="FFFFFF"/>
                <w:lang w:val="uk-UA"/>
              </w:rPr>
              <w:t xml:space="preserve">Крім того, укрупнення груп активів та запровадження примірних строків їх корисного використання зменшуватиме деталізацію відповідної інформації та може призвести до варіативності підходів до класифікації активів і визначення строків їх </w:t>
            </w:r>
            <w:r w:rsidRPr="00375AC3">
              <w:rPr>
                <w:rFonts w:ascii="Times New Roman" w:hAnsi="Times New Roman" w:cs="Times New Roman"/>
                <w:iCs/>
                <w:sz w:val="24"/>
                <w:szCs w:val="24"/>
                <w:shd w:val="clear" w:color="auto" w:fill="FFFFFF"/>
                <w:lang w:val="uk-UA"/>
              </w:rPr>
              <w:lastRenderedPageBreak/>
              <w:t xml:space="preserve">амортизації, що ускладнюватиме забезпечення послідовності та </w:t>
            </w:r>
            <w:proofErr w:type="spellStart"/>
            <w:r w:rsidRPr="00375AC3">
              <w:rPr>
                <w:rFonts w:ascii="Times New Roman" w:hAnsi="Times New Roman" w:cs="Times New Roman"/>
                <w:iCs/>
                <w:sz w:val="24"/>
                <w:szCs w:val="24"/>
                <w:shd w:val="clear" w:color="auto" w:fill="FFFFFF"/>
                <w:lang w:val="uk-UA"/>
              </w:rPr>
              <w:t>зіставності</w:t>
            </w:r>
            <w:proofErr w:type="spellEnd"/>
            <w:r w:rsidRPr="00375AC3">
              <w:rPr>
                <w:rFonts w:ascii="Times New Roman" w:hAnsi="Times New Roman" w:cs="Times New Roman"/>
                <w:iCs/>
                <w:sz w:val="24"/>
                <w:szCs w:val="24"/>
                <w:shd w:val="clear" w:color="auto" w:fill="FFFFFF"/>
                <w:lang w:val="uk-UA"/>
              </w:rPr>
              <w:t xml:space="preserve"> показників, які враховуються при формуванні тарифу.</w:t>
            </w:r>
          </w:p>
          <w:p w14:paraId="1A3E603E" w14:textId="77777777" w:rsidR="00ED117E" w:rsidRPr="009F3ECE" w:rsidRDefault="00ED117E" w:rsidP="00ED117E">
            <w:pPr>
              <w:spacing w:line="240" w:lineRule="atLeast"/>
              <w:ind w:firstLine="185"/>
              <w:jc w:val="both"/>
              <w:rPr>
                <w:rFonts w:ascii="Times New Roman" w:eastAsia="Times New Roman" w:hAnsi="Times New Roman" w:cs="Times New Roman"/>
                <w:b/>
                <w:sz w:val="24"/>
                <w:szCs w:val="24"/>
                <w:lang w:val="uk-UA" w:eastAsia="uk-UA"/>
              </w:rPr>
            </w:pPr>
          </w:p>
        </w:tc>
      </w:tr>
    </w:tbl>
    <w:p w14:paraId="0029BA0F" w14:textId="77777777" w:rsidR="00FB10F3" w:rsidRPr="00AE1E78" w:rsidRDefault="00FB10F3" w:rsidP="00C14E3D">
      <w:pPr>
        <w:pBdr>
          <w:top w:val="nil"/>
          <w:left w:val="nil"/>
          <w:bottom w:val="nil"/>
          <w:right w:val="nil"/>
          <w:between w:val="nil"/>
        </w:pBdr>
        <w:spacing w:after="0" w:line="240" w:lineRule="auto"/>
        <w:ind w:left="6" w:hanging="6"/>
        <w:jc w:val="both"/>
        <w:rPr>
          <w:rFonts w:ascii="Times New Roman" w:eastAsia="Calibri" w:hAnsi="Times New Roman" w:cs="Times New Roman"/>
          <w:b/>
          <w:sz w:val="28"/>
          <w:szCs w:val="28"/>
          <w:lang w:eastAsia="uk-UA"/>
        </w:rPr>
      </w:pPr>
    </w:p>
    <w:sectPr w:rsidR="00FB10F3" w:rsidRPr="00AE1E78" w:rsidSect="00C72C24">
      <w:headerReference w:type="default" r:id="rId18"/>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34F5F" w14:textId="77777777" w:rsidR="009D701B" w:rsidRDefault="009D701B" w:rsidP="00597D1D">
      <w:pPr>
        <w:spacing w:after="0" w:line="240" w:lineRule="auto"/>
      </w:pPr>
      <w:r>
        <w:separator/>
      </w:r>
    </w:p>
  </w:endnote>
  <w:endnote w:type="continuationSeparator" w:id="0">
    <w:p w14:paraId="25122284" w14:textId="77777777" w:rsidR="009D701B" w:rsidRDefault="009D701B" w:rsidP="00597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48B6" w14:textId="77777777" w:rsidR="009D701B" w:rsidRDefault="009D701B" w:rsidP="00597D1D">
      <w:pPr>
        <w:spacing w:after="0" w:line="240" w:lineRule="auto"/>
      </w:pPr>
      <w:r>
        <w:separator/>
      </w:r>
    </w:p>
  </w:footnote>
  <w:footnote w:type="continuationSeparator" w:id="0">
    <w:p w14:paraId="306579F5" w14:textId="77777777" w:rsidR="009D701B" w:rsidRDefault="009D701B" w:rsidP="00597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876440"/>
      <w:docPartObj>
        <w:docPartGallery w:val="Page Numbers (Top of Page)"/>
        <w:docPartUnique/>
      </w:docPartObj>
    </w:sdtPr>
    <w:sdtEndPr>
      <w:rPr>
        <w:rFonts w:ascii="Times New Roman" w:hAnsi="Times New Roman" w:cs="Times New Roman"/>
        <w:sz w:val="24"/>
        <w:szCs w:val="24"/>
      </w:rPr>
    </w:sdtEndPr>
    <w:sdtContent>
      <w:p w14:paraId="2F7B2205" w14:textId="77777777" w:rsidR="00C72C24" w:rsidRDefault="00C72C24">
        <w:pPr>
          <w:pStyle w:val="af2"/>
          <w:jc w:val="center"/>
        </w:pPr>
      </w:p>
      <w:p w14:paraId="21D4F648" w14:textId="77777777" w:rsidR="00C72C24" w:rsidRDefault="00C72C24">
        <w:pPr>
          <w:pStyle w:val="af2"/>
          <w:jc w:val="center"/>
          <w:rPr>
            <w:rFonts w:ascii="Times New Roman" w:hAnsi="Times New Roman" w:cs="Times New Roman"/>
            <w:sz w:val="24"/>
            <w:szCs w:val="24"/>
          </w:rPr>
        </w:pPr>
      </w:p>
      <w:p w14:paraId="01F8E12E" w14:textId="77777777" w:rsidR="00C72C24" w:rsidRPr="00C72C24" w:rsidRDefault="00C72C24">
        <w:pPr>
          <w:pStyle w:val="af2"/>
          <w:jc w:val="center"/>
          <w:rPr>
            <w:rFonts w:ascii="Times New Roman" w:hAnsi="Times New Roman" w:cs="Times New Roman"/>
            <w:sz w:val="24"/>
            <w:szCs w:val="24"/>
          </w:rPr>
        </w:pPr>
        <w:r w:rsidRPr="00C72C24">
          <w:rPr>
            <w:rFonts w:ascii="Times New Roman" w:hAnsi="Times New Roman" w:cs="Times New Roman"/>
            <w:sz w:val="24"/>
            <w:szCs w:val="24"/>
          </w:rPr>
          <w:fldChar w:fldCharType="begin"/>
        </w:r>
        <w:r w:rsidRPr="00C72C24">
          <w:rPr>
            <w:rFonts w:ascii="Times New Roman" w:hAnsi="Times New Roman" w:cs="Times New Roman"/>
            <w:sz w:val="24"/>
            <w:szCs w:val="24"/>
          </w:rPr>
          <w:instrText>PAGE   \* MERGEFORMAT</w:instrText>
        </w:r>
        <w:r w:rsidRPr="00C72C24">
          <w:rPr>
            <w:rFonts w:ascii="Times New Roman" w:hAnsi="Times New Roman" w:cs="Times New Roman"/>
            <w:sz w:val="24"/>
            <w:szCs w:val="24"/>
          </w:rPr>
          <w:fldChar w:fldCharType="separate"/>
        </w:r>
        <w:r w:rsidR="009F3ECE">
          <w:rPr>
            <w:rFonts w:ascii="Times New Roman" w:hAnsi="Times New Roman" w:cs="Times New Roman"/>
            <w:noProof/>
            <w:sz w:val="24"/>
            <w:szCs w:val="24"/>
          </w:rPr>
          <w:t>18</w:t>
        </w:r>
        <w:r w:rsidRPr="00C72C2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26842"/>
    <w:multiLevelType w:val="multilevel"/>
    <w:tmpl w:val="EA4C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285AB5"/>
    <w:multiLevelType w:val="hybridMultilevel"/>
    <w:tmpl w:val="D2B4E7A8"/>
    <w:lvl w:ilvl="0" w:tplc="5C440A6A">
      <w:numFmt w:val="bullet"/>
      <w:lvlText w:val="-"/>
      <w:lvlJc w:val="left"/>
      <w:pPr>
        <w:ind w:left="643" w:hanging="360"/>
      </w:pPr>
      <w:rPr>
        <w:rFonts w:ascii="Times New Roman" w:eastAsiaTheme="minorHAnsi"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num w:numId="1" w16cid:durableId="934559006">
    <w:abstractNumId w:val="0"/>
  </w:num>
  <w:num w:numId="2" w16cid:durableId="1722436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46"/>
    <w:rsid w:val="00001D8A"/>
    <w:rsid w:val="000113FF"/>
    <w:rsid w:val="00036638"/>
    <w:rsid w:val="00045D11"/>
    <w:rsid w:val="00061360"/>
    <w:rsid w:val="00097613"/>
    <w:rsid w:val="000A15AF"/>
    <w:rsid w:val="000D0FE2"/>
    <w:rsid w:val="000E5D69"/>
    <w:rsid w:val="000E68F8"/>
    <w:rsid w:val="000F1E98"/>
    <w:rsid w:val="00124746"/>
    <w:rsid w:val="00135205"/>
    <w:rsid w:val="00146CA4"/>
    <w:rsid w:val="001578D4"/>
    <w:rsid w:val="001A309C"/>
    <w:rsid w:val="001A384F"/>
    <w:rsid w:val="001D7C4C"/>
    <w:rsid w:val="001F078D"/>
    <w:rsid w:val="001F07B2"/>
    <w:rsid w:val="001F1834"/>
    <w:rsid w:val="002053EB"/>
    <w:rsid w:val="0021059A"/>
    <w:rsid w:val="00253FC0"/>
    <w:rsid w:val="00286743"/>
    <w:rsid w:val="00295C7A"/>
    <w:rsid w:val="002A6BA1"/>
    <w:rsid w:val="002C166D"/>
    <w:rsid w:val="002C2E9A"/>
    <w:rsid w:val="002E7C7B"/>
    <w:rsid w:val="002E7D5F"/>
    <w:rsid w:val="002F577D"/>
    <w:rsid w:val="003039C6"/>
    <w:rsid w:val="00316A3F"/>
    <w:rsid w:val="00321DF9"/>
    <w:rsid w:val="0033000E"/>
    <w:rsid w:val="003420C7"/>
    <w:rsid w:val="00362BA6"/>
    <w:rsid w:val="00364569"/>
    <w:rsid w:val="0037498B"/>
    <w:rsid w:val="00375AC3"/>
    <w:rsid w:val="00380D85"/>
    <w:rsid w:val="0039150C"/>
    <w:rsid w:val="0039260E"/>
    <w:rsid w:val="003E398F"/>
    <w:rsid w:val="003E6D27"/>
    <w:rsid w:val="00403181"/>
    <w:rsid w:val="0040698C"/>
    <w:rsid w:val="0041378C"/>
    <w:rsid w:val="00424D5A"/>
    <w:rsid w:val="00430B78"/>
    <w:rsid w:val="00440FBF"/>
    <w:rsid w:val="00465DD0"/>
    <w:rsid w:val="00481860"/>
    <w:rsid w:val="004834B8"/>
    <w:rsid w:val="004A116C"/>
    <w:rsid w:val="004A34EF"/>
    <w:rsid w:val="004A3930"/>
    <w:rsid w:val="004C18EA"/>
    <w:rsid w:val="004C5FFA"/>
    <w:rsid w:val="004D2D58"/>
    <w:rsid w:val="004D3506"/>
    <w:rsid w:val="004D56C4"/>
    <w:rsid w:val="004E0F7A"/>
    <w:rsid w:val="004E7314"/>
    <w:rsid w:val="005032CB"/>
    <w:rsid w:val="005170B3"/>
    <w:rsid w:val="0052121A"/>
    <w:rsid w:val="00535018"/>
    <w:rsid w:val="00536817"/>
    <w:rsid w:val="00545775"/>
    <w:rsid w:val="00590DDE"/>
    <w:rsid w:val="00593EE6"/>
    <w:rsid w:val="00597D1D"/>
    <w:rsid w:val="005B4C92"/>
    <w:rsid w:val="005C11AE"/>
    <w:rsid w:val="005D63B6"/>
    <w:rsid w:val="005E3CD4"/>
    <w:rsid w:val="006030EF"/>
    <w:rsid w:val="00603120"/>
    <w:rsid w:val="0060452B"/>
    <w:rsid w:val="006046CF"/>
    <w:rsid w:val="00620B1C"/>
    <w:rsid w:val="00635FA1"/>
    <w:rsid w:val="00646F1F"/>
    <w:rsid w:val="00663166"/>
    <w:rsid w:val="00665D2A"/>
    <w:rsid w:val="0067405C"/>
    <w:rsid w:val="0068280F"/>
    <w:rsid w:val="0069133F"/>
    <w:rsid w:val="0069316C"/>
    <w:rsid w:val="006B05A0"/>
    <w:rsid w:val="006B20CE"/>
    <w:rsid w:val="006C553B"/>
    <w:rsid w:val="006D0933"/>
    <w:rsid w:val="006D097C"/>
    <w:rsid w:val="006E3806"/>
    <w:rsid w:val="006F1EB1"/>
    <w:rsid w:val="006F2253"/>
    <w:rsid w:val="00702396"/>
    <w:rsid w:val="00710326"/>
    <w:rsid w:val="0071174F"/>
    <w:rsid w:val="00711A0C"/>
    <w:rsid w:val="0071656D"/>
    <w:rsid w:val="007178B0"/>
    <w:rsid w:val="007450FA"/>
    <w:rsid w:val="00760DB7"/>
    <w:rsid w:val="0078018B"/>
    <w:rsid w:val="00786AA4"/>
    <w:rsid w:val="00793B19"/>
    <w:rsid w:val="0079695B"/>
    <w:rsid w:val="00796BAB"/>
    <w:rsid w:val="007B5EEF"/>
    <w:rsid w:val="007C7117"/>
    <w:rsid w:val="007D159F"/>
    <w:rsid w:val="007E7581"/>
    <w:rsid w:val="007E782F"/>
    <w:rsid w:val="0080293A"/>
    <w:rsid w:val="0081274D"/>
    <w:rsid w:val="00850203"/>
    <w:rsid w:val="00850A36"/>
    <w:rsid w:val="00865486"/>
    <w:rsid w:val="008670B4"/>
    <w:rsid w:val="00884254"/>
    <w:rsid w:val="008D6E76"/>
    <w:rsid w:val="008F3192"/>
    <w:rsid w:val="008F46D0"/>
    <w:rsid w:val="00903525"/>
    <w:rsid w:val="00930FCF"/>
    <w:rsid w:val="00934459"/>
    <w:rsid w:val="00943ECE"/>
    <w:rsid w:val="0095299B"/>
    <w:rsid w:val="0095431F"/>
    <w:rsid w:val="00992E46"/>
    <w:rsid w:val="00996445"/>
    <w:rsid w:val="009D1B15"/>
    <w:rsid w:val="009D701B"/>
    <w:rsid w:val="009F3ECE"/>
    <w:rsid w:val="00A021EB"/>
    <w:rsid w:val="00A201C3"/>
    <w:rsid w:val="00A31BD9"/>
    <w:rsid w:val="00A34E68"/>
    <w:rsid w:val="00A51923"/>
    <w:rsid w:val="00A56FF3"/>
    <w:rsid w:val="00A57078"/>
    <w:rsid w:val="00A76C12"/>
    <w:rsid w:val="00A77350"/>
    <w:rsid w:val="00A9784D"/>
    <w:rsid w:val="00AA2C76"/>
    <w:rsid w:val="00AA7DF6"/>
    <w:rsid w:val="00AA7EBB"/>
    <w:rsid w:val="00AB593C"/>
    <w:rsid w:val="00AB6F18"/>
    <w:rsid w:val="00AE1E78"/>
    <w:rsid w:val="00AF370E"/>
    <w:rsid w:val="00AF7727"/>
    <w:rsid w:val="00B006D7"/>
    <w:rsid w:val="00B33C94"/>
    <w:rsid w:val="00B549C7"/>
    <w:rsid w:val="00B56149"/>
    <w:rsid w:val="00B67E29"/>
    <w:rsid w:val="00B7457E"/>
    <w:rsid w:val="00BD7C1A"/>
    <w:rsid w:val="00BE28EC"/>
    <w:rsid w:val="00BE6C7B"/>
    <w:rsid w:val="00BF0D86"/>
    <w:rsid w:val="00C107E7"/>
    <w:rsid w:val="00C14E3D"/>
    <w:rsid w:val="00C241A9"/>
    <w:rsid w:val="00C24403"/>
    <w:rsid w:val="00C34713"/>
    <w:rsid w:val="00C52E98"/>
    <w:rsid w:val="00C54AB8"/>
    <w:rsid w:val="00C54F18"/>
    <w:rsid w:val="00C62AF4"/>
    <w:rsid w:val="00C712DA"/>
    <w:rsid w:val="00C72C24"/>
    <w:rsid w:val="00C80ED5"/>
    <w:rsid w:val="00CD0B24"/>
    <w:rsid w:val="00CD2B87"/>
    <w:rsid w:val="00CE51A8"/>
    <w:rsid w:val="00CF620A"/>
    <w:rsid w:val="00D0578F"/>
    <w:rsid w:val="00D11D75"/>
    <w:rsid w:val="00D13A0B"/>
    <w:rsid w:val="00D236CD"/>
    <w:rsid w:val="00D42153"/>
    <w:rsid w:val="00D53322"/>
    <w:rsid w:val="00D56973"/>
    <w:rsid w:val="00D92877"/>
    <w:rsid w:val="00D96053"/>
    <w:rsid w:val="00DA3B14"/>
    <w:rsid w:val="00DB1715"/>
    <w:rsid w:val="00DB4C24"/>
    <w:rsid w:val="00DD2478"/>
    <w:rsid w:val="00DD6155"/>
    <w:rsid w:val="00DE050E"/>
    <w:rsid w:val="00E06234"/>
    <w:rsid w:val="00E201F1"/>
    <w:rsid w:val="00E4428C"/>
    <w:rsid w:val="00E46922"/>
    <w:rsid w:val="00E725A9"/>
    <w:rsid w:val="00E95B43"/>
    <w:rsid w:val="00E97741"/>
    <w:rsid w:val="00EA3FB0"/>
    <w:rsid w:val="00EA74D7"/>
    <w:rsid w:val="00EC30B1"/>
    <w:rsid w:val="00EC532B"/>
    <w:rsid w:val="00ED117E"/>
    <w:rsid w:val="00F01E57"/>
    <w:rsid w:val="00F022CD"/>
    <w:rsid w:val="00F25284"/>
    <w:rsid w:val="00F256FA"/>
    <w:rsid w:val="00F4148C"/>
    <w:rsid w:val="00F544E3"/>
    <w:rsid w:val="00F67D7E"/>
    <w:rsid w:val="00FA0E2E"/>
    <w:rsid w:val="00FA36B4"/>
    <w:rsid w:val="00FA45B3"/>
    <w:rsid w:val="00FB10F3"/>
    <w:rsid w:val="00FC67F3"/>
    <w:rsid w:val="00FD763B"/>
    <w:rsid w:val="00FE0872"/>
    <w:rsid w:val="00FF29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1D4BF"/>
  <w15:chartTrackingRefBased/>
  <w15:docId w15:val="{9CD8D08B-6F38-4015-B1B3-E1929A57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205"/>
  </w:style>
  <w:style w:type="paragraph" w:styleId="2">
    <w:name w:val="heading 2"/>
    <w:basedOn w:val="a"/>
    <w:link w:val="20"/>
    <w:qFormat/>
    <w:rsid w:val="0069133F"/>
    <w:pPr>
      <w:spacing w:before="100" w:beforeAutospacing="1" w:after="100" w:afterAutospacing="1" w:line="240" w:lineRule="auto"/>
      <w:outlineLvl w:val="1"/>
    </w:pPr>
    <w:rPr>
      <w:rFonts w:ascii="Times New Roman" w:eastAsia="Calibri"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5205"/>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0E5D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ій колонтитул Знак"/>
    <w:basedOn w:val="a0"/>
    <w:link w:val="a4"/>
    <w:uiPriority w:val="99"/>
    <w:rsid w:val="000E5D69"/>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9133F"/>
    <w:rPr>
      <w:rFonts w:ascii="Times New Roman" w:eastAsia="Calibri" w:hAnsi="Times New Roman" w:cs="Times New Roman"/>
      <w:b/>
      <w:bCs/>
      <w:sz w:val="36"/>
      <w:szCs w:val="36"/>
      <w:lang w:val="x-none" w:eastAsia="ru-RU"/>
    </w:rPr>
  </w:style>
  <w:style w:type="paragraph" w:styleId="a6">
    <w:name w:val="Normal (Web)"/>
    <w:basedOn w:val="a"/>
    <w:uiPriority w:val="99"/>
    <w:rsid w:val="0069133F"/>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styleId="a7">
    <w:name w:val="Title"/>
    <w:basedOn w:val="a"/>
    <w:next w:val="a"/>
    <w:link w:val="a8"/>
    <w:rsid w:val="00FB10F3"/>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lang w:eastAsia="ru-RU"/>
    </w:rPr>
  </w:style>
  <w:style w:type="character" w:customStyle="1" w:styleId="a8">
    <w:name w:val="Назва Знак"/>
    <w:basedOn w:val="a0"/>
    <w:link w:val="a7"/>
    <w:rsid w:val="00FB10F3"/>
    <w:rPr>
      <w:rFonts w:ascii="Times New Roman" w:eastAsia="Times New Roman" w:hAnsi="Times New Roman" w:cs="Times New Roman"/>
      <w:b/>
      <w:position w:val="-1"/>
      <w:sz w:val="72"/>
      <w:szCs w:val="72"/>
      <w:lang w:eastAsia="ru-RU"/>
    </w:rPr>
  </w:style>
  <w:style w:type="paragraph" w:styleId="a9">
    <w:name w:val="No Spacing"/>
    <w:uiPriority w:val="1"/>
    <w:qFormat/>
    <w:rsid w:val="00A34E68"/>
    <w:pPr>
      <w:spacing w:after="0" w:line="240" w:lineRule="auto"/>
    </w:pPr>
    <w:rPr>
      <w:lang w:val="ru-RU"/>
    </w:rPr>
  </w:style>
  <w:style w:type="paragraph" w:customStyle="1" w:styleId="rvps2">
    <w:name w:val="rvps2"/>
    <w:basedOn w:val="a"/>
    <w:rsid w:val="001D7C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alloon Text"/>
    <w:basedOn w:val="a"/>
    <w:link w:val="ab"/>
    <w:uiPriority w:val="99"/>
    <w:semiHidden/>
    <w:unhideWhenUsed/>
    <w:rsid w:val="00DB4C2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DB4C24"/>
    <w:rPr>
      <w:rFonts w:ascii="Segoe UI" w:hAnsi="Segoe UI" w:cs="Segoe UI"/>
      <w:sz w:val="18"/>
      <w:szCs w:val="18"/>
    </w:rPr>
  </w:style>
  <w:style w:type="character" w:styleId="ac">
    <w:name w:val="annotation reference"/>
    <w:basedOn w:val="a0"/>
    <w:uiPriority w:val="99"/>
    <w:semiHidden/>
    <w:unhideWhenUsed/>
    <w:rsid w:val="00AF370E"/>
    <w:rPr>
      <w:sz w:val="16"/>
      <w:szCs w:val="16"/>
    </w:rPr>
  </w:style>
  <w:style w:type="paragraph" w:styleId="ad">
    <w:name w:val="annotation text"/>
    <w:basedOn w:val="a"/>
    <w:link w:val="ae"/>
    <w:uiPriority w:val="99"/>
    <w:unhideWhenUsed/>
    <w:rsid w:val="00AF370E"/>
    <w:pPr>
      <w:spacing w:line="240" w:lineRule="auto"/>
    </w:pPr>
    <w:rPr>
      <w:sz w:val="20"/>
      <w:szCs w:val="20"/>
    </w:rPr>
  </w:style>
  <w:style w:type="character" w:customStyle="1" w:styleId="ae">
    <w:name w:val="Текст примітки Знак"/>
    <w:basedOn w:val="a0"/>
    <w:link w:val="ad"/>
    <w:uiPriority w:val="99"/>
    <w:rsid w:val="00AF370E"/>
    <w:rPr>
      <w:sz w:val="20"/>
      <w:szCs w:val="20"/>
    </w:rPr>
  </w:style>
  <w:style w:type="paragraph" w:styleId="af">
    <w:name w:val="annotation subject"/>
    <w:basedOn w:val="ad"/>
    <w:next w:val="ad"/>
    <w:link w:val="af0"/>
    <w:uiPriority w:val="99"/>
    <w:semiHidden/>
    <w:unhideWhenUsed/>
    <w:rsid w:val="00AF370E"/>
    <w:rPr>
      <w:b/>
      <w:bCs/>
    </w:rPr>
  </w:style>
  <w:style w:type="character" w:customStyle="1" w:styleId="af0">
    <w:name w:val="Тема примітки Знак"/>
    <w:basedOn w:val="ae"/>
    <w:link w:val="af"/>
    <w:uiPriority w:val="99"/>
    <w:semiHidden/>
    <w:rsid w:val="00AF370E"/>
    <w:rPr>
      <w:b/>
      <w:bCs/>
      <w:sz w:val="20"/>
      <w:szCs w:val="20"/>
    </w:rPr>
  </w:style>
  <w:style w:type="paragraph" w:styleId="af1">
    <w:name w:val="Revision"/>
    <w:hidden/>
    <w:uiPriority w:val="99"/>
    <w:semiHidden/>
    <w:rsid w:val="006F2253"/>
    <w:pPr>
      <w:spacing w:after="0" w:line="240" w:lineRule="auto"/>
    </w:pPr>
  </w:style>
  <w:style w:type="paragraph" w:customStyle="1" w:styleId="rvps14">
    <w:name w:val="rvps14"/>
    <w:basedOn w:val="a"/>
    <w:rsid w:val="00597D1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2">
    <w:name w:val="header"/>
    <w:basedOn w:val="a"/>
    <w:link w:val="af3"/>
    <w:uiPriority w:val="99"/>
    <w:unhideWhenUsed/>
    <w:rsid w:val="00597D1D"/>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597D1D"/>
  </w:style>
  <w:style w:type="paragraph" w:styleId="af4">
    <w:name w:val="List Paragraph"/>
    <w:basedOn w:val="a"/>
    <w:uiPriority w:val="34"/>
    <w:qFormat/>
    <w:rsid w:val="00FC67F3"/>
    <w:pPr>
      <w:spacing w:after="0" w:line="240" w:lineRule="auto"/>
      <w:ind w:left="720"/>
      <w:contextualSpacing/>
    </w:pPr>
    <w:rPr>
      <w:rFonts w:ascii="Calibri" w:eastAsia="Calibri"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5592">
      <w:bodyDiv w:val="1"/>
      <w:marLeft w:val="0"/>
      <w:marRight w:val="0"/>
      <w:marTop w:val="0"/>
      <w:marBottom w:val="0"/>
      <w:divBdr>
        <w:top w:val="none" w:sz="0" w:space="0" w:color="auto"/>
        <w:left w:val="none" w:sz="0" w:space="0" w:color="auto"/>
        <w:bottom w:val="none" w:sz="0" w:space="0" w:color="auto"/>
        <w:right w:val="none" w:sz="0" w:space="0" w:color="auto"/>
      </w:divBdr>
    </w:div>
    <w:div w:id="177698950">
      <w:bodyDiv w:val="1"/>
      <w:marLeft w:val="0"/>
      <w:marRight w:val="0"/>
      <w:marTop w:val="0"/>
      <w:marBottom w:val="0"/>
      <w:divBdr>
        <w:top w:val="none" w:sz="0" w:space="0" w:color="auto"/>
        <w:left w:val="none" w:sz="0" w:space="0" w:color="auto"/>
        <w:bottom w:val="none" w:sz="0" w:space="0" w:color="auto"/>
        <w:right w:val="none" w:sz="0" w:space="0" w:color="auto"/>
      </w:divBdr>
      <w:divsChild>
        <w:div w:id="721829279">
          <w:marLeft w:val="0"/>
          <w:marRight w:val="0"/>
          <w:marTop w:val="0"/>
          <w:marBottom w:val="0"/>
          <w:divBdr>
            <w:top w:val="none" w:sz="0" w:space="0" w:color="auto"/>
            <w:left w:val="none" w:sz="0" w:space="0" w:color="auto"/>
            <w:bottom w:val="none" w:sz="0" w:space="0" w:color="auto"/>
            <w:right w:val="none" w:sz="0" w:space="0" w:color="auto"/>
          </w:divBdr>
          <w:divsChild>
            <w:div w:id="111019476">
              <w:marLeft w:val="0"/>
              <w:marRight w:val="0"/>
              <w:marTop w:val="0"/>
              <w:marBottom w:val="0"/>
              <w:divBdr>
                <w:top w:val="none" w:sz="0" w:space="0" w:color="auto"/>
                <w:left w:val="none" w:sz="0" w:space="0" w:color="auto"/>
                <w:bottom w:val="none" w:sz="0" w:space="0" w:color="auto"/>
                <w:right w:val="none" w:sz="0" w:space="0" w:color="auto"/>
              </w:divBdr>
              <w:divsChild>
                <w:div w:id="1917855720">
                  <w:marLeft w:val="0"/>
                  <w:marRight w:val="0"/>
                  <w:marTop w:val="0"/>
                  <w:marBottom w:val="0"/>
                  <w:divBdr>
                    <w:top w:val="none" w:sz="0" w:space="0" w:color="auto"/>
                    <w:left w:val="none" w:sz="0" w:space="0" w:color="auto"/>
                    <w:bottom w:val="none" w:sz="0" w:space="0" w:color="auto"/>
                    <w:right w:val="none" w:sz="0" w:space="0" w:color="auto"/>
                  </w:divBdr>
                  <w:divsChild>
                    <w:div w:id="381905343">
                      <w:marLeft w:val="0"/>
                      <w:marRight w:val="0"/>
                      <w:marTop w:val="0"/>
                      <w:marBottom w:val="0"/>
                      <w:divBdr>
                        <w:top w:val="none" w:sz="0" w:space="0" w:color="auto"/>
                        <w:left w:val="none" w:sz="0" w:space="0" w:color="auto"/>
                        <w:bottom w:val="none" w:sz="0" w:space="0" w:color="auto"/>
                        <w:right w:val="none" w:sz="0" w:space="0" w:color="auto"/>
                      </w:divBdr>
                      <w:divsChild>
                        <w:div w:id="1311903886">
                          <w:marLeft w:val="0"/>
                          <w:marRight w:val="0"/>
                          <w:marTop w:val="0"/>
                          <w:marBottom w:val="0"/>
                          <w:divBdr>
                            <w:top w:val="none" w:sz="0" w:space="0" w:color="auto"/>
                            <w:left w:val="none" w:sz="0" w:space="0" w:color="auto"/>
                            <w:bottom w:val="none" w:sz="0" w:space="0" w:color="auto"/>
                            <w:right w:val="none" w:sz="0" w:space="0" w:color="auto"/>
                          </w:divBdr>
                          <w:divsChild>
                            <w:div w:id="2098402030">
                              <w:marLeft w:val="0"/>
                              <w:marRight w:val="0"/>
                              <w:marTop w:val="0"/>
                              <w:marBottom w:val="0"/>
                              <w:divBdr>
                                <w:top w:val="none" w:sz="0" w:space="0" w:color="auto"/>
                                <w:left w:val="none" w:sz="0" w:space="0" w:color="auto"/>
                                <w:bottom w:val="none" w:sz="0" w:space="0" w:color="auto"/>
                                <w:right w:val="none" w:sz="0" w:space="0" w:color="auto"/>
                              </w:divBdr>
                              <w:divsChild>
                                <w:div w:id="799305602">
                                  <w:marLeft w:val="0"/>
                                  <w:marRight w:val="0"/>
                                  <w:marTop w:val="0"/>
                                  <w:marBottom w:val="0"/>
                                  <w:divBdr>
                                    <w:top w:val="none" w:sz="0" w:space="0" w:color="auto"/>
                                    <w:left w:val="none" w:sz="0" w:space="0" w:color="auto"/>
                                    <w:bottom w:val="none" w:sz="0" w:space="0" w:color="auto"/>
                                    <w:right w:val="none" w:sz="0" w:space="0" w:color="auto"/>
                                  </w:divBdr>
                                  <w:divsChild>
                                    <w:div w:id="139431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540442">
      <w:bodyDiv w:val="1"/>
      <w:marLeft w:val="0"/>
      <w:marRight w:val="0"/>
      <w:marTop w:val="0"/>
      <w:marBottom w:val="0"/>
      <w:divBdr>
        <w:top w:val="none" w:sz="0" w:space="0" w:color="auto"/>
        <w:left w:val="none" w:sz="0" w:space="0" w:color="auto"/>
        <w:bottom w:val="none" w:sz="0" w:space="0" w:color="auto"/>
        <w:right w:val="none" w:sz="0" w:space="0" w:color="auto"/>
      </w:divBdr>
    </w:div>
    <w:div w:id="536164149">
      <w:bodyDiv w:val="1"/>
      <w:marLeft w:val="0"/>
      <w:marRight w:val="0"/>
      <w:marTop w:val="0"/>
      <w:marBottom w:val="0"/>
      <w:divBdr>
        <w:top w:val="none" w:sz="0" w:space="0" w:color="auto"/>
        <w:left w:val="none" w:sz="0" w:space="0" w:color="auto"/>
        <w:bottom w:val="none" w:sz="0" w:space="0" w:color="auto"/>
        <w:right w:val="none" w:sz="0" w:space="0" w:color="auto"/>
      </w:divBdr>
    </w:div>
    <w:div w:id="902906152">
      <w:bodyDiv w:val="1"/>
      <w:marLeft w:val="0"/>
      <w:marRight w:val="0"/>
      <w:marTop w:val="0"/>
      <w:marBottom w:val="0"/>
      <w:divBdr>
        <w:top w:val="none" w:sz="0" w:space="0" w:color="auto"/>
        <w:left w:val="none" w:sz="0" w:space="0" w:color="auto"/>
        <w:bottom w:val="none" w:sz="0" w:space="0" w:color="auto"/>
        <w:right w:val="none" w:sz="0" w:space="0" w:color="auto"/>
      </w:divBdr>
    </w:div>
    <w:div w:id="929462444">
      <w:bodyDiv w:val="1"/>
      <w:marLeft w:val="0"/>
      <w:marRight w:val="0"/>
      <w:marTop w:val="0"/>
      <w:marBottom w:val="0"/>
      <w:divBdr>
        <w:top w:val="none" w:sz="0" w:space="0" w:color="auto"/>
        <w:left w:val="none" w:sz="0" w:space="0" w:color="auto"/>
        <w:bottom w:val="none" w:sz="0" w:space="0" w:color="auto"/>
        <w:right w:val="none" w:sz="0" w:space="0" w:color="auto"/>
      </w:divBdr>
    </w:div>
    <w:div w:id="1124419975">
      <w:bodyDiv w:val="1"/>
      <w:marLeft w:val="0"/>
      <w:marRight w:val="0"/>
      <w:marTop w:val="0"/>
      <w:marBottom w:val="0"/>
      <w:divBdr>
        <w:top w:val="none" w:sz="0" w:space="0" w:color="auto"/>
        <w:left w:val="none" w:sz="0" w:space="0" w:color="auto"/>
        <w:bottom w:val="none" w:sz="0" w:space="0" w:color="auto"/>
        <w:right w:val="none" w:sz="0" w:space="0" w:color="auto"/>
      </w:divBdr>
    </w:div>
    <w:div w:id="1316639264">
      <w:bodyDiv w:val="1"/>
      <w:marLeft w:val="0"/>
      <w:marRight w:val="0"/>
      <w:marTop w:val="0"/>
      <w:marBottom w:val="0"/>
      <w:divBdr>
        <w:top w:val="none" w:sz="0" w:space="0" w:color="auto"/>
        <w:left w:val="none" w:sz="0" w:space="0" w:color="auto"/>
        <w:bottom w:val="none" w:sz="0" w:space="0" w:color="auto"/>
        <w:right w:val="none" w:sz="0" w:space="0" w:color="auto"/>
      </w:divBdr>
    </w:div>
    <w:div w:id="1343167473">
      <w:bodyDiv w:val="1"/>
      <w:marLeft w:val="0"/>
      <w:marRight w:val="0"/>
      <w:marTop w:val="0"/>
      <w:marBottom w:val="0"/>
      <w:divBdr>
        <w:top w:val="none" w:sz="0" w:space="0" w:color="auto"/>
        <w:left w:val="none" w:sz="0" w:space="0" w:color="auto"/>
        <w:bottom w:val="none" w:sz="0" w:space="0" w:color="auto"/>
        <w:right w:val="none" w:sz="0" w:space="0" w:color="auto"/>
      </w:divBdr>
    </w:div>
    <w:div w:id="1371954753">
      <w:bodyDiv w:val="1"/>
      <w:marLeft w:val="0"/>
      <w:marRight w:val="0"/>
      <w:marTop w:val="0"/>
      <w:marBottom w:val="0"/>
      <w:divBdr>
        <w:top w:val="none" w:sz="0" w:space="0" w:color="auto"/>
        <w:left w:val="none" w:sz="0" w:space="0" w:color="auto"/>
        <w:bottom w:val="none" w:sz="0" w:space="0" w:color="auto"/>
        <w:right w:val="none" w:sz="0" w:space="0" w:color="auto"/>
      </w:divBdr>
    </w:div>
    <w:div w:id="1405640133">
      <w:bodyDiv w:val="1"/>
      <w:marLeft w:val="0"/>
      <w:marRight w:val="0"/>
      <w:marTop w:val="0"/>
      <w:marBottom w:val="0"/>
      <w:divBdr>
        <w:top w:val="none" w:sz="0" w:space="0" w:color="auto"/>
        <w:left w:val="none" w:sz="0" w:space="0" w:color="auto"/>
        <w:bottom w:val="none" w:sz="0" w:space="0" w:color="auto"/>
        <w:right w:val="none" w:sz="0" w:space="0" w:color="auto"/>
      </w:divBdr>
    </w:div>
    <w:div w:id="1550460664">
      <w:bodyDiv w:val="1"/>
      <w:marLeft w:val="0"/>
      <w:marRight w:val="0"/>
      <w:marTop w:val="0"/>
      <w:marBottom w:val="0"/>
      <w:divBdr>
        <w:top w:val="none" w:sz="0" w:space="0" w:color="auto"/>
        <w:left w:val="none" w:sz="0" w:space="0" w:color="auto"/>
        <w:bottom w:val="none" w:sz="0" w:space="0" w:color="auto"/>
        <w:right w:val="none" w:sz="0" w:space="0" w:color="auto"/>
      </w:divBdr>
    </w:div>
    <w:div w:id="1580555755">
      <w:bodyDiv w:val="1"/>
      <w:marLeft w:val="0"/>
      <w:marRight w:val="0"/>
      <w:marTop w:val="0"/>
      <w:marBottom w:val="0"/>
      <w:divBdr>
        <w:top w:val="none" w:sz="0" w:space="0" w:color="auto"/>
        <w:left w:val="none" w:sz="0" w:space="0" w:color="auto"/>
        <w:bottom w:val="none" w:sz="0" w:space="0" w:color="auto"/>
        <w:right w:val="none" w:sz="0" w:space="0" w:color="auto"/>
      </w:divBdr>
      <w:divsChild>
        <w:div w:id="2029403493">
          <w:marLeft w:val="0"/>
          <w:marRight w:val="0"/>
          <w:marTop w:val="0"/>
          <w:marBottom w:val="0"/>
          <w:divBdr>
            <w:top w:val="none" w:sz="0" w:space="0" w:color="auto"/>
            <w:left w:val="none" w:sz="0" w:space="0" w:color="auto"/>
            <w:bottom w:val="none" w:sz="0" w:space="0" w:color="auto"/>
            <w:right w:val="none" w:sz="0" w:space="0" w:color="auto"/>
          </w:divBdr>
          <w:divsChild>
            <w:div w:id="170529933">
              <w:marLeft w:val="0"/>
              <w:marRight w:val="0"/>
              <w:marTop w:val="0"/>
              <w:marBottom w:val="0"/>
              <w:divBdr>
                <w:top w:val="none" w:sz="0" w:space="0" w:color="auto"/>
                <w:left w:val="none" w:sz="0" w:space="0" w:color="auto"/>
                <w:bottom w:val="none" w:sz="0" w:space="0" w:color="auto"/>
                <w:right w:val="none" w:sz="0" w:space="0" w:color="auto"/>
              </w:divBdr>
              <w:divsChild>
                <w:div w:id="1976597132">
                  <w:marLeft w:val="0"/>
                  <w:marRight w:val="0"/>
                  <w:marTop w:val="0"/>
                  <w:marBottom w:val="0"/>
                  <w:divBdr>
                    <w:top w:val="none" w:sz="0" w:space="0" w:color="auto"/>
                    <w:left w:val="none" w:sz="0" w:space="0" w:color="auto"/>
                    <w:bottom w:val="none" w:sz="0" w:space="0" w:color="auto"/>
                    <w:right w:val="none" w:sz="0" w:space="0" w:color="auto"/>
                  </w:divBdr>
                  <w:divsChild>
                    <w:div w:id="823357701">
                      <w:marLeft w:val="0"/>
                      <w:marRight w:val="0"/>
                      <w:marTop w:val="0"/>
                      <w:marBottom w:val="0"/>
                      <w:divBdr>
                        <w:top w:val="none" w:sz="0" w:space="0" w:color="auto"/>
                        <w:left w:val="none" w:sz="0" w:space="0" w:color="auto"/>
                        <w:bottom w:val="none" w:sz="0" w:space="0" w:color="auto"/>
                        <w:right w:val="none" w:sz="0" w:space="0" w:color="auto"/>
                      </w:divBdr>
                      <w:divsChild>
                        <w:div w:id="1948779261">
                          <w:marLeft w:val="0"/>
                          <w:marRight w:val="0"/>
                          <w:marTop w:val="0"/>
                          <w:marBottom w:val="0"/>
                          <w:divBdr>
                            <w:top w:val="none" w:sz="0" w:space="0" w:color="auto"/>
                            <w:left w:val="none" w:sz="0" w:space="0" w:color="auto"/>
                            <w:bottom w:val="none" w:sz="0" w:space="0" w:color="auto"/>
                            <w:right w:val="none" w:sz="0" w:space="0" w:color="auto"/>
                          </w:divBdr>
                          <w:divsChild>
                            <w:div w:id="725252388">
                              <w:marLeft w:val="0"/>
                              <w:marRight w:val="0"/>
                              <w:marTop w:val="0"/>
                              <w:marBottom w:val="0"/>
                              <w:divBdr>
                                <w:top w:val="none" w:sz="0" w:space="0" w:color="auto"/>
                                <w:left w:val="none" w:sz="0" w:space="0" w:color="auto"/>
                                <w:bottom w:val="none" w:sz="0" w:space="0" w:color="auto"/>
                                <w:right w:val="none" w:sz="0" w:space="0" w:color="auto"/>
                              </w:divBdr>
                              <w:divsChild>
                                <w:div w:id="1953592292">
                                  <w:marLeft w:val="0"/>
                                  <w:marRight w:val="0"/>
                                  <w:marTop w:val="0"/>
                                  <w:marBottom w:val="0"/>
                                  <w:divBdr>
                                    <w:top w:val="none" w:sz="0" w:space="0" w:color="auto"/>
                                    <w:left w:val="none" w:sz="0" w:space="0" w:color="auto"/>
                                    <w:bottom w:val="none" w:sz="0" w:space="0" w:color="auto"/>
                                    <w:right w:val="none" w:sz="0" w:space="0" w:color="auto"/>
                                  </w:divBdr>
                                  <w:divsChild>
                                    <w:div w:id="6935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035445">
      <w:bodyDiv w:val="1"/>
      <w:marLeft w:val="0"/>
      <w:marRight w:val="0"/>
      <w:marTop w:val="0"/>
      <w:marBottom w:val="0"/>
      <w:divBdr>
        <w:top w:val="none" w:sz="0" w:space="0" w:color="auto"/>
        <w:left w:val="none" w:sz="0" w:space="0" w:color="auto"/>
        <w:bottom w:val="none" w:sz="0" w:space="0" w:color="auto"/>
        <w:right w:val="none" w:sz="0" w:space="0" w:color="auto"/>
      </w:divBdr>
    </w:div>
    <w:div w:id="1987971554">
      <w:bodyDiv w:val="1"/>
      <w:marLeft w:val="0"/>
      <w:marRight w:val="0"/>
      <w:marTop w:val="0"/>
      <w:marBottom w:val="0"/>
      <w:divBdr>
        <w:top w:val="none" w:sz="0" w:space="0" w:color="auto"/>
        <w:left w:val="none" w:sz="0" w:space="0" w:color="auto"/>
        <w:bottom w:val="none" w:sz="0" w:space="0" w:color="auto"/>
        <w:right w:val="none" w:sz="0" w:space="0" w:color="auto"/>
      </w:divBdr>
    </w:div>
    <w:div w:id="2035228299">
      <w:bodyDiv w:val="1"/>
      <w:marLeft w:val="0"/>
      <w:marRight w:val="0"/>
      <w:marTop w:val="0"/>
      <w:marBottom w:val="0"/>
      <w:divBdr>
        <w:top w:val="none" w:sz="0" w:space="0" w:color="auto"/>
        <w:left w:val="none" w:sz="0" w:space="0" w:color="auto"/>
        <w:bottom w:val="none" w:sz="0" w:space="0" w:color="auto"/>
        <w:right w:val="none" w:sz="0" w:space="0" w:color="auto"/>
      </w:divBdr>
    </w:div>
    <w:div w:id="211343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EAD9B-6F96-482C-945E-497B741B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15617</Words>
  <Characters>8902</Characters>
  <Application>Microsoft Office Word</Application>
  <DocSecurity>0</DocSecurity>
  <Lines>74</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Пузіков</dc:creator>
  <cp:keywords/>
  <dc:description/>
  <cp:lastModifiedBy>AI</cp:lastModifiedBy>
  <cp:revision>3</cp:revision>
  <cp:lastPrinted>2026-04-10T06:17:00Z</cp:lastPrinted>
  <dcterms:created xsi:type="dcterms:W3CDTF">2026-09-04T10:45:00Z</dcterms:created>
  <dcterms:modified xsi:type="dcterms:W3CDTF">2026-09-08T07:55:00Z</dcterms:modified>
</cp:coreProperties>
</file>