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pPr w:leftFromText="180" w:rightFromText="180" w:vertAnchor="text" w:horzAnchor="margin" w:tblpY="416"/>
        <w:tblW w:w="15598" w:type="dxa"/>
        <w:tblLayout w:type="fixed"/>
        <w:tblLook w:val="01E0" w:firstRow="1" w:lastRow="1" w:firstColumn="1" w:lastColumn="1" w:noHBand="0" w:noVBand="0"/>
      </w:tblPr>
      <w:tblGrid>
        <w:gridCol w:w="3823"/>
        <w:gridCol w:w="76"/>
        <w:gridCol w:w="3893"/>
        <w:gridCol w:w="7"/>
        <w:gridCol w:w="3899"/>
        <w:gridCol w:w="63"/>
        <w:gridCol w:w="3837"/>
      </w:tblGrid>
      <w:tr w:rsidR="002675D7" w:rsidRPr="00D32097" w:rsidTr="002675D7">
        <w:trPr>
          <w:trHeight w:val="558"/>
        </w:trPr>
        <w:tc>
          <w:tcPr>
            <w:tcW w:w="15598" w:type="dxa"/>
            <w:gridSpan w:val="7"/>
          </w:tcPr>
          <w:p w:rsidR="002675D7" w:rsidRPr="00D32097" w:rsidRDefault="00D02502" w:rsidP="00D83895">
            <w:pPr>
              <w:spacing w:before="120"/>
              <w:jc w:val="center"/>
              <w:rPr>
                <w:rFonts w:ascii="Times New Roman" w:hAnsi="Times New Roman" w:cs="Times New Roman"/>
                <w:b/>
                <w:bCs/>
                <w:sz w:val="28"/>
                <w:szCs w:val="28"/>
              </w:rPr>
            </w:pPr>
            <w:r w:rsidRPr="00D32097">
              <w:rPr>
                <w:rFonts w:ascii="Times New Roman" w:hAnsi="Times New Roman" w:cs="Times New Roman"/>
                <w:b/>
                <w:bCs/>
                <w:sz w:val="28"/>
                <w:szCs w:val="28"/>
              </w:rPr>
              <w:t>*</w:t>
            </w:r>
            <w:r w:rsidR="002675D7" w:rsidRPr="00D32097">
              <w:rPr>
                <w:rFonts w:ascii="Times New Roman" w:hAnsi="Times New Roman" w:cs="Times New Roman"/>
                <w:b/>
                <w:bCs/>
                <w:sz w:val="28"/>
                <w:szCs w:val="28"/>
              </w:rPr>
              <w:t xml:space="preserve">Узагальнені зауваження та пропозиції до проєкту рішення НКРЕКП, що має ознаки регуляторного </w:t>
            </w:r>
            <w:proofErr w:type="spellStart"/>
            <w:r w:rsidR="002675D7" w:rsidRPr="00D32097">
              <w:rPr>
                <w:rFonts w:ascii="Times New Roman" w:hAnsi="Times New Roman" w:cs="Times New Roman"/>
                <w:b/>
                <w:bCs/>
                <w:sz w:val="28"/>
                <w:szCs w:val="28"/>
              </w:rPr>
              <w:t>акта</w:t>
            </w:r>
            <w:proofErr w:type="spellEnd"/>
            <w:r w:rsidR="002675D7" w:rsidRPr="00D32097">
              <w:rPr>
                <w:rFonts w:ascii="Times New Roman" w:hAnsi="Times New Roman" w:cs="Times New Roman"/>
                <w:b/>
                <w:bCs/>
                <w:sz w:val="28"/>
                <w:szCs w:val="28"/>
              </w:rPr>
              <w:t xml:space="preserve">, – </w:t>
            </w:r>
            <w:proofErr w:type="spellStart"/>
            <w:r w:rsidR="002675D7" w:rsidRPr="00D32097">
              <w:rPr>
                <w:rFonts w:ascii="Times New Roman" w:hAnsi="Times New Roman" w:cs="Times New Roman"/>
                <w:b/>
                <w:bCs/>
                <w:sz w:val="28"/>
                <w:szCs w:val="28"/>
              </w:rPr>
              <w:t>проєкту</w:t>
            </w:r>
            <w:proofErr w:type="spellEnd"/>
            <w:r w:rsidR="002675D7" w:rsidRPr="00D32097">
              <w:rPr>
                <w:rFonts w:ascii="Times New Roman" w:hAnsi="Times New Roman" w:cs="Times New Roman"/>
                <w:b/>
                <w:bCs/>
                <w:sz w:val="28"/>
                <w:szCs w:val="28"/>
              </w:rPr>
              <w:t xml:space="preserve"> постанови НКРЕКП «</w:t>
            </w:r>
            <w:r w:rsidR="002675D7" w:rsidRPr="00D32097">
              <w:rPr>
                <w:rFonts w:ascii="Times New Roman" w:hAnsi="Times New Roman" w:cs="Times New Roman"/>
              </w:rPr>
              <w:t xml:space="preserve"> </w:t>
            </w:r>
            <w:r w:rsidR="002675D7" w:rsidRPr="00D32097">
              <w:rPr>
                <w:rFonts w:ascii="Times New Roman" w:hAnsi="Times New Roman" w:cs="Times New Roman"/>
                <w:b/>
                <w:bCs/>
                <w:sz w:val="28"/>
                <w:szCs w:val="28"/>
              </w:rPr>
              <w:t>Про затвердження Змін до Методики (порядку) формування плати за приєднання до системи передачі та системи розподілу»</w:t>
            </w:r>
          </w:p>
          <w:p w:rsidR="002675D7" w:rsidRPr="00D32097" w:rsidRDefault="002675D7" w:rsidP="00D83895">
            <w:pPr>
              <w:ind w:firstLine="567"/>
              <w:jc w:val="both"/>
              <w:rPr>
                <w:rFonts w:ascii="Times New Roman" w:hAnsi="Times New Roman" w:cs="Times New Roman"/>
                <w:sz w:val="24"/>
                <w:szCs w:val="24"/>
              </w:rPr>
            </w:pPr>
            <w:r w:rsidRPr="00D32097">
              <w:rPr>
                <w:rFonts w:ascii="Times New Roman" w:hAnsi="Times New Roman" w:cs="Times New Roman"/>
                <w:sz w:val="24"/>
                <w:szCs w:val="24"/>
              </w:rPr>
              <w:t>* - зміни виділені за принципом:</w:t>
            </w:r>
          </w:p>
          <w:p w:rsidR="002675D7" w:rsidRPr="00D32097" w:rsidRDefault="002675D7" w:rsidP="00D83895">
            <w:pPr>
              <w:ind w:firstLine="567"/>
              <w:jc w:val="both"/>
              <w:rPr>
                <w:rFonts w:ascii="Times New Roman" w:hAnsi="Times New Roman" w:cs="Times New Roman"/>
                <w:sz w:val="24"/>
                <w:szCs w:val="24"/>
              </w:rPr>
            </w:pPr>
            <w:r w:rsidRPr="00D32097">
              <w:rPr>
                <w:rFonts w:ascii="Times New Roman" w:hAnsi="Times New Roman" w:cs="Times New Roman"/>
                <w:sz w:val="24"/>
                <w:szCs w:val="24"/>
              </w:rPr>
              <w:t xml:space="preserve">новий текст редакції НКРЕКП проєкту – </w:t>
            </w:r>
            <w:r w:rsidRPr="00D32097">
              <w:rPr>
                <w:rFonts w:ascii="Times New Roman" w:hAnsi="Times New Roman" w:cs="Times New Roman"/>
                <w:b/>
                <w:sz w:val="24"/>
                <w:szCs w:val="24"/>
              </w:rPr>
              <w:t>напівжирним шрифтом</w:t>
            </w:r>
            <w:r w:rsidRPr="00D32097">
              <w:rPr>
                <w:rFonts w:ascii="Times New Roman" w:hAnsi="Times New Roman" w:cs="Times New Roman"/>
                <w:sz w:val="24"/>
                <w:szCs w:val="24"/>
              </w:rPr>
              <w:t xml:space="preserve"> (слова, що виключені -</w:t>
            </w:r>
            <w:r w:rsidRPr="00D32097">
              <w:rPr>
                <w:rFonts w:ascii="Times New Roman" w:hAnsi="Times New Roman" w:cs="Times New Roman"/>
                <w:color w:val="0070C0"/>
                <w:sz w:val="24"/>
                <w:szCs w:val="24"/>
              </w:rPr>
              <w:t xml:space="preserve"> </w:t>
            </w:r>
            <w:r w:rsidRPr="00D32097">
              <w:rPr>
                <w:rFonts w:ascii="Times New Roman" w:hAnsi="Times New Roman" w:cs="Times New Roman"/>
                <w:strike/>
                <w:sz w:val="24"/>
                <w:szCs w:val="24"/>
              </w:rPr>
              <w:t>закресленим напівжирним</w:t>
            </w:r>
            <w:r w:rsidRPr="00D32097">
              <w:rPr>
                <w:rFonts w:ascii="Times New Roman" w:hAnsi="Times New Roman" w:cs="Times New Roman"/>
                <w:sz w:val="24"/>
                <w:szCs w:val="24"/>
              </w:rPr>
              <w:t>);</w:t>
            </w:r>
          </w:p>
          <w:p w:rsidR="002675D7" w:rsidRPr="00D32097" w:rsidRDefault="002675D7" w:rsidP="00D83895">
            <w:pPr>
              <w:ind w:firstLine="567"/>
              <w:jc w:val="both"/>
              <w:rPr>
                <w:rFonts w:ascii="Times New Roman" w:hAnsi="Times New Roman" w:cs="Times New Roman"/>
                <w:sz w:val="24"/>
                <w:szCs w:val="24"/>
              </w:rPr>
            </w:pPr>
            <w:r w:rsidRPr="00D32097">
              <w:rPr>
                <w:rFonts w:ascii="Times New Roman" w:hAnsi="Times New Roman" w:cs="Times New Roman"/>
                <w:sz w:val="24"/>
                <w:szCs w:val="24"/>
              </w:rPr>
              <w:t xml:space="preserve">новий текст редакції пропозицій - </w:t>
            </w:r>
            <w:r w:rsidRPr="00D32097">
              <w:rPr>
                <w:rFonts w:ascii="Times New Roman" w:hAnsi="Times New Roman" w:cs="Times New Roman"/>
                <w:b/>
                <w:color w:val="0070C0"/>
                <w:sz w:val="24"/>
                <w:szCs w:val="24"/>
              </w:rPr>
              <w:t>напівжирним шрифтом (</w:t>
            </w:r>
            <w:r w:rsidRPr="00D32097">
              <w:rPr>
                <w:rFonts w:ascii="Times New Roman" w:hAnsi="Times New Roman" w:cs="Times New Roman"/>
                <w:sz w:val="24"/>
                <w:szCs w:val="24"/>
              </w:rPr>
              <w:t>слова, що пропонується виключити -</w:t>
            </w:r>
            <w:r w:rsidRPr="00D32097">
              <w:rPr>
                <w:rFonts w:ascii="Times New Roman" w:hAnsi="Times New Roman" w:cs="Times New Roman"/>
                <w:color w:val="0070C0"/>
                <w:sz w:val="24"/>
                <w:szCs w:val="24"/>
              </w:rPr>
              <w:t xml:space="preserve"> </w:t>
            </w:r>
            <w:r w:rsidRPr="00D32097">
              <w:rPr>
                <w:rFonts w:ascii="Times New Roman" w:hAnsi="Times New Roman" w:cs="Times New Roman"/>
                <w:strike/>
                <w:color w:val="0070C0"/>
                <w:sz w:val="24"/>
                <w:szCs w:val="24"/>
              </w:rPr>
              <w:t>закресленим напівжирним</w:t>
            </w:r>
            <w:r w:rsidRPr="00D32097">
              <w:rPr>
                <w:rFonts w:ascii="Times New Roman" w:hAnsi="Times New Roman" w:cs="Times New Roman"/>
                <w:sz w:val="24"/>
                <w:szCs w:val="24"/>
              </w:rPr>
              <w:t>)</w:t>
            </w:r>
          </w:p>
          <w:p w:rsidR="002675D7" w:rsidRPr="00D32097" w:rsidRDefault="002675D7" w:rsidP="00D83895">
            <w:pPr>
              <w:ind w:firstLine="567"/>
              <w:jc w:val="both"/>
              <w:rPr>
                <w:rFonts w:ascii="Times New Roman" w:hAnsi="Times New Roman" w:cs="Times New Roman"/>
                <w:sz w:val="24"/>
                <w:szCs w:val="24"/>
              </w:rPr>
            </w:pPr>
            <w:r w:rsidRPr="00D32097">
              <w:rPr>
                <w:rFonts w:ascii="Times New Roman" w:hAnsi="Times New Roman" w:cs="Times New Roman"/>
                <w:sz w:val="24"/>
                <w:szCs w:val="24"/>
              </w:rPr>
              <w:t xml:space="preserve">редакція за результатом отриманих пропозицій– </w:t>
            </w:r>
            <w:r w:rsidRPr="00D32097">
              <w:rPr>
                <w:rFonts w:ascii="Times New Roman" w:hAnsi="Times New Roman" w:cs="Times New Roman"/>
                <w:b/>
                <w:color w:val="00B050"/>
                <w:sz w:val="24"/>
                <w:szCs w:val="24"/>
              </w:rPr>
              <w:t>жирним</w:t>
            </w:r>
            <w:r w:rsidRPr="00D32097">
              <w:rPr>
                <w:rFonts w:ascii="Times New Roman" w:hAnsi="Times New Roman" w:cs="Times New Roman"/>
                <w:b/>
                <w:sz w:val="24"/>
                <w:szCs w:val="24"/>
              </w:rPr>
              <w:t xml:space="preserve"> </w:t>
            </w:r>
            <w:r w:rsidRPr="00D32097">
              <w:rPr>
                <w:rFonts w:ascii="Times New Roman" w:hAnsi="Times New Roman" w:cs="Times New Roman"/>
                <w:b/>
                <w:color w:val="00B050"/>
                <w:sz w:val="24"/>
                <w:szCs w:val="24"/>
              </w:rPr>
              <w:t>шрифтом та виділені зеленим кольором</w:t>
            </w:r>
            <w:r w:rsidRPr="00D32097">
              <w:rPr>
                <w:rFonts w:ascii="Times New Roman" w:hAnsi="Times New Roman" w:cs="Times New Roman"/>
                <w:b/>
                <w:sz w:val="24"/>
                <w:szCs w:val="24"/>
              </w:rPr>
              <w:t>.</w:t>
            </w:r>
          </w:p>
          <w:p w:rsidR="002675D7" w:rsidRPr="00D32097" w:rsidRDefault="002675D7" w:rsidP="00D83895">
            <w:pPr>
              <w:spacing w:before="120" w:after="120"/>
              <w:jc w:val="center"/>
              <w:rPr>
                <w:rFonts w:ascii="Times New Roman" w:hAnsi="Times New Roman" w:cs="Times New Roman"/>
                <w:b/>
                <w:bCs/>
                <w:sz w:val="28"/>
                <w:szCs w:val="28"/>
              </w:rPr>
            </w:pPr>
          </w:p>
        </w:tc>
      </w:tr>
      <w:tr w:rsidR="002675D7" w:rsidRPr="00D32097" w:rsidTr="002E4622">
        <w:trPr>
          <w:trHeight w:val="218"/>
        </w:trPr>
        <w:tc>
          <w:tcPr>
            <w:tcW w:w="3823" w:type="dxa"/>
            <w:vMerge w:val="restart"/>
            <w:vAlign w:val="center"/>
          </w:tcPr>
          <w:p w:rsidR="002675D7" w:rsidRPr="00D32097" w:rsidRDefault="002675D7" w:rsidP="002675D7">
            <w:pPr>
              <w:jc w:val="center"/>
              <w:rPr>
                <w:rFonts w:ascii="Times New Roman" w:hAnsi="Times New Roman" w:cs="Times New Roman"/>
                <w:b/>
                <w:sz w:val="24"/>
                <w:szCs w:val="24"/>
              </w:rPr>
            </w:pPr>
            <w:r w:rsidRPr="00D32097">
              <w:rPr>
                <w:rFonts w:ascii="Times New Roman" w:hAnsi="Times New Roman" w:cs="Times New Roman"/>
                <w:b/>
                <w:i/>
                <w:sz w:val="24"/>
                <w:szCs w:val="24"/>
                <w:lang w:eastAsia="uk-UA"/>
              </w:rPr>
              <w:t>ЗМІСТ ПОЛОЖЕНЬ ПРОЄКТУ ПОСТАНОВИ</w:t>
            </w:r>
          </w:p>
        </w:tc>
        <w:tc>
          <w:tcPr>
            <w:tcW w:w="7938" w:type="dxa"/>
            <w:gridSpan w:val="5"/>
            <w:vAlign w:val="center"/>
          </w:tcPr>
          <w:p w:rsidR="002675D7" w:rsidRPr="00D32097" w:rsidRDefault="002675D7" w:rsidP="002675D7">
            <w:pPr>
              <w:jc w:val="center"/>
              <w:rPr>
                <w:rFonts w:ascii="Times New Roman" w:hAnsi="Times New Roman" w:cs="Times New Roman"/>
                <w:b/>
                <w:i/>
                <w:sz w:val="24"/>
                <w:szCs w:val="24"/>
                <w:lang w:eastAsia="uk-UA"/>
              </w:rPr>
            </w:pPr>
            <w:r w:rsidRPr="00D32097">
              <w:rPr>
                <w:rFonts w:ascii="Times New Roman" w:hAnsi="Times New Roman" w:cs="Times New Roman"/>
                <w:b/>
                <w:i/>
                <w:sz w:val="24"/>
                <w:szCs w:val="24"/>
              </w:rPr>
              <w:t>ЗАУВАЖЕННЯ ТА ПРОПОЗИЦІЇ ДО ПРОЄКТУ РІШЕННЯ НКРЕКП</w:t>
            </w:r>
          </w:p>
        </w:tc>
        <w:tc>
          <w:tcPr>
            <w:tcW w:w="3837" w:type="dxa"/>
            <w:vMerge w:val="restart"/>
            <w:vAlign w:val="center"/>
          </w:tcPr>
          <w:p w:rsidR="002675D7" w:rsidRPr="00D32097" w:rsidRDefault="002675D7" w:rsidP="002675D7">
            <w:pPr>
              <w:jc w:val="center"/>
              <w:rPr>
                <w:rFonts w:ascii="Times New Roman" w:hAnsi="Times New Roman" w:cs="Times New Roman"/>
                <w:b/>
                <w:i/>
                <w:sz w:val="24"/>
                <w:szCs w:val="24"/>
                <w:lang w:eastAsia="uk-UA"/>
              </w:rPr>
            </w:pPr>
            <w:r w:rsidRPr="00D32097">
              <w:rPr>
                <w:rFonts w:ascii="Times New Roman" w:hAnsi="Times New Roman" w:cs="Times New Roman"/>
                <w:b/>
                <w:i/>
                <w:sz w:val="24"/>
                <w:szCs w:val="24"/>
              </w:rPr>
              <w:t>ПОПЕРЕДНЯ ПОЗИЦІЯ НКРЕКП ЩОДО НАДАНИХ ЗАУВАЖЕНЬ ТА ПРОПОЗИЦІЙ З ОБҐРУНТУВАННЯМИ ЩОДО ПРИЙНЯТТЯ АБО ВІДХИЛЕННЯ</w:t>
            </w:r>
          </w:p>
        </w:tc>
      </w:tr>
      <w:tr w:rsidR="002675D7" w:rsidRPr="00D32097" w:rsidTr="002E4622">
        <w:trPr>
          <w:trHeight w:val="218"/>
        </w:trPr>
        <w:tc>
          <w:tcPr>
            <w:tcW w:w="3823" w:type="dxa"/>
            <w:vMerge/>
          </w:tcPr>
          <w:p w:rsidR="002675D7" w:rsidRPr="00D32097" w:rsidRDefault="002675D7" w:rsidP="002675D7">
            <w:pPr>
              <w:jc w:val="center"/>
              <w:rPr>
                <w:rFonts w:ascii="Times New Roman" w:hAnsi="Times New Roman" w:cs="Times New Roman"/>
                <w:b/>
                <w:sz w:val="24"/>
                <w:szCs w:val="24"/>
              </w:rPr>
            </w:pPr>
          </w:p>
        </w:tc>
        <w:tc>
          <w:tcPr>
            <w:tcW w:w="3969" w:type="dxa"/>
            <w:gridSpan w:val="2"/>
            <w:vAlign w:val="center"/>
          </w:tcPr>
          <w:p w:rsidR="002675D7" w:rsidRPr="00D32097" w:rsidRDefault="002675D7" w:rsidP="002675D7">
            <w:pPr>
              <w:jc w:val="center"/>
              <w:rPr>
                <w:rFonts w:ascii="Times New Roman" w:hAnsi="Times New Roman" w:cs="Times New Roman"/>
                <w:b/>
                <w:sz w:val="24"/>
                <w:szCs w:val="24"/>
              </w:rPr>
            </w:pPr>
            <w:r w:rsidRPr="00D32097">
              <w:rPr>
                <w:rFonts w:ascii="Times New Roman" w:hAnsi="Times New Roman" w:cs="Times New Roman"/>
                <w:b/>
                <w:i/>
                <w:sz w:val="24"/>
                <w:szCs w:val="24"/>
              </w:rPr>
              <w:t>ЗМІСТ ЗАУВАЖЕННЯ АБО ПРОПОЗИЦІЇ</w:t>
            </w:r>
          </w:p>
        </w:tc>
        <w:tc>
          <w:tcPr>
            <w:tcW w:w="3969" w:type="dxa"/>
            <w:gridSpan w:val="3"/>
            <w:vAlign w:val="center"/>
          </w:tcPr>
          <w:p w:rsidR="002675D7" w:rsidRPr="00D32097" w:rsidRDefault="002675D7" w:rsidP="002675D7">
            <w:pPr>
              <w:jc w:val="center"/>
              <w:rPr>
                <w:rFonts w:ascii="Times New Roman" w:hAnsi="Times New Roman" w:cs="Times New Roman"/>
                <w:b/>
                <w:i/>
                <w:sz w:val="24"/>
                <w:szCs w:val="24"/>
                <w:lang w:eastAsia="uk-UA"/>
              </w:rPr>
            </w:pPr>
            <w:r w:rsidRPr="00D32097">
              <w:rPr>
                <w:rFonts w:ascii="Times New Roman" w:hAnsi="Times New Roman" w:cs="Times New Roman"/>
                <w:b/>
                <w:i/>
                <w:sz w:val="24"/>
                <w:szCs w:val="24"/>
              </w:rPr>
              <w:t>ОБҐРУНТУВАННЯ ДО ЗАУВАЖЕНЬ ТА ПРОПОЗИЦІЙ</w:t>
            </w:r>
          </w:p>
        </w:tc>
        <w:tc>
          <w:tcPr>
            <w:tcW w:w="3837" w:type="dxa"/>
            <w:vMerge/>
          </w:tcPr>
          <w:p w:rsidR="002675D7" w:rsidRPr="00D32097" w:rsidRDefault="002675D7" w:rsidP="002675D7">
            <w:pPr>
              <w:jc w:val="center"/>
              <w:rPr>
                <w:rFonts w:ascii="Times New Roman" w:hAnsi="Times New Roman" w:cs="Times New Roman"/>
                <w:b/>
                <w:i/>
                <w:sz w:val="24"/>
                <w:szCs w:val="24"/>
                <w:lang w:eastAsia="uk-UA"/>
              </w:rPr>
            </w:pPr>
          </w:p>
        </w:tc>
      </w:tr>
      <w:tr w:rsidR="002675D7" w:rsidRPr="00D32097" w:rsidTr="002675D7">
        <w:trPr>
          <w:trHeight w:val="218"/>
        </w:trPr>
        <w:tc>
          <w:tcPr>
            <w:tcW w:w="15598" w:type="dxa"/>
            <w:gridSpan w:val="7"/>
          </w:tcPr>
          <w:p w:rsidR="002675D7" w:rsidRPr="00D32097" w:rsidRDefault="002675D7" w:rsidP="002675D7">
            <w:pPr>
              <w:shd w:val="clear" w:color="auto" w:fill="FFFFFF"/>
              <w:ind w:firstLine="446"/>
              <w:jc w:val="center"/>
              <w:rPr>
                <w:rFonts w:ascii="Times New Roman" w:eastAsia="Open Sans" w:hAnsi="Times New Roman" w:cs="Times New Roman"/>
                <w:b/>
                <w:sz w:val="24"/>
                <w:szCs w:val="24"/>
              </w:rPr>
            </w:pPr>
            <w:r w:rsidRPr="00D32097">
              <w:rPr>
                <w:rFonts w:ascii="Times New Roman" w:eastAsia="Open Sans" w:hAnsi="Times New Roman" w:cs="Times New Roman"/>
                <w:b/>
                <w:sz w:val="24"/>
                <w:szCs w:val="24"/>
              </w:rPr>
              <w:t>Постанова «Про затвердження Змін до Методики (порядку) формування плати за приєднання до системи передачі та системи розподілу»</w:t>
            </w:r>
          </w:p>
        </w:tc>
      </w:tr>
      <w:tr w:rsidR="002C6791" w:rsidRPr="00D32097" w:rsidTr="00D83895">
        <w:trPr>
          <w:trHeight w:val="218"/>
        </w:trPr>
        <w:tc>
          <w:tcPr>
            <w:tcW w:w="15598" w:type="dxa"/>
            <w:gridSpan w:val="7"/>
          </w:tcPr>
          <w:p w:rsidR="002C6791" w:rsidRPr="00D32097" w:rsidRDefault="002C6791" w:rsidP="002C6791">
            <w:pPr>
              <w:ind w:firstLine="174"/>
              <w:jc w:val="center"/>
              <w:rPr>
                <w:rFonts w:ascii="Times New Roman" w:hAnsi="Times New Roman" w:cs="Times New Roman"/>
                <w:b/>
                <w:sz w:val="24"/>
                <w:szCs w:val="24"/>
                <w:lang w:eastAsia="uk-UA"/>
              </w:rPr>
            </w:pPr>
            <w:r w:rsidRPr="00D32097">
              <w:rPr>
                <w:rFonts w:ascii="Times New Roman" w:hAnsi="Times New Roman" w:cs="Times New Roman"/>
                <w:b/>
                <w:sz w:val="24"/>
                <w:szCs w:val="24"/>
                <w:lang w:eastAsia="uk-UA"/>
              </w:rPr>
              <w:t>1. Загальні положення</w:t>
            </w:r>
          </w:p>
        </w:tc>
      </w:tr>
      <w:tr w:rsidR="008020F6" w:rsidRPr="00D32097" w:rsidTr="002E4622">
        <w:trPr>
          <w:trHeight w:val="218"/>
        </w:trPr>
        <w:tc>
          <w:tcPr>
            <w:tcW w:w="3899" w:type="dxa"/>
            <w:gridSpan w:val="2"/>
            <w:vMerge w:val="restart"/>
          </w:tcPr>
          <w:p w:rsidR="009A2509" w:rsidRPr="00D32097" w:rsidRDefault="009A2509" w:rsidP="008E5F78">
            <w:pPr>
              <w:shd w:val="clear" w:color="auto" w:fill="FFFFFF"/>
              <w:ind w:firstLine="314"/>
              <w:jc w:val="both"/>
              <w:rPr>
                <w:rFonts w:ascii="Times New Roman" w:hAnsi="Times New Roman" w:cs="Times New Roman"/>
                <w:sz w:val="22"/>
                <w:szCs w:val="24"/>
              </w:rPr>
            </w:pPr>
          </w:p>
          <w:p w:rsidR="008020F6" w:rsidRPr="00D32097" w:rsidRDefault="008020F6" w:rsidP="008E5F78">
            <w:pPr>
              <w:shd w:val="clear" w:color="auto" w:fill="FFFFFF"/>
              <w:ind w:firstLine="314"/>
              <w:jc w:val="both"/>
              <w:rPr>
                <w:rFonts w:ascii="Times New Roman" w:hAnsi="Times New Roman" w:cs="Times New Roman"/>
                <w:sz w:val="22"/>
                <w:szCs w:val="24"/>
              </w:rPr>
            </w:pPr>
            <w:r w:rsidRPr="00D32097">
              <w:rPr>
                <w:rFonts w:ascii="Times New Roman" w:hAnsi="Times New Roman" w:cs="Times New Roman"/>
                <w:sz w:val="22"/>
                <w:szCs w:val="24"/>
              </w:rPr>
              <w:t>1.7. Плата за стандартне приєднання розраховується згідно з главою 3 цієї Методики.</w:t>
            </w:r>
          </w:p>
          <w:p w:rsidR="008020F6" w:rsidRPr="00D32097" w:rsidRDefault="008020F6" w:rsidP="008E5F78">
            <w:pPr>
              <w:tabs>
                <w:tab w:val="left" w:pos="993"/>
              </w:tabs>
              <w:ind w:firstLine="314"/>
              <w:jc w:val="both"/>
              <w:rPr>
                <w:rFonts w:ascii="Times New Roman" w:hAnsi="Times New Roman" w:cs="Times New Roman"/>
                <w:color w:val="000000"/>
                <w:sz w:val="22"/>
                <w:szCs w:val="24"/>
                <w:highlight w:val="yellow"/>
              </w:rPr>
            </w:pPr>
            <w:r w:rsidRPr="00D32097">
              <w:rPr>
                <w:rFonts w:ascii="Times New Roman" w:hAnsi="Times New Roman" w:cs="Times New Roman"/>
                <w:strike/>
                <w:sz w:val="22"/>
                <w:szCs w:val="24"/>
              </w:rPr>
              <w:t xml:space="preserve">У випадку приєднання електроустановок замовника за схемою електрозабезпечення І та ІІ категорії надійності електропостачання для визначення відстані, відповідно до якої визначається тип приєднання (стандартне або нестандартне приєднання), приймається сумарна найкоротша відстань по прямій лінії, що сумарно не перевищує 300 метрів від точки приєднання електроустановок замовника до найближчих двох точок в існуючих </w:t>
            </w:r>
            <w:r w:rsidRPr="00D32097">
              <w:rPr>
                <w:rFonts w:ascii="Times New Roman" w:hAnsi="Times New Roman" w:cs="Times New Roman"/>
                <w:strike/>
                <w:sz w:val="22"/>
                <w:szCs w:val="24"/>
              </w:rPr>
              <w:lastRenderedPageBreak/>
              <w:t>(діючих)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яких забезпечується замовлена категорія надійності електропостачання електроустановок замовника.</w:t>
            </w:r>
          </w:p>
        </w:tc>
        <w:tc>
          <w:tcPr>
            <w:tcW w:w="3900" w:type="dxa"/>
            <w:gridSpan w:val="2"/>
          </w:tcPr>
          <w:p w:rsidR="008020F6" w:rsidRPr="00D32097" w:rsidRDefault="008020F6" w:rsidP="005E29C6">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УВЕА, ЄУЕА</w:t>
            </w:r>
          </w:p>
          <w:p w:rsidR="008020F6" w:rsidRPr="00D32097" w:rsidRDefault="008020F6" w:rsidP="008E5F78">
            <w:pPr>
              <w:shd w:val="clear" w:color="auto" w:fill="FFFFFF"/>
              <w:ind w:firstLine="375"/>
              <w:jc w:val="both"/>
              <w:rPr>
                <w:rFonts w:ascii="Times New Roman" w:hAnsi="Times New Roman" w:cs="Times New Roman"/>
                <w:sz w:val="22"/>
                <w:szCs w:val="24"/>
              </w:rPr>
            </w:pPr>
            <w:r w:rsidRPr="00D32097">
              <w:rPr>
                <w:rFonts w:ascii="Times New Roman" w:hAnsi="Times New Roman" w:cs="Times New Roman"/>
                <w:sz w:val="22"/>
                <w:szCs w:val="24"/>
              </w:rPr>
              <w:t>1.7. Плата за стандартне приєднання розраховується згідно з главою 3 цієї Методики.</w:t>
            </w:r>
          </w:p>
          <w:p w:rsidR="008020F6" w:rsidRPr="00D32097" w:rsidRDefault="008020F6" w:rsidP="008E5F78">
            <w:pPr>
              <w:pStyle w:val="rvps2"/>
              <w:shd w:val="clear" w:color="auto" w:fill="FFFFFF"/>
              <w:spacing w:before="0" w:beforeAutospacing="0" w:after="0" w:afterAutospacing="0"/>
              <w:ind w:firstLine="375"/>
              <w:jc w:val="both"/>
              <w:rPr>
                <w:rFonts w:ascii="Times New Roman" w:hAnsi="Times New Roman" w:cs="Times New Roman"/>
                <w:b/>
                <w:sz w:val="22"/>
                <w:highlight w:val="yellow"/>
                <w:u w:val="single"/>
              </w:rPr>
            </w:pPr>
            <w:r w:rsidRPr="00D32097">
              <w:rPr>
                <w:rFonts w:ascii="Times New Roman" w:hAnsi="Times New Roman" w:cs="Times New Roman"/>
                <w:sz w:val="22"/>
              </w:rPr>
              <w:t xml:space="preserve">У випадку приєднання електроустановок замовника за схемою електрозабезпечення І та ІІ категорії надійності електропостачання для визначення відстані, відповідно до якої визначається тип приєднання (стандартне або нестандартне приєднання), приймається </w:t>
            </w:r>
            <w:r w:rsidRPr="00D32097">
              <w:rPr>
                <w:rFonts w:ascii="Times New Roman" w:hAnsi="Times New Roman" w:cs="Times New Roman"/>
                <w:b/>
                <w:bCs/>
                <w:strike/>
                <w:color w:val="0070C0"/>
                <w:sz w:val="22"/>
              </w:rPr>
              <w:t>сумарна</w:t>
            </w:r>
            <w:r w:rsidRPr="00D32097">
              <w:rPr>
                <w:rFonts w:ascii="Times New Roman" w:hAnsi="Times New Roman" w:cs="Times New Roman"/>
                <w:sz w:val="22"/>
              </w:rPr>
              <w:t xml:space="preserve"> найкоротша відстань по прямій лінії</w:t>
            </w:r>
            <w:r w:rsidRPr="00D32097">
              <w:rPr>
                <w:rFonts w:ascii="Times New Roman" w:hAnsi="Times New Roman" w:cs="Times New Roman"/>
                <w:strike/>
                <w:color w:val="4472C4" w:themeColor="accent1"/>
                <w:sz w:val="22"/>
              </w:rPr>
              <w:t xml:space="preserve">, </w:t>
            </w:r>
            <w:r w:rsidRPr="00D32097">
              <w:rPr>
                <w:rFonts w:ascii="Times New Roman" w:hAnsi="Times New Roman" w:cs="Times New Roman"/>
                <w:b/>
                <w:bCs/>
                <w:strike/>
                <w:color w:val="0070C0"/>
                <w:sz w:val="22"/>
              </w:rPr>
              <w:t>що сумарно не перевищує 300 метрів</w:t>
            </w:r>
            <w:r w:rsidRPr="00D32097">
              <w:rPr>
                <w:rFonts w:ascii="Times New Roman" w:hAnsi="Times New Roman" w:cs="Times New Roman"/>
                <w:color w:val="0070C0"/>
                <w:sz w:val="22"/>
              </w:rPr>
              <w:t xml:space="preserve"> </w:t>
            </w:r>
            <w:r w:rsidRPr="00D32097">
              <w:rPr>
                <w:rFonts w:ascii="Times New Roman" w:hAnsi="Times New Roman" w:cs="Times New Roman"/>
                <w:sz w:val="22"/>
              </w:rPr>
              <w:t xml:space="preserve">від точки приєднання електроустановок замовника до </w:t>
            </w:r>
            <w:proofErr w:type="spellStart"/>
            <w:r w:rsidRPr="00D32097">
              <w:rPr>
                <w:rFonts w:ascii="Times New Roman" w:hAnsi="Times New Roman" w:cs="Times New Roman"/>
                <w:sz w:val="22"/>
              </w:rPr>
              <w:t>найближч</w:t>
            </w:r>
            <w:r w:rsidRPr="00D32097">
              <w:rPr>
                <w:rFonts w:ascii="Times New Roman" w:hAnsi="Times New Roman" w:cs="Times New Roman"/>
                <w:b/>
                <w:bCs/>
                <w:color w:val="0070C0"/>
                <w:sz w:val="22"/>
              </w:rPr>
              <w:t>ої</w:t>
            </w:r>
            <w:r w:rsidRPr="00D32097">
              <w:rPr>
                <w:rFonts w:ascii="Times New Roman" w:hAnsi="Times New Roman" w:cs="Times New Roman"/>
                <w:b/>
                <w:bCs/>
                <w:strike/>
                <w:color w:val="0070C0"/>
                <w:sz w:val="22"/>
              </w:rPr>
              <w:t>их</w:t>
            </w:r>
            <w:proofErr w:type="spellEnd"/>
            <w:r w:rsidRPr="00D32097">
              <w:rPr>
                <w:rFonts w:ascii="Times New Roman" w:hAnsi="Times New Roman" w:cs="Times New Roman"/>
                <w:color w:val="0070C0"/>
                <w:sz w:val="22"/>
              </w:rPr>
              <w:t xml:space="preserve"> </w:t>
            </w:r>
            <w:r w:rsidRPr="00D32097">
              <w:rPr>
                <w:rFonts w:ascii="Times New Roman" w:hAnsi="Times New Roman" w:cs="Times New Roman"/>
                <w:b/>
                <w:bCs/>
                <w:strike/>
                <w:color w:val="0070C0"/>
                <w:sz w:val="22"/>
              </w:rPr>
              <w:t>двох</w:t>
            </w:r>
            <w:r w:rsidRPr="00D32097">
              <w:rPr>
                <w:rFonts w:ascii="Times New Roman" w:hAnsi="Times New Roman" w:cs="Times New Roman"/>
                <w:color w:val="0070C0"/>
                <w:sz w:val="22"/>
              </w:rPr>
              <w:t xml:space="preserve"> </w:t>
            </w:r>
            <w:proofErr w:type="spellStart"/>
            <w:r w:rsidRPr="00D32097">
              <w:rPr>
                <w:rFonts w:ascii="Times New Roman" w:hAnsi="Times New Roman" w:cs="Times New Roman"/>
                <w:sz w:val="22"/>
              </w:rPr>
              <w:t>точ</w:t>
            </w:r>
            <w:r w:rsidRPr="00D32097">
              <w:rPr>
                <w:rFonts w:ascii="Times New Roman" w:hAnsi="Times New Roman" w:cs="Times New Roman"/>
                <w:b/>
                <w:bCs/>
                <w:color w:val="0070C0"/>
                <w:sz w:val="22"/>
              </w:rPr>
              <w:t>ки</w:t>
            </w:r>
            <w:r w:rsidRPr="00D32097">
              <w:rPr>
                <w:rFonts w:ascii="Times New Roman" w:hAnsi="Times New Roman" w:cs="Times New Roman"/>
                <w:b/>
                <w:bCs/>
                <w:strike/>
                <w:color w:val="0070C0"/>
                <w:sz w:val="22"/>
              </w:rPr>
              <w:t>ок</w:t>
            </w:r>
            <w:proofErr w:type="spellEnd"/>
            <w:r w:rsidRPr="00D32097">
              <w:rPr>
                <w:rFonts w:ascii="Times New Roman" w:hAnsi="Times New Roman" w:cs="Times New Roman"/>
                <w:sz w:val="22"/>
              </w:rPr>
              <w:t xml:space="preserve"> в </w:t>
            </w:r>
            <w:r w:rsidRPr="00D32097">
              <w:rPr>
                <w:rFonts w:ascii="Times New Roman" w:hAnsi="Times New Roman" w:cs="Times New Roman"/>
                <w:sz w:val="22"/>
              </w:rPr>
              <w:lastRenderedPageBreak/>
              <w:t xml:space="preserve">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w:t>
            </w:r>
            <w:r w:rsidRPr="00D32097">
              <w:rPr>
                <w:rFonts w:ascii="Times New Roman" w:hAnsi="Times New Roman" w:cs="Times New Roman"/>
                <w:b/>
                <w:bCs/>
                <w:strike/>
                <w:color w:val="0070C0"/>
                <w:sz w:val="22"/>
              </w:rPr>
              <w:t>яких</w:t>
            </w:r>
            <w:r w:rsidRPr="00D32097">
              <w:rPr>
                <w:rFonts w:ascii="Times New Roman" w:hAnsi="Times New Roman" w:cs="Times New Roman"/>
                <w:b/>
                <w:bCs/>
                <w:color w:val="0070C0"/>
                <w:sz w:val="22"/>
              </w:rPr>
              <w:t xml:space="preserve"> якої</w:t>
            </w:r>
            <w:r w:rsidRPr="00D32097">
              <w:rPr>
                <w:rFonts w:ascii="Times New Roman" w:hAnsi="Times New Roman" w:cs="Times New Roman"/>
                <w:color w:val="0070C0"/>
                <w:sz w:val="22"/>
              </w:rPr>
              <w:t xml:space="preserve"> </w:t>
            </w:r>
            <w:r w:rsidRPr="00D32097">
              <w:rPr>
                <w:rFonts w:ascii="Times New Roman" w:hAnsi="Times New Roman" w:cs="Times New Roman"/>
                <w:sz w:val="22"/>
              </w:rPr>
              <w:t>забезпечується замовлена категорія надійності електропостачання електроустановок замовника.</w:t>
            </w:r>
          </w:p>
        </w:tc>
        <w:tc>
          <w:tcPr>
            <w:tcW w:w="3899" w:type="dxa"/>
          </w:tcPr>
          <w:p w:rsidR="008020F6" w:rsidRPr="00D32097" w:rsidRDefault="008020F6" w:rsidP="008E5F78">
            <w:pPr>
              <w:ind w:firstLine="182"/>
              <w:jc w:val="both"/>
              <w:rPr>
                <w:rFonts w:ascii="Times New Roman" w:hAnsi="Times New Roman" w:cs="Times New Roman"/>
                <w:sz w:val="22"/>
                <w:szCs w:val="24"/>
              </w:rPr>
            </w:pPr>
            <w:r w:rsidRPr="00D32097">
              <w:rPr>
                <w:rFonts w:ascii="Times New Roman" w:hAnsi="Times New Roman" w:cs="Times New Roman"/>
                <w:sz w:val="22"/>
                <w:szCs w:val="24"/>
              </w:rPr>
              <w:lastRenderedPageBreak/>
              <w:t>Пропонуємо повернути до п.1.7 Методики положення, яке визначає правила визначення типу приєднання (стандартне або нестандартне), ґрунтуючись на визначення терміну «стандартне приєднання» згідно п. (175) статті 1 Закону України «Про ринок електричної енергії» у редакції від 23.04.2026.</w:t>
            </w:r>
          </w:p>
          <w:p w:rsidR="008020F6" w:rsidRPr="00D32097" w:rsidRDefault="008020F6" w:rsidP="008E5F78">
            <w:pPr>
              <w:ind w:firstLine="182"/>
              <w:jc w:val="both"/>
              <w:rPr>
                <w:rFonts w:ascii="Times New Roman" w:hAnsi="Times New Roman" w:cs="Times New Roman"/>
                <w:sz w:val="22"/>
                <w:szCs w:val="24"/>
                <w:highlight w:val="yellow"/>
              </w:rPr>
            </w:pPr>
            <w:r w:rsidRPr="00D32097">
              <w:rPr>
                <w:rFonts w:ascii="Times New Roman" w:hAnsi="Times New Roman" w:cs="Times New Roman"/>
                <w:sz w:val="22"/>
                <w:szCs w:val="24"/>
              </w:rPr>
              <w:t>Це відповідатиме принципу юридичної визначеності та надаватиме користувачеві вичерпну інформацію щодо законодавчо встановленого  правила як визначити до якого типу приєднання буде відноситись приєднання його електроустановок.</w:t>
            </w:r>
          </w:p>
        </w:tc>
        <w:tc>
          <w:tcPr>
            <w:tcW w:w="3900" w:type="dxa"/>
            <w:gridSpan w:val="2"/>
          </w:tcPr>
          <w:p w:rsidR="008020F6" w:rsidRPr="00D32097" w:rsidRDefault="00171606" w:rsidP="00670C19">
            <w:pPr>
              <w:ind w:firstLine="174"/>
              <w:jc w:val="both"/>
              <w:rPr>
                <w:rFonts w:ascii="Times New Roman" w:hAnsi="Times New Roman" w:cs="Times New Roman"/>
                <w:b/>
                <w:sz w:val="22"/>
                <w:szCs w:val="24"/>
                <w:highlight w:val="yellow"/>
                <w:lang w:eastAsia="uk-UA"/>
              </w:rPr>
            </w:pPr>
            <w:r w:rsidRPr="00D32097">
              <w:rPr>
                <w:rFonts w:ascii="Times New Roman" w:hAnsi="Times New Roman" w:cs="Times New Roman"/>
                <w:b/>
                <w:sz w:val="22"/>
                <w:szCs w:val="24"/>
                <w:lang w:eastAsia="uk-UA"/>
              </w:rPr>
              <w:t xml:space="preserve">Пропонується не враховувати, оскільки Кодексом систем розподілу передбачено, що стандартне приєднання </w:t>
            </w:r>
            <w:r w:rsidR="00C61B7E" w:rsidRPr="00D32097">
              <w:rPr>
                <w:rFonts w:ascii="Times New Roman" w:hAnsi="Times New Roman" w:cs="Times New Roman"/>
                <w:b/>
                <w:sz w:val="22"/>
                <w:szCs w:val="24"/>
                <w:lang w:eastAsia="uk-UA"/>
              </w:rPr>
              <w:t>здійснюється виключно за ІІІ категорією з надійності.</w:t>
            </w:r>
          </w:p>
        </w:tc>
      </w:tr>
      <w:tr w:rsidR="008020F6" w:rsidRPr="00D32097" w:rsidTr="002E4622">
        <w:trPr>
          <w:trHeight w:val="218"/>
        </w:trPr>
        <w:tc>
          <w:tcPr>
            <w:tcW w:w="3899" w:type="dxa"/>
            <w:gridSpan w:val="2"/>
            <w:vMerge/>
          </w:tcPr>
          <w:p w:rsidR="008020F6" w:rsidRPr="00D32097" w:rsidRDefault="008020F6" w:rsidP="008E5F78">
            <w:pPr>
              <w:shd w:val="clear" w:color="auto" w:fill="FFFFFF"/>
              <w:ind w:firstLine="314"/>
              <w:jc w:val="both"/>
              <w:rPr>
                <w:sz w:val="22"/>
                <w:szCs w:val="24"/>
              </w:rPr>
            </w:pPr>
          </w:p>
        </w:tc>
        <w:tc>
          <w:tcPr>
            <w:tcW w:w="3900" w:type="dxa"/>
            <w:gridSpan w:val="2"/>
          </w:tcPr>
          <w:p w:rsidR="008020F6" w:rsidRPr="00D32097" w:rsidRDefault="008020F6" w:rsidP="008020F6">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Гр. </w:t>
            </w:r>
            <w:proofErr w:type="spellStart"/>
            <w:r w:rsidRPr="00D32097">
              <w:rPr>
                <w:rFonts w:ascii="Times New Roman" w:hAnsi="Times New Roman" w:cs="Times New Roman"/>
                <w:b/>
                <w:sz w:val="22"/>
                <w:szCs w:val="22"/>
                <w:u w:val="single"/>
              </w:rPr>
              <w:t>Зоркін</w:t>
            </w:r>
            <w:proofErr w:type="spellEnd"/>
            <w:r w:rsidRPr="00D32097">
              <w:rPr>
                <w:rFonts w:ascii="Times New Roman" w:hAnsi="Times New Roman" w:cs="Times New Roman"/>
                <w:b/>
                <w:sz w:val="22"/>
                <w:szCs w:val="22"/>
                <w:u w:val="single"/>
              </w:rPr>
              <w:t xml:space="preserve"> А. В.</w:t>
            </w:r>
          </w:p>
          <w:p w:rsidR="008020F6" w:rsidRPr="00D32097" w:rsidRDefault="008020F6" w:rsidP="008020F6">
            <w:pPr>
              <w:ind w:firstLine="235"/>
              <w:jc w:val="both"/>
              <w:rPr>
                <w:rFonts w:ascii="Times New Roman" w:hAnsi="Times New Roman" w:cs="Times New Roman"/>
                <w:sz w:val="22"/>
                <w:szCs w:val="24"/>
              </w:rPr>
            </w:pPr>
            <w:r w:rsidRPr="00D32097">
              <w:rPr>
                <w:rFonts w:ascii="Times New Roman" w:hAnsi="Times New Roman" w:cs="Times New Roman"/>
                <w:sz w:val="22"/>
                <w:szCs w:val="24"/>
              </w:rPr>
              <w:t>Виключення абзацу другого пункту 1.7 потребує додаткового обґрунтування або одночасного врегулювання відповідного питання в Кодексі систем розподілу чи іншому положенні Методики. У разі відсутності такої норми може виникнути невизначеність щодо порядку визначення відстані для цілей класифікації приєднання як стандартного або нестандартного для електроустановок І та ІІ категорії надійності електропостачання.</w:t>
            </w:r>
          </w:p>
        </w:tc>
        <w:tc>
          <w:tcPr>
            <w:tcW w:w="3899" w:type="dxa"/>
          </w:tcPr>
          <w:p w:rsidR="008020F6" w:rsidRPr="00D32097" w:rsidRDefault="008020F6" w:rsidP="008E5F78">
            <w:pPr>
              <w:ind w:firstLine="182"/>
              <w:jc w:val="both"/>
              <w:rPr>
                <w:sz w:val="22"/>
                <w:szCs w:val="24"/>
              </w:rPr>
            </w:pPr>
          </w:p>
        </w:tc>
        <w:tc>
          <w:tcPr>
            <w:tcW w:w="3900" w:type="dxa"/>
            <w:gridSpan w:val="2"/>
          </w:tcPr>
          <w:p w:rsidR="008020F6" w:rsidRPr="00D32097" w:rsidRDefault="00C61B7E" w:rsidP="00670C19">
            <w:pPr>
              <w:ind w:firstLine="174"/>
              <w:jc w:val="both"/>
              <w:rPr>
                <w:b/>
                <w:sz w:val="22"/>
                <w:szCs w:val="24"/>
                <w:highlight w:val="yellow"/>
                <w:lang w:eastAsia="uk-UA"/>
              </w:rPr>
            </w:pPr>
            <w:r w:rsidRPr="00D32097">
              <w:rPr>
                <w:rFonts w:ascii="Times New Roman" w:hAnsi="Times New Roman" w:cs="Times New Roman"/>
                <w:b/>
                <w:sz w:val="22"/>
                <w:szCs w:val="24"/>
                <w:lang w:eastAsia="uk-UA"/>
              </w:rPr>
              <w:t>Пропонується не враховувати, оскільки Кодексом систем розподілу передбачено, що стандартне приєднання здійснюється виключно за ІІІ категорією з надійності.</w:t>
            </w:r>
          </w:p>
        </w:tc>
      </w:tr>
      <w:tr w:rsidR="00882482" w:rsidRPr="00D32097" w:rsidTr="002E4622">
        <w:trPr>
          <w:trHeight w:val="218"/>
        </w:trPr>
        <w:tc>
          <w:tcPr>
            <w:tcW w:w="3899" w:type="dxa"/>
            <w:gridSpan w:val="2"/>
          </w:tcPr>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7B2810" w:rsidRPr="00D32097" w:rsidRDefault="007B2810" w:rsidP="007B2810">
            <w:pPr>
              <w:tabs>
                <w:tab w:val="left" w:pos="993"/>
              </w:tabs>
              <w:ind w:firstLine="326"/>
              <w:jc w:val="both"/>
              <w:rPr>
                <w:rFonts w:ascii="Times New Roman" w:hAnsi="Times New Roman" w:cs="Times New Roman"/>
                <w:color w:val="000000"/>
                <w:sz w:val="22"/>
                <w:szCs w:val="24"/>
              </w:rPr>
            </w:pPr>
            <w:r w:rsidRPr="00D32097">
              <w:rPr>
                <w:rFonts w:ascii="Times New Roman" w:hAnsi="Times New Roman" w:cs="Times New Roman"/>
                <w:color w:val="000000"/>
                <w:sz w:val="22"/>
                <w:szCs w:val="24"/>
              </w:rPr>
              <w:t>1.8. Плата за нестандартне приєднання розраховується згідно з главами 4 та 5 цієї Методики.</w:t>
            </w:r>
          </w:p>
          <w:p w:rsidR="007B2810" w:rsidRPr="00D32097" w:rsidRDefault="00615821" w:rsidP="007B2810">
            <w:pPr>
              <w:tabs>
                <w:tab w:val="left" w:pos="993"/>
              </w:tabs>
              <w:ind w:firstLine="326"/>
              <w:jc w:val="both"/>
              <w:rPr>
                <w:rFonts w:ascii="Times New Roman" w:hAnsi="Times New Roman" w:cs="Times New Roman"/>
                <w:color w:val="000000"/>
                <w:sz w:val="22"/>
                <w:szCs w:val="24"/>
              </w:rPr>
            </w:pPr>
            <w:r w:rsidRPr="00D32097">
              <w:rPr>
                <w:rFonts w:ascii="Times New Roman" w:hAnsi="Times New Roman" w:cs="Times New Roman"/>
                <w:color w:val="000000"/>
                <w:sz w:val="22"/>
                <w:szCs w:val="24"/>
              </w:rPr>
              <w:t>…</w:t>
            </w:r>
          </w:p>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615821" w:rsidRPr="00D32097" w:rsidRDefault="00615821" w:rsidP="007B2810">
            <w:pPr>
              <w:tabs>
                <w:tab w:val="left" w:pos="993"/>
              </w:tabs>
              <w:ind w:firstLine="326"/>
              <w:jc w:val="both"/>
              <w:rPr>
                <w:rFonts w:ascii="Times New Roman" w:hAnsi="Times New Roman" w:cs="Times New Roman"/>
                <w:color w:val="000000"/>
                <w:sz w:val="22"/>
                <w:szCs w:val="24"/>
              </w:rPr>
            </w:pPr>
          </w:p>
          <w:p w:rsidR="007B2810" w:rsidRPr="00D32097" w:rsidRDefault="007B2810" w:rsidP="007B2810">
            <w:pPr>
              <w:tabs>
                <w:tab w:val="left" w:pos="993"/>
              </w:tabs>
              <w:ind w:firstLine="326"/>
              <w:jc w:val="both"/>
              <w:rPr>
                <w:rFonts w:ascii="Times New Roman" w:hAnsi="Times New Roman" w:cs="Times New Roman"/>
                <w:color w:val="000000"/>
                <w:sz w:val="22"/>
                <w:szCs w:val="24"/>
              </w:rPr>
            </w:pPr>
            <w:r w:rsidRPr="00D32097">
              <w:rPr>
                <w:rFonts w:ascii="Times New Roman" w:hAnsi="Times New Roman" w:cs="Times New Roman"/>
                <w:color w:val="000000"/>
                <w:sz w:val="22"/>
                <w:szCs w:val="24"/>
              </w:rPr>
              <w:t xml:space="preserve">У разі збільшення Замовником величини дозволеної до використання потужності нарахування складової плати за створення лінійної частини приєднання не здійснюється, якщо </w:t>
            </w:r>
            <w:r w:rsidRPr="00D32097">
              <w:rPr>
                <w:rFonts w:ascii="Times New Roman" w:hAnsi="Times New Roman" w:cs="Times New Roman"/>
                <w:color w:val="000000"/>
                <w:sz w:val="22"/>
                <w:szCs w:val="24"/>
              </w:rPr>
              <w:lastRenderedPageBreak/>
              <w:t xml:space="preserve">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proofErr w:type="spellStart"/>
            <w:r w:rsidRPr="00D32097">
              <w:rPr>
                <w:rFonts w:ascii="Times New Roman" w:hAnsi="Times New Roman" w:cs="Times New Roman"/>
                <w:color w:val="000000"/>
                <w:sz w:val="22"/>
                <w:szCs w:val="24"/>
              </w:rPr>
              <w:t>підблока</w:t>
            </w:r>
            <w:proofErr w:type="spellEnd"/>
            <w:r w:rsidRPr="00D32097">
              <w:rPr>
                <w:rFonts w:ascii="Times New Roman" w:hAnsi="Times New Roman" w:cs="Times New Roman"/>
                <w:color w:val="000000"/>
                <w:sz w:val="22"/>
                <w:szCs w:val="24"/>
              </w:rPr>
              <w:t xml:space="preserve"> з кроком 50 кВт (для блока 2 з потужністю від 50 до 1000 кВт), з кроком 100 кВт (для блока 3 з потужністю від 1000 до 5000 кВт) та з кроком 500 кВт (для блока 4 з потужністю від 5000 кВт).</w:t>
            </w:r>
          </w:p>
          <w:p w:rsidR="007B2810" w:rsidRPr="00D32097" w:rsidRDefault="007B2810" w:rsidP="007B2810">
            <w:pPr>
              <w:tabs>
                <w:tab w:val="left" w:pos="993"/>
              </w:tabs>
              <w:ind w:firstLine="326"/>
              <w:jc w:val="both"/>
              <w:rPr>
                <w:rFonts w:ascii="Times New Roman" w:hAnsi="Times New Roman" w:cs="Times New Roman"/>
                <w:color w:val="000000"/>
                <w:sz w:val="22"/>
                <w:szCs w:val="24"/>
              </w:rPr>
            </w:pPr>
            <w:r w:rsidRPr="00D32097">
              <w:rPr>
                <w:rFonts w:ascii="Times New Roman" w:hAnsi="Times New Roman" w:cs="Times New Roman"/>
                <w:color w:val="000000"/>
                <w:sz w:val="22"/>
                <w:szCs w:val="24"/>
              </w:rPr>
              <w:t>У випадку приєднання електроустановок замовника за схемою електрозабезпечення I або II категорії надійності електропостачання для визначення відстані, відповідно до якої здійснюється розрахунок плати за лінійну частину приєднання при нестандартному приєднанні, що здійснюється за процедурою «під ключ», приймається сумарна найкоротша відстань по прямій лінії від точки приєднання електроустановок замовника до найближчих двох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яких забезпечується замовлена категорія надійності електропостачання електроустановок замовника з урахуванням умов по величині максимального розрахункового (прогнозованого) навантаження.</w:t>
            </w:r>
          </w:p>
          <w:p w:rsidR="00882482" w:rsidRPr="00D32097" w:rsidRDefault="007B2810" w:rsidP="007B2810">
            <w:pPr>
              <w:tabs>
                <w:tab w:val="left" w:pos="993"/>
              </w:tabs>
              <w:ind w:firstLine="326"/>
              <w:jc w:val="both"/>
              <w:rPr>
                <w:rFonts w:ascii="Times New Roman" w:hAnsi="Times New Roman" w:cs="Times New Roman"/>
                <w:b/>
                <w:color w:val="000000"/>
                <w:sz w:val="22"/>
                <w:szCs w:val="24"/>
              </w:rPr>
            </w:pPr>
            <w:r w:rsidRPr="00D32097">
              <w:rPr>
                <w:rFonts w:ascii="Times New Roman" w:hAnsi="Times New Roman" w:cs="Times New Roman"/>
                <w:color w:val="000000"/>
                <w:sz w:val="22"/>
                <w:szCs w:val="24"/>
              </w:rPr>
              <w:lastRenderedPageBreak/>
              <w:t>Приєднання електроустановок, призначених для виробництва електричної енергії, на напрузі у точці приєднання 35 кВ і вище здійснюється з дотриманням вимог СОУ-Н ЕЕ 40.1.00100227-101:2014 «Норми технологічного проектування енергетичних систем і електричних мереж 35 кВ і вище» щодо забезпечення під час приєднання дотримання критерію «N-1», розрахунок вартості плати за приєднання таких електроустановок до електричних мереж здійснюється у порядку, передбаченому для електроустановок I категорії з надійності електропостачання із застосуванням відповідних ставок плати за приєднання потужності.</w:t>
            </w:r>
          </w:p>
        </w:tc>
        <w:tc>
          <w:tcPr>
            <w:tcW w:w="3900" w:type="dxa"/>
            <w:gridSpan w:val="2"/>
          </w:tcPr>
          <w:p w:rsidR="00882482" w:rsidRPr="00D32097" w:rsidRDefault="007B2810" w:rsidP="007B2810">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lastRenderedPageBreak/>
              <w:t xml:space="preserve">ТОВ «ВС Енерджі </w:t>
            </w:r>
            <w:proofErr w:type="spellStart"/>
            <w:r w:rsidRPr="00D32097">
              <w:rPr>
                <w:rFonts w:ascii="Times New Roman" w:hAnsi="Times New Roman" w:cs="Times New Roman"/>
                <w:b/>
                <w:color w:val="000000"/>
                <w:sz w:val="22"/>
                <w:szCs w:val="22"/>
                <w:u w:val="single"/>
              </w:rPr>
              <w:t>Інтернейшнл</w:t>
            </w:r>
            <w:proofErr w:type="spellEnd"/>
            <w:r w:rsidRPr="00D32097">
              <w:rPr>
                <w:rFonts w:ascii="Times New Roman" w:hAnsi="Times New Roman" w:cs="Times New Roman"/>
                <w:b/>
                <w:color w:val="000000"/>
                <w:sz w:val="22"/>
                <w:szCs w:val="22"/>
                <w:u w:val="single"/>
              </w:rPr>
              <w:t xml:space="preserve"> Україна»</w:t>
            </w:r>
          </w:p>
          <w:p w:rsidR="007B2810" w:rsidRPr="00D32097" w:rsidRDefault="007B2810" w:rsidP="007B2810">
            <w:pPr>
              <w:ind w:firstLine="235"/>
              <w:jc w:val="both"/>
              <w:rPr>
                <w:rFonts w:ascii="Times New Roman" w:hAnsi="Times New Roman" w:cs="Times New Roman"/>
                <w:sz w:val="22"/>
                <w:szCs w:val="22"/>
              </w:rPr>
            </w:pPr>
            <w:r w:rsidRPr="00D32097">
              <w:rPr>
                <w:rFonts w:ascii="Times New Roman" w:hAnsi="Times New Roman" w:cs="Times New Roman"/>
                <w:b/>
                <w:bCs/>
                <w:sz w:val="22"/>
                <w:szCs w:val="22"/>
              </w:rPr>
              <w:t xml:space="preserve">1.8. </w:t>
            </w:r>
            <w:r w:rsidRPr="00D32097">
              <w:rPr>
                <w:rFonts w:ascii="Times New Roman" w:hAnsi="Times New Roman" w:cs="Times New Roman"/>
                <w:sz w:val="22"/>
                <w:szCs w:val="22"/>
              </w:rPr>
              <w:t>Плата за нестандартне приєднання розраховується згідно з главами 4 та 5 цієї Методики.</w:t>
            </w:r>
          </w:p>
          <w:p w:rsidR="007B2810" w:rsidRPr="00D32097" w:rsidRDefault="007B2810" w:rsidP="007B2810">
            <w:pPr>
              <w:ind w:firstLine="235"/>
              <w:jc w:val="both"/>
              <w:rPr>
                <w:rFonts w:ascii="Times New Roman" w:hAnsi="Times New Roman" w:cs="Times New Roman"/>
                <w:sz w:val="22"/>
                <w:szCs w:val="22"/>
              </w:rPr>
            </w:pPr>
            <w:r w:rsidRPr="00D32097">
              <w:rPr>
                <w:rFonts w:ascii="Times New Roman" w:hAnsi="Times New Roman" w:cs="Times New Roman"/>
                <w:sz w:val="22"/>
                <w:szCs w:val="22"/>
              </w:rPr>
              <w:t>…</w:t>
            </w:r>
          </w:p>
          <w:p w:rsidR="007B2810" w:rsidRPr="00D32097" w:rsidRDefault="007B2810" w:rsidP="007B2810">
            <w:pPr>
              <w:ind w:firstLine="235"/>
              <w:jc w:val="both"/>
              <w:rPr>
                <w:rFonts w:ascii="Times New Roman" w:hAnsi="Times New Roman" w:cs="Times New Roman"/>
                <w:b/>
                <w:bCs/>
                <w:color w:val="0070C0"/>
                <w:sz w:val="22"/>
                <w:szCs w:val="22"/>
              </w:rPr>
            </w:pPr>
            <w:r w:rsidRPr="00D32097">
              <w:rPr>
                <w:rFonts w:ascii="Times New Roman" w:hAnsi="Times New Roman" w:cs="Times New Roman"/>
                <w:b/>
                <w:bCs/>
                <w:color w:val="0070C0"/>
                <w:sz w:val="22"/>
                <w:szCs w:val="22"/>
              </w:rPr>
              <w:t xml:space="preserve">Вимір довжини лінійної частини приєднання здійснюється до центру розташування складової підстанції найнижчої напруги блоку. </w:t>
            </w:r>
          </w:p>
          <w:p w:rsidR="007B2810" w:rsidRPr="00D32097" w:rsidRDefault="007B2810" w:rsidP="007B2810">
            <w:pPr>
              <w:ind w:firstLine="235"/>
              <w:jc w:val="both"/>
              <w:rPr>
                <w:rFonts w:ascii="Times New Roman" w:hAnsi="Times New Roman" w:cs="Times New Roman"/>
                <w:sz w:val="22"/>
                <w:szCs w:val="22"/>
              </w:rPr>
            </w:pPr>
            <w:r w:rsidRPr="00D32097">
              <w:rPr>
                <w:rFonts w:ascii="Times New Roman" w:hAnsi="Times New Roman" w:cs="Times New Roman"/>
                <w:sz w:val="22"/>
                <w:szCs w:val="22"/>
              </w:rPr>
              <w:t xml:space="preserve">У разі збільшення Замовником величини дозволеної до використання потужності нарахування складової плати за створення лінійної частини приєднання не здійснюється, якщо </w:t>
            </w:r>
            <w:r w:rsidRPr="00D32097">
              <w:rPr>
                <w:rFonts w:ascii="Times New Roman" w:hAnsi="Times New Roman" w:cs="Times New Roman"/>
                <w:sz w:val="22"/>
                <w:szCs w:val="22"/>
              </w:rPr>
              <w:lastRenderedPageBreak/>
              <w:t xml:space="preserve">величина максимальної розрахункової (прогнозованої) потужності (замовлена до приєднання потужність з урахуванням існуючої дозволеної до використання) та величина існуючої дозволеної до використання потужності знаходяться в межах одного </w:t>
            </w:r>
            <w:proofErr w:type="spellStart"/>
            <w:r w:rsidRPr="00D32097">
              <w:rPr>
                <w:rFonts w:ascii="Times New Roman" w:hAnsi="Times New Roman" w:cs="Times New Roman"/>
                <w:b/>
                <w:bCs/>
                <w:strike/>
                <w:color w:val="0070C0"/>
                <w:sz w:val="22"/>
                <w:szCs w:val="22"/>
              </w:rPr>
              <w:t>підблока</w:t>
            </w:r>
            <w:proofErr w:type="spellEnd"/>
            <w:r w:rsidRPr="00D32097">
              <w:rPr>
                <w:rFonts w:ascii="Times New Roman" w:hAnsi="Times New Roman" w:cs="Times New Roman"/>
                <w:color w:val="0070C0"/>
                <w:sz w:val="22"/>
                <w:szCs w:val="22"/>
              </w:rPr>
              <w:t xml:space="preserve"> </w:t>
            </w:r>
            <w:r w:rsidRPr="00D32097">
              <w:rPr>
                <w:rFonts w:ascii="Times New Roman" w:hAnsi="Times New Roman" w:cs="Times New Roman"/>
                <w:b/>
                <w:bCs/>
                <w:color w:val="0070C0"/>
                <w:sz w:val="22"/>
                <w:szCs w:val="22"/>
              </w:rPr>
              <w:t xml:space="preserve">блока </w:t>
            </w:r>
            <w:r w:rsidRPr="00D32097">
              <w:rPr>
                <w:rFonts w:ascii="Times New Roman" w:hAnsi="Times New Roman" w:cs="Times New Roman"/>
                <w:sz w:val="22"/>
                <w:szCs w:val="22"/>
              </w:rPr>
              <w:t>з кроком 50 кВт (для блока 2 з потужністю від 50 до 1000 кВт), з кроком 100 кВт (для блока 3 з потужністю від 1000 до 5000 кВт) та з кроком 500 кВт (для блока 4 з потужністю від 5000 кВт).</w:t>
            </w:r>
          </w:p>
          <w:p w:rsidR="007B2810" w:rsidRPr="00D32097" w:rsidRDefault="007B2810" w:rsidP="007B2810">
            <w:pPr>
              <w:ind w:firstLine="235"/>
              <w:contextualSpacing/>
              <w:jc w:val="both"/>
              <w:rPr>
                <w:rFonts w:ascii="Times New Roman" w:hAnsi="Times New Roman" w:cs="Times New Roman"/>
                <w:b/>
                <w:color w:val="000000"/>
                <w:sz w:val="22"/>
                <w:szCs w:val="22"/>
                <w:highlight w:val="yellow"/>
                <w:u w:val="single"/>
              </w:rPr>
            </w:pPr>
            <w:r w:rsidRPr="00D32097">
              <w:rPr>
                <w:rFonts w:ascii="Times New Roman" w:hAnsi="Times New Roman" w:cs="Times New Roman"/>
                <w:sz w:val="22"/>
                <w:szCs w:val="22"/>
              </w:rPr>
              <w:t xml:space="preserve">У випадку приєднання електроустановок замовника за схемою електрозабезпечення I або II категорії надійності електропостачання для визначення відстані, відповідно до якої здійснюється розрахунок плати за лінійну частину приєднання при нестандартному приєднанні, що здійснюється за процедурою "під ключ", приймається сумарна найкоротша відстань по прямій лінії від точки приєднання електроустановок замовника до найближчих двох точок в існуючих (діючих) електричних 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від яких забезпечується замовлена категорія надійності електропостачання електроустановок замовника з урахуванням умов по величині максимального розрахункового </w:t>
            </w:r>
            <w:r w:rsidRPr="00D32097">
              <w:rPr>
                <w:rFonts w:ascii="Times New Roman" w:hAnsi="Times New Roman" w:cs="Times New Roman"/>
                <w:sz w:val="22"/>
                <w:szCs w:val="22"/>
              </w:rPr>
              <w:lastRenderedPageBreak/>
              <w:t xml:space="preserve">(прогнозованого) навантаження </w:t>
            </w:r>
            <w:r w:rsidRPr="00D32097">
              <w:rPr>
                <w:rFonts w:ascii="Times New Roman" w:hAnsi="Times New Roman" w:cs="Times New Roman"/>
                <w:b/>
                <w:bCs/>
                <w:color w:val="0070C0"/>
                <w:sz w:val="22"/>
                <w:szCs w:val="22"/>
              </w:rPr>
              <w:t>згідно блоків</w:t>
            </w:r>
            <w:r w:rsidRPr="00D32097">
              <w:rPr>
                <w:rFonts w:ascii="Times New Roman" w:hAnsi="Times New Roman" w:cs="Times New Roman"/>
                <w:color w:val="0070C0"/>
                <w:sz w:val="22"/>
                <w:szCs w:val="22"/>
              </w:rPr>
              <w:t>.</w:t>
            </w:r>
          </w:p>
        </w:tc>
        <w:tc>
          <w:tcPr>
            <w:tcW w:w="3899" w:type="dxa"/>
          </w:tcPr>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r w:rsidRPr="00D32097">
              <w:rPr>
                <w:rFonts w:ascii="Times New Roman" w:hAnsi="Times New Roman" w:cs="Times New Roman"/>
                <w:sz w:val="22"/>
                <w:szCs w:val="24"/>
              </w:rPr>
              <w:t>Приведення до змін в КСР</w:t>
            </w: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615821" w:rsidRPr="00D32097" w:rsidRDefault="00615821" w:rsidP="00615821">
            <w:pPr>
              <w:ind w:firstLine="182"/>
              <w:jc w:val="both"/>
              <w:rPr>
                <w:rFonts w:ascii="Times New Roman" w:hAnsi="Times New Roman" w:cs="Times New Roman"/>
                <w:sz w:val="22"/>
                <w:szCs w:val="24"/>
              </w:rPr>
            </w:pPr>
          </w:p>
          <w:p w:rsidR="00882482" w:rsidRPr="00D32097" w:rsidRDefault="00615821" w:rsidP="00615821">
            <w:pPr>
              <w:ind w:firstLine="182"/>
              <w:jc w:val="both"/>
              <w:rPr>
                <w:rFonts w:ascii="Times New Roman" w:hAnsi="Times New Roman" w:cs="Times New Roman"/>
                <w:sz w:val="22"/>
                <w:szCs w:val="24"/>
                <w:highlight w:val="yellow"/>
              </w:rPr>
            </w:pPr>
            <w:r w:rsidRPr="00D32097">
              <w:rPr>
                <w:rFonts w:ascii="Times New Roman" w:hAnsi="Times New Roman" w:cs="Times New Roman"/>
                <w:sz w:val="22"/>
                <w:szCs w:val="24"/>
              </w:rPr>
              <w:t xml:space="preserve">При приєднанні потужності 5000 кВт та вище, в разі, якщо найближча є ПС напругою 110/35/10 не зрозуміло до </w:t>
            </w:r>
            <w:r w:rsidRPr="00D32097">
              <w:rPr>
                <w:rFonts w:ascii="Times New Roman" w:hAnsi="Times New Roman" w:cs="Times New Roman"/>
                <w:sz w:val="22"/>
                <w:szCs w:val="24"/>
              </w:rPr>
              <w:lastRenderedPageBreak/>
              <w:t xml:space="preserve">якої точки здійснювати замір лінійної частини приєднання.  </w:t>
            </w:r>
          </w:p>
        </w:tc>
        <w:tc>
          <w:tcPr>
            <w:tcW w:w="3900" w:type="dxa"/>
            <w:gridSpan w:val="2"/>
          </w:tcPr>
          <w:p w:rsidR="009A3E19" w:rsidRDefault="00120B3E" w:rsidP="00C61B7E">
            <w:pPr>
              <w:ind w:firstLine="174"/>
              <w:rPr>
                <w:rFonts w:ascii="Times New Roman" w:hAnsi="Times New Roman" w:cs="Times New Roman"/>
                <w:b/>
                <w:sz w:val="22"/>
                <w:szCs w:val="24"/>
                <w:lang w:eastAsia="uk-UA"/>
              </w:rPr>
            </w:pPr>
            <w:r>
              <w:rPr>
                <w:rFonts w:ascii="Times New Roman" w:hAnsi="Times New Roman" w:cs="Times New Roman"/>
                <w:b/>
                <w:sz w:val="22"/>
                <w:szCs w:val="24"/>
                <w:lang w:eastAsia="uk-UA"/>
              </w:rPr>
              <w:lastRenderedPageBreak/>
              <w:t>Пропонується в</w:t>
            </w:r>
            <w:r w:rsidR="001D03A9">
              <w:rPr>
                <w:rFonts w:ascii="Times New Roman" w:hAnsi="Times New Roman" w:cs="Times New Roman"/>
                <w:b/>
                <w:sz w:val="22"/>
                <w:szCs w:val="24"/>
                <w:lang w:eastAsia="uk-UA"/>
              </w:rPr>
              <w:t>рах</w:t>
            </w:r>
            <w:r>
              <w:rPr>
                <w:rFonts w:ascii="Times New Roman" w:hAnsi="Times New Roman" w:cs="Times New Roman"/>
                <w:b/>
                <w:sz w:val="22"/>
                <w:szCs w:val="24"/>
                <w:lang w:eastAsia="uk-UA"/>
              </w:rPr>
              <w:t>увати</w:t>
            </w:r>
            <w:r w:rsidR="001D03A9">
              <w:rPr>
                <w:rFonts w:ascii="Times New Roman" w:hAnsi="Times New Roman" w:cs="Times New Roman"/>
                <w:b/>
                <w:sz w:val="22"/>
                <w:szCs w:val="24"/>
                <w:lang w:eastAsia="uk-UA"/>
              </w:rPr>
              <w:t xml:space="preserve"> частково в редакції:</w:t>
            </w:r>
          </w:p>
          <w:p w:rsidR="00EE0B9D" w:rsidRDefault="00EE0B9D" w:rsidP="001D03A9">
            <w:pPr>
              <w:pStyle w:val="rvps2"/>
              <w:shd w:val="clear" w:color="auto" w:fill="FFFFFF"/>
              <w:spacing w:before="0" w:beforeAutospacing="0" w:after="0" w:afterAutospacing="0"/>
              <w:ind w:firstLine="245"/>
              <w:jc w:val="both"/>
              <w:rPr>
                <w:rFonts w:ascii="Times New Roman" w:hAnsi="Times New Roman" w:cs="Times New Roman"/>
                <w:sz w:val="22"/>
              </w:rPr>
            </w:pPr>
          </w:p>
          <w:p w:rsidR="001D03A9" w:rsidRPr="00B42E5B" w:rsidRDefault="001D03A9" w:rsidP="001D03A9">
            <w:pPr>
              <w:pStyle w:val="rvps2"/>
              <w:shd w:val="clear" w:color="auto" w:fill="FFFFFF"/>
              <w:spacing w:before="0" w:beforeAutospacing="0" w:after="0" w:afterAutospacing="0"/>
              <w:ind w:firstLine="245"/>
              <w:jc w:val="both"/>
              <w:rPr>
                <w:rFonts w:ascii="Times New Roman" w:hAnsi="Times New Roman" w:cs="Times New Roman"/>
                <w:sz w:val="22"/>
              </w:rPr>
            </w:pPr>
            <w:r w:rsidRPr="00B42E5B">
              <w:rPr>
                <w:rFonts w:ascii="Times New Roman" w:hAnsi="Times New Roman" w:cs="Times New Roman"/>
                <w:sz w:val="22"/>
              </w:rPr>
              <w:t>1.8. Плата за нестандартне приєднання розраховується згідно з главами 4 та 5 цієї Методики.</w:t>
            </w:r>
          </w:p>
          <w:p w:rsidR="001D03A9" w:rsidRDefault="00EE0B9D" w:rsidP="001D03A9">
            <w:pPr>
              <w:pStyle w:val="rvps2"/>
              <w:shd w:val="clear" w:color="auto" w:fill="FFFFFF"/>
              <w:spacing w:before="0" w:beforeAutospacing="0" w:after="0" w:afterAutospacing="0"/>
              <w:ind w:firstLine="245"/>
              <w:jc w:val="both"/>
              <w:rPr>
                <w:rFonts w:ascii="Times New Roman" w:hAnsi="Times New Roman" w:cs="Times New Roman"/>
                <w:sz w:val="22"/>
              </w:rPr>
            </w:pPr>
            <w:r>
              <w:rPr>
                <w:rFonts w:ascii="Times New Roman" w:hAnsi="Times New Roman" w:cs="Times New Roman"/>
                <w:sz w:val="22"/>
              </w:rPr>
              <w:t>…</w:t>
            </w:r>
          </w:p>
          <w:p w:rsidR="00B42E5B" w:rsidRPr="00B42E5B" w:rsidRDefault="00B42E5B" w:rsidP="00B42E5B">
            <w:pPr>
              <w:ind w:firstLine="235"/>
              <w:jc w:val="both"/>
              <w:rPr>
                <w:rFonts w:ascii="Times New Roman" w:hAnsi="Times New Roman" w:cs="Times New Roman"/>
                <w:b/>
                <w:bCs/>
                <w:color w:val="00B050"/>
                <w:sz w:val="22"/>
                <w:szCs w:val="22"/>
              </w:rPr>
            </w:pPr>
            <w:r w:rsidRPr="00B42E5B">
              <w:rPr>
                <w:rFonts w:ascii="Times New Roman" w:hAnsi="Times New Roman" w:cs="Times New Roman"/>
                <w:b/>
                <w:bCs/>
                <w:color w:val="00B050"/>
                <w:sz w:val="22"/>
                <w:szCs w:val="22"/>
              </w:rPr>
              <w:t xml:space="preserve">Вимір довжини лінійної частини приєднання здійснюється до центру розташування складової підстанції найнижчої напруги блоку. </w:t>
            </w:r>
          </w:p>
          <w:p w:rsidR="001D03A9" w:rsidRPr="001D03A9" w:rsidRDefault="001D03A9" w:rsidP="001D03A9">
            <w:pPr>
              <w:pStyle w:val="rvps2"/>
              <w:shd w:val="clear" w:color="auto" w:fill="FFFFFF"/>
              <w:spacing w:before="0" w:beforeAutospacing="0" w:after="0" w:afterAutospacing="0"/>
              <w:ind w:firstLine="245"/>
              <w:jc w:val="both"/>
              <w:rPr>
                <w:b/>
              </w:rPr>
            </w:pPr>
            <w:r w:rsidRPr="00B42E5B">
              <w:rPr>
                <w:rFonts w:ascii="Times New Roman" w:hAnsi="Times New Roman" w:cs="Times New Roman"/>
                <w:sz w:val="22"/>
              </w:rPr>
              <w:t xml:space="preserve">У разі збільшення Замовником величини дозволеної до використання потужності </w:t>
            </w:r>
            <w:r w:rsidRPr="00B42E5B">
              <w:rPr>
                <w:rFonts w:ascii="Times New Roman" w:hAnsi="Times New Roman" w:cs="Times New Roman"/>
                <w:b/>
                <w:color w:val="00B050"/>
                <w:sz w:val="22"/>
              </w:rPr>
              <w:t xml:space="preserve">та/або замовлення потужності у напрямку, </w:t>
            </w:r>
            <w:r w:rsidRPr="00B42E5B">
              <w:rPr>
                <w:rFonts w:ascii="Times New Roman" w:hAnsi="Times New Roman" w:cs="Times New Roman"/>
                <w:b/>
                <w:color w:val="00B050"/>
                <w:sz w:val="22"/>
              </w:rPr>
              <w:lastRenderedPageBreak/>
              <w:t>протилежному до раніше замовленого (відпуску або відбору електричної енергії)</w:t>
            </w:r>
            <w:r w:rsidRPr="00B42E5B">
              <w:rPr>
                <w:rFonts w:ascii="Times New Roman" w:hAnsi="Times New Roman" w:cs="Times New Roman"/>
                <w:color w:val="00B050"/>
                <w:sz w:val="22"/>
              </w:rPr>
              <w:t xml:space="preserve">, </w:t>
            </w:r>
            <w:r w:rsidRPr="00B42E5B">
              <w:rPr>
                <w:rFonts w:ascii="Times New Roman" w:hAnsi="Times New Roman" w:cs="Times New Roman"/>
                <w:sz w:val="22"/>
              </w:rPr>
              <w:t xml:space="preserve">нарахування складової плати за створення лінійної частини приєднання не здійснюється, якщо </w:t>
            </w:r>
            <w:r w:rsidRPr="00B42E5B">
              <w:rPr>
                <w:rFonts w:ascii="Times New Roman" w:hAnsi="Times New Roman" w:cs="Times New Roman"/>
                <w:b/>
                <w:color w:val="00B050"/>
                <w:sz w:val="22"/>
              </w:rPr>
              <w:t>максимальне значення між величиною потужності відбору та величиною потужності відпуску до зміни та після зміни залишається в межах одного інтервалу потужності відповідного блока. Інтервали потужності визначаються з кроком 50 кВт для блока 2 (понад 50 кВт до 1000 кВт включно), з кроком 100 кВт для блока 3 (понад 1000 кВт до 5000 кВт включно) та з кроком 500 кВт для блока 4 (понад 5000 кВт). Складова плати за створення лінійної частини приєднання нараховується у разі переходу максимального значення між величиною потужності відбору та величиною потужності відпуску до іншого інтервалу потужності відповідного блока.</w:t>
            </w:r>
          </w:p>
        </w:tc>
      </w:tr>
      <w:tr w:rsidR="00BB1D41" w:rsidRPr="00D32097" w:rsidTr="002E4622">
        <w:trPr>
          <w:trHeight w:val="218"/>
        </w:trPr>
        <w:tc>
          <w:tcPr>
            <w:tcW w:w="3899" w:type="dxa"/>
            <w:gridSpan w:val="2"/>
            <w:vMerge w:val="restart"/>
          </w:tcPr>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trike/>
                <w:sz w:val="22"/>
                <w:szCs w:val="24"/>
              </w:rPr>
              <w:lastRenderedPageBreak/>
              <w:t>Дати</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 xml:space="preserve">Інформація щодо надходження </w:t>
            </w:r>
            <w:r w:rsidRPr="00D32097">
              <w:rPr>
                <w:rFonts w:ascii="Times New Roman" w:hAnsi="Times New Roman" w:cs="Times New Roman"/>
                <w:sz w:val="22"/>
                <w:szCs w:val="24"/>
              </w:rPr>
              <w:t>заяви про приєднання, видачі технічних умов та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w:t>
            </w:r>
          </w:p>
          <w:p w:rsidR="00BB1D41" w:rsidRPr="00D32097" w:rsidRDefault="00BB1D41" w:rsidP="008F2112">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sz w:val="22"/>
                <w:szCs w:val="24"/>
              </w:rPr>
              <w:t xml:space="preserve">Обов'язкові для завантаження документи на вкладках приєднання до системи моніторингу приєднань завантажуються </w:t>
            </w:r>
            <w:r w:rsidRPr="00D32097">
              <w:rPr>
                <w:rFonts w:ascii="Times New Roman" w:hAnsi="Times New Roman" w:cs="Times New Roman"/>
                <w:b/>
                <w:sz w:val="22"/>
                <w:szCs w:val="24"/>
              </w:rPr>
              <w:t>ОСП/ОСР</w:t>
            </w:r>
            <w:r w:rsidRPr="00D32097">
              <w:rPr>
                <w:rFonts w:ascii="Times New Roman" w:hAnsi="Times New Roman" w:cs="Times New Roman"/>
                <w:sz w:val="22"/>
                <w:szCs w:val="24"/>
              </w:rPr>
              <w:t xml:space="preserve"> у день внесення відповідної інформації</w:t>
            </w:r>
            <w:r w:rsidRPr="00D32097">
              <w:rPr>
                <w:rFonts w:ascii="Times New Roman" w:hAnsi="Times New Roman" w:cs="Times New Roman"/>
                <w:b/>
                <w:sz w:val="22"/>
                <w:szCs w:val="24"/>
              </w:rPr>
              <w:t>, яку підтверджують ці документи</w:t>
            </w:r>
            <w:r w:rsidRPr="00D32097">
              <w:rPr>
                <w:rFonts w:ascii="Times New Roman" w:hAnsi="Times New Roman" w:cs="Times New Roman"/>
                <w:sz w:val="22"/>
                <w:szCs w:val="24"/>
              </w:rPr>
              <w:t>.</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Інша інформація до системи моніторингу приєднань заноситься ОСП/ОСР не пізніше наступного робочого дня з дня настання змін у процедурі надання послуги з приєднання.</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Обов'язковими для завантаження є такі документи на вкладках:</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«заява»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«ТУ» (завантажуються технічні умови, розрахунок вартості надання послуги з приєднання, рахунок на оплату вартості надання послуги з приєднання, </w:t>
            </w:r>
            <w:r w:rsidRPr="00D32097">
              <w:rPr>
                <w:rFonts w:ascii="Times New Roman" w:hAnsi="Times New Roman" w:cs="Times New Roman"/>
                <w:b/>
                <w:sz w:val="22"/>
                <w:szCs w:val="24"/>
              </w:rPr>
              <w:t>рахунок на сплату вартості послуги з комерційного обліку електричної енергії</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(за наявності),</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 xml:space="preserve">вимоги (технічні заходи) ОСП/інших суб’єктів господарювання, виконання яких </w:t>
            </w:r>
            <w:r w:rsidRPr="00D32097">
              <w:rPr>
                <w:rFonts w:ascii="Times New Roman" w:hAnsi="Times New Roman" w:cs="Times New Roman"/>
                <w:b/>
                <w:sz w:val="22"/>
                <w:szCs w:val="24"/>
              </w:rPr>
              <w:lastRenderedPageBreak/>
              <w:t>необхідне в електричних мережах ОСП/інших суб’єктів господарювання для забезпечення технічної можливості приєднання, які були надані ОСР для включення в технічні умови замовника</w:t>
            </w:r>
            <w:r w:rsidRPr="00D32097">
              <w:rPr>
                <w:rFonts w:ascii="Times New Roman" w:hAnsi="Times New Roman" w:cs="Times New Roman"/>
                <w:sz w:val="22"/>
                <w:szCs w:val="24"/>
              </w:rPr>
              <w:t>);</w:t>
            </w:r>
          </w:p>
          <w:p w:rsidR="00BB1D41" w:rsidRPr="00D32097" w:rsidRDefault="00BB1D41" w:rsidP="008F2112">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b/>
                <w:sz w:val="22"/>
                <w:szCs w:val="24"/>
              </w:rPr>
              <w:t>«землевідведення»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BB1D41" w:rsidRPr="00D32097" w:rsidRDefault="00BB1D41" w:rsidP="008F2112">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b/>
                <w:sz w:val="22"/>
                <w:szCs w:val="24"/>
              </w:rPr>
              <w:t xml:space="preserve">«стан виконання заходів» (технічні рішення до </w:t>
            </w:r>
            <w:proofErr w:type="spellStart"/>
            <w:r w:rsidRPr="00D32097">
              <w:rPr>
                <w:rFonts w:ascii="Times New Roman" w:hAnsi="Times New Roman" w:cs="Times New Roman"/>
                <w:b/>
                <w:sz w:val="22"/>
                <w:szCs w:val="24"/>
              </w:rPr>
              <w:t>проєктно</w:t>
            </w:r>
            <w:proofErr w:type="spellEnd"/>
            <w:r w:rsidRPr="00D32097">
              <w:rPr>
                <w:rFonts w:ascii="Times New Roman" w:hAnsi="Times New Roman" w:cs="Times New Roman"/>
                <w:b/>
                <w:sz w:val="22"/>
                <w:szCs w:val="24"/>
              </w:rPr>
              <w:t>-кошторисної документації, у тому числі розробленої замовником (із зауваженнями чи погодження ПКД без зауважень), звернення замовника щодо направлення звернення щодо розгляду ПКД);</w:t>
            </w:r>
          </w:p>
          <w:p w:rsidR="00BB1D41" w:rsidRPr="00D32097" w:rsidRDefault="00BB1D41" w:rsidP="008F2112">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«завершення приєднання» (завантажуються повідомлення про надання послуги з приєднання/акт про надання послуги з приєднання</w:t>
            </w:r>
            <w:r w:rsidRPr="00D32097">
              <w:rPr>
                <w:rFonts w:ascii="Times New Roman" w:hAnsi="Times New Roman" w:cs="Times New Roman"/>
                <w:b/>
                <w:sz w:val="22"/>
                <w:szCs w:val="24"/>
              </w:rPr>
              <w:t xml:space="preserve">, паспорт точки розподілу/передачі та </w:t>
            </w:r>
            <w:r w:rsidRPr="00D32097">
              <w:rPr>
                <w:rFonts w:ascii="Times New Roman" w:hAnsi="Times New Roman" w:cs="Times New Roman"/>
                <w:b/>
                <w:sz w:val="22"/>
                <w:szCs w:val="24"/>
              </w:rPr>
              <w:lastRenderedPageBreak/>
              <w:t>заява-приєднання до розробленого оператором системи розподілу договору споживача про надання послуг з розподілу електричної енергії у випадку, передбаченому пунктом 4.8.3 цього Кодексу,</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додаткові угоди до договорів про приєднання, у тому числі щодо продовження строків надання послуг з приєднань</w:t>
            </w:r>
            <w:r w:rsidRPr="00D32097">
              <w:rPr>
                <w:rFonts w:ascii="Times New Roman" w:hAnsi="Times New Roman" w:cs="Times New Roman"/>
                <w:sz w:val="22"/>
                <w:szCs w:val="24"/>
              </w:rPr>
              <w:t>);</w:t>
            </w:r>
          </w:p>
          <w:p w:rsidR="00BB1D41" w:rsidRPr="00D32097" w:rsidRDefault="00BB1D41" w:rsidP="008F2112">
            <w:pPr>
              <w:pStyle w:val="rvps2"/>
              <w:shd w:val="clear" w:color="auto" w:fill="FFFFFF"/>
              <w:spacing w:before="0" w:beforeAutospacing="0" w:after="0" w:afterAutospacing="0"/>
              <w:ind w:firstLine="306"/>
              <w:jc w:val="both"/>
              <w:rPr>
                <w:rFonts w:ascii="Times New Roman" w:hAnsi="Times New Roman" w:cs="Times New Roman"/>
                <w:sz w:val="22"/>
              </w:rPr>
            </w:pPr>
            <w:r w:rsidRPr="00D32097">
              <w:rPr>
                <w:rFonts w:ascii="Times New Roman" w:hAnsi="Times New Roman" w:cs="Times New Roman"/>
                <w:sz w:val="22"/>
              </w:rPr>
              <w:t>завантаження інших документів на інших вкладках є необов'язковим та здійснюється за необхідності.</w:t>
            </w:r>
          </w:p>
        </w:tc>
        <w:tc>
          <w:tcPr>
            <w:tcW w:w="3900" w:type="dxa"/>
            <w:gridSpan w:val="2"/>
          </w:tcPr>
          <w:p w:rsidR="00BB1D41" w:rsidRPr="00D32097" w:rsidRDefault="00BB1D41" w:rsidP="008F2112">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 xml:space="preserve">АТ «ДТЕК ДНІПРОВСЬКІ ЕЛЕКТРОМЕРЕЖІ», ПРАТ «ДТЕК КИЇВСЬКІ ЕЛЕКТРОМЕРЕЖІ»,   АТ «ДТЕК ОДЕСЬКІ ЕЛЕКТРОМЕРЕЖІ», ПРАТ «ДТЕК КИЇВСЬКІ РЕГІОНАЛЬНІ ЕЛЕКТРОМЕРЕЖІ», АТ «ДТЕК ДОНЕЦЬКІ ЕЛЕКТРОМЕРЕЖІ» </w:t>
            </w:r>
            <w:r w:rsidRPr="00D32097">
              <w:rPr>
                <w:rFonts w:ascii="Times New Roman" w:hAnsi="Times New Roman" w:cs="Times New Roman"/>
                <w:sz w:val="22"/>
                <w:szCs w:val="22"/>
              </w:rPr>
              <w:t xml:space="preserve"> </w:t>
            </w:r>
          </w:p>
          <w:p w:rsidR="00BB1D41" w:rsidRPr="00D32097" w:rsidRDefault="00BB1D41" w:rsidP="008F2112">
            <w:pPr>
              <w:shd w:val="clear" w:color="auto" w:fill="FFFFFF"/>
              <w:ind w:firstLine="306"/>
              <w:jc w:val="both"/>
              <w:rPr>
                <w:rFonts w:ascii="Times New Roman" w:hAnsi="Times New Roman" w:cs="Times New Roman"/>
                <w:sz w:val="22"/>
                <w:szCs w:val="22"/>
              </w:rPr>
            </w:pPr>
            <w:r w:rsidRPr="00D32097">
              <w:rPr>
                <w:rFonts w:ascii="Times New Roman" w:hAnsi="Times New Roman" w:cs="Times New Roman"/>
                <w:sz w:val="22"/>
                <w:szCs w:val="22"/>
              </w:rPr>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D32097">
              <w:rPr>
                <w:rFonts w:ascii="Times New Roman" w:hAnsi="Times New Roman" w:cs="Times New Roman"/>
                <w:sz w:val="22"/>
                <w:szCs w:val="22"/>
              </w:rPr>
              <w:t>акта</w:t>
            </w:r>
            <w:proofErr w:type="spellEnd"/>
            <w:r w:rsidRPr="00D32097">
              <w:rPr>
                <w:rFonts w:ascii="Times New Roman" w:hAnsi="Times New Roman" w:cs="Times New Roman"/>
                <w:sz w:val="22"/>
                <w:szCs w:val="22"/>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rsidR="00BB1D41" w:rsidRPr="00D32097" w:rsidRDefault="00BB1D41" w:rsidP="008F2112">
            <w:pPr>
              <w:shd w:val="clear" w:color="auto" w:fill="FFFFFF"/>
              <w:ind w:firstLine="306"/>
              <w:jc w:val="both"/>
              <w:rPr>
                <w:rFonts w:ascii="Times New Roman" w:hAnsi="Times New Roman" w:cs="Times New Roman"/>
                <w:sz w:val="22"/>
                <w:szCs w:val="22"/>
              </w:rPr>
            </w:pPr>
            <w:r w:rsidRPr="00D32097">
              <w:rPr>
                <w:rFonts w:ascii="Times New Roman" w:hAnsi="Times New Roman" w:cs="Times New Roman"/>
                <w:strike/>
                <w:sz w:val="22"/>
                <w:szCs w:val="22"/>
              </w:rPr>
              <w:lastRenderedPageBreak/>
              <w:t>Дати</w:t>
            </w:r>
            <w:r w:rsidRPr="00D32097">
              <w:rPr>
                <w:rFonts w:ascii="Times New Roman" w:hAnsi="Times New Roman" w:cs="Times New Roman"/>
                <w:sz w:val="22"/>
                <w:szCs w:val="22"/>
              </w:rPr>
              <w:t xml:space="preserve"> </w:t>
            </w:r>
            <w:r w:rsidRPr="00D32097">
              <w:rPr>
                <w:rFonts w:ascii="Times New Roman" w:hAnsi="Times New Roman" w:cs="Times New Roman"/>
                <w:b/>
                <w:sz w:val="22"/>
                <w:szCs w:val="22"/>
              </w:rPr>
              <w:t xml:space="preserve">Інформація щодо надходження </w:t>
            </w:r>
            <w:r w:rsidRPr="00D32097">
              <w:rPr>
                <w:rFonts w:ascii="Times New Roman" w:hAnsi="Times New Roman" w:cs="Times New Roman"/>
                <w:sz w:val="22"/>
                <w:szCs w:val="22"/>
              </w:rPr>
              <w:t>заяви про приєднання, видачі технічних умов та повідомлення (</w:t>
            </w:r>
            <w:proofErr w:type="spellStart"/>
            <w:r w:rsidRPr="00D32097">
              <w:rPr>
                <w:rFonts w:ascii="Times New Roman" w:hAnsi="Times New Roman" w:cs="Times New Roman"/>
                <w:sz w:val="22"/>
                <w:szCs w:val="22"/>
              </w:rPr>
              <w:t>акта</w:t>
            </w:r>
            <w:proofErr w:type="spellEnd"/>
            <w:r w:rsidRPr="00D32097">
              <w:rPr>
                <w:rFonts w:ascii="Times New Roman" w:hAnsi="Times New Roman" w:cs="Times New Roman"/>
                <w:sz w:val="22"/>
                <w:szCs w:val="22"/>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D32097">
              <w:rPr>
                <w:rFonts w:ascii="Times New Roman" w:hAnsi="Times New Roman" w:cs="Times New Roman"/>
                <w:sz w:val="22"/>
                <w:szCs w:val="22"/>
              </w:rPr>
              <w:t>акта</w:t>
            </w:r>
            <w:proofErr w:type="spellEnd"/>
            <w:r w:rsidRPr="00D32097">
              <w:rPr>
                <w:rFonts w:ascii="Times New Roman" w:hAnsi="Times New Roman" w:cs="Times New Roman"/>
                <w:sz w:val="22"/>
                <w:szCs w:val="22"/>
              </w:rPr>
              <w:t>) про надання послуги з приєднання.</w:t>
            </w:r>
          </w:p>
          <w:p w:rsidR="00BB1D41" w:rsidRPr="00D32097" w:rsidRDefault="00BB1D41" w:rsidP="008F2112">
            <w:pPr>
              <w:shd w:val="clear" w:color="auto" w:fill="FFFFFF"/>
              <w:ind w:firstLine="306"/>
              <w:jc w:val="both"/>
              <w:rPr>
                <w:rFonts w:ascii="Times New Roman" w:hAnsi="Times New Roman" w:cs="Times New Roman"/>
                <w:b/>
                <w:sz w:val="22"/>
                <w:szCs w:val="22"/>
              </w:rPr>
            </w:pPr>
            <w:r w:rsidRPr="00D32097">
              <w:rPr>
                <w:rFonts w:ascii="Times New Roman" w:hAnsi="Times New Roman" w:cs="Times New Roman"/>
                <w:sz w:val="22"/>
                <w:szCs w:val="22"/>
              </w:rPr>
              <w:t xml:space="preserve">Обов'язкові для завантаження документи на вкладках приєднання до системи моніторингу приєднань завантажуються </w:t>
            </w:r>
            <w:r w:rsidRPr="00D32097">
              <w:rPr>
                <w:rFonts w:ascii="Times New Roman" w:hAnsi="Times New Roman" w:cs="Times New Roman"/>
                <w:b/>
                <w:sz w:val="22"/>
                <w:szCs w:val="22"/>
              </w:rPr>
              <w:t>ОСП/ОСР</w:t>
            </w:r>
            <w:r w:rsidRPr="00D32097">
              <w:rPr>
                <w:rFonts w:ascii="Times New Roman" w:hAnsi="Times New Roman" w:cs="Times New Roman"/>
                <w:sz w:val="22"/>
                <w:szCs w:val="22"/>
              </w:rPr>
              <w:t xml:space="preserve"> у день внесення відповідної інформації</w:t>
            </w:r>
            <w:r w:rsidRPr="00D32097">
              <w:rPr>
                <w:rFonts w:ascii="Times New Roman" w:hAnsi="Times New Roman" w:cs="Times New Roman"/>
                <w:b/>
                <w:sz w:val="22"/>
                <w:szCs w:val="22"/>
              </w:rPr>
              <w:t>, яку підтверджують ці документи</w:t>
            </w:r>
            <w:r w:rsidRPr="00D32097">
              <w:rPr>
                <w:rFonts w:ascii="Times New Roman" w:hAnsi="Times New Roman" w:cs="Times New Roman"/>
                <w:sz w:val="22"/>
                <w:szCs w:val="22"/>
              </w:rPr>
              <w:t>.</w:t>
            </w:r>
          </w:p>
          <w:p w:rsidR="00BB1D41" w:rsidRPr="00D32097" w:rsidRDefault="00BB1D41" w:rsidP="008F2112">
            <w:pPr>
              <w:shd w:val="clear" w:color="auto" w:fill="FFFFFF"/>
              <w:ind w:firstLine="306"/>
              <w:jc w:val="both"/>
              <w:rPr>
                <w:rFonts w:ascii="Times New Roman" w:hAnsi="Times New Roman" w:cs="Times New Roman"/>
                <w:strike/>
                <w:color w:val="0070C0"/>
                <w:sz w:val="22"/>
                <w:szCs w:val="22"/>
              </w:rPr>
            </w:pPr>
            <w:r w:rsidRPr="00D32097">
              <w:rPr>
                <w:rFonts w:ascii="Times New Roman" w:hAnsi="Times New Roman" w:cs="Times New Roman"/>
                <w:strike/>
                <w:color w:val="0070C0"/>
                <w:sz w:val="22"/>
                <w:szCs w:val="22"/>
              </w:rPr>
              <w:t>Інша інформація до системи моніторингу приєднань заноситься ОСП/ОСР не пізніше наступного робочого дня з дня настання змін у процедурі надання послуги з приєднання.</w:t>
            </w:r>
          </w:p>
          <w:p w:rsidR="00BB1D41" w:rsidRPr="00D32097" w:rsidRDefault="00BB1D41" w:rsidP="008F2112">
            <w:pPr>
              <w:shd w:val="clear" w:color="auto" w:fill="FFFFFF"/>
              <w:ind w:firstLine="306"/>
              <w:jc w:val="both"/>
              <w:rPr>
                <w:rFonts w:ascii="Times New Roman" w:hAnsi="Times New Roman" w:cs="Times New Roman"/>
                <w:strike/>
                <w:color w:val="0070C0"/>
                <w:sz w:val="22"/>
                <w:szCs w:val="22"/>
              </w:rPr>
            </w:pPr>
            <w:r w:rsidRPr="00D32097">
              <w:rPr>
                <w:rFonts w:ascii="Times New Roman" w:hAnsi="Times New Roman" w:cs="Times New Roman"/>
                <w:strike/>
                <w:color w:val="0070C0"/>
                <w:sz w:val="22"/>
                <w:szCs w:val="22"/>
              </w:rPr>
              <w:t>Обов'язковими для завантаження є такі документи на вкладках:</w:t>
            </w:r>
          </w:p>
          <w:p w:rsidR="00BB1D41" w:rsidRPr="00D32097" w:rsidRDefault="00BB1D41" w:rsidP="008F2112">
            <w:pPr>
              <w:shd w:val="clear" w:color="auto" w:fill="FFFFFF"/>
              <w:ind w:firstLine="306"/>
              <w:jc w:val="both"/>
              <w:rPr>
                <w:rFonts w:ascii="Times New Roman" w:hAnsi="Times New Roman" w:cs="Times New Roman"/>
                <w:sz w:val="22"/>
                <w:szCs w:val="22"/>
              </w:rPr>
            </w:pPr>
            <w:r w:rsidRPr="00D32097">
              <w:rPr>
                <w:rFonts w:ascii="Times New Roman" w:hAnsi="Times New Roman" w:cs="Times New Roman"/>
                <w:sz w:val="22"/>
                <w:szCs w:val="22"/>
              </w:rPr>
              <w:t>«заява»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rsidR="00BB1D41" w:rsidRPr="00D32097" w:rsidRDefault="00BB1D41" w:rsidP="008F2112">
            <w:pPr>
              <w:shd w:val="clear" w:color="auto" w:fill="FFFFFF"/>
              <w:ind w:firstLine="306"/>
              <w:jc w:val="both"/>
              <w:rPr>
                <w:rFonts w:ascii="Times New Roman" w:hAnsi="Times New Roman" w:cs="Times New Roman"/>
                <w:sz w:val="22"/>
                <w:szCs w:val="22"/>
              </w:rPr>
            </w:pPr>
            <w:r w:rsidRPr="00D32097">
              <w:rPr>
                <w:rFonts w:ascii="Times New Roman" w:hAnsi="Times New Roman" w:cs="Times New Roman"/>
                <w:sz w:val="22"/>
                <w:szCs w:val="22"/>
              </w:rPr>
              <w:t xml:space="preserve">«ТУ» (завантажуються технічні умови, розрахунок вартості надання послуги з приєднання, рахунок на оплату вартості надання послуги з приєднання, </w:t>
            </w:r>
            <w:r w:rsidRPr="00D32097">
              <w:rPr>
                <w:rFonts w:ascii="Times New Roman" w:hAnsi="Times New Roman" w:cs="Times New Roman"/>
                <w:b/>
                <w:sz w:val="22"/>
                <w:szCs w:val="22"/>
              </w:rPr>
              <w:t>рахунок на сплату вартості послуги з комерційного обліку електричної енергії</w:t>
            </w:r>
            <w:r w:rsidRPr="00D32097">
              <w:rPr>
                <w:rFonts w:ascii="Times New Roman" w:hAnsi="Times New Roman" w:cs="Times New Roman"/>
                <w:sz w:val="22"/>
                <w:szCs w:val="22"/>
              </w:rPr>
              <w:t xml:space="preserve"> </w:t>
            </w:r>
            <w:r w:rsidRPr="00D32097">
              <w:rPr>
                <w:rFonts w:ascii="Times New Roman" w:hAnsi="Times New Roman" w:cs="Times New Roman"/>
                <w:b/>
                <w:sz w:val="22"/>
                <w:szCs w:val="22"/>
              </w:rPr>
              <w:t>(за наявності),</w:t>
            </w:r>
            <w:r w:rsidRPr="00D32097">
              <w:rPr>
                <w:rFonts w:ascii="Times New Roman" w:hAnsi="Times New Roman" w:cs="Times New Roman"/>
                <w:sz w:val="22"/>
                <w:szCs w:val="22"/>
              </w:rPr>
              <w:t xml:space="preserve"> </w:t>
            </w:r>
            <w:r w:rsidRPr="00D32097">
              <w:rPr>
                <w:rFonts w:ascii="Times New Roman" w:hAnsi="Times New Roman" w:cs="Times New Roman"/>
                <w:b/>
                <w:sz w:val="22"/>
                <w:szCs w:val="22"/>
              </w:rPr>
              <w:t xml:space="preserve">вимоги (технічні заходи) ОСП/інших суб’єктів господарювання, виконання яких </w:t>
            </w:r>
            <w:r w:rsidRPr="00D32097">
              <w:rPr>
                <w:rFonts w:ascii="Times New Roman" w:hAnsi="Times New Roman" w:cs="Times New Roman"/>
                <w:b/>
                <w:sz w:val="22"/>
                <w:szCs w:val="22"/>
              </w:rPr>
              <w:lastRenderedPageBreak/>
              <w:t>необхідне в електричних мережах ОСП/інших суб’єктів господарювання для забезпечення технічної можливості приєднання, які були надані ОСР для включення в технічні умови замовника</w:t>
            </w:r>
            <w:r w:rsidRPr="00D32097">
              <w:rPr>
                <w:rFonts w:ascii="Times New Roman" w:hAnsi="Times New Roman" w:cs="Times New Roman"/>
                <w:sz w:val="22"/>
                <w:szCs w:val="22"/>
              </w:rPr>
              <w:t>);</w:t>
            </w:r>
          </w:p>
          <w:p w:rsidR="00BB1D41" w:rsidRPr="00D32097" w:rsidRDefault="00BB1D41" w:rsidP="008F2112">
            <w:pPr>
              <w:shd w:val="clear" w:color="auto" w:fill="FFFFFF"/>
              <w:ind w:firstLine="306"/>
              <w:jc w:val="both"/>
              <w:rPr>
                <w:rFonts w:ascii="Times New Roman" w:hAnsi="Times New Roman" w:cs="Times New Roman"/>
                <w:b/>
                <w:strike/>
                <w:color w:val="0070C0"/>
                <w:sz w:val="22"/>
                <w:szCs w:val="22"/>
              </w:rPr>
            </w:pPr>
            <w:r w:rsidRPr="00D32097">
              <w:rPr>
                <w:rFonts w:ascii="Times New Roman" w:hAnsi="Times New Roman" w:cs="Times New Roman"/>
                <w:b/>
                <w:strike/>
                <w:color w:val="0070C0"/>
                <w:sz w:val="22"/>
                <w:szCs w:val="22"/>
              </w:rPr>
              <w:t>«землевідведення»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BB1D41" w:rsidRPr="00D32097" w:rsidRDefault="00BB1D41" w:rsidP="008F2112">
            <w:pPr>
              <w:shd w:val="clear" w:color="auto" w:fill="FFFFFF"/>
              <w:ind w:firstLine="306"/>
              <w:jc w:val="both"/>
              <w:rPr>
                <w:rFonts w:ascii="Times New Roman" w:hAnsi="Times New Roman" w:cs="Times New Roman"/>
                <w:b/>
                <w:strike/>
                <w:color w:val="0070C0"/>
                <w:sz w:val="22"/>
                <w:szCs w:val="22"/>
              </w:rPr>
            </w:pPr>
            <w:r w:rsidRPr="00D32097">
              <w:rPr>
                <w:rFonts w:ascii="Times New Roman" w:hAnsi="Times New Roman" w:cs="Times New Roman"/>
                <w:b/>
                <w:strike/>
                <w:color w:val="0070C0"/>
                <w:sz w:val="22"/>
                <w:szCs w:val="22"/>
              </w:rPr>
              <w:t xml:space="preserve">«стан виконання заходів» (технічні рішення до </w:t>
            </w:r>
            <w:proofErr w:type="spellStart"/>
            <w:r w:rsidRPr="00D32097">
              <w:rPr>
                <w:rFonts w:ascii="Times New Roman" w:hAnsi="Times New Roman" w:cs="Times New Roman"/>
                <w:b/>
                <w:strike/>
                <w:color w:val="0070C0"/>
                <w:sz w:val="22"/>
                <w:szCs w:val="22"/>
              </w:rPr>
              <w:t>проєктно</w:t>
            </w:r>
            <w:proofErr w:type="spellEnd"/>
            <w:r w:rsidRPr="00D32097">
              <w:rPr>
                <w:rFonts w:ascii="Times New Roman" w:hAnsi="Times New Roman" w:cs="Times New Roman"/>
                <w:b/>
                <w:strike/>
                <w:color w:val="0070C0"/>
                <w:sz w:val="22"/>
                <w:szCs w:val="22"/>
              </w:rPr>
              <w:t>-кошторисної документації, у тому числі розробленої замовником (із зауваженнями чи погодження ПКД без зауважень), звернення замовника щодо направлення звернення щодо розгляду ПКД);</w:t>
            </w:r>
          </w:p>
          <w:p w:rsidR="00BB1D41" w:rsidRPr="00D32097" w:rsidRDefault="00BB1D41" w:rsidP="008F2112">
            <w:pPr>
              <w:shd w:val="clear" w:color="auto" w:fill="FFFFFF"/>
              <w:ind w:firstLine="306"/>
              <w:jc w:val="both"/>
              <w:rPr>
                <w:rFonts w:ascii="Times New Roman" w:hAnsi="Times New Roman" w:cs="Times New Roman"/>
                <w:strike/>
                <w:color w:val="0070C0"/>
                <w:sz w:val="22"/>
                <w:szCs w:val="22"/>
              </w:rPr>
            </w:pPr>
            <w:r w:rsidRPr="00D32097">
              <w:rPr>
                <w:rFonts w:ascii="Times New Roman" w:hAnsi="Times New Roman" w:cs="Times New Roman"/>
                <w:sz w:val="22"/>
                <w:szCs w:val="22"/>
              </w:rPr>
              <w:t>«завершення приєднання» (завантажуються повідомлення про надання послуги з приєднання/акт про надання послуги з приєднання</w:t>
            </w:r>
            <w:r w:rsidRPr="00D32097">
              <w:rPr>
                <w:rFonts w:ascii="Times New Roman" w:hAnsi="Times New Roman" w:cs="Times New Roman"/>
                <w:b/>
                <w:sz w:val="22"/>
                <w:szCs w:val="22"/>
              </w:rPr>
              <w:t xml:space="preserve">, </w:t>
            </w:r>
            <w:r w:rsidRPr="00D32097">
              <w:rPr>
                <w:rFonts w:ascii="Times New Roman" w:hAnsi="Times New Roman" w:cs="Times New Roman"/>
                <w:b/>
                <w:strike/>
                <w:color w:val="0070C0"/>
                <w:sz w:val="22"/>
                <w:szCs w:val="22"/>
              </w:rPr>
              <w:t xml:space="preserve">паспорт точки розподілу/передачі та </w:t>
            </w:r>
            <w:r w:rsidRPr="00D32097">
              <w:rPr>
                <w:rFonts w:ascii="Times New Roman" w:hAnsi="Times New Roman" w:cs="Times New Roman"/>
                <w:b/>
                <w:strike/>
                <w:color w:val="0070C0"/>
                <w:sz w:val="22"/>
                <w:szCs w:val="22"/>
              </w:rPr>
              <w:lastRenderedPageBreak/>
              <w:t>заява-приєднання до розробленого оператором системи розподілу договору споживача про надання послуг з розподілу електричної енергії у випадку, передбаченому пунктом 4.8.3 цього Кодексу,</w:t>
            </w:r>
            <w:r w:rsidRPr="00D32097">
              <w:rPr>
                <w:rFonts w:ascii="Times New Roman" w:hAnsi="Times New Roman" w:cs="Times New Roman"/>
                <w:strike/>
                <w:color w:val="0070C0"/>
                <w:sz w:val="22"/>
                <w:szCs w:val="22"/>
              </w:rPr>
              <w:t xml:space="preserve"> </w:t>
            </w:r>
            <w:r w:rsidRPr="00D32097">
              <w:rPr>
                <w:rFonts w:ascii="Times New Roman" w:hAnsi="Times New Roman" w:cs="Times New Roman"/>
                <w:b/>
                <w:strike/>
                <w:color w:val="0070C0"/>
                <w:sz w:val="22"/>
                <w:szCs w:val="22"/>
              </w:rPr>
              <w:t>додаткові угоди до договорів про приєднання, у тому числі щодо продовження строків надання послуг з приєднань</w:t>
            </w:r>
            <w:r w:rsidRPr="00D32097">
              <w:rPr>
                <w:rFonts w:ascii="Times New Roman" w:hAnsi="Times New Roman" w:cs="Times New Roman"/>
                <w:strike/>
                <w:color w:val="0070C0"/>
                <w:sz w:val="22"/>
                <w:szCs w:val="22"/>
              </w:rPr>
              <w:t>);</w:t>
            </w:r>
          </w:p>
          <w:p w:rsidR="00BB1D41" w:rsidRPr="00D32097" w:rsidRDefault="00BB1D41" w:rsidP="008F2112">
            <w:pPr>
              <w:shd w:val="clear" w:color="auto" w:fill="FFFFFF"/>
              <w:ind w:firstLine="227"/>
              <w:contextualSpacing/>
              <w:jc w:val="both"/>
              <w:rPr>
                <w:rFonts w:ascii="Times New Roman" w:hAnsi="Times New Roman" w:cs="Times New Roman"/>
                <w:b/>
                <w:bCs/>
                <w:color w:val="0070C0"/>
                <w:sz w:val="22"/>
                <w:szCs w:val="22"/>
              </w:rPr>
            </w:pPr>
            <w:r w:rsidRPr="00D32097">
              <w:rPr>
                <w:rFonts w:ascii="Times New Roman" w:hAnsi="Times New Roman" w:cs="Times New Roman"/>
                <w:b/>
                <w:bCs/>
                <w:color w:val="0070C0"/>
                <w:sz w:val="22"/>
                <w:szCs w:val="22"/>
              </w:rPr>
              <w:t>Завантаження  інших обов’язкових документів допускається не пізніше 5 робочих днів з дня відображення даних в звітності, зокрема:</w:t>
            </w:r>
          </w:p>
          <w:p w:rsidR="00BB1D41" w:rsidRPr="00D32097" w:rsidRDefault="00BB1D41" w:rsidP="008F2112">
            <w:pPr>
              <w:shd w:val="clear" w:color="auto" w:fill="FFFFFF"/>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BB1D41" w:rsidRPr="00D32097" w:rsidRDefault="00BB1D41" w:rsidP="008F2112">
            <w:pPr>
              <w:shd w:val="clear" w:color="auto" w:fill="FFFFFF"/>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 xml:space="preserve">«стан виконання заходів» (технічні рішення до </w:t>
            </w:r>
            <w:proofErr w:type="spellStart"/>
            <w:r w:rsidRPr="00D32097">
              <w:rPr>
                <w:rFonts w:ascii="Times New Roman" w:hAnsi="Times New Roman" w:cs="Times New Roman"/>
                <w:b/>
                <w:color w:val="0070C0"/>
                <w:sz w:val="22"/>
                <w:szCs w:val="22"/>
              </w:rPr>
              <w:t>проєктно</w:t>
            </w:r>
            <w:proofErr w:type="spellEnd"/>
            <w:r w:rsidRPr="00D32097">
              <w:rPr>
                <w:rFonts w:ascii="Times New Roman" w:hAnsi="Times New Roman" w:cs="Times New Roman"/>
                <w:b/>
                <w:color w:val="0070C0"/>
                <w:sz w:val="22"/>
                <w:szCs w:val="22"/>
              </w:rPr>
              <w:t xml:space="preserve">-кошторисної документації, у тому числі розробленої замовником (із </w:t>
            </w:r>
            <w:r w:rsidRPr="00D32097">
              <w:rPr>
                <w:rFonts w:ascii="Times New Roman" w:hAnsi="Times New Roman" w:cs="Times New Roman"/>
                <w:b/>
                <w:color w:val="0070C0"/>
                <w:sz w:val="22"/>
                <w:szCs w:val="22"/>
              </w:rPr>
              <w:lastRenderedPageBreak/>
              <w:t>зауваженнями чи погодження ПКД без зауважень), звернення замовника щодо направлення звернення щодо розгляду ПКД);</w:t>
            </w:r>
          </w:p>
          <w:p w:rsidR="00BB1D41" w:rsidRPr="00D32097" w:rsidRDefault="00BB1D41" w:rsidP="008F2112">
            <w:pPr>
              <w:shd w:val="clear" w:color="auto" w:fill="FFFFFF"/>
              <w:ind w:firstLine="227"/>
              <w:contextualSpacing/>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«паспорт точки розподілу/передачі та заява-приєднання до розробленого оператором системи розподілу договору споживача про надання послуг з розподілу електричної енергії» у випадку, передбаченому пунктом 4.8.3 цього Кодексу,</w:t>
            </w:r>
            <w:r w:rsidRPr="00D32097">
              <w:rPr>
                <w:rFonts w:ascii="Times New Roman" w:hAnsi="Times New Roman" w:cs="Times New Roman"/>
                <w:color w:val="0070C0"/>
                <w:sz w:val="22"/>
                <w:szCs w:val="22"/>
              </w:rPr>
              <w:t xml:space="preserve"> </w:t>
            </w:r>
            <w:r w:rsidRPr="00D32097">
              <w:rPr>
                <w:rFonts w:ascii="Times New Roman" w:hAnsi="Times New Roman" w:cs="Times New Roman"/>
                <w:b/>
                <w:color w:val="0070C0"/>
                <w:sz w:val="22"/>
                <w:szCs w:val="22"/>
              </w:rPr>
              <w:t>додаткові угоди до договорів про приєднання, у тому числі щодо продовження строків надання послуг з приєднань</w:t>
            </w:r>
            <w:r w:rsidRPr="00D32097">
              <w:rPr>
                <w:rFonts w:ascii="Times New Roman" w:hAnsi="Times New Roman" w:cs="Times New Roman"/>
                <w:color w:val="0070C0"/>
                <w:sz w:val="22"/>
                <w:szCs w:val="22"/>
              </w:rPr>
              <w:t>);</w:t>
            </w:r>
          </w:p>
          <w:p w:rsidR="00BB1D41" w:rsidRPr="00D32097" w:rsidRDefault="00BB1D41" w:rsidP="008F2112">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sz w:val="22"/>
                <w:szCs w:val="22"/>
              </w:rPr>
              <w:t>завантаження інших документів на інших вкладках є необов'язковим та здійснюється за необхідності.</w:t>
            </w:r>
          </w:p>
        </w:tc>
        <w:tc>
          <w:tcPr>
            <w:tcW w:w="3899" w:type="dxa"/>
          </w:tcPr>
          <w:p w:rsidR="00BB1D41" w:rsidRPr="00D32097" w:rsidRDefault="00BB1D41" w:rsidP="008F2112">
            <w:pPr>
              <w:ind w:firstLine="182"/>
              <w:jc w:val="both"/>
              <w:rPr>
                <w:rFonts w:ascii="Times New Roman" w:hAnsi="Times New Roman" w:cs="Times New Roman"/>
                <w:sz w:val="22"/>
                <w:szCs w:val="24"/>
              </w:rPr>
            </w:pPr>
            <w:r w:rsidRPr="00D32097">
              <w:rPr>
                <w:rFonts w:ascii="Times New Roman" w:hAnsi="Times New Roman" w:cs="Times New Roman"/>
                <w:sz w:val="22"/>
                <w:szCs w:val="24"/>
              </w:rPr>
              <w:lastRenderedPageBreak/>
              <w:t>Для перевірки в ОСР коректності даних внесених в Систему моніторингу та наявності всіх підписаних з обох боків обов’язкових документів.</w:t>
            </w:r>
          </w:p>
        </w:tc>
        <w:tc>
          <w:tcPr>
            <w:tcW w:w="3900" w:type="dxa"/>
            <w:gridSpan w:val="2"/>
          </w:tcPr>
          <w:p w:rsidR="00A103DC" w:rsidRDefault="00A103DC" w:rsidP="00A103DC">
            <w:pPr>
              <w:ind w:firstLine="174"/>
              <w:rPr>
                <w:rFonts w:ascii="Times New Roman" w:hAnsi="Times New Roman" w:cs="Times New Roman"/>
                <w:b/>
                <w:sz w:val="22"/>
                <w:szCs w:val="24"/>
                <w:lang w:eastAsia="uk-UA"/>
              </w:rPr>
            </w:pPr>
          </w:p>
          <w:p w:rsidR="00A103DC" w:rsidRDefault="00A103DC" w:rsidP="00A103DC">
            <w:pPr>
              <w:ind w:firstLine="174"/>
              <w:rPr>
                <w:rFonts w:ascii="Times New Roman" w:hAnsi="Times New Roman" w:cs="Times New Roman"/>
                <w:b/>
                <w:sz w:val="22"/>
                <w:szCs w:val="24"/>
                <w:lang w:eastAsia="uk-UA"/>
              </w:rPr>
            </w:pPr>
          </w:p>
          <w:p w:rsidR="00A103DC" w:rsidRDefault="00A103DC" w:rsidP="00A103DC">
            <w:pPr>
              <w:ind w:firstLine="174"/>
              <w:rPr>
                <w:rFonts w:ascii="Times New Roman" w:hAnsi="Times New Roman" w:cs="Times New Roman"/>
                <w:b/>
                <w:sz w:val="22"/>
                <w:szCs w:val="24"/>
                <w:lang w:eastAsia="uk-UA"/>
              </w:rPr>
            </w:pPr>
          </w:p>
          <w:p w:rsidR="00A103DC" w:rsidRDefault="00A103DC" w:rsidP="00A103DC">
            <w:pPr>
              <w:ind w:firstLine="174"/>
              <w:rPr>
                <w:rFonts w:ascii="Times New Roman" w:hAnsi="Times New Roman" w:cs="Times New Roman"/>
                <w:b/>
                <w:sz w:val="22"/>
                <w:szCs w:val="24"/>
                <w:lang w:eastAsia="uk-UA"/>
              </w:rPr>
            </w:pPr>
          </w:p>
          <w:p w:rsidR="00A103DC" w:rsidRDefault="00A103DC" w:rsidP="00A103DC">
            <w:pPr>
              <w:ind w:firstLine="174"/>
              <w:rPr>
                <w:rFonts w:ascii="Times New Roman" w:hAnsi="Times New Roman" w:cs="Times New Roman"/>
                <w:b/>
                <w:sz w:val="22"/>
                <w:szCs w:val="24"/>
                <w:lang w:eastAsia="uk-UA"/>
              </w:rPr>
            </w:pPr>
          </w:p>
          <w:p w:rsidR="00A103DC" w:rsidRDefault="00A103DC" w:rsidP="00A103DC">
            <w:pPr>
              <w:ind w:firstLine="174"/>
              <w:rPr>
                <w:rFonts w:ascii="Times New Roman" w:hAnsi="Times New Roman" w:cs="Times New Roman"/>
                <w:b/>
                <w:sz w:val="22"/>
                <w:szCs w:val="24"/>
                <w:lang w:eastAsia="uk-UA"/>
              </w:rPr>
            </w:pPr>
          </w:p>
          <w:p w:rsidR="00120B3E" w:rsidRDefault="00120B3E" w:rsidP="00120B3E">
            <w:pPr>
              <w:ind w:firstLine="174"/>
              <w:rPr>
                <w:rFonts w:ascii="Times New Roman" w:hAnsi="Times New Roman" w:cs="Times New Roman"/>
                <w:b/>
                <w:sz w:val="22"/>
                <w:szCs w:val="24"/>
                <w:lang w:eastAsia="uk-UA"/>
              </w:rPr>
            </w:pPr>
            <w:r>
              <w:rPr>
                <w:rFonts w:ascii="Times New Roman" w:hAnsi="Times New Roman" w:cs="Times New Roman"/>
                <w:b/>
                <w:sz w:val="22"/>
                <w:szCs w:val="24"/>
                <w:lang w:eastAsia="uk-UA"/>
              </w:rPr>
              <w:t>Пропонується врахувати частково в редакції:</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1.11. Система моніторингу приєднань згідно з вимогами Кодексу систем розподілу автоматично генерує номер заяви про приєднання, номер технічних умов та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 відповідно до затвердженої форми згідно з Кодексом систем розподілу та Кодексом системи передачі в день внесення відповідної інформації та переходу запису про приєднання в наступний статус.</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trike/>
                <w:sz w:val="22"/>
                <w:szCs w:val="24"/>
              </w:rPr>
              <w:lastRenderedPageBreak/>
              <w:t>Дати</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 xml:space="preserve">Інформація щодо надходження </w:t>
            </w:r>
            <w:r w:rsidRPr="00D32097">
              <w:rPr>
                <w:rFonts w:ascii="Times New Roman" w:hAnsi="Times New Roman" w:cs="Times New Roman"/>
                <w:sz w:val="22"/>
                <w:szCs w:val="24"/>
              </w:rPr>
              <w:t>заяви про приєднання, видачі технічних умов та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 вносяться ОСП/ОСР до системи моніторингу приєднань у день реєстрації заяви про приєднання, видачі технічних умов, надання повідомлення (</w:t>
            </w:r>
            <w:proofErr w:type="spellStart"/>
            <w:r w:rsidRPr="00D32097">
              <w:rPr>
                <w:rFonts w:ascii="Times New Roman" w:hAnsi="Times New Roman" w:cs="Times New Roman"/>
                <w:sz w:val="22"/>
                <w:szCs w:val="24"/>
              </w:rPr>
              <w:t>акта</w:t>
            </w:r>
            <w:proofErr w:type="spellEnd"/>
            <w:r w:rsidRPr="00D32097">
              <w:rPr>
                <w:rFonts w:ascii="Times New Roman" w:hAnsi="Times New Roman" w:cs="Times New Roman"/>
                <w:sz w:val="22"/>
                <w:szCs w:val="24"/>
              </w:rPr>
              <w:t>) про надання послуги з приєднання.</w:t>
            </w:r>
          </w:p>
          <w:p w:rsidR="00A103DC" w:rsidRPr="00D32097" w:rsidRDefault="00A103DC" w:rsidP="00A103DC">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sz w:val="22"/>
                <w:szCs w:val="24"/>
              </w:rPr>
              <w:t xml:space="preserve">Обов'язкові для завантаження документи на вкладках приєднання до системи моніторингу приєднань завантажуються </w:t>
            </w:r>
            <w:r w:rsidRPr="00D32097">
              <w:rPr>
                <w:rFonts w:ascii="Times New Roman" w:hAnsi="Times New Roman" w:cs="Times New Roman"/>
                <w:b/>
                <w:sz w:val="22"/>
                <w:szCs w:val="24"/>
              </w:rPr>
              <w:t>ОСП/ОСР</w:t>
            </w:r>
            <w:r w:rsidRPr="00D32097">
              <w:rPr>
                <w:rFonts w:ascii="Times New Roman" w:hAnsi="Times New Roman" w:cs="Times New Roman"/>
                <w:sz w:val="22"/>
                <w:szCs w:val="24"/>
              </w:rPr>
              <w:t xml:space="preserve"> у день внесення відповідної інформації</w:t>
            </w:r>
            <w:r w:rsidRPr="00D32097">
              <w:rPr>
                <w:rFonts w:ascii="Times New Roman" w:hAnsi="Times New Roman" w:cs="Times New Roman"/>
                <w:b/>
                <w:sz w:val="22"/>
                <w:szCs w:val="24"/>
              </w:rPr>
              <w:t>, яку підтверджують ці документи</w:t>
            </w:r>
            <w:r w:rsidRPr="00D32097">
              <w:rPr>
                <w:rFonts w:ascii="Times New Roman" w:hAnsi="Times New Roman" w:cs="Times New Roman"/>
                <w:sz w:val="22"/>
                <w:szCs w:val="24"/>
              </w:rPr>
              <w:t>.</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Інша інформація до системи моніторингу приєднань заноситься ОСП/ОСР не пізніше </w:t>
            </w:r>
            <w:r w:rsidRPr="00A103DC">
              <w:rPr>
                <w:rFonts w:ascii="Times New Roman" w:hAnsi="Times New Roman" w:cs="Times New Roman"/>
                <w:strike/>
                <w:color w:val="00B050"/>
                <w:sz w:val="22"/>
                <w:szCs w:val="24"/>
              </w:rPr>
              <w:t>наступного</w:t>
            </w:r>
            <w:r w:rsidRPr="00A103DC">
              <w:rPr>
                <w:rFonts w:ascii="Times New Roman" w:hAnsi="Times New Roman" w:cs="Times New Roman"/>
                <w:color w:val="00B050"/>
                <w:sz w:val="22"/>
                <w:szCs w:val="24"/>
              </w:rPr>
              <w:t xml:space="preserve"> </w:t>
            </w:r>
            <w:r w:rsidRPr="00A103DC">
              <w:rPr>
                <w:rFonts w:ascii="Times New Roman" w:hAnsi="Times New Roman" w:cs="Times New Roman"/>
                <w:strike/>
                <w:color w:val="00B050"/>
                <w:sz w:val="22"/>
                <w:szCs w:val="24"/>
              </w:rPr>
              <w:t>робочого дня</w:t>
            </w:r>
            <w:r w:rsidRPr="00A103DC">
              <w:rPr>
                <w:rFonts w:ascii="Times New Roman" w:hAnsi="Times New Roman" w:cs="Times New Roman"/>
                <w:color w:val="00B050"/>
                <w:sz w:val="22"/>
                <w:szCs w:val="24"/>
              </w:rPr>
              <w:t xml:space="preserve"> </w:t>
            </w:r>
            <w:r w:rsidRPr="00A103DC">
              <w:rPr>
                <w:rFonts w:ascii="Times New Roman" w:hAnsi="Times New Roman" w:cs="Times New Roman"/>
                <w:b/>
                <w:color w:val="00B050"/>
                <w:sz w:val="22"/>
                <w:szCs w:val="24"/>
              </w:rPr>
              <w:t>п’яти робочих днів</w:t>
            </w:r>
            <w:r w:rsidRPr="00A103DC">
              <w:rPr>
                <w:rFonts w:ascii="Times New Roman" w:hAnsi="Times New Roman" w:cs="Times New Roman"/>
                <w:color w:val="00B050"/>
                <w:sz w:val="22"/>
                <w:szCs w:val="24"/>
              </w:rPr>
              <w:t xml:space="preserve"> </w:t>
            </w:r>
            <w:r w:rsidRPr="00D32097">
              <w:rPr>
                <w:rFonts w:ascii="Times New Roman" w:hAnsi="Times New Roman" w:cs="Times New Roman"/>
                <w:sz w:val="22"/>
                <w:szCs w:val="24"/>
              </w:rPr>
              <w:t>з дня настання змін у процедурі надання послуги з приєднання.</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Обов</w:t>
            </w:r>
            <w:r w:rsidR="00B3695D">
              <w:rPr>
                <w:rFonts w:ascii="Times New Roman" w:hAnsi="Times New Roman" w:cs="Times New Roman"/>
                <w:sz w:val="22"/>
                <w:szCs w:val="24"/>
              </w:rPr>
              <w:t>’</w:t>
            </w:r>
            <w:r w:rsidRPr="00D32097">
              <w:rPr>
                <w:rFonts w:ascii="Times New Roman" w:hAnsi="Times New Roman" w:cs="Times New Roman"/>
                <w:sz w:val="22"/>
                <w:szCs w:val="24"/>
              </w:rPr>
              <w:t>язковими для завантаження є такі документи на вкладках:</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«заява» (завантажується заява про приєднання з усіма додатками до неї та лист із зауваженнями до заяви про приєднання, надісланий замовнику (у випадку наявності зауважень);</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«ТУ» (завантажуються технічні умови, розрахунок вартості надання послуги з приєднання, рахунок на оплату вартості надання послуги з приєднання, </w:t>
            </w:r>
            <w:r w:rsidRPr="00D32097">
              <w:rPr>
                <w:rFonts w:ascii="Times New Roman" w:hAnsi="Times New Roman" w:cs="Times New Roman"/>
                <w:b/>
                <w:sz w:val="22"/>
                <w:szCs w:val="24"/>
              </w:rPr>
              <w:t>рахунок на сплату вартості послуги з комерційного обліку електричної енергії</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(за наявності),</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 xml:space="preserve">вимоги (технічні заходи) ОСП/інших суб’єктів господарювання, виконання яких </w:t>
            </w:r>
            <w:r w:rsidRPr="00D32097">
              <w:rPr>
                <w:rFonts w:ascii="Times New Roman" w:hAnsi="Times New Roman" w:cs="Times New Roman"/>
                <w:b/>
                <w:sz w:val="22"/>
                <w:szCs w:val="24"/>
              </w:rPr>
              <w:lastRenderedPageBreak/>
              <w:t>необхідне в електричних мережах ОСП/інших суб’єктів господарювання для забезпечення технічної можливості приєднання, які були надані ОСР для включення в технічні умови замовника</w:t>
            </w:r>
            <w:r w:rsidRPr="00D32097">
              <w:rPr>
                <w:rFonts w:ascii="Times New Roman" w:hAnsi="Times New Roman" w:cs="Times New Roman"/>
                <w:sz w:val="22"/>
                <w:szCs w:val="24"/>
              </w:rPr>
              <w:t>);</w:t>
            </w:r>
          </w:p>
          <w:p w:rsidR="00A103DC" w:rsidRPr="00D32097" w:rsidRDefault="00A103DC" w:rsidP="00A103DC">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b/>
                <w:sz w:val="22"/>
                <w:szCs w:val="24"/>
              </w:rPr>
              <w:t>«землевідведення»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A103DC" w:rsidRPr="00D32097" w:rsidRDefault="00A103DC" w:rsidP="00A103DC">
            <w:pPr>
              <w:shd w:val="clear" w:color="auto" w:fill="FFFFFF"/>
              <w:ind w:firstLine="306"/>
              <w:jc w:val="both"/>
              <w:rPr>
                <w:rFonts w:ascii="Times New Roman" w:hAnsi="Times New Roman" w:cs="Times New Roman"/>
                <w:b/>
                <w:sz w:val="22"/>
                <w:szCs w:val="24"/>
              </w:rPr>
            </w:pPr>
            <w:r w:rsidRPr="00D32097">
              <w:rPr>
                <w:rFonts w:ascii="Times New Roman" w:hAnsi="Times New Roman" w:cs="Times New Roman"/>
                <w:b/>
                <w:sz w:val="22"/>
                <w:szCs w:val="24"/>
              </w:rPr>
              <w:t xml:space="preserve">«стан виконання заходів» (технічні рішення до </w:t>
            </w:r>
            <w:proofErr w:type="spellStart"/>
            <w:r w:rsidRPr="00D32097">
              <w:rPr>
                <w:rFonts w:ascii="Times New Roman" w:hAnsi="Times New Roman" w:cs="Times New Roman"/>
                <w:b/>
                <w:sz w:val="22"/>
                <w:szCs w:val="24"/>
              </w:rPr>
              <w:t>проєктно</w:t>
            </w:r>
            <w:proofErr w:type="spellEnd"/>
            <w:r w:rsidRPr="00D32097">
              <w:rPr>
                <w:rFonts w:ascii="Times New Roman" w:hAnsi="Times New Roman" w:cs="Times New Roman"/>
                <w:b/>
                <w:sz w:val="22"/>
                <w:szCs w:val="24"/>
              </w:rPr>
              <w:t>-кошторисної документації, у тому числі розробленої замовником (із зауваженнями чи погодження ПКД без зауважень), звернення замовника щодо направлення звернення щодо розгляду ПКД);</w:t>
            </w:r>
          </w:p>
          <w:p w:rsidR="00A103DC" w:rsidRPr="00D32097" w:rsidRDefault="00A103DC" w:rsidP="00A103DC">
            <w:pPr>
              <w:shd w:val="clear" w:color="auto" w:fill="FFFFFF"/>
              <w:ind w:firstLine="306"/>
              <w:jc w:val="both"/>
              <w:rPr>
                <w:rFonts w:ascii="Times New Roman" w:hAnsi="Times New Roman" w:cs="Times New Roman"/>
                <w:sz w:val="22"/>
                <w:szCs w:val="24"/>
              </w:rPr>
            </w:pPr>
            <w:r w:rsidRPr="00D32097">
              <w:rPr>
                <w:rFonts w:ascii="Times New Roman" w:hAnsi="Times New Roman" w:cs="Times New Roman"/>
                <w:sz w:val="22"/>
                <w:szCs w:val="24"/>
              </w:rPr>
              <w:t>«завершення приєднання» (завантажуються повідомлення про надання послуги з приєднання/акт про надання послуги з приєднання</w:t>
            </w:r>
            <w:r w:rsidRPr="00D32097">
              <w:rPr>
                <w:rFonts w:ascii="Times New Roman" w:hAnsi="Times New Roman" w:cs="Times New Roman"/>
                <w:b/>
                <w:sz w:val="22"/>
                <w:szCs w:val="24"/>
              </w:rPr>
              <w:t xml:space="preserve">, паспорт точки розподілу/передачі та </w:t>
            </w:r>
            <w:r w:rsidRPr="00D32097">
              <w:rPr>
                <w:rFonts w:ascii="Times New Roman" w:hAnsi="Times New Roman" w:cs="Times New Roman"/>
                <w:b/>
                <w:sz w:val="22"/>
                <w:szCs w:val="24"/>
              </w:rPr>
              <w:lastRenderedPageBreak/>
              <w:t>заява-приєднання до розробленого оператором системи розподілу договору споживача про надання послуг з розподілу електричної енергії у випадку, передбаченому пунктом 4.8.3 цього Кодексу,</w:t>
            </w:r>
            <w:r w:rsidRPr="00D32097">
              <w:rPr>
                <w:rFonts w:ascii="Times New Roman" w:hAnsi="Times New Roman" w:cs="Times New Roman"/>
                <w:sz w:val="22"/>
                <w:szCs w:val="24"/>
              </w:rPr>
              <w:t xml:space="preserve"> </w:t>
            </w:r>
            <w:r w:rsidRPr="00D32097">
              <w:rPr>
                <w:rFonts w:ascii="Times New Roman" w:hAnsi="Times New Roman" w:cs="Times New Roman"/>
                <w:b/>
                <w:sz w:val="22"/>
                <w:szCs w:val="24"/>
              </w:rPr>
              <w:t>додаткові угоди до договорів про приєднання, у тому числі щодо продовження строків надання послуг з приєднань</w:t>
            </w:r>
            <w:r w:rsidRPr="00D32097">
              <w:rPr>
                <w:rFonts w:ascii="Times New Roman" w:hAnsi="Times New Roman" w:cs="Times New Roman"/>
                <w:sz w:val="22"/>
                <w:szCs w:val="24"/>
              </w:rPr>
              <w:t>);</w:t>
            </w:r>
          </w:p>
          <w:p w:rsidR="00F20224" w:rsidRPr="00D32097" w:rsidRDefault="00A103DC" w:rsidP="00A103DC">
            <w:pPr>
              <w:ind w:firstLine="174"/>
              <w:jc w:val="both"/>
              <w:rPr>
                <w:rFonts w:ascii="Times New Roman" w:hAnsi="Times New Roman" w:cs="Times New Roman"/>
                <w:sz w:val="22"/>
                <w:szCs w:val="24"/>
                <w:lang w:eastAsia="uk-UA"/>
              </w:rPr>
            </w:pPr>
            <w:r w:rsidRPr="00D32097">
              <w:rPr>
                <w:rFonts w:ascii="Times New Roman" w:hAnsi="Times New Roman" w:cs="Times New Roman"/>
                <w:sz w:val="22"/>
              </w:rPr>
              <w:t>завантаження інших документів на інших вкладках є необов'язковим та здійснюється за необхідності.</w:t>
            </w:r>
          </w:p>
        </w:tc>
      </w:tr>
      <w:tr w:rsidR="00BB1D41" w:rsidRPr="00D32097" w:rsidTr="002E4622">
        <w:trPr>
          <w:trHeight w:val="218"/>
        </w:trPr>
        <w:tc>
          <w:tcPr>
            <w:tcW w:w="3899" w:type="dxa"/>
            <w:gridSpan w:val="2"/>
            <w:vMerge/>
          </w:tcPr>
          <w:p w:rsidR="00BB1D41" w:rsidRPr="00D32097" w:rsidRDefault="00BB1D41" w:rsidP="008F2112">
            <w:pPr>
              <w:tabs>
                <w:tab w:val="left" w:pos="993"/>
              </w:tabs>
              <w:ind w:firstLine="326"/>
              <w:jc w:val="both"/>
              <w:rPr>
                <w:b/>
                <w:color w:val="000000"/>
                <w:sz w:val="22"/>
                <w:szCs w:val="24"/>
              </w:rPr>
            </w:pPr>
          </w:p>
        </w:tc>
        <w:tc>
          <w:tcPr>
            <w:tcW w:w="3900" w:type="dxa"/>
            <w:gridSpan w:val="2"/>
          </w:tcPr>
          <w:p w:rsidR="00BB1D41" w:rsidRPr="00D32097" w:rsidRDefault="00BB1D41" w:rsidP="008F2112">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Гр. </w:t>
            </w:r>
            <w:proofErr w:type="spellStart"/>
            <w:r w:rsidRPr="00D32097">
              <w:rPr>
                <w:rFonts w:ascii="Times New Roman" w:hAnsi="Times New Roman" w:cs="Times New Roman"/>
                <w:b/>
                <w:sz w:val="22"/>
                <w:szCs w:val="22"/>
                <w:u w:val="single"/>
              </w:rPr>
              <w:t>Зоркін</w:t>
            </w:r>
            <w:proofErr w:type="spellEnd"/>
            <w:r w:rsidRPr="00D32097">
              <w:rPr>
                <w:rFonts w:ascii="Times New Roman" w:hAnsi="Times New Roman" w:cs="Times New Roman"/>
                <w:b/>
                <w:sz w:val="22"/>
                <w:szCs w:val="22"/>
                <w:u w:val="single"/>
              </w:rPr>
              <w:t xml:space="preserve"> А. В.</w:t>
            </w:r>
          </w:p>
          <w:p w:rsidR="00BB1D41" w:rsidRPr="00D32097" w:rsidRDefault="00BB1D41" w:rsidP="008020F6">
            <w:pPr>
              <w:ind w:firstLine="235"/>
              <w:jc w:val="both"/>
              <w:rPr>
                <w:rFonts w:ascii="Times New Roman" w:hAnsi="Times New Roman" w:cs="Times New Roman"/>
                <w:sz w:val="22"/>
                <w:szCs w:val="24"/>
              </w:rPr>
            </w:pPr>
            <w:r w:rsidRPr="00D32097">
              <w:rPr>
                <w:rFonts w:ascii="Times New Roman" w:hAnsi="Times New Roman" w:cs="Times New Roman"/>
                <w:sz w:val="22"/>
                <w:szCs w:val="24"/>
              </w:rPr>
              <w:t>Доцільно розширити перелік обов’язкових документів, що завантажуються на вкладку «</w:t>
            </w:r>
            <w:r w:rsidRPr="00D32097">
              <w:rPr>
                <w:rFonts w:ascii="Times New Roman" w:hAnsi="Times New Roman" w:cs="Times New Roman"/>
                <w:b/>
                <w:bCs/>
                <w:sz w:val="22"/>
                <w:szCs w:val="24"/>
              </w:rPr>
              <w:t>землевідведення</w:t>
            </w:r>
            <w:r w:rsidRPr="00D32097">
              <w:rPr>
                <w:rFonts w:ascii="Times New Roman" w:hAnsi="Times New Roman" w:cs="Times New Roman"/>
                <w:sz w:val="22"/>
                <w:szCs w:val="24"/>
              </w:rPr>
              <w:t>». Окрім повідомлень замовнику про збільшення строку надання послуги з приєднання, оператор системи має завантажувати документи, що підтверджують фактичне здійснення ним заходів із землевідведення: звернення до органів державної влади, органів місцевого самоврядування, землевласників або землекористувачів; отримані відповіді; зауваження до поданих документів; документи щодо усунення таких зауважень; повторні звернення; інші документи, що підтверджують перебіг процедури.</w:t>
            </w:r>
          </w:p>
          <w:p w:rsidR="00BB1D41" w:rsidRPr="00D32097" w:rsidRDefault="00BB1D41" w:rsidP="008020F6">
            <w:pPr>
              <w:ind w:firstLine="235"/>
              <w:jc w:val="both"/>
              <w:rPr>
                <w:rFonts w:ascii="Times New Roman" w:hAnsi="Times New Roman" w:cs="Times New Roman"/>
                <w:sz w:val="22"/>
                <w:szCs w:val="24"/>
              </w:rPr>
            </w:pPr>
            <w:r w:rsidRPr="00D32097">
              <w:rPr>
                <w:rFonts w:ascii="Times New Roman" w:hAnsi="Times New Roman" w:cs="Times New Roman"/>
                <w:sz w:val="22"/>
                <w:szCs w:val="24"/>
              </w:rPr>
              <w:lastRenderedPageBreak/>
              <w:t>Перелік документів у вкладці «</w:t>
            </w:r>
            <w:r w:rsidRPr="00D32097">
              <w:rPr>
                <w:rFonts w:ascii="Times New Roman" w:hAnsi="Times New Roman" w:cs="Times New Roman"/>
                <w:b/>
                <w:bCs/>
                <w:sz w:val="22"/>
                <w:szCs w:val="24"/>
              </w:rPr>
              <w:t>стан виконання заходів</w:t>
            </w:r>
            <w:r w:rsidRPr="00D32097">
              <w:rPr>
                <w:rFonts w:ascii="Times New Roman" w:hAnsi="Times New Roman" w:cs="Times New Roman"/>
                <w:sz w:val="22"/>
                <w:szCs w:val="24"/>
              </w:rPr>
              <w:t xml:space="preserve">» доцільно доповнити документами, які підтверджують фактичне проходження ключових етапів виконання робіт, зокрема </w:t>
            </w:r>
            <w:proofErr w:type="spellStart"/>
            <w:r w:rsidRPr="00D32097">
              <w:rPr>
                <w:rFonts w:ascii="Times New Roman" w:hAnsi="Times New Roman" w:cs="Times New Roman"/>
                <w:sz w:val="22"/>
                <w:szCs w:val="24"/>
              </w:rPr>
              <w:t>проєктування</w:t>
            </w:r>
            <w:proofErr w:type="spellEnd"/>
            <w:r w:rsidRPr="00D32097">
              <w:rPr>
                <w:rFonts w:ascii="Times New Roman" w:hAnsi="Times New Roman" w:cs="Times New Roman"/>
                <w:sz w:val="22"/>
                <w:szCs w:val="24"/>
              </w:rPr>
              <w:t xml:space="preserve">, експертизи, </w:t>
            </w:r>
            <w:proofErr w:type="spellStart"/>
            <w:r w:rsidRPr="00D32097">
              <w:rPr>
                <w:rFonts w:ascii="Times New Roman" w:hAnsi="Times New Roman" w:cs="Times New Roman"/>
                <w:sz w:val="22"/>
                <w:szCs w:val="24"/>
              </w:rPr>
              <w:t>закупівель</w:t>
            </w:r>
            <w:proofErr w:type="spellEnd"/>
            <w:r w:rsidRPr="00D32097">
              <w:rPr>
                <w:rFonts w:ascii="Times New Roman" w:hAnsi="Times New Roman" w:cs="Times New Roman"/>
                <w:sz w:val="22"/>
                <w:szCs w:val="24"/>
              </w:rPr>
              <w:t>, будівельно-монтажних та пусконалагоджувальних робіт. Це дозволить системі моніторингу відображати не лише формальний статус приєднання, а й фактичний стан виконання заходів.</w:t>
            </w:r>
          </w:p>
          <w:p w:rsidR="00BB1D41" w:rsidRPr="00D32097" w:rsidRDefault="00BB1D41" w:rsidP="008020F6">
            <w:pPr>
              <w:shd w:val="clear" w:color="auto" w:fill="FFFFFF"/>
              <w:ind w:firstLine="235"/>
              <w:jc w:val="both"/>
              <w:rPr>
                <w:b/>
                <w:sz w:val="22"/>
                <w:szCs w:val="22"/>
                <w:highlight w:val="yellow"/>
                <w:u w:val="single"/>
              </w:rPr>
            </w:pPr>
            <w:r w:rsidRPr="00D32097">
              <w:rPr>
                <w:rFonts w:ascii="Times New Roman" w:hAnsi="Times New Roman" w:cs="Times New Roman"/>
                <w:sz w:val="22"/>
                <w:szCs w:val="24"/>
              </w:rPr>
              <w:t xml:space="preserve">Доцільно передбачити </w:t>
            </w:r>
            <w:r w:rsidRPr="00D32097">
              <w:rPr>
                <w:rFonts w:ascii="Times New Roman" w:hAnsi="Times New Roman" w:cs="Times New Roman"/>
                <w:b/>
                <w:bCs/>
                <w:sz w:val="22"/>
                <w:szCs w:val="24"/>
              </w:rPr>
              <w:t>наслідки несвоєчасного внесення інформації</w:t>
            </w:r>
            <w:r w:rsidRPr="00D32097">
              <w:rPr>
                <w:rFonts w:ascii="Times New Roman" w:hAnsi="Times New Roman" w:cs="Times New Roman"/>
                <w:sz w:val="22"/>
                <w:szCs w:val="24"/>
              </w:rPr>
              <w:t xml:space="preserve"> або </w:t>
            </w:r>
            <w:proofErr w:type="spellStart"/>
            <w:r w:rsidRPr="00D32097">
              <w:rPr>
                <w:rFonts w:ascii="Times New Roman" w:hAnsi="Times New Roman" w:cs="Times New Roman"/>
                <w:sz w:val="22"/>
                <w:szCs w:val="24"/>
              </w:rPr>
              <w:t>незавантаження</w:t>
            </w:r>
            <w:proofErr w:type="spellEnd"/>
            <w:r w:rsidRPr="00D32097">
              <w:rPr>
                <w:rFonts w:ascii="Times New Roman" w:hAnsi="Times New Roman" w:cs="Times New Roman"/>
                <w:sz w:val="22"/>
                <w:szCs w:val="24"/>
              </w:rPr>
              <w:t xml:space="preserve"> обов’язкових документів до системи моніторингу приєднань. Зокрема, </w:t>
            </w:r>
            <w:proofErr w:type="spellStart"/>
            <w:r w:rsidRPr="00D32097">
              <w:rPr>
                <w:rFonts w:ascii="Times New Roman" w:hAnsi="Times New Roman" w:cs="Times New Roman"/>
                <w:sz w:val="22"/>
                <w:szCs w:val="24"/>
              </w:rPr>
              <w:t>незавантаження</w:t>
            </w:r>
            <w:proofErr w:type="spellEnd"/>
            <w:r w:rsidRPr="00D32097">
              <w:rPr>
                <w:rFonts w:ascii="Times New Roman" w:hAnsi="Times New Roman" w:cs="Times New Roman"/>
                <w:sz w:val="22"/>
                <w:szCs w:val="24"/>
              </w:rPr>
              <w:t xml:space="preserve"> документа, який підтверджує відповідний статус або етап процедури приєднання, має вважатися порушенням порядку ведення системи моніторингу та не повинно створювати негативних наслідків для замовника.</w:t>
            </w:r>
          </w:p>
        </w:tc>
        <w:tc>
          <w:tcPr>
            <w:tcW w:w="3899" w:type="dxa"/>
          </w:tcPr>
          <w:p w:rsidR="00BB1D41" w:rsidRPr="00D32097" w:rsidRDefault="00BB1D41" w:rsidP="008F2112">
            <w:pPr>
              <w:ind w:firstLine="182"/>
              <w:jc w:val="both"/>
              <w:rPr>
                <w:sz w:val="22"/>
                <w:szCs w:val="24"/>
                <w:highlight w:val="yellow"/>
              </w:rPr>
            </w:pPr>
          </w:p>
        </w:tc>
        <w:tc>
          <w:tcPr>
            <w:tcW w:w="3900" w:type="dxa"/>
            <w:gridSpan w:val="2"/>
          </w:tcPr>
          <w:p w:rsidR="00BB1D41" w:rsidRPr="00D32097" w:rsidRDefault="00C61B7E" w:rsidP="00C61B7E">
            <w:pPr>
              <w:ind w:firstLine="174"/>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Потребує обговорення</w:t>
            </w:r>
          </w:p>
        </w:tc>
      </w:tr>
      <w:tr w:rsidR="00BB1D41" w:rsidRPr="00D32097" w:rsidTr="002E4622">
        <w:trPr>
          <w:trHeight w:val="218"/>
        </w:trPr>
        <w:tc>
          <w:tcPr>
            <w:tcW w:w="3899" w:type="dxa"/>
            <w:gridSpan w:val="2"/>
            <w:vMerge/>
          </w:tcPr>
          <w:p w:rsidR="00BB1D41" w:rsidRPr="00D32097" w:rsidRDefault="00BB1D41" w:rsidP="008F2112">
            <w:pPr>
              <w:tabs>
                <w:tab w:val="left" w:pos="993"/>
              </w:tabs>
              <w:ind w:firstLine="326"/>
              <w:jc w:val="both"/>
              <w:rPr>
                <w:b/>
                <w:color w:val="000000"/>
                <w:sz w:val="22"/>
                <w:szCs w:val="24"/>
              </w:rPr>
            </w:pPr>
          </w:p>
        </w:tc>
        <w:tc>
          <w:tcPr>
            <w:tcW w:w="3900" w:type="dxa"/>
            <w:gridSpan w:val="2"/>
          </w:tcPr>
          <w:p w:rsidR="00BB1D41" w:rsidRPr="00D32097" w:rsidRDefault="00BB1D41" w:rsidP="008F2112">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НЕК «Укренерго»</w:t>
            </w:r>
          </w:p>
          <w:p w:rsidR="00BB1D41" w:rsidRPr="00D32097" w:rsidRDefault="00BB1D41" w:rsidP="00AE0466">
            <w:pPr>
              <w:shd w:val="clear" w:color="auto" w:fill="FFFFFF"/>
              <w:ind w:firstLine="249"/>
              <w:jc w:val="both"/>
              <w:rPr>
                <w:rFonts w:ascii="Times New Roman" w:hAnsi="Times New Roman"/>
                <w:b/>
                <w:sz w:val="24"/>
                <w:szCs w:val="24"/>
              </w:rPr>
            </w:pPr>
            <w:r w:rsidRPr="00D32097">
              <w:rPr>
                <w:rFonts w:ascii="Times New Roman" w:hAnsi="Times New Roman"/>
                <w:b/>
                <w:sz w:val="24"/>
                <w:szCs w:val="24"/>
              </w:rPr>
              <w:t>…</w:t>
            </w:r>
          </w:p>
          <w:p w:rsidR="00BB1D41" w:rsidRPr="00D32097" w:rsidRDefault="00BB1D41" w:rsidP="00AE0466">
            <w:pPr>
              <w:shd w:val="clear" w:color="auto" w:fill="FFFFFF"/>
              <w:ind w:firstLine="249"/>
              <w:jc w:val="both"/>
              <w:rPr>
                <w:rFonts w:ascii="Times New Roman" w:hAnsi="Times New Roman"/>
                <w:b/>
                <w:sz w:val="24"/>
                <w:szCs w:val="24"/>
              </w:rPr>
            </w:pPr>
            <w:r w:rsidRPr="00D32097">
              <w:rPr>
                <w:rFonts w:ascii="Times New Roman" w:hAnsi="Times New Roman"/>
                <w:b/>
                <w:sz w:val="24"/>
                <w:szCs w:val="24"/>
              </w:rPr>
              <w:t xml:space="preserve">«землевідведення» (листи щодо повідомлення замовників про збільшення строку надання послуги з приєднання через затримку здійснення заходів щодо відведення земельних ділянок для розміщення відповідних об'єктів електроенергетики, повідомлення замовника про збільшення строку надання послуги зі стандартного приєднання у разі необхідності збільшення строку надання </w:t>
            </w:r>
            <w:r w:rsidRPr="00D32097">
              <w:rPr>
                <w:rFonts w:ascii="Times New Roman" w:hAnsi="Times New Roman"/>
                <w:b/>
                <w:sz w:val="24"/>
                <w:szCs w:val="24"/>
              </w:rPr>
              <w:lastRenderedPageBreak/>
              <w:t>послуги зі стандартного приєднання, для реалізації якого ОСР здійснює будівництво нових електричних мереж від точки забезпечення потужності до точки приєднання (будівництво ділянки КЛ, ПЛ (із встановленням нових опор), ТП, РП));</w:t>
            </w:r>
          </w:p>
          <w:p w:rsidR="00BB1D41" w:rsidRPr="00D32097" w:rsidRDefault="00BB1D41" w:rsidP="00AE0466">
            <w:pPr>
              <w:shd w:val="clear" w:color="auto" w:fill="FFFFFF"/>
              <w:ind w:firstLine="249"/>
              <w:jc w:val="both"/>
              <w:rPr>
                <w:rFonts w:ascii="Times New Roman" w:hAnsi="Times New Roman"/>
                <w:b/>
                <w:sz w:val="24"/>
                <w:szCs w:val="24"/>
              </w:rPr>
            </w:pPr>
            <w:r w:rsidRPr="00D32097">
              <w:rPr>
                <w:rFonts w:ascii="Times New Roman" w:hAnsi="Times New Roman"/>
                <w:b/>
                <w:sz w:val="24"/>
                <w:szCs w:val="24"/>
              </w:rPr>
              <w:t>«стан виконання заходів» (</w:t>
            </w:r>
            <w:r w:rsidRPr="00D32097">
              <w:rPr>
                <w:rFonts w:ascii="Times New Roman" w:hAnsi="Times New Roman"/>
                <w:b/>
                <w:strike/>
                <w:color w:val="0070C0"/>
                <w:sz w:val="24"/>
                <w:szCs w:val="24"/>
              </w:rPr>
              <w:t xml:space="preserve">технічні рішення до </w:t>
            </w:r>
            <w:proofErr w:type="spellStart"/>
            <w:r w:rsidRPr="00D32097">
              <w:rPr>
                <w:rFonts w:ascii="Times New Roman" w:hAnsi="Times New Roman"/>
                <w:b/>
                <w:strike/>
                <w:color w:val="0070C0"/>
                <w:sz w:val="24"/>
                <w:szCs w:val="24"/>
              </w:rPr>
              <w:t>проєктно</w:t>
            </w:r>
            <w:proofErr w:type="spellEnd"/>
            <w:r w:rsidRPr="00D32097">
              <w:rPr>
                <w:rFonts w:ascii="Times New Roman" w:hAnsi="Times New Roman"/>
                <w:b/>
                <w:strike/>
                <w:color w:val="0070C0"/>
                <w:sz w:val="24"/>
                <w:szCs w:val="24"/>
              </w:rPr>
              <w:t>-кошторисної документації, у тому числі розробленої замовником (із</w:t>
            </w:r>
            <w:r w:rsidRPr="00D32097">
              <w:rPr>
                <w:rFonts w:ascii="Times New Roman" w:hAnsi="Times New Roman"/>
                <w:b/>
                <w:color w:val="0070C0"/>
                <w:sz w:val="24"/>
                <w:szCs w:val="24"/>
              </w:rPr>
              <w:t xml:space="preserve"> </w:t>
            </w:r>
            <w:r w:rsidRPr="00D32097">
              <w:rPr>
                <w:rFonts w:ascii="Times New Roman" w:hAnsi="Times New Roman"/>
                <w:b/>
                <w:sz w:val="24"/>
                <w:szCs w:val="24"/>
              </w:rPr>
              <w:t>листи зауваження</w:t>
            </w:r>
            <w:r w:rsidRPr="00D32097">
              <w:rPr>
                <w:rFonts w:ascii="Times New Roman" w:hAnsi="Times New Roman"/>
                <w:b/>
                <w:strike/>
                <w:color w:val="0070C0"/>
                <w:sz w:val="24"/>
                <w:szCs w:val="24"/>
              </w:rPr>
              <w:t>ми</w:t>
            </w:r>
            <w:r w:rsidRPr="00D32097">
              <w:rPr>
                <w:rFonts w:ascii="Times New Roman" w:hAnsi="Times New Roman"/>
                <w:b/>
                <w:sz w:val="24"/>
                <w:szCs w:val="24"/>
              </w:rPr>
              <w:t xml:space="preserve"> чи погодження ПКД без зауважень), звернення замовника щодо направлення звернення щодо розгляду ПКД);</w:t>
            </w:r>
          </w:p>
          <w:p w:rsidR="00BB1D41" w:rsidRPr="00D32097" w:rsidRDefault="00BB1D41" w:rsidP="00AE0466">
            <w:pPr>
              <w:shd w:val="clear" w:color="auto" w:fill="FFFFFF"/>
              <w:ind w:firstLine="249"/>
              <w:jc w:val="both"/>
              <w:rPr>
                <w:rFonts w:ascii="Times New Roman" w:hAnsi="Times New Roman"/>
                <w:sz w:val="24"/>
                <w:szCs w:val="24"/>
              </w:rPr>
            </w:pPr>
            <w:r w:rsidRPr="00D32097">
              <w:rPr>
                <w:rFonts w:ascii="Times New Roman" w:hAnsi="Times New Roman"/>
                <w:sz w:val="24"/>
                <w:szCs w:val="24"/>
              </w:rPr>
              <w:t>«завершення приєднання» (завантажуються повідомлення про надання послуги з приєднання/акт про надання послуги з приєднання</w:t>
            </w:r>
            <w:r w:rsidRPr="00D32097">
              <w:rPr>
                <w:rFonts w:ascii="Times New Roman" w:hAnsi="Times New Roman"/>
                <w:b/>
                <w:sz w:val="24"/>
                <w:szCs w:val="24"/>
              </w:rPr>
              <w:t>, паспорт точки розподілу/передачі та заява-приєднання до розробленого оператором системи розподілу договору споживача про надання послуг з розподілу електричної енергії у випадку, передбаченому пунктом 4.8.3 цього Кодексу,</w:t>
            </w:r>
            <w:r w:rsidRPr="00D32097">
              <w:rPr>
                <w:rFonts w:ascii="Times New Roman" w:hAnsi="Times New Roman"/>
                <w:sz w:val="24"/>
                <w:szCs w:val="24"/>
              </w:rPr>
              <w:t xml:space="preserve"> </w:t>
            </w:r>
            <w:r w:rsidRPr="00D32097">
              <w:rPr>
                <w:rFonts w:ascii="Times New Roman" w:hAnsi="Times New Roman"/>
                <w:b/>
                <w:sz w:val="24"/>
                <w:szCs w:val="24"/>
              </w:rPr>
              <w:t>додаткові угоди до договорів про приєднання, у тому числі щодо продовження строків надання послуг з приєднань</w:t>
            </w:r>
            <w:r w:rsidRPr="00D32097">
              <w:rPr>
                <w:rFonts w:ascii="Times New Roman" w:hAnsi="Times New Roman"/>
                <w:sz w:val="24"/>
                <w:szCs w:val="24"/>
              </w:rPr>
              <w:t>);</w:t>
            </w:r>
          </w:p>
          <w:p w:rsidR="00BB1D41" w:rsidRPr="00D32097" w:rsidRDefault="00BB1D41" w:rsidP="00AE0466">
            <w:pPr>
              <w:shd w:val="clear" w:color="auto" w:fill="FFFFFF"/>
              <w:ind w:firstLine="249"/>
              <w:jc w:val="both"/>
              <w:rPr>
                <w:rFonts w:ascii="Times New Roman" w:hAnsi="Times New Roman"/>
                <w:sz w:val="24"/>
                <w:szCs w:val="24"/>
              </w:rPr>
            </w:pPr>
            <w:r w:rsidRPr="00D32097">
              <w:rPr>
                <w:rFonts w:ascii="Times New Roman" w:hAnsi="Times New Roman"/>
                <w:sz w:val="24"/>
                <w:szCs w:val="24"/>
              </w:rPr>
              <w:t>…</w:t>
            </w:r>
          </w:p>
        </w:tc>
        <w:tc>
          <w:tcPr>
            <w:tcW w:w="3899" w:type="dxa"/>
          </w:tcPr>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sz w:val="22"/>
                <w:szCs w:val="24"/>
                <w:highlight w:val="yellow"/>
              </w:rPr>
            </w:pPr>
          </w:p>
          <w:p w:rsidR="00BB1D41" w:rsidRPr="00D32097" w:rsidRDefault="00BB1D41" w:rsidP="008F2112">
            <w:pPr>
              <w:ind w:firstLine="182"/>
              <w:jc w:val="both"/>
              <w:rPr>
                <w:rFonts w:ascii="Times New Roman" w:hAnsi="Times New Roman" w:cs="Times New Roman"/>
                <w:sz w:val="22"/>
                <w:szCs w:val="24"/>
                <w:highlight w:val="yellow"/>
              </w:rPr>
            </w:pPr>
            <w:r w:rsidRPr="00D32097">
              <w:rPr>
                <w:rFonts w:ascii="Times New Roman" w:hAnsi="Times New Roman" w:cs="Times New Roman"/>
                <w:sz w:val="22"/>
                <w:szCs w:val="24"/>
              </w:rPr>
              <w:t xml:space="preserve">Пропонується завантажувати виключно листування без технічних рішень, оскільки </w:t>
            </w:r>
            <w:proofErr w:type="spellStart"/>
            <w:r w:rsidRPr="00D32097">
              <w:rPr>
                <w:rFonts w:ascii="Times New Roman" w:hAnsi="Times New Roman" w:cs="Times New Roman"/>
                <w:sz w:val="22"/>
                <w:szCs w:val="24"/>
              </w:rPr>
              <w:t>пкд</w:t>
            </w:r>
            <w:proofErr w:type="spellEnd"/>
            <w:r w:rsidRPr="00D32097">
              <w:rPr>
                <w:rFonts w:ascii="Times New Roman" w:hAnsi="Times New Roman" w:cs="Times New Roman"/>
                <w:sz w:val="22"/>
                <w:szCs w:val="24"/>
              </w:rPr>
              <w:t xml:space="preserve"> є значними по обсягу і їх завантаження може займати значний час. Пропонується таку інформацію надавати за окремим запитом</w:t>
            </w:r>
          </w:p>
        </w:tc>
        <w:tc>
          <w:tcPr>
            <w:tcW w:w="3900" w:type="dxa"/>
            <w:gridSpan w:val="2"/>
          </w:tcPr>
          <w:p w:rsidR="00BB1D41" w:rsidRPr="00D32097" w:rsidRDefault="005064D7" w:rsidP="00C61B7E">
            <w:pPr>
              <w:ind w:firstLine="174"/>
              <w:rPr>
                <w:b/>
                <w:sz w:val="22"/>
                <w:szCs w:val="24"/>
                <w:lang w:eastAsia="uk-UA"/>
              </w:rPr>
            </w:pPr>
            <w:r>
              <w:rPr>
                <w:rFonts w:ascii="Times New Roman" w:hAnsi="Times New Roman" w:cs="Times New Roman"/>
                <w:b/>
                <w:sz w:val="22"/>
                <w:szCs w:val="24"/>
                <w:lang w:eastAsia="uk-UA"/>
              </w:rPr>
              <w:lastRenderedPageBreak/>
              <w:t>Пропонується відхилити</w:t>
            </w:r>
          </w:p>
        </w:tc>
      </w:tr>
      <w:tr w:rsidR="008F2112" w:rsidRPr="00D32097" w:rsidTr="00D83895">
        <w:trPr>
          <w:trHeight w:val="218"/>
        </w:trPr>
        <w:tc>
          <w:tcPr>
            <w:tcW w:w="15598" w:type="dxa"/>
            <w:gridSpan w:val="7"/>
          </w:tcPr>
          <w:p w:rsidR="008F2112" w:rsidRPr="00D32097" w:rsidRDefault="008F2112" w:rsidP="008F2112">
            <w:pPr>
              <w:ind w:firstLine="174"/>
              <w:jc w:val="center"/>
              <w:rPr>
                <w:rFonts w:ascii="Times New Roman" w:hAnsi="Times New Roman" w:cs="Times New Roman"/>
                <w:b/>
                <w:sz w:val="24"/>
                <w:szCs w:val="24"/>
                <w:lang w:eastAsia="uk-UA"/>
              </w:rPr>
            </w:pPr>
            <w:r w:rsidRPr="00D32097">
              <w:rPr>
                <w:rFonts w:ascii="Times New Roman" w:hAnsi="Times New Roman" w:cs="Times New Roman"/>
                <w:b/>
                <w:sz w:val="24"/>
                <w:szCs w:val="24"/>
                <w:lang w:eastAsia="uk-UA"/>
              </w:rPr>
              <w:t>2. Вартість приєднання електроустановок до електричних мереж</w:t>
            </w:r>
          </w:p>
        </w:tc>
      </w:tr>
      <w:tr w:rsidR="008F2112" w:rsidRPr="00D32097" w:rsidTr="002E4622">
        <w:trPr>
          <w:trHeight w:val="218"/>
        </w:trPr>
        <w:tc>
          <w:tcPr>
            <w:tcW w:w="3899" w:type="dxa"/>
            <w:gridSpan w:val="2"/>
          </w:tcPr>
          <w:p w:rsidR="009D6118" w:rsidRPr="00D32097" w:rsidRDefault="009D6118" w:rsidP="009D6118">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lastRenderedPageBreak/>
              <w:t>Зміни не вносились</w:t>
            </w:r>
          </w:p>
          <w:p w:rsid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p>
          <w:p w:rsid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p>
          <w:p w:rsid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p>
          <w:p w:rsid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p>
          <w:p w:rsidR="009D6118" w:rsidRP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r w:rsidRPr="009D6118">
              <w:rPr>
                <w:rFonts w:ascii="Times New Roman" w:hAnsi="Times New Roman" w:cs="Times New Roman"/>
                <w:sz w:val="22"/>
                <w:szCs w:val="22"/>
              </w:rPr>
              <w:t>2.5. Вартість будівельно-монтажних та пусконалагоджувальних робіт визначається з урахуванням:</w:t>
            </w:r>
          </w:p>
          <w:p w:rsidR="009D6118" w:rsidRPr="009D6118" w:rsidRDefault="009D6118" w:rsidP="009D6118">
            <w:pPr>
              <w:pStyle w:val="rvps2"/>
              <w:shd w:val="clear" w:color="auto" w:fill="FFFFFF"/>
              <w:spacing w:before="0" w:beforeAutospacing="0" w:after="0" w:afterAutospacing="0"/>
              <w:ind w:firstLine="306"/>
              <w:jc w:val="both"/>
              <w:rPr>
                <w:rFonts w:ascii="Times New Roman" w:hAnsi="Times New Roman" w:cs="Times New Roman"/>
                <w:sz w:val="22"/>
                <w:szCs w:val="22"/>
              </w:rPr>
            </w:pPr>
            <w:bookmarkStart w:id="0" w:name="n227"/>
            <w:bookmarkEnd w:id="0"/>
            <w:r w:rsidRPr="009D6118">
              <w:rPr>
                <w:rFonts w:ascii="Times New Roman" w:hAnsi="Times New Roman" w:cs="Times New Roman"/>
                <w:sz w:val="22"/>
                <w:szCs w:val="22"/>
              </w:rPr>
              <w:t>при виконанні робіт господарським способом використовуються норми часу на виконання робіт працівниками відповідно до Кошторисних норм України у будівництві «Настанова з визначення вартості будівництва», затверджених наказом Міністерства розвитку громад та територій України від 01 листопада 2021 року № 281 (далі - Настанова), з урахуванням фактичної заробітної плати персоналу оператора системи передачі або розподілу;</w:t>
            </w:r>
          </w:p>
          <w:p w:rsidR="008F2112" w:rsidRPr="009D6118" w:rsidRDefault="009D6118" w:rsidP="009D6118">
            <w:pPr>
              <w:pStyle w:val="rvps2"/>
              <w:shd w:val="clear" w:color="auto" w:fill="FFFFFF"/>
              <w:spacing w:before="0" w:beforeAutospacing="0" w:after="0" w:afterAutospacing="0"/>
              <w:ind w:firstLine="306"/>
              <w:jc w:val="both"/>
              <w:rPr>
                <w:color w:val="333333"/>
              </w:rPr>
            </w:pPr>
            <w:bookmarkStart w:id="1" w:name="n431"/>
            <w:bookmarkStart w:id="2" w:name="n228"/>
            <w:bookmarkEnd w:id="1"/>
            <w:bookmarkEnd w:id="2"/>
            <w:r w:rsidRPr="009D6118">
              <w:rPr>
                <w:rFonts w:ascii="Times New Roman" w:hAnsi="Times New Roman" w:cs="Times New Roman"/>
                <w:sz w:val="22"/>
                <w:szCs w:val="22"/>
              </w:rPr>
              <w:t>при виконанні робіт підрядним способом використовується Настанова та Порядок розрахунку розміру кошторисної заробітної плати, який враховується при визначенні вартості будівництва об'єктів, затверджений наказом Міністерства регіонального розвитку, будівництва та житлово-комунального господарства України від 20 жовтня 2016 року № 281 та зареєстрований у Міністерстві юстиції України 11 листопада 2016 року за № 1469/29599, виходячи з фактично виконаних обсягів робіт і вартості фактично використаних матеріалів.</w:t>
            </w:r>
          </w:p>
        </w:tc>
        <w:tc>
          <w:tcPr>
            <w:tcW w:w="3900" w:type="dxa"/>
            <w:gridSpan w:val="2"/>
          </w:tcPr>
          <w:p w:rsidR="008F2112" w:rsidRDefault="009D6118" w:rsidP="008F2112">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9D6118" w:rsidRDefault="009D6118" w:rsidP="009D6118">
            <w:pPr>
              <w:pStyle w:val="3"/>
              <w:spacing w:before="0" w:beforeAutospacing="0" w:after="0" w:afterAutospacing="0"/>
              <w:jc w:val="both"/>
              <w:outlineLvl w:val="2"/>
              <w:rPr>
                <w:rFonts w:ascii="Times New Roman" w:eastAsia="Times New Roman" w:hAnsi="Times New Roman" w:cs="Times New Roman"/>
                <w:color w:val="000000" w:themeColor="text1"/>
                <w:sz w:val="22"/>
                <w:szCs w:val="20"/>
              </w:rPr>
            </w:pPr>
            <w:r w:rsidRPr="009D6118">
              <w:rPr>
                <w:rFonts w:ascii="Times New Roman" w:eastAsia="Times New Roman" w:hAnsi="Times New Roman" w:cs="Times New Roman"/>
                <w:color w:val="000000" w:themeColor="text1"/>
                <w:sz w:val="22"/>
                <w:szCs w:val="20"/>
              </w:rPr>
              <w:t>Варіант І.</w:t>
            </w:r>
          </w:p>
          <w:p w:rsidR="009D6118" w:rsidRPr="009D6118" w:rsidRDefault="009D6118" w:rsidP="009D6118">
            <w:pPr>
              <w:pStyle w:val="3"/>
              <w:spacing w:before="0" w:beforeAutospacing="0" w:after="0" w:afterAutospacing="0"/>
              <w:jc w:val="both"/>
              <w:outlineLvl w:val="2"/>
              <w:rPr>
                <w:rFonts w:ascii="Times New Roman" w:eastAsia="Times New Roman" w:hAnsi="Times New Roman" w:cs="Times New Roman"/>
                <w:color w:val="000000" w:themeColor="text1"/>
                <w:sz w:val="22"/>
                <w:szCs w:val="20"/>
              </w:rPr>
            </w:pPr>
            <w:r w:rsidRPr="009D6118">
              <w:rPr>
                <w:rFonts w:ascii="Times New Roman" w:eastAsia="Times New Roman" w:hAnsi="Times New Roman" w:cs="Times New Roman"/>
                <w:b w:val="0"/>
                <w:bCs w:val="0"/>
                <w:sz w:val="22"/>
                <w:szCs w:val="22"/>
                <w:lang w:eastAsia="en-US"/>
              </w:rPr>
              <w:t>2.5. Вартість будівельно-монтажних та пусконалагоджувальних робіт визначається з урахуванням:</w:t>
            </w:r>
          </w:p>
          <w:p w:rsidR="009D6118" w:rsidRPr="009D6118" w:rsidRDefault="009D6118" w:rsidP="009D6118">
            <w:pPr>
              <w:pStyle w:val="3"/>
              <w:spacing w:before="0" w:beforeAutospacing="0" w:after="0" w:afterAutospacing="0"/>
              <w:jc w:val="both"/>
              <w:outlineLvl w:val="2"/>
              <w:rPr>
                <w:rFonts w:ascii="Times New Roman" w:eastAsia="Times New Roman" w:hAnsi="Times New Roman" w:cs="Times New Roman"/>
                <w:b w:val="0"/>
                <w:bCs w:val="0"/>
                <w:sz w:val="22"/>
                <w:szCs w:val="22"/>
                <w:lang w:eastAsia="en-US"/>
              </w:rPr>
            </w:pPr>
            <w:r w:rsidRPr="009D6118">
              <w:rPr>
                <w:rFonts w:ascii="Times New Roman" w:eastAsia="Times New Roman" w:hAnsi="Times New Roman" w:cs="Times New Roman"/>
                <w:b w:val="0"/>
                <w:bCs w:val="0"/>
                <w:sz w:val="22"/>
                <w:szCs w:val="22"/>
                <w:lang w:eastAsia="en-US"/>
              </w:rPr>
              <w:t>при виконанні робіт господарським способом використовуються норми часу на виконання робіт працівниками відповідно до </w:t>
            </w:r>
            <w:hyperlink r:id="rId8" w:anchor="n12" w:tgtFrame="_blank" w:history="1">
              <w:r w:rsidRPr="009D6118">
                <w:rPr>
                  <w:rFonts w:ascii="Times New Roman" w:hAnsi="Times New Roman" w:cs="Times New Roman"/>
                  <w:b w:val="0"/>
                  <w:bCs w:val="0"/>
                  <w:sz w:val="22"/>
                  <w:szCs w:val="22"/>
                  <w:lang w:eastAsia="en-US"/>
                </w:rPr>
                <w:t>Кошторисних норм України у будівництві «Настанова з визначення вартості будівництва»</w:t>
              </w:r>
            </w:hyperlink>
            <w:r w:rsidRPr="009D6118">
              <w:rPr>
                <w:rFonts w:ascii="Times New Roman" w:eastAsia="Times New Roman" w:hAnsi="Times New Roman" w:cs="Times New Roman"/>
                <w:b w:val="0"/>
                <w:bCs w:val="0"/>
                <w:sz w:val="22"/>
                <w:szCs w:val="22"/>
                <w:lang w:eastAsia="en-US"/>
              </w:rPr>
              <w:t xml:space="preserve">, затверджених наказом Міністерства розвитку громад та територій України від 01 листопада 2021 року № 281 </w:t>
            </w:r>
            <w:r w:rsidRPr="009D6118">
              <w:rPr>
                <w:rFonts w:ascii="Times New Roman" w:eastAsia="Times New Roman" w:hAnsi="Times New Roman" w:cs="Times New Roman"/>
                <w:b w:val="0"/>
                <w:bCs w:val="0"/>
                <w:strike/>
                <w:sz w:val="22"/>
                <w:szCs w:val="22"/>
                <w:lang w:eastAsia="en-US"/>
              </w:rPr>
              <w:t xml:space="preserve">(далі - Настанова) </w:t>
            </w:r>
            <w:r w:rsidRPr="009D6118">
              <w:rPr>
                <w:rFonts w:ascii="Times New Roman" w:eastAsia="Times New Roman" w:hAnsi="Times New Roman" w:cs="Times New Roman"/>
                <w:sz w:val="22"/>
                <w:szCs w:val="22"/>
                <w:lang w:eastAsia="en-US"/>
              </w:rPr>
              <w:t>з урахуванням норм Постанови № 1512 від 19.11.2025 зі змінами та доповненнями</w:t>
            </w:r>
            <w:r w:rsidRPr="009D6118">
              <w:rPr>
                <w:rFonts w:ascii="Times New Roman" w:eastAsia="Times New Roman" w:hAnsi="Times New Roman" w:cs="Times New Roman"/>
                <w:b w:val="0"/>
                <w:bCs w:val="0"/>
                <w:sz w:val="22"/>
                <w:szCs w:val="22"/>
                <w:lang w:eastAsia="en-US"/>
              </w:rPr>
              <w:t>, та з урахуванням фактичної заробітної плати персоналу оператора системи передачі або розподілу;</w:t>
            </w:r>
          </w:p>
          <w:p w:rsidR="009D6118" w:rsidRDefault="009D6118" w:rsidP="009D6118">
            <w:pPr>
              <w:pStyle w:val="rvps2"/>
              <w:shd w:val="clear" w:color="auto" w:fill="FFFFFF"/>
              <w:spacing w:before="0" w:beforeAutospacing="0" w:after="0" w:afterAutospacing="0"/>
              <w:ind w:firstLine="249"/>
              <w:jc w:val="both"/>
              <w:rPr>
                <w:rFonts w:ascii="Times New Roman" w:hAnsi="Times New Roman" w:cs="Times New Roman"/>
                <w:sz w:val="22"/>
                <w:szCs w:val="22"/>
                <w:lang w:eastAsia="en-US"/>
              </w:rPr>
            </w:pPr>
            <w:r w:rsidRPr="009D6118">
              <w:rPr>
                <w:rFonts w:ascii="Times New Roman" w:hAnsi="Times New Roman" w:cs="Times New Roman"/>
                <w:sz w:val="22"/>
                <w:szCs w:val="22"/>
                <w:lang w:eastAsia="en-US"/>
              </w:rPr>
              <w:t xml:space="preserve">при виконанні робіт підрядним способом використовується Настанова затверджена наказом Міністерства розвитку громад та територій України від 01 листопада 2021 року № 281 з урахуванням норм Постанови № 1512 від 19.11.2025 зі змінами та доповненнями </w:t>
            </w:r>
            <w:r w:rsidRPr="009D6118">
              <w:rPr>
                <w:rFonts w:ascii="Times New Roman" w:hAnsi="Times New Roman" w:cs="Times New Roman"/>
                <w:strike/>
                <w:sz w:val="22"/>
                <w:szCs w:val="22"/>
                <w:lang w:eastAsia="en-US"/>
              </w:rPr>
              <w:t>та </w:t>
            </w:r>
            <w:hyperlink r:id="rId9" w:anchor="n13" w:tgtFrame="_blank" w:history="1">
              <w:r w:rsidRPr="009D6118">
                <w:rPr>
                  <w:rFonts w:ascii="Times New Roman" w:hAnsi="Times New Roman" w:cs="Times New Roman"/>
                  <w:strike/>
                  <w:sz w:val="22"/>
                  <w:szCs w:val="22"/>
                  <w:lang w:eastAsia="en-US"/>
                </w:rPr>
                <w:t>Порядок розрахунку розміру кошторисної заробітної плати, який враховується при визначенні вартості будівництва об'єктів</w:t>
              </w:r>
            </w:hyperlink>
            <w:r w:rsidRPr="009D6118">
              <w:rPr>
                <w:rFonts w:ascii="Times New Roman" w:hAnsi="Times New Roman" w:cs="Times New Roman"/>
                <w:sz w:val="22"/>
                <w:szCs w:val="22"/>
                <w:lang w:eastAsia="en-US"/>
              </w:rPr>
              <w:t xml:space="preserve">, </w:t>
            </w:r>
            <w:r w:rsidRPr="009D6118">
              <w:rPr>
                <w:rFonts w:ascii="Times New Roman" w:hAnsi="Times New Roman" w:cs="Times New Roman"/>
                <w:strike/>
                <w:sz w:val="22"/>
                <w:szCs w:val="22"/>
                <w:lang w:eastAsia="en-US"/>
              </w:rPr>
              <w:t>затверджений наказом Міністерства регіонального розвитку, будівництва та житлово-комунального господарства України від 20 жовтня 2016 року</w:t>
            </w:r>
            <w:r w:rsidRPr="009D6118">
              <w:rPr>
                <w:rFonts w:ascii="Times New Roman" w:hAnsi="Times New Roman" w:cs="Times New Roman"/>
                <w:sz w:val="22"/>
                <w:szCs w:val="22"/>
                <w:lang w:eastAsia="en-US"/>
              </w:rPr>
              <w:t xml:space="preserve"> № 281 та </w:t>
            </w:r>
            <w:r w:rsidRPr="009D6118">
              <w:rPr>
                <w:rFonts w:ascii="Times New Roman" w:hAnsi="Times New Roman" w:cs="Times New Roman"/>
                <w:strike/>
                <w:sz w:val="22"/>
                <w:szCs w:val="22"/>
                <w:lang w:eastAsia="en-US"/>
              </w:rPr>
              <w:t xml:space="preserve">зареєстрований у </w:t>
            </w:r>
            <w:r w:rsidRPr="009D6118">
              <w:rPr>
                <w:rFonts w:ascii="Times New Roman" w:hAnsi="Times New Roman" w:cs="Times New Roman"/>
                <w:strike/>
                <w:sz w:val="22"/>
                <w:szCs w:val="22"/>
                <w:lang w:eastAsia="en-US"/>
              </w:rPr>
              <w:lastRenderedPageBreak/>
              <w:t>Міністерстві юстиції України 11 листопада 2016 року за № 1469/29599</w:t>
            </w:r>
            <w:r w:rsidRPr="009D6118">
              <w:rPr>
                <w:rFonts w:ascii="Times New Roman" w:hAnsi="Times New Roman" w:cs="Times New Roman"/>
                <w:sz w:val="22"/>
                <w:szCs w:val="22"/>
                <w:lang w:eastAsia="en-US"/>
              </w:rPr>
              <w:t>, виходячи з фактично виконаних обсягів робіт і вартості фактично використаних матеріалів.</w:t>
            </w:r>
          </w:p>
          <w:p w:rsidR="009D6118" w:rsidRDefault="009D6118" w:rsidP="009D6118">
            <w:pPr>
              <w:pStyle w:val="3"/>
              <w:spacing w:before="0" w:beforeAutospacing="0" w:after="0" w:afterAutospacing="0"/>
              <w:jc w:val="both"/>
              <w:outlineLvl w:val="2"/>
              <w:rPr>
                <w:rFonts w:ascii="Times New Roman" w:eastAsia="Times New Roman" w:hAnsi="Times New Roman" w:cs="Times New Roman"/>
                <w:color w:val="000000" w:themeColor="text1"/>
                <w:sz w:val="22"/>
                <w:szCs w:val="20"/>
              </w:rPr>
            </w:pPr>
            <w:r w:rsidRPr="009D6118">
              <w:rPr>
                <w:rFonts w:ascii="Times New Roman" w:eastAsia="Times New Roman" w:hAnsi="Times New Roman" w:cs="Times New Roman"/>
                <w:color w:val="000000" w:themeColor="text1"/>
                <w:sz w:val="22"/>
                <w:szCs w:val="20"/>
              </w:rPr>
              <w:t>Варіант І</w:t>
            </w:r>
            <w:r>
              <w:rPr>
                <w:rFonts w:ascii="Times New Roman" w:eastAsia="Times New Roman" w:hAnsi="Times New Roman" w:cs="Times New Roman"/>
                <w:color w:val="000000" w:themeColor="text1"/>
                <w:sz w:val="22"/>
                <w:szCs w:val="20"/>
              </w:rPr>
              <w:t>І</w:t>
            </w:r>
            <w:r w:rsidRPr="009D6118">
              <w:rPr>
                <w:rFonts w:ascii="Times New Roman" w:eastAsia="Times New Roman" w:hAnsi="Times New Roman" w:cs="Times New Roman"/>
                <w:color w:val="000000" w:themeColor="text1"/>
                <w:sz w:val="22"/>
                <w:szCs w:val="20"/>
              </w:rPr>
              <w:t>.</w:t>
            </w:r>
          </w:p>
          <w:p w:rsidR="009D6118" w:rsidRPr="009D6118" w:rsidRDefault="009D6118" w:rsidP="009D6118">
            <w:pPr>
              <w:pStyle w:val="3"/>
              <w:spacing w:before="0" w:beforeAutospacing="0" w:after="0" w:afterAutospacing="0"/>
              <w:ind w:firstLine="249"/>
              <w:jc w:val="both"/>
              <w:outlineLvl w:val="2"/>
              <w:rPr>
                <w:rFonts w:ascii="Times New Roman" w:eastAsia="Times New Roman" w:hAnsi="Times New Roman" w:cs="Times New Roman"/>
                <w:b w:val="0"/>
                <w:bCs w:val="0"/>
                <w:sz w:val="22"/>
                <w:szCs w:val="22"/>
                <w:lang w:eastAsia="en-US"/>
              </w:rPr>
            </w:pPr>
            <w:r w:rsidRPr="009D6118">
              <w:rPr>
                <w:rFonts w:ascii="Times New Roman" w:eastAsia="Times New Roman" w:hAnsi="Times New Roman" w:cs="Times New Roman"/>
                <w:b w:val="0"/>
                <w:bCs w:val="0"/>
                <w:sz w:val="22"/>
                <w:szCs w:val="22"/>
                <w:lang w:eastAsia="en-US"/>
              </w:rPr>
              <w:t>2.5. Вартість будівельно-монтажних та пусконалагоджувальних робіт визначається з урахуванням:</w:t>
            </w:r>
          </w:p>
          <w:p w:rsidR="009D6118" w:rsidRPr="009D6118" w:rsidRDefault="009D6118" w:rsidP="009D6118">
            <w:pPr>
              <w:pStyle w:val="3"/>
              <w:spacing w:before="0" w:beforeAutospacing="0" w:after="0" w:afterAutospacing="0"/>
              <w:ind w:firstLine="249"/>
              <w:jc w:val="both"/>
              <w:outlineLvl w:val="2"/>
              <w:rPr>
                <w:rFonts w:ascii="Times New Roman" w:eastAsia="Times New Roman" w:hAnsi="Times New Roman" w:cs="Times New Roman"/>
                <w:b w:val="0"/>
                <w:bCs w:val="0"/>
                <w:sz w:val="22"/>
                <w:szCs w:val="22"/>
                <w:lang w:eastAsia="en-US"/>
              </w:rPr>
            </w:pPr>
            <w:r w:rsidRPr="009D6118">
              <w:rPr>
                <w:rFonts w:ascii="Times New Roman" w:eastAsia="Times New Roman" w:hAnsi="Times New Roman" w:cs="Times New Roman"/>
                <w:b w:val="0"/>
                <w:bCs w:val="0"/>
                <w:sz w:val="22"/>
                <w:szCs w:val="22"/>
                <w:lang w:eastAsia="en-US"/>
              </w:rPr>
              <w:t xml:space="preserve">при виконанні робіт господарським способом </w:t>
            </w:r>
            <w:r w:rsidRPr="009D6118">
              <w:rPr>
                <w:rFonts w:ascii="Times New Roman" w:eastAsia="Times New Roman" w:hAnsi="Times New Roman" w:cs="Times New Roman"/>
                <w:sz w:val="22"/>
                <w:szCs w:val="22"/>
                <w:lang w:eastAsia="en-US"/>
              </w:rPr>
              <w:t>розрахунок заробітної плати та кошторисних нарахувань</w:t>
            </w:r>
            <w:r w:rsidRPr="009D6118">
              <w:rPr>
                <w:rFonts w:ascii="Times New Roman" w:eastAsia="Times New Roman" w:hAnsi="Times New Roman" w:cs="Times New Roman"/>
                <w:b w:val="0"/>
                <w:bCs w:val="0"/>
                <w:sz w:val="22"/>
                <w:szCs w:val="22"/>
                <w:lang w:eastAsia="en-US"/>
              </w:rPr>
              <w:t xml:space="preserve"> вкинується відповідно до </w:t>
            </w:r>
            <w:r w:rsidRPr="009D6118">
              <w:rPr>
                <w:rFonts w:ascii="Times New Roman" w:eastAsia="Times New Roman" w:hAnsi="Times New Roman" w:cs="Times New Roman"/>
                <w:sz w:val="22"/>
                <w:szCs w:val="22"/>
                <w:lang w:eastAsia="en-US"/>
              </w:rPr>
              <w:t>чинних нормативних документів у сфері будівництва</w:t>
            </w:r>
            <w:r w:rsidRPr="009D6118">
              <w:rPr>
                <w:rFonts w:ascii="Times New Roman" w:eastAsia="Times New Roman" w:hAnsi="Times New Roman" w:cs="Times New Roman"/>
                <w:b w:val="0"/>
                <w:bCs w:val="0"/>
                <w:sz w:val="22"/>
                <w:szCs w:val="22"/>
                <w:lang w:eastAsia="en-US"/>
              </w:rPr>
              <w:t xml:space="preserve"> використовуються норми часу на виконання робіт працівниками відповідно до </w:t>
            </w:r>
            <w:r w:rsidRPr="009D6118">
              <w:rPr>
                <w:rFonts w:ascii="Times New Roman" w:eastAsia="Times New Roman" w:hAnsi="Times New Roman" w:cs="Times New Roman"/>
                <w:sz w:val="22"/>
                <w:szCs w:val="22"/>
                <w:lang w:eastAsia="en-US"/>
              </w:rPr>
              <w:t>чинних нормативних документів у сфері будівництва з урахуванням норм Постанови № 1512 від 19.11.2025 зі змінами та доповненнями</w:t>
            </w:r>
            <w:r w:rsidRPr="009D6118">
              <w:rPr>
                <w:rFonts w:ascii="Times New Roman" w:hAnsi="Times New Roman" w:cs="Times New Roman"/>
                <w:sz w:val="22"/>
                <w:szCs w:val="22"/>
              </w:rPr>
              <w:t xml:space="preserve"> </w:t>
            </w:r>
            <w:hyperlink r:id="rId10" w:anchor="n12" w:tgtFrame="_blank" w:history="1">
              <w:r w:rsidRPr="009D6118">
                <w:rPr>
                  <w:rFonts w:ascii="Times New Roman" w:hAnsi="Times New Roman" w:cs="Times New Roman"/>
                  <w:b w:val="0"/>
                  <w:bCs w:val="0"/>
                  <w:strike/>
                  <w:sz w:val="22"/>
                  <w:szCs w:val="22"/>
                  <w:lang w:eastAsia="en-US"/>
                </w:rPr>
                <w:t>Кошторисних норм України у будівництві «Настанова з визначення вартості будівництва»</w:t>
              </w:r>
            </w:hyperlink>
            <w:r w:rsidRPr="009D6118">
              <w:rPr>
                <w:rFonts w:ascii="Times New Roman" w:eastAsia="Times New Roman" w:hAnsi="Times New Roman" w:cs="Times New Roman"/>
                <w:b w:val="0"/>
                <w:bCs w:val="0"/>
                <w:strike/>
                <w:sz w:val="22"/>
                <w:szCs w:val="22"/>
                <w:lang w:eastAsia="en-US"/>
              </w:rPr>
              <w:t xml:space="preserve">, затверджених наказом Міністерства розвитку громад та територій України від 01 листопада 2021 року № 281 (далі - Настанова) </w:t>
            </w:r>
            <w:r w:rsidRPr="009D6118">
              <w:rPr>
                <w:rFonts w:ascii="Times New Roman" w:eastAsia="Times New Roman" w:hAnsi="Times New Roman" w:cs="Times New Roman"/>
                <w:b w:val="0"/>
                <w:bCs w:val="0"/>
                <w:sz w:val="22"/>
                <w:szCs w:val="22"/>
                <w:lang w:eastAsia="en-US"/>
              </w:rPr>
              <w:t>та з урахуванням фактичної заробітної плати персоналу оператора системи передачі або розподілу;</w:t>
            </w:r>
          </w:p>
          <w:p w:rsidR="009D6118" w:rsidRPr="009D6118" w:rsidRDefault="009D6118" w:rsidP="009D6118">
            <w:pPr>
              <w:pStyle w:val="rvps2"/>
              <w:shd w:val="clear" w:color="auto" w:fill="FFFFFF"/>
              <w:spacing w:before="0" w:beforeAutospacing="0" w:after="0" w:afterAutospacing="0"/>
              <w:ind w:firstLine="249"/>
              <w:jc w:val="both"/>
              <w:rPr>
                <w:rFonts w:ascii="Times New Roman" w:hAnsi="Times New Roman" w:cs="Times New Roman"/>
                <w:sz w:val="22"/>
                <w:highlight w:val="yellow"/>
              </w:rPr>
            </w:pPr>
            <w:r w:rsidRPr="009D6118">
              <w:rPr>
                <w:rFonts w:ascii="Times New Roman" w:hAnsi="Times New Roman" w:cs="Times New Roman"/>
                <w:sz w:val="22"/>
                <w:szCs w:val="22"/>
                <w:lang w:eastAsia="en-US"/>
              </w:rPr>
              <w:t>при виконанні робіт підрядним способом розрахунок заробітної плати та кошторисних нарахувань вкинується відповідно до чинних нормативних документів у сфері будівництва з урахуванням норм Постанови № 1512 від 19.11.2025 зі змінами та доповненнями</w:t>
            </w:r>
            <w:r w:rsidRPr="009D6118">
              <w:rPr>
                <w:rFonts w:ascii="Times New Roman" w:hAnsi="Times New Roman" w:cs="Times New Roman"/>
                <w:strike/>
                <w:sz w:val="22"/>
                <w:szCs w:val="22"/>
                <w:lang w:eastAsia="en-US"/>
              </w:rPr>
              <w:t xml:space="preserve"> та </w:t>
            </w:r>
            <w:hyperlink r:id="rId11" w:anchor="n13" w:tgtFrame="_blank" w:history="1">
              <w:r w:rsidRPr="009D6118">
                <w:rPr>
                  <w:rFonts w:ascii="Times New Roman" w:hAnsi="Times New Roman" w:cs="Times New Roman"/>
                  <w:strike/>
                  <w:sz w:val="22"/>
                  <w:szCs w:val="22"/>
                  <w:lang w:eastAsia="en-US"/>
                </w:rPr>
                <w:t xml:space="preserve">Порядок розрахунку розміру кошторисної </w:t>
              </w:r>
              <w:r w:rsidRPr="009D6118">
                <w:rPr>
                  <w:rFonts w:ascii="Times New Roman" w:hAnsi="Times New Roman" w:cs="Times New Roman"/>
                  <w:strike/>
                  <w:sz w:val="22"/>
                  <w:szCs w:val="22"/>
                  <w:lang w:eastAsia="en-US"/>
                </w:rPr>
                <w:lastRenderedPageBreak/>
                <w:t>заробітної плати, який враховується при визначенні вартості будівництва об'єктів</w:t>
              </w:r>
            </w:hyperlink>
            <w:r w:rsidRPr="009D6118">
              <w:rPr>
                <w:rFonts w:ascii="Times New Roman" w:hAnsi="Times New Roman" w:cs="Times New Roman"/>
                <w:sz w:val="22"/>
                <w:szCs w:val="22"/>
                <w:lang w:eastAsia="en-US"/>
              </w:rPr>
              <w:t xml:space="preserve">, </w:t>
            </w:r>
            <w:r w:rsidRPr="009D6118">
              <w:rPr>
                <w:rFonts w:ascii="Times New Roman" w:hAnsi="Times New Roman" w:cs="Times New Roman"/>
                <w:strike/>
                <w:sz w:val="22"/>
                <w:szCs w:val="22"/>
                <w:lang w:eastAsia="en-US"/>
              </w:rPr>
              <w:t>затверджений наказом Міністерства регіонального розвитку, будівництва та житлово-комунального господарства України від 20 жовтня 2016 року</w:t>
            </w:r>
            <w:r w:rsidRPr="009D6118">
              <w:rPr>
                <w:rFonts w:ascii="Times New Roman" w:hAnsi="Times New Roman" w:cs="Times New Roman"/>
                <w:sz w:val="22"/>
                <w:szCs w:val="22"/>
                <w:lang w:eastAsia="en-US"/>
              </w:rPr>
              <w:t xml:space="preserve"> № 281 та </w:t>
            </w:r>
            <w:r w:rsidRPr="009D6118">
              <w:rPr>
                <w:rFonts w:ascii="Times New Roman" w:hAnsi="Times New Roman" w:cs="Times New Roman"/>
                <w:strike/>
                <w:sz w:val="22"/>
                <w:szCs w:val="22"/>
                <w:lang w:eastAsia="en-US"/>
              </w:rPr>
              <w:t>зареєстрований у Міністерстві юстиції України 11 листопада 2016 року за № 1469/29599</w:t>
            </w:r>
            <w:r w:rsidRPr="009D6118">
              <w:rPr>
                <w:rFonts w:ascii="Times New Roman" w:hAnsi="Times New Roman" w:cs="Times New Roman"/>
                <w:sz w:val="22"/>
                <w:szCs w:val="22"/>
                <w:lang w:eastAsia="en-US"/>
              </w:rPr>
              <w:t>, виходячи з фактично виконаних обсягів робіт і вартості фактично використаних матеріалів.</w:t>
            </w:r>
          </w:p>
        </w:tc>
        <w:tc>
          <w:tcPr>
            <w:tcW w:w="3899" w:type="dxa"/>
          </w:tcPr>
          <w:p w:rsidR="008F2112" w:rsidRDefault="008F2112" w:rsidP="008F2112">
            <w:pPr>
              <w:ind w:firstLine="175"/>
              <w:contextualSpacing/>
              <w:jc w:val="both"/>
              <w:rPr>
                <w:rFonts w:ascii="Times New Roman" w:hAnsi="Times New Roman" w:cs="Times New Roman"/>
                <w:bCs/>
                <w:sz w:val="24"/>
                <w:szCs w:val="24"/>
                <w:highlight w:val="yellow"/>
              </w:rPr>
            </w:pPr>
          </w:p>
          <w:p w:rsidR="009D6118" w:rsidRDefault="009D6118" w:rsidP="008F2112">
            <w:pPr>
              <w:ind w:firstLine="175"/>
              <w:contextualSpacing/>
              <w:jc w:val="both"/>
              <w:rPr>
                <w:rFonts w:ascii="Times New Roman" w:hAnsi="Times New Roman" w:cs="Times New Roman"/>
                <w:bCs/>
                <w:sz w:val="24"/>
                <w:szCs w:val="24"/>
                <w:highlight w:val="yellow"/>
              </w:rPr>
            </w:pPr>
          </w:p>
          <w:p w:rsidR="009D6118" w:rsidRDefault="009D6118" w:rsidP="008F2112">
            <w:pPr>
              <w:ind w:firstLine="175"/>
              <w:contextualSpacing/>
              <w:jc w:val="both"/>
              <w:rPr>
                <w:rFonts w:ascii="Times New Roman" w:hAnsi="Times New Roman" w:cs="Times New Roman"/>
                <w:bCs/>
                <w:sz w:val="24"/>
                <w:szCs w:val="24"/>
                <w:highlight w:val="yellow"/>
              </w:rPr>
            </w:pPr>
          </w:p>
          <w:p w:rsidR="009D6118" w:rsidRDefault="009D6118" w:rsidP="008F2112">
            <w:pPr>
              <w:ind w:firstLine="175"/>
              <w:contextualSpacing/>
              <w:jc w:val="both"/>
              <w:rPr>
                <w:rFonts w:ascii="Times New Roman" w:hAnsi="Times New Roman" w:cs="Times New Roman"/>
                <w:bCs/>
                <w:sz w:val="24"/>
                <w:szCs w:val="24"/>
                <w:highlight w:val="yellow"/>
              </w:rPr>
            </w:pPr>
          </w:p>
          <w:p w:rsidR="009D6118" w:rsidRPr="009D6118" w:rsidRDefault="009D6118" w:rsidP="009D6118">
            <w:pPr>
              <w:ind w:firstLine="176"/>
              <w:jc w:val="both"/>
              <w:rPr>
                <w:rFonts w:ascii="Times New Roman" w:hAnsi="Times New Roman" w:cs="Times New Roman"/>
                <w:sz w:val="22"/>
              </w:rPr>
            </w:pPr>
            <w:r w:rsidRPr="009D6118">
              <w:rPr>
                <w:rFonts w:ascii="Times New Roman" w:hAnsi="Times New Roman" w:cs="Times New Roman"/>
                <w:sz w:val="22"/>
              </w:rPr>
              <w:t>Запропоновані зміни до постанови обумовлені необхідністю приведення порядку формування вартості приєднання у відповідність до актуальних вимог державного регулювання та економічних умов в період дії воєнного стану.</w:t>
            </w:r>
          </w:p>
          <w:p w:rsidR="009D6118" w:rsidRDefault="009D6118" w:rsidP="009D6118">
            <w:pPr>
              <w:ind w:firstLine="176"/>
              <w:contextualSpacing/>
              <w:jc w:val="both"/>
              <w:rPr>
                <w:rFonts w:ascii="Times New Roman" w:hAnsi="Times New Roman" w:cs="Times New Roman"/>
                <w:sz w:val="22"/>
              </w:rPr>
            </w:pPr>
            <w:r w:rsidRPr="009D6118">
              <w:rPr>
                <w:rFonts w:ascii="Times New Roman" w:hAnsi="Times New Roman" w:cs="Times New Roman"/>
                <w:sz w:val="22"/>
              </w:rPr>
              <w:t>Зокрема, з урахуванням набрання чинності постановою КМУ №1512 зі змінами та доповненнями, якою встановлено спеціальні підходи до визначення вартості будівництва, виникає потреба застосування актуальних показників заробітної плати</w:t>
            </w: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Default="009D6118" w:rsidP="009D6118">
            <w:pPr>
              <w:ind w:firstLine="176"/>
              <w:contextualSpacing/>
              <w:jc w:val="both"/>
              <w:rPr>
                <w:rFonts w:ascii="Times New Roman" w:hAnsi="Times New Roman" w:cs="Times New Roman"/>
                <w:bCs/>
                <w:sz w:val="24"/>
                <w:szCs w:val="24"/>
                <w:highlight w:val="yellow"/>
              </w:rPr>
            </w:pPr>
          </w:p>
          <w:p w:rsidR="009D6118" w:rsidRPr="00D32097" w:rsidRDefault="009D6118" w:rsidP="009D6118">
            <w:pPr>
              <w:ind w:firstLine="176"/>
              <w:contextualSpacing/>
              <w:jc w:val="both"/>
              <w:rPr>
                <w:rFonts w:ascii="Times New Roman" w:hAnsi="Times New Roman" w:cs="Times New Roman"/>
                <w:bCs/>
                <w:sz w:val="24"/>
                <w:szCs w:val="24"/>
                <w:highlight w:val="yellow"/>
              </w:rPr>
            </w:pPr>
            <w:r w:rsidRPr="009D6118">
              <w:rPr>
                <w:rFonts w:ascii="Times New Roman" w:hAnsi="Times New Roman" w:cs="Times New Roman"/>
                <w:sz w:val="22"/>
              </w:rPr>
              <w:t>Зміни які забезпечать можливість дотримання вимог без постійної зміни Методики</w:t>
            </w:r>
          </w:p>
        </w:tc>
        <w:tc>
          <w:tcPr>
            <w:tcW w:w="3900" w:type="dxa"/>
            <w:gridSpan w:val="2"/>
          </w:tcPr>
          <w:p w:rsidR="008F2112" w:rsidRPr="00D32097" w:rsidRDefault="001C19F8" w:rsidP="008F2112">
            <w:pPr>
              <w:ind w:firstLine="174"/>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lastRenderedPageBreak/>
              <w:t>Потребує обговорення</w:t>
            </w:r>
          </w:p>
        </w:tc>
      </w:tr>
      <w:tr w:rsidR="008F2112" w:rsidRPr="00D32097" w:rsidTr="00D83895">
        <w:trPr>
          <w:trHeight w:val="218"/>
        </w:trPr>
        <w:tc>
          <w:tcPr>
            <w:tcW w:w="15598" w:type="dxa"/>
            <w:gridSpan w:val="7"/>
          </w:tcPr>
          <w:p w:rsidR="008F2112" w:rsidRPr="00D32097" w:rsidRDefault="008F2112" w:rsidP="008F2112">
            <w:pPr>
              <w:ind w:firstLine="174"/>
              <w:jc w:val="center"/>
              <w:rPr>
                <w:rFonts w:ascii="Times New Roman" w:hAnsi="Times New Roman" w:cs="Times New Roman"/>
                <w:b/>
                <w:sz w:val="24"/>
                <w:szCs w:val="24"/>
                <w:lang w:eastAsia="uk-UA"/>
              </w:rPr>
            </w:pPr>
            <w:r w:rsidRPr="00D32097">
              <w:rPr>
                <w:rFonts w:ascii="Times New Roman" w:hAnsi="Times New Roman" w:cs="Times New Roman"/>
                <w:b/>
                <w:sz w:val="24"/>
                <w:szCs w:val="24"/>
                <w:lang w:eastAsia="uk-UA"/>
              </w:rPr>
              <w:lastRenderedPageBreak/>
              <w:t>3. Плата за стандартне приєднання</w:t>
            </w:r>
          </w:p>
        </w:tc>
      </w:tr>
      <w:tr w:rsidR="001C19F8" w:rsidRPr="00D32097" w:rsidTr="002E4622">
        <w:trPr>
          <w:trHeight w:val="218"/>
        </w:trPr>
        <w:tc>
          <w:tcPr>
            <w:tcW w:w="3899" w:type="dxa"/>
            <w:gridSpan w:val="2"/>
            <w:vMerge w:val="restart"/>
          </w:tcPr>
          <w:p w:rsidR="001C19F8" w:rsidRPr="00D32097" w:rsidRDefault="001C19F8" w:rsidP="008F2112">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t>Зміни не вносились</w:t>
            </w:r>
          </w:p>
          <w:p w:rsidR="001C19F8" w:rsidRPr="00D32097" w:rsidRDefault="001C19F8" w:rsidP="008F2112">
            <w:pPr>
              <w:pStyle w:val="rvps2"/>
              <w:shd w:val="clear" w:color="auto" w:fill="FFFFFF"/>
              <w:spacing w:before="0" w:beforeAutospacing="0" w:after="0" w:afterAutospacing="0"/>
              <w:ind w:firstLine="309"/>
              <w:jc w:val="both"/>
              <w:rPr>
                <w:rFonts w:ascii="Times New Roman" w:hAnsi="Times New Roman" w:cs="Times New Roman"/>
                <w:sz w:val="22"/>
              </w:rPr>
            </w:pPr>
          </w:p>
          <w:p w:rsidR="001C19F8" w:rsidRPr="00D32097" w:rsidRDefault="001C19F8" w:rsidP="008F2112">
            <w:pPr>
              <w:pStyle w:val="rvps2"/>
              <w:shd w:val="clear" w:color="auto" w:fill="FFFFFF"/>
              <w:spacing w:before="0" w:beforeAutospacing="0" w:after="0" w:afterAutospacing="0"/>
              <w:ind w:firstLine="309"/>
              <w:jc w:val="both"/>
              <w:rPr>
                <w:rFonts w:ascii="Times New Roman" w:hAnsi="Times New Roman" w:cs="Times New Roman"/>
                <w:sz w:val="22"/>
              </w:rPr>
            </w:pPr>
            <w:r w:rsidRPr="00D32097">
              <w:rPr>
                <w:rFonts w:ascii="Times New Roman" w:hAnsi="Times New Roman" w:cs="Times New Roman"/>
                <w:sz w:val="22"/>
              </w:rPr>
              <w:t>3.6. Розрахунок коефіцієнта оптимізації </w:t>
            </w:r>
            <w:r w:rsidRPr="00D32097">
              <w:rPr>
                <w:noProof/>
                <w:sz w:val="22"/>
              </w:rPr>
              <w:drawing>
                <wp:inline distT="0" distB="0" distL="0" distR="0" wp14:anchorId="623248BC" wp14:editId="3E1D503B">
                  <wp:extent cx="531495" cy="329565"/>
                  <wp:effectExtent l="0" t="0" r="1905" b="0"/>
                  <wp:docPr id="2" name="Рисунок 2" descr="https://zakon.rada.gov.ua/laws/file/imgs/128/p480243n248v1-12.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8/p480243n248v1-12.gif">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495" cy="329565"/>
                          </a:xfrm>
                          <a:prstGeom prst="rect">
                            <a:avLst/>
                          </a:prstGeom>
                          <a:noFill/>
                          <a:ln>
                            <a:noFill/>
                          </a:ln>
                        </pic:spPr>
                      </pic:pic>
                    </a:graphicData>
                  </a:graphic>
                </wp:inline>
              </w:drawing>
            </w:r>
            <w:r w:rsidRPr="00D32097">
              <w:rPr>
                <w:rFonts w:ascii="Times New Roman" w:hAnsi="Times New Roman" w:cs="Times New Roman"/>
                <w:sz w:val="22"/>
              </w:rPr>
              <w:t>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1C19F8" w:rsidRPr="00D32097" w:rsidRDefault="001C19F8" w:rsidP="008F2112">
            <w:pPr>
              <w:pStyle w:val="rvps2"/>
              <w:shd w:val="clear" w:color="auto" w:fill="FFFFFF"/>
              <w:spacing w:before="0" w:beforeAutospacing="0" w:after="0" w:afterAutospacing="0"/>
              <w:ind w:firstLine="309"/>
              <w:jc w:val="both"/>
              <w:rPr>
                <w:rFonts w:ascii="Times New Roman" w:hAnsi="Times New Roman" w:cs="Times New Roman"/>
                <w:sz w:val="22"/>
              </w:rPr>
            </w:pPr>
            <w:bookmarkStart w:id="3" w:name="n444"/>
            <w:bookmarkEnd w:id="3"/>
            <w:r w:rsidRPr="00D32097">
              <w:rPr>
                <w:rFonts w:ascii="Times New Roman" w:hAnsi="Times New Roman" w:cs="Times New Roman"/>
                <w:sz w:val="22"/>
              </w:rPr>
              <w:t>…</w:t>
            </w:r>
          </w:p>
          <w:p w:rsidR="001C19F8" w:rsidRPr="00D32097" w:rsidRDefault="001C19F8" w:rsidP="008F2112">
            <w:pPr>
              <w:pStyle w:val="rvps2"/>
              <w:shd w:val="clear" w:color="auto" w:fill="FFFFFF"/>
              <w:spacing w:before="0" w:beforeAutospacing="0" w:after="0" w:afterAutospacing="0"/>
              <w:ind w:firstLine="309"/>
              <w:jc w:val="both"/>
              <w:rPr>
                <w:rFonts w:ascii="Times New Roman" w:hAnsi="Times New Roman" w:cs="Times New Roman"/>
                <w:sz w:val="22"/>
              </w:rPr>
            </w:pPr>
            <w:bookmarkStart w:id="4" w:name="n450"/>
            <w:bookmarkEnd w:id="4"/>
            <w:r w:rsidRPr="00D32097">
              <w:rPr>
                <w:rFonts w:ascii="Times New Roman" w:hAnsi="Times New Roman" w:cs="Times New Roman"/>
                <w:sz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D32097">
              <w:rPr>
                <w:rFonts w:ascii="Times New Roman" w:hAnsi="Times New Roman" w:cs="Times New Roman"/>
                <w:sz w:val="22"/>
              </w:rPr>
              <w:t>проєктів</w:t>
            </w:r>
            <w:proofErr w:type="spellEnd"/>
            <w:r w:rsidRPr="00D32097">
              <w:rPr>
                <w:rFonts w:ascii="Times New Roman" w:hAnsi="Times New Roman" w:cs="Times New Roman"/>
                <w:sz w:val="22"/>
              </w:rPr>
              <w:t xml:space="preserve"> нового будівництва, реконструкції та технічного переоснащення об'єктів енергетики у складі інвестиційних </w:t>
            </w:r>
            <w:r w:rsidRPr="00D32097">
              <w:rPr>
                <w:rFonts w:ascii="Times New Roman" w:hAnsi="Times New Roman" w:cs="Times New Roman"/>
                <w:sz w:val="22"/>
              </w:rPr>
              <w:lastRenderedPageBreak/>
              <w:t>програм операторів систем розподілу на відповідний період, 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1C19F8" w:rsidRPr="00D32097" w:rsidRDefault="001C19F8" w:rsidP="008F2112">
            <w:pPr>
              <w:pStyle w:val="rvps2"/>
              <w:shd w:val="clear" w:color="auto" w:fill="FFFFFF"/>
              <w:spacing w:before="0" w:beforeAutospacing="0" w:after="0" w:afterAutospacing="0"/>
              <w:ind w:firstLine="309"/>
              <w:jc w:val="both"/>
              <w:rPr>
                <w:rFonts w:ascii="Times New Roman" w:hAnsi="Times New Roman" w:cs="Times New Roman"/>
                <w:sz w:val="22"/>
              </w:rPr>
            </w:pPr>
            <w:bookmarkStart w:id="5" w:name="n451"/>
            <w:bookmarkEnd w:id="5"/>
            <w:r w:rsidRPr="00D32097">
              <w:rPr>
                <w:rFonts w:ascii="Times New Roman" w:hAnsi="Times New Roman" w:cs="Times New Roman"/>
                <w:sz w:val="22"/>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1C19F8" w:rsidRPr="00D32097" w:rsidRDefault="001C19F8" w:rsidP="008F2112">
            <w:pPr>
              <w:pStyle w:val="rvps2"/>
              <w:shd w:val="clear" w:color="auto" w:fill="FFFFFF"/>
              <w:spacing w:before="0" w:beforeAutospacing="0" w:after="0" w:afterAutospacing="0"/>
              <w:ind w:firstLine="309"/>
              <w:jc w:val="both"/>
              <w:rPr>
                <w:color w:val="333333"/>
              </w:rPr>
            </w:pPr>
            <w:bookmarkStart w:id="6" w:name="n452"/>
            <w:bookmarkEnd w:id="6"/>
            <w:r w:rsidRPr="00D32097">
              <w:rPr>
                <w:rFonts w:ascii="Times New Roman" w:hAnsi="Times New Roman" w:cs="Times New Roman"/>
                <w:sz w:val="22"/>
              </w:rPr>
              <w:t>…</w:t>
            </w:r>
          </w:p>
        </w:tc>
        <w:tc>
          <w:tcPr>
            <w:tcW w:w="3900" w:type="dxa"/>
            <w:gridSpan w:val="2"/>
          </w:tcPr>
          <w:p w:rsidR="001C19F8" w:rsidRPr="00D32097" w:rsidRDefault="001C19F8" w:rsidP="008F2112">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lastRenderedPageBreak/>
              <w:t xml:space="preserve">ТОВ «ВС Енерджі </w:t>
            </w:r>
            <w:proofErr w:type="spellStart"/>
            <w:r w:rsidRPr="00D32097">
              <w:rPr>
                <w:rFonts w:ascii="Times New Roman" w:hAnsi="Times New Roman" w:cs="Times New Roman"/>
                <w:b/>
                <w:color w:val="000000"/>
                <w:sz w:val="22"/>
                <w:szCs w:val="22"/>
                <w:u w:val="single"/>
              </w:rPr>
              <w:t>Інтернейшнл</w:t>
            </w:r>
            <w:proofErr w:type="spellEnd"/>
            <w:r w:rsidRPr="00D32097">
              <w:rPr>
                <w:rFonts w:ascii="Times New Roman" w:hAnsi="Times New Roman" w:cs="Times New Roman"/>
                <w:b/>
                <w:color w:val="000000"/>
                <w:sz w:val="22"/>
                <w:szCs w:val="22"/>
                <w:u w:val="single"/>
              </w:rPr>
              <w:t xml:space="preserve"> Україна»</w:t>
            </w:r>
          </w:p>
          <w:p w:rsidR="001C19F8" w:rsidRPr="00D32097" w:rsidRDefault="001C19F8" w:rsidP="008F2112">
            <w:pPr>
              <w:ind w:firstLine="235"/>
              <w:jc w:val="both"/>
              <w:rPr>
                <w:rFonts w:ascii="Times New Roman" w:hAnsi="Times New Roman" w:cs="Times New Roman"/>
                <w:sz w:val="22"/>
                <w:szCs w:val="24"/>
              </w:rPr>
            </w:pPr>
            <w:r w:rsidRPr="00D32097">
              <w:rPr>
                <w:rFonts w:ascii="Times New Roman" w:hAnsi="Times New Roman" w:cs="Times New Roman"/>
                <w:sz w:val="22"/>
                <w:szCs w:val="24"/>
              </w:rPr>
              <w:t xml:space="preserve">3.6 Розрахунок коефіцієнта оптимізації </w:t>
            </w:r>
            <w:r w:rsidRPr="00D32097">
              <w:rPr>
                <w:noProof/>
                <w:sz w:val="22"/>
                <w:lang w:eastAsia="uk-UA"/>
              </w:rPr>
              <w:drawing>
                <wp:inline distT="0" distB="0" distL="0" distR="0" wp14:anchorId="059BAB8C" wp14:editId="4010D19B">
                  <wp:extent cx="531495" cy="329565"/>
                  <wp:effectExtent l="0" t="0" r="1905" b="0"/>
                  <wp:docPr id="3" name="Рисунок 3" descr="https://zakon.rada.gov.ua/laws/file/imgs/128/p480243n248v1-12.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8/p480243n248v1-12.gif">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495" cy="329565"/>
                          </a:xfrm>
                          <a:prstGeom prst="rect">
                            <a:avLst/>
                          </a:prstGeom>
                          <a:noFill/>
                          <a:ln>
                            <a:noFill/>
                          </a:ln>
                        </pic:spPr>
                      </pic:pic>
                    </a:graphicData>
                  </a:graphic>
                </wp:inline>
              </w:drawing>
            </w:r>
            <w:r w:rsidRPr="00D32097">
              <w:rPr>
                <w:rFonts w:ascii="Times New Roman" w:hAnsi="Times New Roman" w:cs="Times New Roman"/>
                <w:sz w:val="22"/>
                <w:szCs w:val="24"/>
              </w:rPr>
              <w:t xml:space="preserve">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1C19F8" w:rsidRPr="00D32097" w:rsidRDefault="001C19F8" w:rsidP="008F2112">
            <w:pPr>
              <w:ind w:firstLine="235"/>
              <w:jc w:val="both"/>
              <w:rPr>
                <w:rFonts w:ascii="Times New Roman" w:hAnsi="Times New Roman" w:cs="Times New Roman"/>
                <w:sz w:val="22"/>
                <w:szCs w:val="24"/>
              </w:rPr>
            </w:pPr>
            <w:r w:rsidRPr="00D32097">
              <w:rPr>
                <w:rFonts w:ascii="Times New Roman" w:hAnsi="Times New Roman" w:cs="Times New Roman"/>
                <w:sz w:val="22"/>
                <w:szCs w:val="24"/>
              </w:rPr>
              <w:t>…</w:t>
            </w:r>
          </w:p>
          <w:p w:rsidR="001C19F8" w:rsidRPr="00D32097" w:rsidRDefault="001C19F8" w:rsidP="008F2112">
            <w:pPr>
              <w:ind w:firstLine="235"/>
              <w:jc w:val="both"/>
              <w:rPr>
                <w:rFonts w:ascii="Times New Roman" w:hAnsi="Times New Roman" w:cs="Times New Roman"/>
                <w:sz w:val="22"/>
                <w:szCs w:val="24"/>
              </w:rPr>
            </w:pPr>
            <w:r w:rsidRPr="00D32097">
              <w:rPr>
                <w:rFonts w:ascii="Times New Roman" w:hAnsi="Times New Roman" w:cs="Times New Roman"/>
                <w:sz w:val="22"/>
                <w:szCs w:val="24"/>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D32097">
              <w:rPr>
                <w:rFonts w:ascii="Times New Roman" w:hAnsi="Times New Roman" w:cs="Times New Roman"/>
                <w:sz w:val="22"/>
                <w:szCs w:val="24"/>
              </w:rPr>
              <w:t>проєктів</w:t>
            </w:r>
            <w:proofErr w:type="spellEnd"/>
            <w:r w:rsidRPr="00D32097">
              <w:rPr>
                <w:rFonts w:ascii="Times New Roman" w:hAnsi="Times New Roman" w:cs="Times New Roman"/>
                <w:sz w:val="22"/>
                <w:szCs w:val="24"/>
              </w:rPr>
              <w:t xml:space="preserve"> нового будівництва, реконструкції та технічного переоснащення об'єктів енергетики у складі інвестиційних </w:t>
            </w:r>
            <w:r w:rsidRPr="00D32097">
              <w:rPr>
                <w:rFonts w:ascii="Times New Roman" w:hAnsi="Times New Roman" w:cs="Times New Roman"/>
                <w:sz w:val="22"/>
                <w:szCs w:val="24"/>
              </w:rPr>
              <w:lastRenderedPageBreak/>
              <w:t xml:space="preserve">програм операторів систем розподілу на відповідний період, у якому завершено надання послуги з приєднання </w:t>
            </w:r>
          </w:p>
          <w:p w:rsidR="001C19F8" w:rsidRPr="00D32097" w:rsidRDefault="001C19F8" w:rsidP="008F2112">
            <w:pPr>
              <w:ind w:firstLine="235"/>
              <w:jc w:val="both"/>
              <w:rPr>
                <w:rFonts w:ascii="Times New Roman" w:hAnsi="Times New Roman" w:cs="Times New Roman"/>
                <w:sz w:val="22"/>
                <w:szCs w:val="24"/>
              </w:rPr>
            </w:pPr>
            <w:r w:rsidRPr="00D32097">
              <w:rPr>
                <w:rFonts w:ascii="Times New Roman" w:hAnsi="Times New Roman" w:cs="Times New Roman"/>
                <w:b/>
                <w:bCs/>
                <w:color w:val="0070C0"/>
                <w:sz w:val="22"/>
                <w:szCs w:val="24"/>
              </w:rPr>
              <w:t xml:space="preserve">На час дії воєнного стану з урахуванням Постанови КМУ від 19.11.2025 року №1512 про Деякі особливості визначення вартості будівництва в умовах воєнного стану». </w:t>
            </w:r>
            <w:r w:rsidRPr="00D32097">
              <w:rPr>
                <w:rFonts w:ascii="Times New Roman" w:hAnsi="Times New Roman" w:cs="Times New Roman"/>
                <w:sz w:val="22"/>
                <w:szCs w:val="24"/>
              </w:rPr>
              <w:t>За запитом ОСР НКРЕКП надає інформацію щодо індикативних показників згідно запитуваного переліку матеріалів та обладнання.</w:t>
            </w:r>
          </w:p>
          <w:p w:rsidR="001C19F8" w:rsidRPr="00D32097" w:rsidRDefault="001C19F8" w:rsidP="008F2112">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bCs/>
                <w:color w:val="0070C0"/>
                <w:sz w:val="22"/>
                <w:szCs w:val="24"/>
              </w:rPr>
              <w:t xml:space="preserve">Договори нестандартного приєднання потужністю більше 1 МВт з </w:t>
            </w:r>
            <w:proofErr w:type="spellStart"/>
            <w:r w:rsidRPr="00D32097">
              <w:rPr>
                <w:rFonts w:ascii="Times New Roman" w:hAnsi="Times New Roman" w:cs="Times New Roman"/>
                <w:b/>
                <w:bCs/>
                <w:color w:val="0070C0"/>
                <w:sz w:val="22"/>
                <w:szCs w:val="24"/>
              </w:rPr>
              <w:t>проєктуванням</w:t>
            </w:r>
            <w:proofErr w:type="spellEnd"/>
            <w:r w:rsidRPr="00D32097">
              <w:rPr>
                <w:rFonts w:ascii="Times New Roman" w:hAnsi="Times New Roman" w:cs="Times New Roman"/>
                <w:b/>
                <w:bCs/>
                <w:color w:val="0070C0"/>
                <w:sz w:val="22"/>
                <w:szCs w:val="24"/>
              </w:rPr>
              <w:t xml:space="preserve"> лінійної частини приєднання, де замовником з </w:t>
            </w:r>
            <w:proofErr w:type="spellStart"/>
            <w:r w:rsidRPr="00D32097">
              <w:rPr>
                <w:rFonts w:ascii="Times New Roman" w:hAnsi="Times New Roman" w:cs="Times New Roman"/>
                <w:b/>
                <w:bCs/>
                <w:color w:val="0070C0"/>
                <w:sz w:val="22"/>
                <w:szCs w:val="24"/>
              </w:rPr>
              <w:t>проєктування</w:t>
            </w:r>
            <w:proofErr w:type="spellEnd"/>
            <w:r w:rsidRPr="00D32097">
              <w:rPr>
                <w:rFonts w:ascii="Times New Roman" w:hAnsi="Times New Roman" w:cs="Times New Roman"/>
                <w:b/>
                <w:bCs/>
                <w:color w:val="0070C0"/>
                <w:sz w:val="22"/>
                <w:szCs w:val="24"/>
              </w:rPr>
              <w:t xml:space="preserve"> </w:t>
            </w:r>
            <w:proofErr w:type="spellStart"/>
            <w:r w:rsidRPr="00D32097">
              <w:rPr>
                <w:rFonts w:ascii="Times New Roman" w:hAnsi="Times New Roman" w:cs="Times New Roman"/>
                <w:b/>
                <w:bCs/>
                <w:color w:val="0070C0"/>
                <w:sz w:val="22"/>
                <w:szCs w:val="24"/>
              </w:rPr>
              <w:t>обладаннання</w:t>
            </w:r>
            <w:proofErr w:type="spellEnd"/>
            <w:r w:rsidRPr="00D32097">
              <w:rPr>
                <w:rFonts w:ascii="Times New Roman" w:hAnsi="Times New Roman" w:cs="Times New Roman"/>
                <w:b/>
                <w:bCs/>
                <w:color w:val="0070C0"/>
                <w:sz w:val="22"/>
                <w:szCs w:val="24"/>
              </w:rPr>
              <w:t xml:space="preserve"> електричних мереж, будівельно-монтажних, пусконалагоджувальних робіт лінійної частини приєднання не приймають участь в розрахунку коефіцієнта оптимізації коштів.</w:t>
            </w:r>
          </w:p>
        </w:tc>
        <w:tc>
          <w:tcPr>
            <w:tcW w:w="3899" w:type="dxa"/>
          </w:tcPr>
          <w:p w:rsidR="001C19F8" w:rsidRPr="00D32097" w:rsidRDefault="001C19F8" w:rsidP="008F2112">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 xml:space="preserve">Затвердження індикативних цін відбувається практично за рік до виконання робіт. Ціни на ринку дуже коливаються, і на сьогодні ми вже маємо не конкурентну та не ліквідну індикативну ціну на більшість продукції. </w:t>
            </w:r>
          </w:p>
          <w:p w:rsidR="001C19F8" w:rsidRPr="00D32097" w:rsidRDefault="001C19F8" w:rsidP="008F2112">
            <w:pPr>
              <w:ind w:firstLine="182"/>
              <w:jc w:val="both"/>
              <w:rPr>
                <w:rFonts w:ascii="Times New Roman" w:hAnsi="Times New Roman" w:cs="Times New Roman"/>
                <w:sz w:val="22"/>
                <w:szCs w:val="22"/>
                <w:highlight w:val="yellow"/>
              </w:rPr>
            </w:pPr>
            <w:r w:rsidRPr="00D32097">
              <w:rPr>
                <w:rFonts w:ascii="Times New Roman" w:hAnsi="Times New Roman" w:cs="Times New Roman"/>
                <w:sz w:val="22"/>
                <w:szCs w:val="22"/>
              </w:rPr>
              <w:t>По даним договорам складається баланс коштів.</w:t>
            </w:r>
          </w:p>
        </w:tc>
        <w:tc>
          <w:tcPr>
            <w:tcW w:w="3900" w:type="dxa"/>
            <w:gridSpan w:val="2"/>
          </w:tcPr>
          <w:p w:rsidR="001C19F8" w:rsidRDefault="00AE22EF" w:rsidP="00C61B7E">
            <w:pPr>
              <w:ind w:firstLine="174"/>
              <w:rPr>
                <w:rFonts w:ascii="Times New Roman" w:hAnsi="Times New Roman" w:cs="Times New Roman"/>
                <w:b/>
                <w:sz w:val="22"/>
                <w:szCs w:val="24"/>
                <w:lang w:eastAsia="uk-UA"/>
              </w:rPr>
            </w:pPr>
            <w:r>
              <w:rPr>
                <w:rFonts w:ascii="Times New Roman" w:hAnsi="Times New Roman" w:cs="Times New Roman"/>
                <w:b/>
                <w:sz w:val="22"/>
                <w:szCs w:val="24"/>
                <w:lang w:eastAsia="uk-UA"/>
              </w:rPr>
              <w:t>Пропонується врахувати в редакції:</w:t>
            </w:r>
          </w:p>
          <w:p w:rsidR="00AE22EF" w:rsidRPr="00D32097" w:rsidRDefault="00AE22EF" w:rsidP="00AE22EF">
            <w:pPr>
              <w:pStyle w:val="rvps2"/>
              <w:shd w:val="clear" w:color="auto" w:fill="FFFFFF"/>
              <w:spacing w:before="0" w:beforeAutospacing="0" w:after="0" w:afterAutospacing="0"/>
              <w:ind w:firstLine="309"/>
              <w:jc w:val="both"/>
              <w:rPr>
                <w:rFonts w:ascii="Times New Roman" w:hAnsi="Times New Roman" w:cs="Times New Roman"/>
                <w:sz w:val="22"/>
              </w:rPr>
            </w:pPr>
            <w:r w:rsidRPr="00D32097">
              <w:rPr>
                <w:rFonts w:ascii="Times New Roman" w:hAnsi="Times New Roman" w:cs="Times New Roman"/>
                <w:sz w:val="22"/>
              </w:rPr>
              <w:t>3.6. Розрахунок коефіцієнта оптимізації </w:t>
            </w:r>
            <w:r w:rsidRPr="00D32097">
              <w:rPr>
                <w:noProof/>
                <w:sz w:val="22"/>
              </w:rPr>
              <w:drawing>
                <wp:inline distT="0" distB="0" distL="0" distR="0" wp14:anchorId="35A3BE20" wp14:editId="65C1AEE9">
                  <wp:extent cx="531495" cy="329565"/>
                  <wp:effectExtent l="0" t="0" r="1905" b="0"/>
                  <wp:docPr id="14" name="Рисунок 14" descr="https://zakon.rada.gov.ua/laws/file/imgs/128/p480243n248v1-12.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rada.gov.ua/laws/file/imgs/128/p480243n248v1-12.gif">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495" cy="329565"/>
                          </a:xfrm>
                          <a:prstGeom prst="rect">
                            <a:avLst/>
                          </a:prstGeom>
                          <a:noFill/>
                          <a:ln>
                            <a:noFill/>
                          </a:ln>
                        </pic:spPr>
                      </pic:pic>
                    </a:graphicData>
                  </a:graphic>
                </wp:inline>
              </w:drawing>
            </w:r>
            <w:r w:rsidRPr="00D32097">
              <w:rPr>
                <w:rFonts w:ascii="Times New Roman" w:hAnsi="Times New Roman" w:cs="Times New Roman"/>
                <w:sz w:val="22"/>
              </w:rPr>
              <w:t>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AE22EF" w:rsidRPr="00D32097" w:rsidRDefault="00AE22EF" w:rsidP="00AE22EF">
            <w:pPr>
              <w:pStyle w:val="rvps2"/>
              <w:shd w:val="clear" w:color="auto" w:fill="FFFFFF"/>
              <w:spacing w:before="0" w:beforeAutospacing="0" w:after="0" w:afterAutospacing="0"/>
              <w:ind w:firstLine="309"/>
              <w:jc w:val="both"/>
              <w:rPr>
                <w:rFonts w:ascii="Times New Roman" w:hAnsi="Times New Roman" w:cs="Times New Roman"/>
                <w:sz w:val="22"/>
              </w:rPr>
            </w:pPr>
            <w:r w:rsidRPr="00D32097">
              <w:rPr>
                <w:rFonts w:ascii="Times New Roman" w:hAnsi="Times New Roman" w:cs="Times New Roman"/>
                <w:sz w:val="22"/>
              </w:rPr>
              <w:t>…</w:t>
            </w:r>
          </w:p>
          <w:p w:rsidR="00AE22EF" w:rsidRPr="00D32097" w:rsidRDefault="00AE22EF" w:rsidP="00AE22EF">
            <w:pPr>
              <w:pStyle w:val="rvps2"/>
              <w:shd w:val="clear" w:color="auto" w:fill="FFFFFF"/>
              <w:spacing w:before="0" w:beforeAutospacing="0" w:after="0" w:afterAutospacing="0"/>
              <w:ind w:firstLine="309"/>
              <w:jc w:val="both"/>
              <w:rPr>
                <w:rFonts w:ascii="Times New Roman" w:hAnsi="Times New Roman" w:cs="Times New Roman"/>
                <w:sz w:val="22"/>
              </w:rPr>
            </w:pPr>
            <w:r w:rsidRPr="00D32097">
              <w:rPr>
                <w:rFonts w:ascii="Times New Roman" w:hAnsi="Times New Roman" w:cs="Times New Roman"/>
                <w:sz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w:t>
            </w:r>
            <w:r w:rsidRPr="00AE22EF">
              <w:rPr>
                <w:rFonts w:ascii="Times New Roman" w:hAnsi="Times New Roman" w:cs="Times New Roman"/>
                <w:b/>
                <w:strike/>
                <w:color w:val="00B050"/>
                <w:sz w:val="22"/>
              </w:rPr>
              <w:t>виконанні/</w:t>
            </w:r>
            <w:r w:rsidRPr="00D32097">
              <w:rPr>
                <w:rFonts w:ascii="Times New Roman" w:hAnsi="Times New Roman" w:cs="Times New Roman"/>
                <w:sz w:val="22"/>
              </w:rPr>
              <w:t xml:space="preserve">плануванні </w:t>
            </w:r>
            <w:proofErr w:type="spellStart"/>
            <w:r w:rsidRPr="00D32097">
              <w:rPr>
                <w:rFonts w:ascii="Times New Roman" w:hAnsi="Times New Roman" w:cs="Times New Roman"/>
                <w:sz w:val="22"/>
              </w:rPr>
              <w:t>проєктів</w:t>
            </w:r>
            <w:proofErr w:type="spellEnd"/>
            <w:r w:rsidRPr="00D32097">
              <w:rPr>
                <w:rFonts w:ascii="Times New Roman" w:hAnsi="Times New Roman" w:cs="Times New Roman"/>
                <w:sz w:val="22"/>
              </w:rPr>
              <w:t xml:space="preserve"> нового будівництва, реконструкції та технічного переоснащення об'єктів енергетики у складі інвестиційних </w:t>
            </w:r>
            <w:r w:rsidRPr="00D32097">
              <w:rPr>
                <w:rFonts w:ascii="Times New Roman" w:hAnsi="Times New Roman" w:cs="Times New Roman"/>
                <w:sz w:val="22"/>
              </w:rPr>
              <w:lastRenderedPageBreak/>
              <w:t xml:space="preserve">програм операторів систем розподілу </w:t>
            </w:r>
            <w:r w:rsidRPr="00AE22EF">
              <w:rPr>
                <w:rFonts w:ascii="Times New Roman" w:hAnsi="Times New Roman" w:cs="Times New Roman"/>
                <w:b/>
                <w:strike/>
                <w:color w:val="00B050"/>
                <w:sz w:val="22"/>
              </w:rPr>
              <w:t>на відповідний період</w:t>
            </w:r>
            <w:r w:rsidRPr="00AE22EF">
              <w:rPr>
                <w:rFonts w:ascii="Times New Roman" w:hAnsi="Times New Roman" w:cs="Times New Roman"/>
                <w:b/>
                <w:color w:val="00B050"/>
                <w:sz w:val="22"/>
              </w:rPr>
              <w:t>,</w:t>
            </w:r>
            <w:r>
              <w:rPr>
                <w:rFonts w:ascii="Times New Roman" w:hAnsi="Times New Roman" w:cs="Times New Roman"/>
                <w:color w:val="00B050"/>
                <w:sz w:val="22"/>
              </w:rPr>
              <w:t xml:space="preserve"> </w:t>
            </w:r>
            <w:r w:rsidRPr="00AE22EF">
              <w:rPr>
                <w:rFonts w:ascii="Times New Roman" w:hAnsi="Times New Roman" w:cs="Times New Roman"/>
                <w:b/>
                <w:color w:val="00B050"/>
                <w:sz w:val="22"/>
              </w:rPr>
              <w:t>що формується у році, в</w:t>
            </w:r>
            <w:r w:rsidRPr="00D32097">
              <w:rPr>
                <w:rFonts w:ascii="Times New Roman" w:hAnsi="Times New Roman" w:cs="Times New Roman"/>
                <w:sz w:val="22"/>
              </w:rPr>
              <w:t xml:space="preserve">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AE22EF" w:rsidRPr="00AE22EF" w:rsidRDefault="00AE22EF" w:rsidP="00AE22EF">
            <w:pPr>
              <w:pStyle w:val="rvps2"/>
              <w:shd w:val="clear" w:color="auto" w:fill="FFFFFF"/>
              <w:spacing w:before="0" w:beforeAutospacing="0" w:after="0" w:afterAutospacing="0"/>
              <w:ind w:firstLine="309"/>
              <w:jc w:val="both"/>
              <w:rPr>
                <w:rFonts w:ascii="Times New Roman" w:hAnsi="Times New Roman" w:cs="Times New Roman"/>
                <w:b/>
                <w:strike/>
                <w:color w:val="00B050"/>
                <w:sz w:val="22"/>
              </w:rPr>
            </w:pPr>
            <w:r w:rsidRPr="00AE22EF">
              <w:rPr>
                <w:rFonts w:ascii="Times New Roman" w:hAnsi="Times New Roman" w:cs="Times New Roman"/>
                <w:b/>
                <w:strike/>
                <w:color w:val="00B050"/>
                <w:sz w:val="22"/>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AE22EF" w:rsidRPr="00D32097" w:rsidRDefault="00AE22EF" w:rsidP="00AE22EF">
            <w:pPr>
              <w:ind w:firstLine="174"/>
              <w:rPr>
                <w:rFonts w:ascii="Times New Roman" w:hAnsi="Times New Roman" w:cs="Times New Roman"/>
                <w:b/>
                <w:sz w:val="22"/>
                <w:szCs w:val="22"/>
                <w:lang w:eastAsia="uk-UA"/>
              </w:rPr>
            </w:pPr>
            <w:r w:rsidRPr="00D32097">
              <w:rPr>
                <w:rFonts w:ascii="Times New Roman" w:hAnsi="Times New Roman" w:cs="Times New Roman"/>
                <w:sz w:val="22"/>
              </w:rPr>
              <w:t>…</w:t>
            </w:r>
          </w:p>
        </w:tc>
      </w:tr>
      <w:tr w:rsidR="001C19F8" w:rsidRPr="00D32097" w:rsidTr="002E4622">
        <w:trPr>
          <w:trHeight w:val="218"/>
        </w:trPr>
        <w:tc>
          <w:tcPr>
            <w:tcW w:w="3899" w:type="dxa"/>
            <w:gridSpan w:val="2"/>
            <w:vMerge/>
          </w:tcPr>
          <w:p w:rsidR="001C19F8" w:rsidRPr="00D32097" w:rsidRDefault="001C19F8" w:rsidP="00CE1725">
            <w:pPr>
              <w:tabs>
                <w:tab w:val="left" w:pos="993"/>
              </w:tabs>
              <w:ind w:firstLine="326"/>
              <w:jc w:val="both"/>
              <w:rPr>
                <w:b/>
                <w:i/>
                <w:color w:val="000000"/>
                <w:sz w:val="22"/>
                <w:szCs w:val="22"/>
              </w:rPr>
            </w:pPr>
          </w:p>
        </w:tc>
        <w:tc>
          <w:tcPr>
            <w:tcW w:w="3900" w:type="dxa"/>
            <w:gridSpan w:val="2"/>
          </w:tcPr>
          <w:p w:rsidR="001C19F8" w:rsidRDefault="001C19F8" w:rsidP="00CE1725">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Варіант І.</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3.6. Розрахунок коефіцієнта оптимізації </w:t>
            </w:r>
            <w:r w:rsidRPr="00F82326">
              <w:rPr>
                <w:noProof/>
                <w:color w:val="000000" w:themeColor="text1"/>
                <w:sz w:val="22"/>
                <w:szCs w:val="22"/>
              </w:rPr>
              <w:drawing>
                <wp:inline distT="0" distB="0" distL="0" distR="0" wp14:anchorId="6046068A" wp14:editId="7975D729">
                  <wp:extent cx="533400" cy="333375"/>
                  <wp:effectExtent l="0" t="0" r="0" b="9525"/>
                  <wp:docPr id="174635705" name="Рисунок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333375"/>
                          </a:xfrm>
                          <a:prstGeom prst="rect">
                            <a:avLst/>
                          </a:prstGeom>
                          <a:noFill/>
                          <a:ln>
                            <a:noFill/>
                          </a:ln>
                        </pic:spPr>
                      </pic:pic>
                    </a:graphicData>
                  </a:graphic>
                </wp:inline>
              </w:drawing>
            </w:r>
            <w:r w:rsidRPr="00F82326">
              <w:rPr>
                <w:rFonts w:ascii="Times New Roman" w:hAnsi="Times New Roman" w:cs="Times New Roman"/>
                <w:color w:val="000000" w:themeColor="text1"/>
                <w:sz w:val="22"/>
                <w:szCs w:val="22"/>
              </w:rPr>
              <w:t xml:space="preserve">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w:t>
            </w:r>
            <w:r w:rsidRPr="00F82326">
              <w:rPr>
                <w:rFonts w:ascii="Times New Roman" w:hAnsi="Times New Roman" w:cs="Times New Roman"/>
                <w:color w:val="000000" w:themeColor="text1"/>
                <w:sz w:val="22"/>
                <w:szCs w:val="22"/>
              </w:rPr>
              <w:lastRenderedPageBreak/>
              <w:t>підставі аналізу актів за виконаними договорами про приєднання.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F82326">
              <w:rPr>
                <w:rFonts w:ascii="Times New Roman" w:hAnsi="Times New Roman" w:cs="Times New Roman"/>
                <w:color w:val="000000" w:themeColor="text1"/>
                <w:sz w:val="22"/>
                <w:szCs w:val="22"/>
              </w:rPr>
              <w:t>проєктів</w:t>
            </w:r>
            <w:proofErr w:type="spellEnd"/>
            <w:r w:rsidRPr="00F82326">
              <w:rPr>
                <w:rFonts w:ascii="Times New Roman" w:hAnsi="Times New Roman" w:cs="Times New Roman"/>
                <w:color w:val="000000" w:themeColor="text1"/>
                <w:sz w:val="22"/>
                <w:szCs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w:t>
            </w:r>
            <w:r w:rsidRPr="00F82326">
              <w:rPr>
                <w:rFonts w:ascii="Times New Roman" w:hAnsi="Times New Roman" w:cs="Times New Roman"/>
                <w:b/>
                <w:bCs/>
                <w:color w:val="000000" w:themeColor="text1"/>
                <w:sz w:val="22"/>
                <w:szCs w:val="22"/>
              </w:rPr>
              <w:t>(крім рівня заробітної плати, який розраховується відповідно до чинних нормативних документів у сфері будівництва),</w:t>
            </w:r>
            <w:r w:rsidRPr="00F82326">
              <w:rPr>
                <w:rFonts w:ascii="Times New Roman" w:hAnsi="Times New Roman" w:cs="Times New Roman"/>
                <w:b/>
                <w:bCs/>
                <w:sz w:val="22"/>
                <w:szCs w:val="22"/>
              </w:rPr>
              <w:t xml:space="preserve">  </w:t>
            </w:r>
            <w:r w:rsidRPr="00F82326">
              <w:rPr>
                <w:rFonts w:ascii="Times New Roman" w:hAnsi="Times New Roman" w:cs="Times New Roman"/>
                <w:color w:val="000000" w:themeColor="text1"/>
                <w:sz w:val="22"/>
                <w:szCs w:val="22"/>
              </w:rPr>
              <w:t>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та обладнання враховуються із застосуванням коефіцієнта </w:t>
            </w:r>
            <w:r w:rsidRPr="00F82326">
              <w:rPr>
                <w:rFonts w:ascii="Times New Roman" w:hAnsi="Times New Roman" w:cs="Times New Roman"/>
                <w:strike/>
                <w:color w:val="000000" w:themeColor="text1"/>
                <w:sz w:val="22"/>
                <w:szCs w:val="22"/>
              </w:rPr>
              <w:t>1,1</w:t>
            </w:r>
            <w:r w:rsidRPr="00F82326">
              <w:rPr>
                <w:rFonts w:ascii="Times New Roman" w:hAnsi="Times New Roman" w:cs="Times New Roman"/>
                <w:color w:val="000000" w:themeColor="text1"/>
                <w:sz w:val="22"/>
                <w:szCs w:val="22"/>
              </w:rPr>
              <w:t xml:space="preserve"> </w:t>
            </w:r>
            <w:r w:rsidRPr="00F82326">
              <w:rPr>
                <w:rFonts w:ascii="Times New Roman" w:hAnsi="Times New Roman" w:cs="Times New Roman"/>
                <w:b/>
                <w:bCs/>
                <w:color w:val="000000" w:themeColor="text1"/>
                <w:sz w:val="22"/>
                <w:szCs w:val="22"/>
              </w:rPr>
              <w:t>1,2 (1,5 для 2026 року)</w:t>
            </w:r>
            <w:r w:rsidRPr="00F82326">
              <w:rPr>
                <w:rFonts w:ascii="Times New Roman" w:hAnsi="Times New Roman" w:cs="Times New Roman"/>
                <w:color w:val="000000" w:themeColor="text1"/>
                <w:sz w:val="22"/>
                <w:szCs w:val="22"/>
              </w:rPr>
              <w:t xml:space="preserve"> для всього переліку матеріалів та обладнання, використаних під час надання послуг з приєднань.</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tc>
        <w:tc>
          <w:tcPr>
            <w:tcW w:w="3899" w:type="dxa"/>
          </w:tcPr>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lastRenderedPageBreak/>
              <w:t>Необхідність перегляду коефіцієнта, що застосовується до вартісних показників матеріалів та обладнання, зумовлена суттєвими змінами цінової кон’юнктури у 2024–2026 роках, зокрема стрімким зростанням вартості металопродукції, кабельної продукції, електротехнічного обладнання, а також логістичних витрат.</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 xml:space="preserve">Застосування коефіцієнта на рівні 1,5 для 2026 року обґрунтовується необхідністю врахування пікового рівня зростання цін, що спостерігається у поточному періоді, та забезпечення коректного відображення </w:t>
            </w:r>
            <w:r w:rsidRPr="00CE1725">
              <w:rPr>
                <w:rFonts w:ascii="Times New Roman" w:hAnsi="Times New Roman" w:cs="Times New Roman"/>
                <w:sz w:val="22"/>
                <w:szCs w:val="22"/>
              </w:rPr>
              <w:lastRenderedPageBreak/>
              <w:t>фактичних витрат операторів систем розподілу при виконанні приєднань.</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Встановлення базового коефіцієнта на рівні 1,2 для інших періодів спрямоване на:</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урахування системного інфляційного впливу на вартість матеріально-технічних ресурсів;</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забезпечення більш наближеного до ринкового рівня індикативних цін;</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підвищення точності визначення дефіциту/профіциту коштів.</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Запропонований диференційований підхід до встановлення коефіцієнта дозволяє:</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забезпечити адаптивність розрахунків до поточних економічних умов;</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мінімізувати викривлення фінансових результатів ОСР;</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забезпечити економічно обґрунтований рівень вартості послуг з приєднання.</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Зазначені зміни спрямовані на підвищення достовірності розрахунків та забезпечення балансу інтересів між ОСР та замовниками послуг приєднання.</w:t>
            </w:r>
          </w:p>
          <w:p w:rsidR="001C19F8" w:rsidRPr="00CE1725" w:rsidRDefault="001C19F8" w:rsidP="00CE1725">
            <w:pPr>
              <w:shd w:val="clear" w:color="auto" w:fill="FFFFFF"/>
              <w:ind w:firstLine="176"/>
              <w:jc w:val="both"/>
              <w:rPr>
                <w:rFonts w:ascii="Times New Roman" w:hAnsi="Times New Roman" w:cs="Times New Roman"/>
                <w:sz w:val="22"/>
                <w:szCs w:val="22"/>
              </w:rPr>
            </w:pPr>
          </w:p>
        </w:tc>
        <w:tc>
          <w:tcPr>
            <w:tcW w:w="3900" w:type="dxa"/>
            <w:gridSpan w:val="2"/>
          </w:tcPr>
          <w:p w:rsidR="001C19F8" w:rsidRPr="00D32097" w:rsidRDefault="00E82EAE" w:rsidP="00CE1725">
            <w:pPr>
              <w:ind w:firstLine="174"/>
              <w:rPr>
                <w:b/>
                <w:sz w:val="22"/>
                <w:szCs w:val="24"/>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1C19F8" w:rsidRPr="00D32097" w:rsidTr="002E4622">
        <w:trPr>
          <w:trHeight w:val="218"/>
        </w:trPr>
        <w:tc>
          <w:tcPr>
            <w:tcW w:w="3899" w:type="dxa"/>
            <w:gridSpan w:val="2"/>
            <w:vMerge/>
          </w:tcPr>
          <w:p w:rsidR="001C19F8" w:rsidRPr="00D32097" w:rsidRDefault="001C19F8" w:rsidP="00CE1725">
            <w:pPr>
              <w:tabs>
                <w:tab w:val="left" w:pos="993"/>
              </w:tabs>
              <w:ind w:firstLine="326"/>
              <w:jc w:val="both"/>
              <w:rPr>
                <w:b/>
                <w:i/>
                <w:color w:val="000000"/>
                <w:sz w:val="22"/>
                <w:szCs w:val="22"/>
              </w:rPr>
            </w:pPr>
          </w:p>
        </w:tc>
        <w:tc>
          <w:tcPr>
            <w:tcW w:w="3900" w:type="dxa"/>
            <w:gridSpan w:val="2"/>
          </w:tcPr>
          <w:p w:rsidR="001C19F8" w:rsidRDefault="001C19F8" w:rsidP="00CE1725">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Варіант ІІ.</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lastRenderedPageBreak/>
              <w:t>3.6. Розрахунок коефіцієнта оптимізації </w:t>
            </w:r>
            <w:r w:rsidRPr="00F82326">
              <w:rPr>
                <w:noProof/>
                <w:color w:val="000000" w:themeColor="text1"/>
                <w:sz w:val="22"/>
                <w:szCs w:val="22"/>
              </w:rPr>
              <w:drawing>
                <wp:inline distT="0" distB="0" distL="0" distR="0" wp14:anchorId="38CC49D7" wp14:editId="10398005">
                  <wp:extent cx="533400" cy="333375"/>
                  <wp:effectExtent l="0" t="0" r="0" b="9525"/>
                  <wp:docPr id="916999992" name="Рисунок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333375"/>
                          </a:xfrm>
                          <a:prstGeom prst="rect">
                            <a:avLst/>
                          </a:prstGeom>
                          <a:noFill/>
                          <a:ln>
                            <a:noFill/>
                          </a:ln>
                        </pic:spPr>
                      </pic:pic>
                    </a:graphicData>
                  </a:graphic>
                </wp:inline>
              </w:drawing>
            </w:r>
            <w:r w:rsidRPr="00F82326">
              <w:rPr>
                <w:rFonts w:ascii="Times New Roman" w:hAnsi="Times New Roman" w:cs="Times New Roman"/>
                <w:color w:val="000000" w:themeColor="text1"/>
                <w:sz w:val="22"/>
                <w:szCs w:val="22"/>
              </w:rPr>
              <w:t>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F82326">
              <w:rPr>
                <w:rFonts w:ascii="Times New Roman" w:hAnsi="Times New Roman" w:cs="Times New Roman"/>
                <w:color w:val="000000" w:themeColor="text1"/>
                <w:sz w:val="22"/>
                <w:szCs w:val="22"/>
              </w:rPr>
              <w:t>проєктів</w:t>
            </w:r>
            <w:proofErr w:type="spellEnd"/>
            <w:r w:rsidRPr="00F82326">
              <w:rPr>
                <w:rFonts w:ascii="Times New Roman" w:hAnsi="Times New Roman" w:cs="Times New Roman"/>
                <w:color w:val="000000" w:themeColor="text1"/>
                <w:sz w:val="22"/>
                <w:szCs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w:t>
            </w:r>
            <w:r w:rsidRPr="00F82326">
              <w:rPr>
                <w:rFonts w:ascii="Times New Roman" w:hAnsi="Times New Roman" w:cs="Times New Roman"/>
                <w:b/>
                <w:bCs/>
                <w:color w:val="000000" w:themeColor="text1"/>
                <w:sz w:val="22"/>
                <w:szCs w:val="22"/>
              </w:rPr>
              <w:t>(крім рівня заробітної плати, який розраховується відповідно до чинних нормативних документів у сфері будівництва),</w:t>
            </w:r>
            <w:r w:rsidRPr="00F82326">
              <w:rPr>
                <w:rFonts w:ascii="Times New Roman" w:hAnsi="Times New Roman" w:cs="Times New Roman"/>
                <w:b/>
                <w:bCs/>
                <w:sz w:val="22"/>
                <w:szCs w:val="22"/>
              </w:rPr>
              <w:t xml:space="preserve">  </w:t>
            </w:r>
            <w:r w:rsidRPr="00F82326">
              <w:rPr>
                <w:rFonts w:ascii="Times New Roman" w:hAnsi="Times New Roman" w:cs="Times New Roman"/>
                <w:color w:val="000000" w:themeColor="text1"/>
                <w:sz w:val="22"/>
                <w:szCs w:val="22"/>
              </w:rPr>
              <w:t>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та обладнання враховуються із застосуванням коефіцієнта 1,1 для всього переліку матеріалів та </w:t>
            </w:r>
            <w:r w:rsidRPr="00F82326">
              <w:rPr>
                <w:rFonts w:ascii="Times New Roman" w:hAnsi="Times New Roman" w:cs="Times New Roman"/>
                <w:color w:val="000000" w:themeColor="text1"/>
                <w:sz w:val="22"/>
                <w:szCs w:val="22"/>
              </w:rPr>
              <w:lastRenderedPageBreak/>
              <w:t>обладнання, використаних під час надання послуг з приєднань.</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У разі виявлення суттєвого відхилення вартісних показників на окремі види матеріалів та/або обладнання від індикативних цін, що використовуються при розрахунках, НКРЕКП має право здійснити їх перегляд із урахуванням актуального рівня ринкових цін.</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Оновлені індикативні показники застосовуються при проведенні відповідних розрахунків та надаються оператору системи розподілу на його запит.</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tc>
        <w:tc>
          <w:tcPr>
            <w:tcW w:w="3899" w:type="dxa"/>
          </w:tcPr>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lastRenderedPageBreak/>
              <w:t xml:space="preserve">Необхідність внесення змін зумовлена потребою забезпечення актуальності та достовірності індикативних цінових показників, що застосовуються при розрахунку </w:t>
            </w:r>
            <w:r w:rsidRPr="00CE1725">
              <w:rPr>
                <w:rFonts w:ascii="Times New Roman" w:hAnsi="Times New Roman" w:cs="Times New Roman"/>
                <w:sz w:val="22"/>
                <w:szCs w:val="22"/>
              </w:rPr>
              <w:lastRenderedPageBreak/>
              <w:t>вартості послуг з приєднання та визначенні дефіциту/профіциту коштів.</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Існуючий підхід не завжди враховує оперативні зміни ринкової кон’юнктури, що призводить до ризиків викривлення фактичних витрат ОСР та некоректного визначення вартості послуг.</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Запровадження механізму перегляду індикативних цін НКРЕКП у разі їх суттєвого відхилення від ринкових дозволить підвищити точність розрахунків, забезпечити збалансованість інтересів сторін та мінімізувати фінансові ризики.</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Крім того, надання оновлених показників на запит ОСР сприятиме уніфікованому та прозорому підходу до формування вартості приєднань.</w:t>
            </w:r>
          </w:p>
          <w:p w:rsidR="001C19F8" w:rsidRPr="00CE1725" w:rsidRDefault="001C19F8" w:rsidP="00CE1725">
            <w:pPr>
              <w:shd w:val="clear" w:color="auto" w:fill="FFFFFF"/>
              <w:ind w:firstLine="176"/>
              <w:jc w:val="both"/>
              <w:rPr>
                <w:rFonts w:ascii="Times New Roman" w:hAnsi="Times New Roman" w:cs="Times New Roman"/>
                <w:sz w:val="22"/>
                <w:szCs w:val="22"/>
              </w:rPr>
            </w:pPr>
          </w:p>
        </w:tc>
        <w:tc>
          <w:tcPr>
            <w:tcW w:w="3900" w:type="dxa"/>
            <w:gridSpan w:val="2"/>
          </w:tcPr>
          <w:p w:rsidR="001C19F8" w:rsidRPr="00D32097" w:rsidRDefault="00E82EAE" w:rsidP="00CE1725">
            <w:pPr>
              <w:ind w:firstLine="174"/>
              <w:rPr>
                <w:b/>
                <w:sz w:val="22"/>
                <w:szCs w:val="24"/>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1C19F8" w:rsidRPr="00D32097" w:rsidTr="002E4622">
        <w:trPr>
          <w:trHeight w:val="218"/>
        </w:trPr>
        <w:tc>
          <w:tcPr>
            <w:tcW w:w="3899" w:type="dxa"/>
            <w:gridSpan w:val="2"/>
            <w:vMerge/>
          </w:tcPr>
          <w:p w:rsidR="001C19F8" w:rsidRPr="00D32097" w:rsidRDefault="001C19F8" w:rsidP="00CE1725">
            <w:pPr>
              <w:tabs>
                <w:tab w:val="left" w:pos="993"/>
              </w:tabs>
              <w:ind w:firstLine="326"/>
              <w:jc w:val="both"/>
              <w:rPr>
                <w:b/>
                <w:i/>
                <w:color w:val="000000"/>
                <w:sz w:val="22"/>
                <w:szCs w:val="22"/>
              </w:rPr>
            </w:pPr>
          </w:p>
        </w:tc>
        <w:tc>
          <w:tcPr>
            <w:tcW w:w="3900" w:type="dxa"/>
            <w:gridSpan w:val="2"/>
          </w:tcPr>
          <w:p w:rsidR="001C19F8" w:rsidRDefault="001C19F8" w:rsidP="00CE1725">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Варіант ІІІ.</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3.6. Розрахунок коефіцієнта оптимізації </w:t>
            </w:r>
            <w:r w:rsidRPr="00F82326">
              <w:rPr>
                <w:noProof/>
                <w:color w:val="000000" w:themeColor="text1"/>
                <w:sz w:val="22"/>
                <w:szCs w:val="22"/>
              </w:rPr>
              <w:drawing>
                <wp:inline distT="0" distB="0" distL="0" distR="0" wp14:anchorId="08F0FB2A" wp14:editId="1FE02857">
                  <wp:extent cx="533400" cy="333375"/>
                  <wp:effectExtent l="0" t="0" r="0" b="9525"/>
                  <wp:docPr id="469685584" name="Рисунок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333375"/>
                          </a:xfrm>
                          <a:prstGeom prst="rect">
                            <a:avLst/>
                          </a:prstGeom>
                          <a:noFill/>
                          <a:ln>
                            <a:noFill/>
                          </a:ln>
                        </pic:spPr>
                      </pic:pic>
                    </a:graphicData>
                  </a:graphic>
                </wp:inline>
              </w:drawing>
            </w:r>
            <w:r w:rsidRPr="00F82326">
              <w:rPr>
                <w:rFonts w:ascii="Times New Roman" w:hAnsi="Times New Roman" w:cs="Times New Roman"/>
                <w:color w:val="000000" w:themeColor="text1"/>
                <w:sz w:val="22"/>
                <w:szCs w:val="22"/>
              </w:rPr>
              <w:t>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w:t>
            </w:r>
            <w:r w:rsidRPr="00F82326">
              <w:rPr>
                <w:rFonts w:ascii="Times New Roman" w:hAnsi="Times New Roman" w:cs="Times New Roman"/>
                <w:color w:val="000000" w:themeColor="text1"/>
                <w:sz w:val="22"/>
                <w:szCs w:val="22"/>
              </w:rPr>
              <w:lastRenderedPageBreak/>
              <w:t xml:space="preserve">застосовуються відповідно до показників, врахованих при виконанні/плануванні </w:t>
            </w:r>
            <w:proofErr w:type="spellStart"/>
            <w:r w:rsidRPr="00F82326">
              <w:rPr>
                <w:rFonts w:ascii="Times New Roman" w:hAnsi="Times New Roman" w:cs="Times New Roman"/>
                <w:color w:val="000000" w:themeColor="text1"/>
                <w:sz w:val="22"/>
                <w:szCs w:val="22"/>
              </w:rPr>
              <w:t>проєктів</w:t>
            </w:r>
            <w:proofErr w:type="spellEnd"/>
            <w:r w:rsidRPr="00F82326">
              <w:rPr>
                <w:rFonts w:ascii="Times New Roman" w:hAnsi="Times New Roman" w:cs="Times New Roman"/>
                <w:color w:val="000000" w:themeColor="text1"/>
                <w:sz w:val="22"/>
                <w:szCs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w:t>
            </w:r>
            <w:r w:rsidRPr="00F82326">
              <w:rPr>
                <w:rFonts w:ascii="Times New Roman" w:hAnsi="Times New Roman" w:cs="Times New Roman"/>
                <w:b/>
                <w:bCs/>
                <w:color w:val="000000" w:themeColor="text1"/>
                <w:sz w:val="22"/>
                <w:szCs w:val="22"/>
              </w:rPr>
              <w:t>(крім рівня заробітної плати, який розраховується відповідно до чинних нормативних документів у сфері будівництва),</w:t>
            </w:r>
            <w:r w:rsidRPr="00F82326">
              <w:rPr>
                <w:rFonts w:ascii="Times New Roman" w:hAnsi="Times New Roman" w:cs="Times New Roman"/>
                <w:b/>
                <w:bCs/>
                <w:sz w:val="22"/>
                <w:szCs w:val="22"/>
              </w:rPr>
              <w:t xml:space="preserve">  </w:t>
            </w:r>
            <w:r w:rsidRPr="00F82326">
              <w:rPr>
                <w:rFonts w:ascii="Times New Roman" w:hAnsi="Times New Roman" w:cs="Times New Roman"/>
                <w:color w:val="000000" w:themeColor="text1"/>
                <w:sz w:val="22"/>
                <w:szCs w:val="22"/>
              </w:rPr>
              <w:t>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1C19F8" w:rsidRPr="00F82326" w:rsidRDefault="001C19F8" w:rsidP="00CE1725">
            <w:pPr>
              <w:pStyle w:val="rvps2"/>
              <w:spacing w:before="0" w:beforeAutospacing="0" w:after="0" w:afterAutospacing="0"/>
              <w:ind w:firstLine="249"/>
              <w:jc w:val="both"/>
              <w:rPr>
                <w:rFonts w:ascii="Times New Roman" w:hAnsi="Times New Roman" w:cs="Times New Roman"/>
                <w:sz w:val="22"/>
                <w:szCs w:val="22"/>
              </w:rPr>
            </w:pPr>
            <w:r w:rsidRPr="00F82326">
              <w:rPr>
                <w:rFonts w:ascii="Times New Roman" w:hAnsi="Times New Roman" w:cs="Times New Roman"/>
                <w:sz w:val="22"/>
                <w:szCs w:val="22"/>
              </w:rPr>
              <w:t xml:space="preserve">Вартісні показники на матеріали та обладнання враховуються із застосуванням коефіцієнта </w:t>
            </w:r>
            <w:r w:rsidRPr="00F82326">
              <w:rPr>
                <w:rFonts w:ascii="Times New Roman" w:hAnsi="Times New Roman" w:cs="Times New Roman"/>
                <w:strike/>
                <w:sz w:val="22"/>
                <w:szCs w:val="22"/>
              </w:rPr>
              <w:t>1,1</w:t>
            </w:r>
            <w:r w:rsidRPr="00F82326">
              <w:rPr>
                <w:rFonts w:ascii="Times New Roman" w:hAnsi="Times New Roman" w:cs="Times New Roman"/>
                <w:sz w:val="22"/>
                <w:szCs w:val="22"/>
              </w:rPr>
              <w:t xml:space="preserve"> </w:t>
            </w:r>
            <w:r w:rsidRPr="00F82326">
              <w:rPr>
                <w:rFonts w:ascii="Times New Roman" w:hAnsi="Times New Roman" w:cs="Times New Roman"/>
                <w:b/>
                <w:bCs/>
                <w:sz w:val="22"/>
                <w:szCs w:val="22"/>
              </w:rPr>
              <w:t>1,2</w:t>
            </w:r>
            <w:r w:rsidRPr="00F82326">
              <w:rPr>
                <w:rFonts w:ascii="Times New Roman" w:hAnsi="Times New Roman" w:cs="Times New Roman"/>
                <w:sz w:val="22"/>
                <w:szCs w:val="22"/>
              </w:rPr>
              <w:t xml:space="preserve"> для всього переліку матеріалів та обладнання, використаних під час надання послуг з приєднань. </w:t>
            </w:r>
            <w:r w:rsidRPr="00F82326">
              <w:rPr>
                <w:rFonts w:ascii="Times New Roman" w:hAnsi="Times New Roman" w:cs="Times New Roman"/>
                <w:b/>
                <w:bCs/>
                <w:sz w:val="22"/>
                <w:szCs w:val="22"/>
              </w:rPr>
              <w:t>У випадку перевищення вартісних показників матеріалів та обладнання над індикативними цінами більш ніж на 20 %, ОСР застосовує вартісні показники на рівні найнижчої ціни, визначеної за результатами двох тендерних процедур, або на рівні найнижчої ціни, встановленої за результатами щонайменше двох комерційних пропозицій, наданих підрядником.</w:t>
            </w:r>
          </w:p>
          <w:p w:rsidR="001C19F8" w:rsidRPr="00F82326" w:rsidRDefault="001C19F8" w:rsidP="00CE1725">
            <w:pPr>
              <w:shd w:val="clear" w:color="auto" w:fill="FFFFFF"/>
              <w:ind w:firstLine="249"/>
              <w:jc w:val="both"/>
              <w:rPr>
                <w:rFonts w:ascii="Times New Roman" w:hAnsi="Times New Roman" w:cs="Times New Roman"/>
                <w:strike/>
                <w:color w:val="000000" w:themeColor="text1"/>
                <w:sz w:val="22"/>
                <w:szCs w:val="22"/>
              </w:rPr>
            </w:pPr>
            <w:r w:rsidRPr="00F82326">
              <w:rPr>
                <w:rFonts w:ascii="Times New Roman" w:hAnsi="Times New Roman" w:cs="Times New Roman"/>
                <w:strike/>
                <w:color w:val="000000" w:themeColor="text1"/>
                <w:sz w:val="22"/>
                <w:szCs w:val="22"/>
              </w:rPr>
              <w:t xml:space="preserve">Вартісні показники на матеріали та обладнання враховуються із застосуванням коефіцієнта 1,1 для всього переліку матеріалів та </w:t>
            </w:r>
            <w:r w:rsidRPr="00F82326">
              <w:rPr>
                <w:rFonts w:ascii="Times New Roman" w:hAnsi="Times New Roman" w:cs="Times New Roman"/>
                <w:strike/>
                <w:color w:val="000000" w:themeColor="text1"/>
                <w:sz w:val="22"/>
                <w:szCs w:val="22"/>
              </w:rPr>
              <w:lastRenderedPageBreak/>
              <w:t>обладнання, використаних під час надання послуг з приєднань.</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tc>
        <w:tc>
          <w:tcPr>
            <w:tcW w:w="3899" w:type="dxa"/>
          </w:tcPr>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lastRenderedPageBreak/>
              <w:t>Необхідність внесення змін зумовлена потребою підвищення обґрунтованості та контрольованості витрат при наданні послуг зі стандартного приєднання, а також забезпечення відповідності індикативних показників реальним ринковим умовам.</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Встановлення єдиного коефіцієнта на рівні 1,2 спрямоване на врахування інфляційних процесів та системного зростання вартості матеріалів і обладнання, що дозволяє більш точно відображати фактичні витрати ОСР та забезпечувати коректність розрахунків вартості приєднань.</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Одночасно запровадження механізму обмеження у випадку перевищення фактичних витрат над індикативними більш ніж на 20 % забезпечує:</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недопущення необґрунтованого завищення вартості матеріалів та обладнання;</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lastRenderedPageBreak/>
              <w:t xml:space="preserve">стимулювання ОСР та підрядників до застосування конкурентних процедур </w:t>
            </w:r>
            <w:proofErr w:type="spellStart"/>
            <w:r w:rsidRPr="00CE1725">
              <w:rPr>
                <w:rFonts w:ascii="Times New Roman" w:hAnsi="Times New Roman" w:cs="Times New Roman"/>
                <w:sz w:val="22"/>
                <w:szCs w:val="22"/>
              </w:rPr>
              <w:t>закупівель</w:t>
            </w:r>
            <w:proofErr w:type="spellEnd"/>
            <w:r w:rsidRPr="00CE1725">
              <w:rPr>
                <w:rFonts w:ascii="Times New Roman" w:hAnsi="Times New Roman" w:cs="Times New Roman"/>
                <w:sz w:val="22"/>
                <w:szCs w:val="22"/>
              </w:rPr>
              <w:t>;</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підвищення прозорості формування вартості приєднання;</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мінімізацію ризиків включення неефективних витрат до розрахунків.</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Вимога щодо підтвердження вартості найнижчими цінами за результатами тендерних процедур або комерційних пропозицій забезпечує ринковий характер ціноутворення та уніфікує підхід до визначення витрат.</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Запропонований підхід дозволяє досягти балансу між урахуванням ринкових коливань цін та запобіганням завищенню вартості робіт, що в цілому підвищує достовірність визначення дефіциту/профіциту коштів та забезпечує економічно обґрунтований рівень плати за приєднання.</w:t>
            </w:r>
          </w:p>
        </w:tc>
        <w:tc>
          <w:tcPr>
            <w:tcW w:w="3900" w:type="dxa"/>
            <w:gridSpan w:val="2"/>
          </w:tcPr>
          <w:p w:rsidR="001C19F8" w:rsidRPr="00D32097" w:rsidRDefault="00E82EAE" w:rsidP="00CE1725">
            <w:pPr>
              <w:ind w:firstLine="174"/>
              <w:rPr>
                <w:b/>
                <w:sz w:val="22"/>
                <w:szCs w:val="24"/>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1C19F8" w:rsidRPr="00D32097" w:rsidTr="002E4622">
        <w:trPr>
          <w:trHeight w:val="218"/>
        </w:trPr>
        <w:tc>
          <w:tcPr>
            <w:tcW w:w="3899" w:type="dxa"/>
            <w:gridSpan w:val="2"/>
            <w:vMerge/>
          </w:tcPr>
          <w:p w:rsidR="001C19F8" w:rsidRPr="00D32097" w:rsidRDefault="001C19F8" w:rsidP="00CE1725">
            <w:pPr>
              <w:tabs>
                <w:tab w:val="left" w:pos="993"/>
              </w:tabs>
              <w:ind w:firstLine="326"/>
              <w:jc w:val="both"/>
              <w:rPr>
                <w:b/>
                <w:i/>
                <w:color w:val="000000"/>
                <w:sz w:val="22"/>
                <w:szCs w:val="22"/>
              </w:rPr>
            </w:pPr>
          </w:p>
        </w:tc>
        <w:tc>
          <w:tcPr>
            <w:tcW w:w="3900" w:type="dxa"/>
            <w:gridSpan w:val="2"/>
          </w:tcPr>
          <w:p w:rsidR="001C19F8" w:rsidRDefault="001C19F8" w:rsidP="00CE1725">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1C19F8" w:rsidRPr="00F82326" w:rsidRDefault="001C19F8" w:rsidP="00CE1725">
            <w:pPr>
              <w:shd w:val="clear" w:color="auto" w:fill="FFFFFF"/>
              <w:ind w:firstLine="249"/>
              <w:jc w:val="both"/>
              <w:rPr>
                <w:rFonts w:ascii="Times New Roman" w:hAnsi="Times New Roman" w:cs="Times New Roman"/>
                <w:b/>
                <w:bCs/>
                <w:color w:val="000000" w:themeColor="text1"/>
                <w:sz w:val="22"/>
                <w:szCs w:val="22"/>
              </w:rPr>
            </w:pPr>
            <w:r w:rsidRPr="00F82326">
              <w:rPr>
                <w:rFonts w:ascii="Times New Roman" w:hAnsi="Times New Roman" w:cs="Times New Roman"/>
                <w:b/>
                <w:bCs/>
                <w:color w:val="000000" w:themeColor="text1"/>
                <w:sz w:val="22"/>
                <w:szCs w:val="22"/>
              </w:rPr>
              <w:t>Варіант І</w:t>
            </w:r>
            <w:r w:rsidRPr="00F82326">
              <w:rPr>
                <w:rFonts w:ascii="Times New Roman" w:hAnsi="Times New Roman" w:cs="Times New Roman"/>
                <w:b/>
                <w:bCs/>
                <w:color w:val="000000" w:themeColor="text1"/>
                <w:sz w:val="22"/>
                <w:szCs w:val="22"/>
                <w:lang w:val="en-US"/>
              </w:rPr>
              <w:t>V</w:t>
            </w:r>
            <w:r w:rsidRPr="00F82326">
              <w:rPr>
                <w:rFonts w:ascii="Times New Roman" w:hAnsi="Times New Roman" w:cs="Times New Roman"/>
                <w:b/>
                <w:bCs/>
                <w:color w:val="000000" w:themeColor="text1"/>
                <w:sz w:val="22"/>
                <w:szCs w:val="22"/>
              </w:rPr>
              <w:t>.</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3.6. Розрахунок коефіцієнта оптимізації </w:t>
            </w:r>
            <w:r w:rsidRPr="00F82326">
              <w:rPr>
                <w:noProof/>
                <w:color w:val="000000" w:themeColor="text1"/>
                <w:sz w:val="22"/>
                <w:szCs w:val="22"/>
              </w:rPr>
              <w:drawing>
                <wp:inline distT="0" distB="0" distL="0" distR="0" wp14:anchorId="75786047" wp14:editId="2612795B">
                  <wp:extent cx="533400" cy="333375"/>
                  <wp:effectExtent l="0" t="0" r="0" b="9525"/>
                  <wp:docPr id="1951468508" name="Рисунок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333375"/>
                          </a:xfrm>
                          <a:prstGeom prst="rect">
                            <a:avLst/>
                          </a:prstGeom>
                          <a:noFill/>
                          <a:ln>
                            <a:noFill/>
                          </a:ln>
                        </pic:spPr>
                      </pic:pic>
                    </a:graphicData>
                  </a:graphic>
                </wp:inline>
              </w:drawing>
            </w:r>
            <w:r w:rsidRPr="00F82326">
              <w:rPr>
                <w:rFonts w:ascii="Times New Roman" w:hAnsi="Times New Roman" w:cs="Times New Roman"/>
                <w:color w:val="000000" w:themeColor="text1"/>
                <w:sz w:val="22"/>
                <w:szCs w:val="22"/>
              </w:rPr>
              <w:t> коштів щодо витрат, пов'язаних з наданням послуг зі стандартних приєднань електроустановок замовників до електричних мереж, за базовий період окремо проводиться НКРЕКП для міської та сільської місцевості на підставі аналізу актів за виконаними договорами про приєднання.</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sidRPr="00F82326">
              <w:rPr>
                <w:rFonts w:ascii="Times New Roman" w:hAnsi="Times New Roman" w:cs="Times New Roman"/>
                <w:color w:val="000000" w:themeColor="text1"/>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F82326">
              <w:rPr>
                <w:rFonts w:ascii="Times New Roman" w:hAnsi="Times New Roman" w:cs="Times New Roman"/>
                <w:color w:val="000000" w:themeColor="text1"/>
                <w:sz w:val="22"/>
                <w:szCs w:val="22"/>
              </w:rPr>
              <w:t>проєктів</w:t>
            </w:r>
            <w:proofErr w:type="spellEnd"/>
            <w:r w:rsidRPr="00F82326">
              <w:rPr>
                <w:rFonts w:ascii="Times New Roman" w:hAnsi="Times New Roman" w:cs="Times New Roman"/>
                <w:color w:val="000000" w:themeColor="text1"/>
                <w:sz w:val="22"/>
                <w:szCs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w:t>
            </w:r>
            <w:r w:rsidRPr="00F82326">
              <w:rPr>
                <w:rFonts w:ascii="Times New Roman" w:hAnsi="Times New Roman" w:cs="Times New Roman"/>
                <w:b/>
                <w:bCs/>
                <w:color w:val="000000" w:themeColor="text1"/>
                <w:sz w:val="22"/>
                <w:szCs w:val="22"/>
              </w:rPr>
              <w:t>(крім рівня заробітної плати, який розраховується відповідно до чинних нормативних документів у сфері будівництва),</w:t>
            </w:r>
            <w:r w:rsidRPr="00F82326">
              <w:rPr>
                <w:rFonts w:ascii="Times New Roman" w:hAnsi="Times New Roman" w:cs="Times New Roman"/>
                <w:b/>
                <w:bCs/>
                <w:sz w:val="22"/>
                <w:szCs w:val="22"/>
              </w:rPr>
              <w:t xml:space="preserve">  </w:t>
            </w:r>
            <w:r w:rsidRPr="00F82326">
              <w:rPr>
                <w:rFonts w:ascii="Times New Roman" w:hAnsi="Times New Roman" w:cs="Times New Roman"/>
                <w:color w:val="000000" w:themeColor="text1"/>
                <w:sz w:val="22"/>
                <w:szCs w:val="22"/>
              </w:rPr>
              <w:t xml:space="preserve">у якому завершено надання послуги з приєднання. За </w:t>
            </w:r>
            <w:r w:rsidRPr="00F82326">
              <w:rPr>
                <w:rFonts w:ascii="Times New Roman" w:hAnsi="Times New Roman" w:cs="Times New Roman"/>
                <w:color w:val="000000" w:themeColor="text1"/>
                <w:sz w:val="22"/>
                <w:szCs w:val="22"/>
              </w:rPr>
              <w:lastRenderedPageBreak/>
              <w:t>запитом ОСР НКРЕКП надає інформацію щодо індикативних показників згідно запитуваного переліку матеріалів та обладнання.</w:t>
            </w:r>
          </w:p>
          <w:p w:rsidR="001C19F8" w:rsidRPr="00F82326" w:rsidRDefault="001C19F8" w:rsidP="00CE1725">
            <w:pPr>
              <w:pStyle w:val="rvps2"/>
              <w:spacing w:before="0" w:beforeAutospacing="0" w:after="0" w:afterAutospacing="0"/>
              <w:ind w:firstLine="249"/>
              <w:jc w:val="both"/>
              <w:rPr>
                <w:rFonts w:ascii="Times New Roman" w:hAnsi="Times New Roman" w:cs="Times New Roman"/>
                <w:sz w:val="22"/>
                <w:szCs w:val="22"/>
              </w:rPr>
            </w:pPr>
            <w:r w:rsidRPr="00F82326">
              <w:rPr>
                <w:rFonts w:ascii="Times New Roman" w:hAnsi="Times New Roman" w:cs="Times New Roman"/>
                <w:sz w:val="22"/>
                <w:szCs w:val="22"/>
              </w:rPr>
              <w:t xml:space="preserve">Вартісні показники на матеріали та обладнання враховуються із застосуванням коефіцієнта </w:t>
            </w:r>
            <w:r w:rsidRPr="00F82326">
              <w:rPr>
                <w:rFonts w:ascii="Times New Roman" w:hAnsi="Times New Roman" w:cs="Times New Roman"/>
                <w:strike/>
                <w:sz w:val="22"/>
                <w:szCs w:val="22"/>
              </w:rPr>
              <w:t>1,1</w:t>
            </w:r>
            <w:r w:rsidRPr="00F82326">
              <w:rPr>
                <w:rFonts w:ascii="Times New Roman" w:hAnsi="Times New Roman" w:cs="Times New Roman"/>
                <w:sz w:val="22"/>
                <w:szCs w:val="22"/>
              </w:rPr>
              <w:t xml:space="preserve"> </w:t>
            </w:r>
            <w:r w:rsidRPr="00F82326">
              <w:rPr>
                <w:rFonts w:ascii="Times New Roman" w:hAnsi="Times New Roman" w:cs="Times New Roman"/>
                <w:b/>
                <w:bCs/>
                <w:sz w:val="22"/>
                <w:szCs w:val="22"/>
              </w:rPr>
              <w:t>1,2</w:t>
            </w:r>
            <w:r w:rsidRPr="00F82326">
              <w:rPr>
                <w:rFonts w:ascii="Times New Roman" w:hAnsi="Times New Roman" w:cs="Times New Roman"/>
                <w:sz w:val="22"/>
                <w:szCs w:val="22"/>
              </w:rPr>
              <w:t xml:space="preserve"> для всього переліку матеріалів та обладнання, використаних під час надання послуг з приєднань. </w:t>
            </w:r>
            <w:r w:rsidRPr="00F82326">
              <w:rPr>
                <w:rFonts w:ascii="Times New Roman" w:hAnsi="Times New Roman" w:cs="Times New Roman"/>
                <w:b/>
                <w:bCs/>
                <w:sz w:val="22"/>
                <w:szCs w:val="22"/>
              </w:rPr>
              <w:t>У випадку перевищення вартісних показників матеріалів та обладнання над індикативними цінами більш ніж на 20 %, ОСР застосовує вартісні показники на рівні найнижчої ціни, визначеної за результатами двох тендерних процедур, або на рівні найнижчої ціни, встановленої за результатами щонайменше двох комерційних пропозицій наданих підрядником, або підтвердження ціни від Торгово-промислової палати України.</w:t>
            </w:r>
          </w:p>
          <w:p w:rsidR="001C19F8" w:rsidRPr="00F82326" w:rsidRDefault="001C19F8" w:rsidP="00CE1725">
            <w:pPr>
              <w:shd w:val="clear" w:color="auto" w:fill="FFFFFF"/>
              <w:ind w:firstLine="249"/>
              <w:jc w:val="both"/>
              <w:rPr>
                <w:rFonts w:ascii="Times New Roman" w:hAnsi="Times New Roman" w:cs="Times New Roman"/>
                <w:strike/>
                <w:color w:val="000000" w:themeColor="text1"/>
                <w:sz w:val="22"/>
                <w:szCs w:val="22"/>
              </w:rPr>
            </w:pPr>
            <w:r w:rsidRPr="00F82326">
              <w:rPr>
                <w:rFonts w:ascii="Times New Roman" w:hAnsi="Times New Roman" w:cs="Times New Roman"/>
                <w:strike/>
                <w:color w:val="000000" w:themeColor="text1"/>
                <w:sz w:val="22"/>
                <w:szCs w:val="22"/>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1C19F8" w:rsidRPr="00F82326" w:rsidRDefault="001C19F8" w:rsidP="00CE1725">
            <w:pPr>
              <w:shd w:val="clear" w:color="auto" w:fill="FFFFFF"/>
              <w:ind w:firstLine="249"/>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tc>
        <w:tc>
          <w:tcPr>
            <w:tcW w:w="3899" w:type="dxa"/>
          </w:tcPr>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lastRenderedPageBreak/>
              <w:t>Необхідність внесення змін зумовлена потребою підвищення достовірності, прозорості та контрольованості формування вартості послуг зі стандартного приєднання в умовах нестабільної ринкової кон’юнктури.</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Застосування коефіцієнта на рівні 1,2 дозволяє врахувати загальний інфляційний вплив та зростання вартості матеріалів і обладнання, забезпечуючи наближення індикативних показників до фактичного рівня ринкових цін.</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 xml:space="preserve">Запровадження обмеження щодо перевищення індикативних цін більш ніж на 20 % спрямоване на недопущення необґрунтованого завищення витрат та стимулювання застосування конкурентних механізмів </w:t>
            </w:r>
            <w:proofErr w:type="spellStart"/>
            <w:r w:rsidRPr="00CE1725">
              <w:rPr>
                <w:rFonts w:ascii="Times New Roman" w:hAnsi="Times New Roman" w:cs="Times New Roman"/>
                <w:sz w:val="22"/>
                <w:szCs w:val="22"/>
              </w:rPr>
              <w:t>закупівель</w:t>
            </w:r>
            <w:proofErr w:type="spellEnd"/>
            <w:r w:rsidRPr="00CE1725">
              <w:rPr>
                <w:rFonts w:ascii="Times New Roman" w:hAnsi="Times New Roman" w:cs="Times New Roman"/>
                <w:sz w:val="22"/>
                <w:szCs w:val="22"/>
              </w:rPr>
              <w:t>.</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Додаткове передбачення можливості підтвердження вартості матеріалів та обладнання висновками Торгово-промислової палати України забезпечує гнучкість у випадках відсутності достатньої кількості тендерних процедур або комерційних пропозицій, а також підвищує достовірність визначення ринкової ціни.</w:t>
            </w:r>
          </w:p>
          <w:p w:rsidR="001C19F8" w:rsidRPr="00CE1725" w:rsidRDefault="001C19F8" w:rsidP="00CE1725">
            <w:pPr>
              <w:shd w:val="clear" w:color="auto" w:fill="FFFFFF"/>
              <w:ind w:firstLine="176"/>
              <w:jc w:val="both"/>
              <w:rPr>
                <w:rFonts w:ascii="Times New Roman" w:hAnsi="Times New Roman" w:cs="Times New Roman"/>
                <w:sz w:val="22"/>
                <w:szCs w:val="22"/>
              </w:rPr>
            </w:pPr>
            <w:r w:rsidRPr="00CE1725">
              <w:rPr>
                <w:rFonts w:ascii="Times New Roman" w:hAnsi="Times New Roman" w:cs="Times New Roman"/>
                <w:sz w:val="22"/>
                <w:szCs w:val="22"/>
              </w:rPr>
              <w:t xml:space="preserve">Запропонований підхід дозволяє збалансувати врахування ринкових коливань із механізмами контролю витрат, мінімізувати ризики викривлення розрахунків та </w:t>
            </w:r>
            <w:r w:rsidRPr="00CE1725">
              <w:rPr>
                <w:rFonts w:ascii="Times New Roman" w:hAnsi="Times New Roman" w:cs="Times New Roman"/>
                <w:sz w:val="22"/>
                <w:szCs w:val="22"/>
              </w:rPr>
              <w:lastRenderedPageBreak/>
              <w:t>забезпечити економічно обґрунтований рівень вартості послуг з приєднання.</w:t>
            </w:r>
          </w:p>
        </w:tc>
        <w:tc>
          <w:tcPr>
            <w:tcW w:w="3900" w:type="dxa"/>
            <w:gridSpan w:val="2"/>
          </w:tcPr>
          <w:p w:rsidR="001C19F8" w:rsidRPr="00D32097" w:rsidRDefault="00E82EAE" w:rsidP="00CE1725">
            <w:pPr>
              <w:ind w:firstLine="174"/>
              <w:rPr>
                <w:b/>
                <w:sz w:val="22"/>
                <w:szCs w:val="24"/>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CE1725" w:rsidRPr="00D32097" w:rsidTr="00D83895">
        <w:trPr>
          <w:trHeight w:val="218"/>
        </w:trPr>
        <w:tc>
          <w:tcPr>
            <w:tcW w:w="15598" w:type="dxa"/>
            <w:gridSpan w:val="7"/>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4"/>
                <w:szCs w:val="24"/>
              </w:rPr>
              <w:t>4. Плата за нестандартне приєднання до електричних мереж систем розподілу</w:t>
            </w:r>
          </w:p>
        </w:tc>
      </w:tr>
      <w:tr w:rsidR="00CE1725" w:rsidRPr="00D32097" w:rsidTr="002E4622">
        <w:trPr>
          <w:trHeight w:val="218"/>
        </w:trPr>
        <w:tc>
          <w:tcPr>
            <w:tcW w:w="3899" w:type="dxa"/>
            <w:gridSpan w:val="2"/>
            <w:vMerge w:val="restart"/>
          </w:tcPr>
          <w:p w:rsidR="00CE1725" w:rsidRPr="00D32097" w:rsidRDefault="00CE1725" w:rsidP="00CE1725">
            <w:pPr>
              <w:ind w:firstLine="314"/>
              <w:jc w:val="both"/>
              <w:rPr>
                <w:rFonts w:ascii="Times New Roman" w:hAnsi="Times New Roman" w:cs="Times New Roman"/>
                <w:sz w:val="22"/>
                <w:szCs w:val="24"/>
              </w:rPr>
            </w:pP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4.1. 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складову плати за приєднання потужності (ураховуючи потужність </w:t>
            </w:r>
            <w:r w:rsidRPr="00D32097">
              <w:rPr>
                <w:rFonts w:ascii="Times New Roman" w:hAnsi="Times New Roman" w:cs="Times New Roman"/>
                <w:b/>
                <w:sz w:val="22"/>
                <w:szCs w:val="24"/>
              </w:rPr>
              <w:t>відбору та/або відпуску,</w:t>
            </w:r>
            <w:r w:rsidRPr="00D32097">
              <w:rPr>
                <w:rFonts w:ascii="Times New Roman" w:hAnsi="Times New Roman" w:cs="Times New Roman"/>
                <w:sz w:val="22"/>
                <w:szCs w:val="24"/>
              </w:rPr>
              <w:t xml:space="preserve"> що </w:t>
            </w:r>
            <w:r w:rsidRPr="00D32097">
              <w:rPr>
                <w:rFonts w:ascii="Times New Roman" w:hAnsi="Times New Roman" w:cs="Times New Roman"/>
                <w:sz w:val="22"/>
                <w:szCs w:val="24"/>
              </w:rPr>
              <w:lastRenderedPageBreak/>
              <w:t xml:space="preserve">створюється), яка визначається як добуток величини замовленої до приєднання потужності </w:t>
            </w:r>
            <w:r w:rsidRPr="00D32097">
              <w:rPr>
                <w:rFonts w:ascii="Times New Roman" w:hAnsi="Times New Roman" w:cs="Times New Roman"/>
                <w:b/>
                <w:sz w:val="22"/>
                <w:szCs w:val="24"/>
              </w:rPr>
              <w:t>відбору та/або відпуску</w:t>
            </w:r>
            <w:r w:rsidRPr="00D32097">
              <w:rPr>
                <w:rFonts w:ascii="Times New Roman" w:hAnsi="Times New Roman" w:cs="Times New Roman"/>
                <w:sz w:val="22"/>
                <w:szCs w:val="24"/>
              </w:rPr>
              <w:t xml:space="preserve"> та ставки плати за нестандартне приєднання потужності;</w:t>
            </w:r>
          </w:p>
          <w:p w:rsidR="00CE1725" w:rsidRPr="00D32097" w:rsidRDefault="00CE1725" w:rsidP="00CE1725">
            <w:pPr>
              <w:tabs>
                <w:tab w:val="left" w:pos="993"/>
              </w:tabs>
              <w:ind w:firstLine="314"/>
              <w:jc w:val="both"/>
              <w:rPr>
                <w:b/>
                <w:i/>
                <w:color w:val="000000"/>
                <w:sz w:val="22"/>
                <w:szCs w:val="22"/>
              </w:rPr>
            </w:pPr>
            <w:r w:rsidRPr="00D32097">
              <w:rPr>
                <w:rFonts w:ascii="Times New Roman" w:hAnsi="Times New Roman" w:cs="Times New Roman"/>
                <w:sz w:val="22"/>
                <w:szCs w:val="24"/>
              </w:rPr>
              <w:t>складову плати за створення електричних мереж лінійної частини приєднання.</w:t>
            </w: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ТОВ «НЕСС ЕНЕРДЖІ»</w:t>
            </w:r>
          </w:p>
          <w:p w:rsidR="00CE1725" w:rsidRPr="00D32097" w:rsidRDefault="00CE1725" w:rsidP="00CE1725">
            <w:pPr>
              <w:ind w:firstLine="233"/>
              <w:jc w:val="both"/>
              <w:rPr>
                <w:rFonts w:ascii="Times New Roman" w:hAnsi="Times New Roman" w:cs="Times New Roman"/>
                <w:sz w:val="22"/>
                <w:szCs w:val="22"/>
              </w:rPr>
            </w:pPr>
            <w:r w:rsidRPr="00D32097">
              <w:rPr>
                <w:rFonts w:ascii="Times New Roman" w:hAnsi="Times New Roman" w:cs="Times New Roman"/>
                <w:sz w:val="22"/>
                <w:szCs w:val="22"/>
              </w:rPr>
              <w:t>4.1. 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233"/>
              <w:jc w:val="both"/>
              <w:rPr>
                <w:rFonts w:ascii="Times New Roman" w:hAnsi="Times New Roman" w:cs="Times New Roman"/>
                <w:sz w:val="22"/>
                <w:szCs w:val="22"/>
              </w:rPr>
            </w:pPr>
            <w:r w:rsidRPr="00D32097">
              <w:rPr>
                <w:rFonts w:ascii="Times New Roman" w:hAnsi="Times New Roman" w:cs="Times New Roman"/>
                <w:sz w:val="22"/>
                <w:szCs w:val="22"/>
              </w:rPr>
              <w:t xml:space="preserve">складову плати за приєднання потужності (ураховуючи потужність </w:t>
            </w:r>
            <w:r w:rsidRPr="00D32097">
              <w:rPr>
                <w:rFonts w:ascii="Times New Roman" w:hAnsi="Times New Roman" w:cs="Times New Roman"/>
                <w:b/>
                <w:color w:val="0070C0"/>
                <w:sz w:val="22"/>
                <w:szCs w:val="22"/>
              </w:rPr>
              <w:t xml:space="preserve">відбору та/або відпуску, що </w:t>
            </w:r>
            <w:r w:rsidRPr="00D32097">
              <w:rPr>
                <w:rFonts w:ascii="Times New Roman" w:hAnsi="Times New Roman" w:cs="Times New Roman"/>
                <w:b/>
                <w:color w:val="0070C0"/>
                <w:sz w:val="22"/>
                <w:szCs w:val="22"/>
              </w:rPr>
              <w:lastRenderedPageBreak/>
              <w:t>створюється</w:t>
            </w:r>
            <w:r w:rsidRPr="00D32097">
              <w:rPr>
                <w:rFonts w:ascii="Times New Roman" w:hAnsi="Times New Roman" w:cs="Times New Roman"/>
                <w:color w:val="0070C0"/>
                <w:sz w:val="22"/>
                <w:szCs w:val="22"/>
              </w:rPr>
              <w:t xml:space="preserve">), яка </w:t>
            </w:r>
            <w:r w:rsidRPr="00D32097">
              <w:rPr>
                <w:rFonts w:ascii="Times New Roman" w:hAnsi="Times New Roman" w:cs="Times New Roman"/>
                <w:b/>
                <w:color w:val="0070C0"/>
                <w:sz w:val="22"/>
                <w:szCs w:val="22"/>
              </w:rPr>
              <w:t>визначається виходячи з приросту максимального використання трансформаторної потужності електричних мереж у точці забезпечення потужності після врахування замовленої до приєднання потужності відбору та/або відпуску та відповідної ставки плати за нестандартне приєднання потужності</w:t>
            </w:r>
            <w:r w:rsidRPr="00D32097">
              <w:rPr>
                <w:rFonts w:ascii="Times New Roman" w:hAnsi="Times New Roman" w:cs="Times New Roman"/>
                <w:color w:val="0070C0"/>
                <w:sz w:val="22"/>
                <w:szCs w:val="22"/>
              </w:rPr>
              <w:t>;</w:t>
            </w:r>
          </w:p>
          <w:p w:rsidR="00CE1725" w:rsidRPr="00D32097" w:rsidRDefault="00CE1725" w:rsidP="00CE1725">
            <w:pPr>
              <w:pStyle w:val="rvps2"/>
              <w:shd w:val="clear" w:color="auto" w:fill="FFFFFF"/>
              <w:spacing w:before="0" w:beforeAutospacing="0" w:after="0" w:afterAutospacing="0"/>
              <w:ind w:firstLine="233"/>
              <w:jc w:val="both"/>
              <w:rPr>
                <w:b/>
                <w:sz w:val="22"/>
                <w:szCs w:val="22"/>
                <w:u w:val="single"/>
              </w:rPr>
            </w:pPr>
            <w:r w:rsidRPr="00D32097">
              <w:rPr>
                <w:rFonts w:ascii="Times New Roman" w:hAnsi="Times New Roman" w:cs="Times New Roman"/>
                <w:sz w:val="22"/>
                <w:szCs w:val="22"/>
              </w:rPr>
              <w:t>складову плати за створення електричних мереж лінійної частини приєднання.</w:t>
            </w:r>
          </w:p>
        </w:tc>
        <w:tc>
          <w:tcPr>
            <w:tcW w:w="3899" w:type="dxa"/>
          </w:tcPr>
          <w:p w:rsidR="00CE1725" w:rsidRPr="00D32097" w:rsidRDefault="00CE1725" w:rsidP="00CE1725">
            <w:pPr>
              <w:ind w:firstLine="182"/>
              <w:jc w:val="both"/>
              <w:rPr>
                <w:rFonts w:ascii="Times New Roman" w:hAnsi="Times New Roman" w:cs="Times New Roman"/>
                <w:sz w:val="22"/>
                <w:szCs w:val="22"/>
              </w:rPr>
            </w:pPr>
            <w:proofErr w:type="spellStart"/>
            <w:r w:rsidRPr="00D32097">
              <w:rPr>
                <w:rFonts w:ascii="Times New Roman" w:hAnsi="Times New Roman" w:cs="Times New Roman"/>
                <w:sz w:val="22"/>
                <w:szCs w:val="22"/>
              </w:rPr>
              <w:lastRenderedPageBreak/>
              <w:t>Проєкт</w:t>
            </w:r>
            <w:proofErr w:type="spellEnd"/>
            <w:r w:rsidRPr="00D32097">
              <w:rPr>
                <w:rFonts w:ascii="Times New Roman" w:hAnsi="Times New Roman" w:cs="Times New Roman"/>
                <w:sz w:val="22"/>
                <w:szCs w:val="22"/>
              </w:rPr>
              <w:t xml:space="preserve"> правильно уточнює, що створюватися може потужність відбору та/або відпуску. Однак база плати не повинна дорівнювати повній замовленій потужності, якщо частина такої потужності вкладається в уже створене максимальне використання </w:t>
            </w:r>
            <w:r w:rsidRPr="00D32097">
              <w:rPr>
                <w:rFonts w:ascii="Times New Roman" w:hAnsi="Times New Roman" w:cs="Times New Roman"/>
                <w:sz w:val="22"/>
                <w:szCs w:val="22"/>
              </w:rPr>
              <w:lastRenderedPageBreak/>
              <w:t>трансформаторної спроможності мережі.</w:t>
            </w:r>
          </w:p>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t>Ставка плати за потужність економічно спрямована на оплату приросту використання трансформаторної потужності, а не на повторну оплату вже забезпеченого діапазону використання мережі.</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b/>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vMerge/>
          </w:tcPr>
          <w:p w:rsidR="00CE1725" w:rsidRPr="00D32097" w:rsidRDefault="00CE1725" w:rsidP="00CE1725">
            <w:pPr>
              <w:ind w:firstLine="314"/>
              <w:jc w:val="both"/>
              <w:rPr>
                <w:sz w:val="22"/>
                <w:szCs w:val="24"/>
              </w:rPr>
            </w:pPr>
          </w:p>
        </w:tc>
        <w:tc>
          <w:tcPr>
            <w:tcW w:w="3900" w:type="dxa"/>
            <w:gridSpan w:val="2"/>
          </w:tcPr>
          <w:p w:rsidR="00CE1725" w:rsidRPr="00D32097" w:rsidRDefault="00CE1725" w:rsidP="00CE1725">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Гр. </w:t>
            </w:r>
            <w:proofErr w:type="spellStart"/>
            <w:r w:rsidRPr="00D32097">
              <w:rPr>
                <w:rFonts w:ascii="Times New Roman" w:hAnsi="Times New Roman" w:cs="Times New Roman"/>
                <w:b/>
                <w:sz w:val="22"/>
                <w:szCs w:val="22"/>
                <w:u w:val="single"/>
              </w:rPr>
              <w:t>Зоркін</w:t>
            </w:r>
            <w:proofErr w:type="spellEnd"/>
            <w:r w:rsidRPr="00D32097">
              <w:rPr>
                <w:rFonts w:ascii="Times New Roman" w:hAnsi="Times New Roman" w:cs="Times New Roman"/>
                <w:b/>
                <w:sz w:val="22"/>
                <w:szCs w:val="22"/>
                <w:u w:val="single"/>
              </w:rPr>
              <w:t xml:space="preserve"> А. В.</w:t>
            </w:r>
          </w:p>
          <w:p w:rsidR="00CE1725" w:rsidRPr="00D32097" w:rsidRDefault="00CE1725" w:rsidP="00CE1725">
            <w:pPr>
              <w:pStyle w:val="a9"/>
              <w:spacing w:before="0" w:beforeAutospacing="0" w:after="0" w:afterAutospacing="0"/>
              <w:ind w:firstLine="377"/>
              <w:jc w:val="both"/>
              <w:rPr>
                <w:rFonts w:ascii="Times New Roman" w:hAnsi="Times New Roman" w:cs="Times New Roman"/>
                <w:sz w:val="22"/>
              </w:rPr>
            </w:pPr>
            <w:r w:rsidRPr="00D32097">
              <w:rPr>
                <w:rFonts w:ascii="Times New Roman" w:hAnsi="Times New Roman" w:cs="Times New Roman"/>
                <w:sz w:val="22"/>
              </w:rPr>
              <w:t xml:space="preserve">Пункт 2 проєкту потребує уточнення в частині порядку визначення складової плати за приєднання потужності у випадку одночасного замовлення потужності відбору та відпуску. Доцільно прямо передбачити, що така складова визначається як </w:t>
            </w:r>
            <w:r w:rsidRPr="00D32097">
              <w:rPr>
                <w:rFonts w:ascii="Times New Roman" w:hAnsi="Times New Roman" w:cs="Times New Roman"/>
                <w:b/>
                <w:bCs/>
                <w:sz w:val="22"/>
              </w:rPr>
              <w:t>сума окремих добутків</w:t>
            </w:r>
            <w:r w:rsidRPr="00D32097">
              <w:rPr>
                <w:rFonts w:ascii="Times New Roman" w:hAnsi="Times New Roman" w:cs="Times New Roman"/>
                <w:sz w:val="22"/>
              </w:rPr>
              <w:t xml:space="preserve"> величини потужності відбору та відповідної ставки для електроустановок, призначених для споживання, і величини потужності відпуску та відповідної ставки для електроустановок, призначених для виробництва.</w:t>
            </w:r>
          </w:p>
          <w:p w:rsidR="00CE1725" w:rsidRPr="00D32097" w:rsidRDefault="00CE1725" w:rsidP="00CE1725">
            <w:pPr>
              <w:pStyle w:val="a9"/>
              <w:spacing w:before="0" w:beforeAutospacing="0" w:after="0" w:afterAutospacing="0"/>
              <w:ind w:firstLine="377"/>
              <w:jc w:val="both"/>
              <w:rPr>
                <w:rFonts w:ascii="Times New Roman" w:hAnsi="Times New Roman" w:cs="Times New Roman"/>
                <w:sz w:val="22"/>
              </w:rPr>
            </w:pPr>
            <w:r w:rsidRPr="00D32097">
              <w:rPr>
                <w:rFonts w:ascii="Times New Roman" w:hAnsi="Times New Roman" w:cs="Times New Roman"/>
                <w:sz w:val="22"/>
              </w:rPr>
              <w:t xml:space="preserve">Також необхідно уточнити, що плата нараховується лише </w:t>
            </w:r>
            <w:r w:rsidRPr="00D32097">
              <w:rPr>
                <w:rFonts w:ascii="Times New Roman" w:hAnsi="Times New Roman" w:cs="Times New Roman"/>
                <w:b/>
                <w:bCs/>
                <w:sz w:val="22"/>
              </w:rPr>
              <w:t>щодо</w:t>
            </w:r>
            <w:r w:rsidRPr="00D32097">
              <w:rPr>
                <w:rFonts w:ascii="Times New Roman" w:hAnsi="Times New Roman" w:cs="Times New Roman"/>
                <w:sz w:val="22"/>
              </w:rPr>
              <w:t xml:space="preserve"> </w:t>
            </w:r>
            <w:r w:rsidRPr="00D32097">
              <w:rPr>
                <w:rFonts w:ascii="Times New Roman" w:hAnsi="Times New Roman" w:cs="Times New Roman"/>
                <w:b/>
                <w:bCs/>
                <w:sz w:val="22"/>
              </w:rPr>
              <w:t>додаткової потужності</w:t>
            </w:r>
            <w:r w:rsidRPr="00D32097">
              <w:rPr>
                <w:rFonts w:ascii="Times New Roman" w:hAnsi="Times New Roman" w:cs="Times New Roman"/>
                <w:sz w:val="22"/>
              </w:rPr>
              <w:t xml:space="preserve"> відбору та/або відпуску, яка створюється або збільшується в межах приєднання, без повторного нарахування плати за вже дозволену до використання потужність. Окремо слід передбачити, що </w:t>
            </w:r>
            <w:r w:rsidRPr="00D32097">
              <w:rPr>
                <w:rFonts w:ascii="Times New Roman" w:hAnsi="Times New Roman" w:cs="Times New Roman"/>
                <w:b/>
                <w:bCs/>
                <w:sz w:val="22"/>
              </w:rPr>
              <w:t xml:space="preserve">для гнучкого приєднання застосовується спеціальний порядок </w:t>
            </w:r>
            <w:r w:rsidRPr="00D32097">
              <w:rPr>
                <w:rFonts w:ascii="Times New Roman" w:hAnsi="Times New Roman" w:cs="Times New Roman"/>
                <w:b/>
                <w:bCs/>
                <w:sz w:val="22"/>
              </w:rPr>
              <w:lastRenderedPageBreak/>
              <w:t>розрахунку</w:t>
            </w:r>
            <w:r w:rsidRPr="00D32097">
              <w:rPr>
                <w:rFonts w:ascii="Times New Roman" w:hAnsi="Times New Roman" w:cs="Times New Roman"/>
                <w:sz w:val="22"/>
              </w:rPr>
              <w:t xml:space="preserve"> з урахуванням гарантованої та не гарантованої потужності.</w:t>
            </w:r>
          </w:p>
        </w:tc>
        <w:tc>
          <w:tcPr>
            <w:tcW w:w="3899" w:type="dxa"/>
          </w:tcPr>
          <w:p w:rsidR="00CE1725" w:rsidRPr="00D32097" w:rsidRDefault="00CE1725" w:rsidP="00CE1725">
            <w:pPr>
              <w:ind w:firstLine="182"/>
              <w:jc w:val="both"/>
              <w:rPr>
                <w:sz w:val="22"/>
                <w:szCs w:val="22"/>
              </w:rPr>
            </w:pP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По суті зазначене вже передбачено у формулі, передбаченій пунктом 5.1 Методики</w:t>
            </w:r>
          </w:p>
        </w:tc>
      </w:tr>
      <w:tr w:rsidR="00CE1725" w:rsidRPr="00D32097" w:rsidTr="002E4622">
        <w:trPr>
          <w:trHeight w:val="218"/>
        </w:trPr>
        <w:tc>
          <w:tcPr>
            <w:tcW w:w="3899" w:type="dxa"/>
            <w:gridSpan w:val="2"/>
            <w:vMerge w:val="restart"/>
          </w:tcPr>
          <w:p w:rsidR="00CE1725" w:rsidRPr="00D32097" w:rsidRDefault="00CE1725" w:rsidP="00CE1725">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t>Зміни не вносились</w:t>
            </w: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4.5. З метою визначення величини дефіциту або профіциту коштів щодо надходжень та витрат, пов'язаних з наданням послуг з нестандартних приєднань, на економічно обґрунтованому рівні НКРЕКП здійснює перевірку та аналіз наданих оператором системи передачі та операторами систем розподілу відповідно до пункту 1.4 глави 1 цієї Методики вихідних даних, зокрема шляхом аналізу актів виконаних робіт та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пов'язаних із наданням у базовому періоді послуг з приєднання до електричних мереж електроустановок замовників, які відповідають критеріям нестандартного приєднання, окрім приєднань, розрахунок плати за приєднання для яких виконувався без застосування цієї Методики.</w:t>
            </w: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p>
          <w:p w:rsidR="00CE1725" w:rsidRPr="00D32097" w:rsidRDefault="00CE1725" w:rsidP="00CE1725">
            <w:pPr>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Проведення оператором системи розподілу розрахунку дефіциту або профіциту коштів щодо надходжень та витрат, пов'язаних з наданням послуг з </w:t>
            </w:r>
            <w:r w:rsidRPr="00D32097">
              <w:rPr>
                <w:rFonts w:ascii="Times New Roman" w:hAnsi="Times New Roman" w:cs="Times New Roman"/>
                <w:sz w:val="22"/>
                <w:szCs w:val="24"/>
              </w:rPr>
              <w:lastRenderedPageBreak/>
              <w:t>приєднання, згідно з пунктом 1.4 глави 1 цієї Методики має здійснюватися без застосування коефіцієнта оптимізації коштів.</w:t>
            </w: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 xml:space="preserve">АТ «ДТЕК ДНІПРОВСЬКІ ЕЛЕКТРОМЕРЕЖІ», ПРАТ «ДТЕК КИЇВСЬКІ ЕЛЕКТРОМЕРЕЖІ»,   АТ «ДТЕК ОДЕСЬКІ ЕЛЕКТРОМЕРЕЖІ», ПРАТ «ДТЕК КИЇВСЬКІ РЕГІОНАЛЬНІ ЕЛЕКТРОМЕРЕЖІ», АТ «ДТЕК ДОНЕЦЬКІ ЕЛЕКТРОМЕРЕЖІ» </w:t>
            </w:r>
            <w:r w:rsidRPr="00D32097">
              <w:rPr>
                <w:rFonts w:ascii="Times New Roman" w:hAnsi="Times New Roman" w:cs="Times New Roman"/>
                <w:sz w:val="22"/>
                <w:szCs w:val="22"/>
              </w:rPr>
              <w:t xml:space="preserve"> </w:t>
            </w:r>
          </w:p>
          <w:p w:rsidR="00CE1725" w:rsidRPr="00D32097" w:rsidRDefault="00CE1725" w:rsidP="00CE1725">
            <w:pPr>
              <w:ind w:firstLine="306"/>
              <w:jc w:val="both"/>
              <w:rPr>
                <w:rFonts w:ascii="Times New Roman" w:hAnsi="Times New Roman" w:cs="Times New Roman"/>
                <w:sz w:val="22"/>
                <w:szCs w:val="24"/>
              </w:rPr>
            </w:pPr>
            <w:r w:rsidRPr="00D32097">
              <w:rPr>
                <w:rFonts w:ascii="Times New Roman" w:hAnsi="Times New Roman" w:cs="Times New Roman"/>
                <w:sz w:val="22"/>
                <w:szCs w:val="24"/>
              </w:rPr>
              <w:t xml:space="preserve">4.5. З метою визначення величини дефіциту або профіциту коштів щодо надходжень та витрат, пов'язаних з наданням послуг з нестандартних приєднань, на економічно обґрунтованому рівні НКРЕКП здійснює перевірку та аналіз наданих оператором системи передачі та операторами систем розподілу відповідно до пункту 1.4 глави 1 цієї Методики вихідних даних, зокрема шляхом аналізу актів виконаних робіт та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пов'язаних із наданням у базовому періоді послуг з приєднання до електричних мереж електроустановок замовників, які відповідають критеріям нестандартного приєднання, окрім приєднань, розрахунок плати за приєднання для яких виконувався без застосування цієї Методики, </w:t>
            </w:r>
            <w:r w:rsidRPr="00D32097">
              <w:rPr>
                <w:rFonts w:ascii="Times New Roman" w:hAnsi="Times New Roman" w:cs="Times New Roman"/>
                <w:b/>
                <w:color w:val="0070C0"/>
                <w:sz w:val="22"/>
                <w:szCs w:val="24"/>
              </w:rPr>
              <w:t>а також приєднань, виконаних відповідно до положень пунктів 4.3.11 та 4.3.12 Кодексу систем розподілу</w:t>
            </w:r>
            <w:r w:rsidRPr="00D32097">
              <w:rPr>
                <w:rFonts w:ascii="Times New Roman" w:hAnsi="Times New Roman" w:cs="Times New Roman"/>
                <w:sz w:val="22"/>
                <w:szCs w:val="24"/>
              </w:rPr>
              <w:t>.</w:t>
            </w:r>
          </w:p>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u w:val="single"/>
              </w:rPr>
            </w:pPr>
            <w:r w:rsidRPr="00D32097">
              <w:rPr>
                <w:rFonts w:ascii="Times New Roman" w:hAnsi="Times New Roman" w:cs="Times New Roman"/>
                <w:sz w:val="22"/>
              </w:rPr>
              <w:t xml:space="preserve">Проведення оператором системи розподілу розрахунку дефіциту або профіциту коштів щодо надходжень та витрат, пов'язаних з наданням послуг з </w:t>
            </w:r>
            <w:r w:rsidRPr="00D32097">
              <w:rPr>
                <w:rFonts w:ascii="Times New Roman" w:hAnsi="Times New Roman" w:cs="Times New Roman"/>
                <w:sz w:val="22"/>
              </w:rPr>
              <w:lastRenderedPageBreak/>
              <w:t>приєднання, згідно з пунктом 1.4 глави 1 цієї Методики має здійснюватися без застосування коефіцієнта оптимізації коштів.</w:t>
            </w:r>
          </w:p>
        </w:tc>
        <w:tc>
          <w:tcPr>
            <w:tcW w:w="3899" w:type="dxa"/>
          </w:tcPr>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8"/>
              </w:rPr>
              <w:t>Норму приведено у відповідність до Закону України «Про ринок електричної енергії» та пунктів 4.3.11, 4.3.12 Кодексу систем розподілу, враховуючи відсутність у ОСР повноважень щодо перевірки кошторисної документації та обов’язок повернення замовнику коштів за приєднання за мінусом фактично понесених витрат, і тому повипливати на ціну обладнання та робіт обраного Замовником не може. Фактично вплив на дефіцит/профіцит коштів ОСР при цих приєднаннях відсутній</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CE1725" w:rsidP="00CE1725">
            <w:pPr>
              <w:ind w:firstLine="174"/>
              <w:jc w:val="center"/>
              <w:rPr>
                <w:rFonts w:ascii="Times New Roman" w:hAnsi="Times New Roman" w:cs="Times New Roman"/>
                <w:b/>
                <w:sz w:val="22"/>
                <w:szCs w:val="22"/>
                <w:lang w:eastAsia="uk-UA"/>
              </w:rPr>
            </w:pPr>
          </w:p>
          <w:p w:rsidR="00CE1725" w:rsidRPr="00D32097" w:rsidRDefault="001514FB" w:rsidP="00CE1725">
            <w:pPr>
              <w:ind w:firstLine="174"/>
              <w:jc w:val="center"/>
              <w:rPr>
                <w:rFonts w:ascii="Times New Roman" w:hAnsi="Times New Roman" w:cs="Times New Roman"/>
                <w:b/>
                <w:sz w:val="22"/>
                <w:szCs w:val="22"/>
                <w:lang w:eastAsia="uk-UA"/>
              </w:rPr>
            </w:pPr>
            <w:r>
              <w:rPr>
                <w:rFonts w:ascii="Times New Roman" w:hAnsi="Times New Roman" w:cs="Times New Roman"/>
                <w:b/>
                <w:sz w:val="22"/>
                <w:szCs w:val="22"/>
                <w:lang w:eastAsia="uk-UA"/>
              </w:rPr>
              <w:t>Пропонується</w:t>
            </w:r>
            <w:r w:rsidR="002D57C8" w:rsidRPr="00D32097">
              <w:rPr>
                <w:rFonts w:ascii="Times New Roman" w:hAnsi="Times New Roman" w:cs="Times New Roman"/>
                <w:b/>
                <w:sz w:val="22"/>
                <w:szCs w:val="22"/>
                <w:lang w:eastAsia="uk-UA"/>
              </w:rPr>
              <w:t xml:space="preserve"> </w:t>
            </w:r>
            <w:r w:rsidR="002D57C8" w:rsidRPr="00D32097">
              <w:rPr>
                <w:rFonts w:ascii="Times New Roman" w:hAnsi="Times New Roman" w:cs="Times New Roman"/>
                <w:b/>
                <w:sz w:val="22"/>
                <w:szCs w:val="22"/>
                <w:lang w:eastAsia="uk-UA"/>
              </w:rPr>
              <w:t>не враховувати</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i/>
                <w:color w:val="000000"/>
                <w:sz w:val="22"/>
                <w:szCs w:val="22"/>
              </w:rPr>
            </w:pPr>
          </w:p>
        </w:tc>
        <w:tc>
          <w:tcPr>
            <w:tcW w:w="3900" w:type="dxa"/>
            <w:gridSpan w:val="2"/>
          </w:tcPr>
          <w:p w:rsidR="00CE1725" w:rsidRDefault="00CE1725" w:rsidP="00CE1725">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CE1725" w:rsidRPr="00CE1725" w:rsidRDefault="00CE1725" w:rsidP="00CE1725">
            <w:pPr>
              <w:spacing w:line="259" w:lineRule="auto"/>
              <w:ind w:firstLine="249"/>
              <w:jc w:val="both"/>
              <w:rPr>
                <w:rFonts w:ascii="Times New Roman" w:hAnsi="Times New Roman" w:cs="Times New Roman"/>
                <w:b/>
              </w:rPr>
            </w:pPr>
            <w:r w:rsidRPr="00CE1725">
              <w:rPr>
                <w:rFonts w:ascii="Times New Roman" w:hAnsi="Times New Roman" w:cs="Times New Roman"/>
                <w:bCs/>
                <w:sz w:val="22"/>
              </w:rPr>
              <w:t>4.5. З метою визначення величини дефіциту або профіциту коштів щодо надходжень та витрат, пов'язаних з наданням послуг з нестандартних приєднань, на економічно обґрунтованому рівні НКРЕКП здійснює перевірку та аналіз наданих оператором системи передачі та операторами систем розподілу відповідно до </w:t>
            </w:r>
            <w:hyperlink r:id="rId14" w:anchor="n369" w:history="1">
              <w:r w:rsidRPr="00CE1725">
                <w:rPr>
                  <w:rFonts w:ascii="Times New Roman" w:hAnsi="Times New Roman" w:cs="Times New Roman"/>
                  <w:bCs/>
                  <w:sz w:val="22"/>
                </w:rPr>
                <w:t>пункту 1.4</w:t>
              </w:r>
            </w:hyperlink>
            <w:r w:rsidRPr="00CE1725">
              <w:rPr>
                <w:rFonts w:ascii="Times New Roman" w:hAnsi="Times New Roman" w:cs="Times New Roman"/>
                <w:bCs/>
                <w:sz w:val="22"/>
              </w:rPr>
              <w:t xml:space="preserve"> глави 1 цієї Методики вихідних даних, зокрема шляхом аналізу актів виконаних робіт та </w:t>
            </w:r>
            <w:proofErr w:type="spellStart"/>
            <w:r w:rsidRPr="00CE1725">
              <w:rPr>
                <w:rFonts w:ascii="Times New Roman" w:hAnsi="Times New Roman" w:cs="Times New Roman"/>
                <w:bCs/>
                <w:sz w:val="22"/>
              </w:rPr>
              <w:t>проєктної</w:t>
            </w:r>
            <w:proofErr w:type="spellEnd"/>
            <w:r w:rsidRPr="00CE1725">
              <w:rPr>
                <w:rFonts w:ascii="Times New Roman" w:hAnsi="Times New Roman" w:cs="Times New Roman"/>
                <w:bCs/>
                <w:sz w:val="22"/>
              </w:rPr>
              <w:t xml:space="preserve"> документації, пов'язаних із наданням у базовому періоді послуг з приєднання до електричних мереж електроустановок замовників, які відповідають критеріям нестандартного приєднання, </w:t>
            </w:r>
            <w:r w:rsidRPr="00CE1725">
              <w:rPr>
                <w:rFonts w:ascii="Times New Roman" w:hAnsi="Times New Roman" w:cs="Times New Roman"/>
                <w:b/>
                <w:sz w:val="22"/>
              </w:rPr>
              <w:t>крім приєднань, для яких розрахунок плати за приєднання здійснювався без застосування цієї Методики, а також приєднань, виконаних відповідно до положень пунктів 4.3.11 та 4.3.12 Кодексу систем розподілу.</w:t>
            </w:r>
          </w:p>
        </w:tc>
        <w:tc>
          <w:tcPr>
            <w:tcW w:w="3899" w:type="dxa"/>
          </w:tcPr>
          <w:p w:rsidR="00CE1725" w:rsidRPr="00CE1725" w:rsidRDefault="00CE1725" w:rsidP="00CE1725">
            <w:pPr>
              <w:ind w:firstLine="182"/>
              <w:jc w:val="both"/>
              <w:rPr>
                <w:rFonts w:ascii="Times New Roman" w:hAnsi="Times New Roman" w:cs="Times New Roman"/>
                <w:sz w:val="22"/>
                <w:szCs w:val="22"/>
              </w:rPr>
            </w:pPr>
            <w:r w:rsidRPr="00CE1725">
              <w:rPr>
                <w:rFonts w:ascii="Times New Roman" w:hAnsi="Times New Roman" w:cs="Times New Roman"/>
                <w:sz w:val="22"/>
                <w:szCs w:val="22"/>
              </w:rPr>
              <w:t>Норму приведено у відповідність до Закону України «Про ринок електричної енергії» та пунктів 4.3.11, 4.3.12 Кодексу систем розподілу, враховуючи відсутність у ОСР повноважень щодо перевірки кошторисної документації та обов’язок повернення замовнику коштів за приєднання за мінусом фактично понесених витрат, і тому повипливати на ціну обладнання та робіт обраного Замовником не може. Фактично вплив на дефіцит/профіцит коштів ОСР при цих приєднаннях відсутній.</w:t>
            </w:r>
          </w:p>
        </w:tc>
        <w:tc>
          <w:tcPr>
            <w:tcW w:w="3900" w:type="dxa"/>
            <w:gridSpan w:val="2"/>
          </w:tcPr>
          <w:p w:rsidR="00CE1725" w:rsidRPr="00D32097" w:rsidRDefault="001514FB" w:rsidP="00CE1725">
            <w:pPr>
              <w:ind w:firstLine="174"/>
              <w:jc w:val="center"/>
              <w:rPr>
                <w:b/>
                <w:sz w:val="22"/>
                <w:szCs w:val="22"/>
                <w:lang w:eastAsia="uk-UA"/>
              </w:rPr>
            </w:pPr>
            <w:r>
              <w:rPr>
                <w:rFonts w:ascii="Times New Roman" w:hAnsi="Times New Roman" w:cs="Times New Roman"/>
                <w:b/>
                <w:sz w:val="22"/>
                <w:szCs w:val="22"/>
                <w:lang w:eastAsia="uk-UA"/>
              </w:rPr>
              <w:t xml:space="preserve">Пропонується </w:t>
            </w:r>
            <w:r w:rsidR="002D57C8" w:rsidRPr="00D32097">
              <w:rPr>
                <w:rFonts w:ascii="Times New Roman" w:hAnsi="Times New Roman" w:cs="Times New Roman"/>
                <w:b/>
                <w:sz w:val="22"/>
                <w:szCs w:val="22"/>
                <w:lang w:eastAsia="uk-UA"/>
              </w:rPr>
              <w:t>не враховувати</w:t>
            </w:r>
          </w:p>
        </w:tc>
      </w:tr>
      <w:tr w:rsidR="00CE1725" w:rsidRPr="00D32097" w:rsidTr="002E4622">
        <w:trPr>
          <w:trHeight w:val="218"/>
        </w:trPr>
        <w:tc>
          <w:tcPr>
            <w:tcW w:w="3899" w:type="dxa"/>
            <w:gridSpan w:val="2"/>
          </w:tcPr>
          <w:p w:rsidR="00CE1725" w:rsidRPr="00D32097" w:rsidRDefault="00CE1725" w:rsidP="00CE1725">
            <w:pPr>
              <w:ind w:firstLine="314"/>
              <w:jc w:val="both"/>
              <w:rPr>
                <w:rFonts w:ascii="Times New Roman" w:hAnsi="Times New Roman" w:cs="Times New Roman"/>
                <w:sz w:val="22"/>
                <w:szCs w:val="24"/>
              </w:rPr>
            </w:pP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4.7. За умови забезпечення замовником виконання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лінійної частини </w:t>
            </w:r>
            <w:r w:rsidRPr="00D32097">
              <w:rPr>
                <w:rFonts w:ascii="Times New Roman" w:hAnsi="Times New Roman" w:cs="Times New Roman"/>
                <w:sz w:val="22"/>
                <w:szCs w:val="24"/>
              </w:rPr>
              <w:lastRenderedPageBreak/>
              <w:t>приєднання плата за нестандартне приєднання до електричних мереж оператора системи розподілу передбачає:</w:t>
            </w: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складову плати за приєднання потужності (ураховуючи потужність, </w:t>
            </w:r>
            <w:r w:rsidRPr="00D32097">
              <w:rPr>
                <w:rFonts w:ascii="Times New Roman" w:hAnsi="Times New Roman" w:cs="Times New Roman"/>
                <w:b/>
                <w:sz w:val="22"/>
                <w:szCs w:val="24"/>
              </w:rPr>
              <w:t>відбору та/або відпуску,</w:t>
            </w:r>
            <w:r w:rsidRPr="00D32097">
              <w:rPr>
                <w:rFonts w:ascii="Times New Roman" w:hAnsi="Times New Roman" w:cs="Times New Roman"/>
                <w:sz w:val="22"/>
                <w:szCs w:val="24"/>
              </w:rPr>
              <w:t xml:space="preserve"> що створюється), яка визначається як добуток величини замовленої до приєднання потужності </w:t>
            </w:r>
            <w:r w:rsidRPr="00D32097">
              <w:rPr>
                <w:rFonts w:ascii="Times New Roman" w:hAnsi="Times New Roman" w:cs="Times New Roman"/>
                <w:b/>
                <w:sz w:val="22"/>
                <w:szCs w:val="24"/>
              </w:rPr>
              <w:t>відбору та/або відпуску</w:t>
            </w:r>
            <w:r w:rsidRPr="00D32097">
              <w:rPr>
                <w:rFonts w:ascii="Times New Roman" w:hAnsi="Times New Roman" w:cs="Times New Roman"/>
                <w:sz w:val="22"/>
                <w:szCs w:val="24"/>
              </w:rPr>
              <w:t xml:space="preserve"> та ставки плати за нестандартне приєднання потужності;</w:t>
            </w:r>
          </w:p>
          <w:p w:rsidR="00CE1725" w:rsidRPr="00D32097" w:rsidRDefault="00CE1725" w:rsidP="00CE1725">
            <w:pPr>
              <w:tabs>
                <w:tab w:val="left" w:pos="993"/>
              </w:tabs>
              <w:ind w:firstLine="314"/>
              <w:jc w:val="both"/>
              <w:rPr>
                <w:rFonts w:ascii="Times New Roman" w:hAnsi="Times New Roman" w:cs="Times New Roman"/>
                <w:b/>
                <w:color w:val="000000"/>
                <w:sz w:val="22"/>
                <w:szCs w:val="22"/>
                <w:highlight w:val="yellow"/>
              </w:rPr>
            </w:pPr>
            <w:r w:rsidRPr="00D32097">
              <w:rPr>
                <w:rFonts w:ascii="Times New Roman" w:hAnsi="Times New Roman" w:cs="Times New Roman"/>
                <w:sz w:val="22"/>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розробленої замовником з урахуванням вимог Кодексу систем розподілу.</w:t>
            </w: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ТОВ «НЕСС ЕНЕРДЖІ»</w:t>
            </w:r>
          </w:p>
          <w:p w:rsidR="00CE1725" w:rsidRPr="00D32097" w:rsidRDefault="00CE1725" w:rsidP="00CE1725">
            <w:pPr>
              <w:ind w:firstLine="233"/>
              <w:jc w:val="both"/>
              <w:rPr>
                <w:rFonts w:ascii="Times New Roman" w:hAnsi="Times New Roman" w:cs="Times New Roman"/>
                <w:sz w:val="22"/>
                <w:szCs w:val="22"/>
              </w:rPr>
            </w:pPr>
            <w:r w:rsidRPr="00D32097">
              <w:rPr>
                <w:rFonts w:ascii="Times New Roman" w:hAnsi="Times New Roman" w:cs="Times New Roman"/>
                <w:sz w:val="22"/>
                <w:szCs w:val="22"/>
              </w:rPr>
              <w:t xml:space="preserve">4.7. За умови забезпечення замовником виконання </w:t>
            </w:r>
            <w:proofErr w:type="spellStart"/>
            <w:r w:rsidRPr="00D32097">
              <w:rPr>
                <w:rFonts w:ascii="Times New Roman" w:hAnsi="Times New Roman" w:cs="Times New Roman"/>
                <w:sz w:val="22"/>
                <w:szCs w:val="22"/>
              </w:rPr>
              <w:t>проєктної</w:t>
            </w:r>
            <w:proofErr w:type="spellEnd"/>
            <w:r w:rsidRPr="00D32097">
              <w:rPr>
                <w:rFonts w:ascii="Times New Roman" w:hAnsi="Times New Roman" w:cs="Times New Roman"/>
                <w:sz w:val="22"/>
                <w:szCs w:val="22"/>
              </w:rPr>
              <w:t xml:space="preserve"> документації лінійної частини </w:t>
            </w:r>
            <w:r w:rsidRPr="00D32097">
              <w:rPr>
                <w:rFonts w:ascii="Times New Roman" w:hAnsi="Times New Roman" w:cs="Times New Roman"/>
                <w:sz w:val="22"/>
                <w:szCs w:val="22"/>
              </w:rPr>
              <w:lastRenderedPageBreak/>
              <w:t>приєднання плата за нестандартне приєднання до електричних мереж оператора системи розподілу передбачає:</w:t>
            </w:r>
          </w:p>
          <w:p w:rsidR="00CE1725" w:rsidRPr="00D32097" w:rsidRDefault="00CE1725" w:rsidP="00CE1725">
            <w:pPr>
              <w:ind w:firstLine="233"/>
              <w:jc w:val="both"/>
              <w:rPr>
                <w:rFonts w:ascii="Times New Roman" w:hAnsi="Times New Roman" w:cs="Times New Roman"/>
                <w:sz w:val="22"/>
                <w:szCs w:val="22"/>
              </w:rPr>
            </w:pPr>
            <w:r w:rsidRPr="00D32097">
              <w:rPr>
                <w:rFonts w:ascii="Times New Roman" w:hAnsi="Times New Roman" w:cs="Times New Roman"/>
                <w:sz w:val="22"/>
                <w:szCs w:val="22"/>
              </w:rPr>
              <w:t xml:space="preserve">складову плати за приєднання потужності (ураховуючи потужність </w:t>
            </w:r>
            <w:r w:rsidRPr="00D32097">
              <w:rPr>
                <w:rFonts w:ascii="Times New Roman" w:hAnsi="Times New Roman" w:cs="Times New Roman"/>
                <w:b/>
                <w:color w:val="0070C0"/>
                <w:sz w:val="22"/>
                <w:szCs w:val="22"/>
              </w:rPr>
              <w:t>відбору та/або відпуску, що створюється</w:t>
            </w:r>
            <w:r w:rsidRPr="00D32097">
              <w:rPr>
                <w:rFonts w:ascii="Times New Roman" w:hAnsi="Times New Roman" w:cs="Times New Roman"/>
                <w:color w:val="0070C0"/>
                <w:sz w:val="22"/>
                <w:szCs w:val="22"/>
              </w:rPr>
              <w:t xml:space="preserve">), яка </w:t>
            </w:r>
            <w:r w:rsidRPr="00D32097">
              <w:rPr>
                <w:rFonts w:ascii="Times New Roman" w:hAnsi="Times New Roman" w:cs="Times New Roman"/>
                <w:b/>
                <w:color w:val="0070C0"/>
                <w:sz w:val="22"/>
                <w:szCs w:val="22"/>
              </w:rPr>
              <w:t>визначається виходячи з приросту максимального використання трансформаторної потужності електричних мереж у точці забезпечення потужності після врахування замовленої до приєднання потужності відбору та/або відпуску та відповідної ставки плати за нестандартне приєднання потужності</w:t>
            </w:r>
            <w:r w:rsidRPr="00D32097">
              <w:rPr>
                <w:rFonts w:ascii="Times New Roman" w:hAnsi="Times New Roman" w:cs="Times New Roman"/>
                <w:color w:val="0070C0"/>
                <w:sz w:val="22"/>
                <w:szCs w:val="22"/>
              </w:rPr>
              <w:t>;</w:t>
            </w:r>
          </w:p>
          <w:p w:rsidR="00CE1725" w:rsidRPr="00D32097" w:rsidRDefault="00CE1725" w:rsidP="00CE1725">
            <w:pPr>
              <w:ind w:firstLine="233"/>
              <w:contextualSpacing/>
              <w:jc w:val="both"/>
              <w:rPr>
                <w:rFonts w:ascii="Times New Roman" w:hAnsi="Times New Roman" w:cs="Times New Roman"/>
                <w:b/>
                <w:color w:val="000000"/>
                <w:sz w:val="22"/>
                <w:szCs w:val="22"/>
                <w:highlight w:val="yellow"/>
              </w:rPr>
            </w:pPr>
            <w:r w:rsidRPr="00D32097">
              <w:rPr>
                <w:rFonts w:ascii="Times New Roman" w:hAnsi="Times New Roman" w:cs="Times New Roman"/>
                <w:sz w:val="22"/>
                <w:szCs w:val="22"/>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D32097">
              <w:rPr>
                <w:rFonts w:ascii="Times New Roman" w:hAnsi="Times New Roman" w:cs="Times New Roman"/>
                <w:sz w:val="22"/>
                <w:szCs w:val="22"/>
              </w:rPr>
              <w:t>проєктної</w:t>
            </w:r>
            <w:proofErr w:type="spellEnd"/>
            <w:r w:rsidRPr="00D32097">
              <w:rPr>
                <w:rFonts w:ascii="Times New Roman" w:hAnsi="Times New Roman" w:cs="Times New Roman"/>
                <w:sz w:val="22"/>
                <w:szCs w:val="22"/>
              </w:rPr>
              <w:t xml:space="preserve"> документації, розробленої замовником з урахуванням вимог Кодексу систем розподілу.</w:t>
            </w:r>
          </w:p>
        </w:tc>
        <w:tc>
          <w:tcPr>
            <w:tcW w:w="3899" w:type="dxa"/>
          </w:tcPr>
          <w:p w:rsidR="00CE1725" w:rsidRPr="00D32097" w:rsidRDefault="00CE1725" w:rsidP="00CE1725">
            <w:pPr>
              <w:ind w:firstLine="182"/>
              <w:jc w:val="both"/>
              <w:rPr>
                <w:rFonts w:ascii="Times New Roman" w:hAnsi="Times New Roman" w:cs="Times New Roman"/>
                <w:sz w:val="22"/>
                <w:szCs w:val="22"/>
                <w:highlight w:val="yellow"/>
              </w:rPr>
            </w:pPr>
            <w:r w:rsidRPr="00D32097">
              <w:rPr>
                <w:rFonts w:ascii="Times New Roman" w:hAnsi="Times New Roman" w:cs="Times New Roman"/>
                <w:sz w:val="22"/>
                <w:szCs w:val="22"/>
              </w:rPr>
              <w:lastRenderedPageBreak/>
              <w:t xml:space="preserve">Логіка пункту 4.7 має відповідати пункту 4.1. Виконання замовником </w:t>
            </w:r>
            <w:proofErr w:type="spellStart"/>
            <w:r w:rsidRPr="00D32097">
              <w:rPr>
                <w:rFonts w:ascii="Times New Roman" w:hAnsi="Times New Roman" w:cs="Times New Roman"/>
                <w:sz w:val="22"/>
                <w:szCs w:val="22"/>
              </w:rPr>
              <w:t>проєктної</w:t>
            </w:r>
            <w:proofErr w:type="spellEnd"/>
            <w:r w:rsidRPr="00D32097">
              <w:rPr>
                <w:rFonts w:ascii="Times New Roman" w:hAnsi="Times New Roman" w:cs="Times New Roman"/>
                <w:sz w:val="22"/>
                <w:szCs w:val="22"/>
              </w:rPr>
              <w:t xml:space="preserve"> документації лінійної частини не змінює економічну природу </w:t>
            </w:r>
            <w:r w:rsidRPr="00D32097">
              <w:rPr>
                <w:rFonts w:ascii="Times New Roman" w:hAnsi="Times New Roman" w:cs="Times New Roman"/>
                <w:sz w:val="22"/>
                <w:szCs w:val="22"/>
              </w:rPr>
              <w:lastRenderedPageBreak/>
              <w:t>складової плати за потужність: оплачуватися має приріст максимального використання трансформаторної спроможності, а не вся заявлена потужність відбору та/або відпуску.</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b/>
                <w:sz w:val="22"/>
                <w:szCs w:val="22"/>
                <w:highlight w:val="yellow"/>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tcPr>
          <w:p w:rsidR="00CE1725" w:rsidRPr="00D32097" w:rsidRDefault="00CE1725" w:rsidP="00CE1725">
            <w:pPr>
              <w:ind w:firstLine="314"/>
              <w:jc w:val="both"/>
              <w:rPr>
                <w:rFonts w:ascii="Times New Roman" w:hAnsi="Times New Roman" w:cs="Times New Roman"/>
                <w:sz w:val="22"/>
                <w:szCs w:val="24"/>
              </w:rPr>
            </w:pP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4.8. За умови забезпечення замовником послуги з нестандартного приєднання потужності більше 1 МВт з </w:t>
            </w:r>
            <w:proofErr w:type="spellStart"/>
            <w:r w:rsidRPr="00D32097">
              <w:rPr>
                <w:rFonts w:ascii="Times New Roman" w:hAnsi="Times New Roman" w:cs="Times New Roman"/>
                <w:sz w:val="22"/>
                <w:szCs w:val="24"/>
              </w:rPr>
              <w:t>проєктуванням</w:t>
            </w:r>
            <w:proofErr w:type="spellEnd"/>
            <w:r w:rsidRPr="00D32097">
              <w:rPr>
                <w:rFonts w:ascii="Times New Roman" w:hAnsi="Times New Roman" w:cs="Times New Roman"/>
                <w:sz w:val="22"/>
                <w:szCs w:val="24"/>
              </w:rPr>
              <w:t xml:space="preserve"> замовником лінійної частини приєднання розроблення та узгодження з оператором системи розподілу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на будівництво електричних мереж лінійної частини приєднання та/або робіт із створення потужності, а також виконання будівельно-монтажних та пусконалагоджувальних робіт щодо будівництва електричних мереж </w:t>
            </w:r>
            <w:r w:rsidRPr="00D32097">
              <w:rPr>
                <w:rFonts w:ascii="Times New Roman" w:hAnsi="Times New Roman" w:cs="Times New Roman"/>
                <w:sz w:val="22"/>
                <w:szCs w:val="24"/>
              </w:rPr>
              <w:lastRenderedPageBreak/>
              <w:t>лінійної частини приєднання та/або робіт із створення потужності, плата за нестандартне приєднання до електричних мереж оператора системи розподілу передбачає:</w:t>
            </w: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складову плати за приєднання потужності (ураховуючи потужність, </w:t>
            </w:r>
            <w:r w:rsidRPr="00D32097">
              <w:rPr>
                <w:rFonts w:ascii="Times New Roman" w:hAnsi="Times New Roman" w:cs="Times New Roman"/>
                <w:b/>
                <w:sz w:val="22"/>
                <w:szCs w:val="24"/>
              </w:rPr>
              <w:t xml:space="preserve">відбору та/або відпуску, </w:t>
            </w:r>
            <w:r w:rsidRPr="00D32097">
              <w:rPr>
                <w:rFonts w:ascii="Times New Roman" w:hAnsi="Times New Roman" w:cs="Times New Roman"/>
                <w:sz w:val="22"/>
                <w:szCs w:val="24"/>
              </w:rPr>
              <w:t xml:space="preserve">що створюється), яка визначається як добуток величини замовленої до приєднання потужності </w:t>
            </w:r>
            <w:r w:rsidRPr="00D32097">
              <w:rPr>
                <w:rFonts w:ascii="Times New Roman" w:hAnsi="Times New Roman" w:cs="Times New Roman"/>
                <w:b/>
                <w:sz w:val="22"/>
                <w:szCs w:val="24"/>
              </w:rPr>
              <w:t>відбору та/або відпуску</w:t>
            </w:r>
            <w:r w:rsidRPr="00D32097">
              <w:rPr>
                <w:rFonts w:ascii="Times New Roman" w:hAnsi="Times New Roman" w:cs="Times New Roman"/>
                <w:sz w:val="22"/>
                <w:szCs w:val="24"/>
              </w:rPr>
              <w:t xml:space="preserve"> та ставки плати за нестандартне приєднання потужності;</w:t>
            </w:r>
          </w:p>
          <w:p w:rsidR="00CE1725" w:rsidRPr="00D32097" w:rsidRDefault="00CE1725" w:rsidP="00CE1725">
            <w:pPr>
              <w:ind w:firstLine="314"/>
              <w:jc w:val="both"/>
              <w:rPr>
                <w:rFonts w:ascii="Times New Roman" w:hAnsi="Times New Roman" w:cs="Times New Roman"/>
                <w:sz w:val="22"/>
                <w:szCs w:val="24"/>
              </w:rPr>
            </w:pPr>
            <w:r w:rsidRPr="00D32097">
              <w:rPr>
                <w:rFonts w:ascii="Times New Roman" w:hAnsi="Times New Roman" w:cs="Times New Roman"/>
                <w:sz w:val="22"/>
                <w:szCs w:val="24"/>
              </w:rPr>
              <w:t xml:space="preserve">складову плати за створення електричних мереж лінійної частини приєднання, що визначається згідно з кошторисом, який є невід’ємною частиною відповідної </w:t>
            </w:r>
            <w:proofErr w:type="spellStart"/>
            <w:r w:rsidRPr="00D32097">
              <w:rPr>
                <w:rFonts w:ascii="Times New Roman" w:hAnsi="Times New Roman" w:cs="Times New Roman"/>
                <w:sz w:val="22"/>
                <w:szCs w:val="24"/>
              </w:rPr>
              <w:t>проєктної</w:t>
            </w:r>
            <w:proofErr w:type="spellEnd"/>
            <w:r w:rsidRPr="00D32097">
              <w:rPr>
                <w:rFonts w:ascii="Times New Roman" w:hAnsi="Times New Roman" w:cs="Times New Roman"/>
                <w:sz w:val="22"/>
                <w:szCs w:val="24"/>
              </w:rPr>
              <w:t xml:space="preserve"> документації, розробленої замовником з урахуванням вимог Кодексу систем розподілу.</w:t>
            </w:r>
          </w:p>
          <w:p w:rsidR="00CE1725" w:rsidRPr="00D32097" w:rsidRDefault="00CE1725" w:rsidP="00CE1725">
            <w:pPr>
              <w:ind w:firstLine="314"/>
              <w:jc w:val="both"/>
              <w:rPr>
                <w:sz w:val="22"/>
                <w:szCs w:val="24"/>
              </w:rPr>
            </w:pPr>
            <w:r w:rsidRPr="00D32097">
              <w:rPr>
                <w:rFonts w:ascii="Times New Roman" w:hAnsi="Times New Roman" w:cs="Times New Roman"/>
                <w:sz w:val="22"/>
                <w:szCs w:val="24"/>
              </w:rPr>
              <w:t xml:space="preserve">При цьому сума витрат такого замовника, пов’язаних з виконанням </w:t>
            </w:r>
            <w:proofErr w:type="spellStart"/>
            <w:r w:rsidRPr="00D32097">
              <w:rPr>
                <w:rFonts w:ascii="Times New Roman" w:hAnsi="Times New Roman" w:cs="Times New Roman"/>
                <w:sz w:val="22"/>
                <w:szCs w:val="24"/>
              </w:rPr>
              <w:t>проєктування</w:t>
            </w:r>
            <w:proofErr w:type="spellEnd"/>
            <w:r w:rsidRPr="00D32097">
              <w:rPr>
                <w:rFonts w:ascii="Times New Roman" w:hAnsi="Times New Roman" w:cs="Times New Roman"/>
                <w:sz w:val="22"/>
                <w:szCs w:val="24"/>
              </w:rPr>
              <w:t xml:space="preserve"> електричних мереж, будівельно-монтажних, пусконалагоджувальних робіт лінійної частини приєднання та/або робіт із створення потужності, яка враховується у загальному розмірі плати за нестандартне приєднання, не може перевищувати відповідну плату за нестандартне приєднання.</w:t>
            </w: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ТОВ «НЕСС ЕНЕРДЖІ»</w:t>
            </w:r>
          </w:p>
          <w:p w:rsidR="00CE1725" w:rsidRPr="00D32097" w:rsidRDefault="00CE1725" w:rsidP="00CE1725">
            <w:pPr>
              <w:ind w:firstLine="233"/>
              <w:jc w:val="both"/>
              <w:rPr>
                <w:rFonts w:ascii="Times New Roman" w:hAnsi="Times New Roman" w:cs="Times New Roman"/>
                <w:sz w:val="22"/>
                <w:szCs w:val="22"/>
              </w:rPr>
            </w:pPr>
            <w:r w:rsidRPr="00D32097">
              <w:rPr>
                <w:rFonts w:ascii="Times New Roman" w:hAnsi="Times New Roman" w:cs="Times New Roman"/>
                <w:sz w:val="22"/>
                <w:szCs w:val="22"/>
              </w:rPr>
              <w:t xml:space="preserve">4.8. За умови забезпечення замовником послуги з нестандартного приєднання потужності більше 1 МВт з </w:t>
            </w:r>
            <w:proofErr w:type="spellStart"/>
            <w:r w:rsidRPr="00D32097">
              <w:rPr>
                <w:rFonts w:ascii="Times New Roman" w:hAnsi="Times New Roman" w:cs="Times New Roman"/>
                <w:sz w:val="22"/>
                <w:szCs w:val="22"/>
              </w:rPr>
              <w:t>проєктуванням</w:t>
            </w:r>
            <w:proofErr w:type="spellEnd"/>
            <w:r w:rsidRPr="00D32097">
              <w:rPr>
                <w:rFonts w:ascii="Times New Roman" w:hAnsi="Times New Roman" w:cs="Times New Roman"/>
                <w:sz w:val="22"/>
                <w:szCs w:val="22"/>
              </w:rPr>
              <w:t xml:space="preserve"> замовником лінійної частини приєднання ... плата за нестандартне приєднання до електричних мереж оператора системи розподілу передбачає:</w:t>
            </w:r>
          </w:p>
          <w:p w:rsidR="00CE1725" w:rsidRPr="00D32097" w:rsidRDefault="00CE1725" w:rsidP="00CE1725">
            <w:pPr>
              <w:pStyle w:val="rvps2"/>
              <w:shd w:val="clear" w:color="auto" w:fill="FFFFFF"/>
              <w:spacing w:before="0" w:beforeAutospacing="0" w:after="0" w:afterAutospacing="0"/>
              <w:ind w:firstLine="233"/>
              <w:jc w:val="both"/>
              <w:rPr>
                <w:b/>
                <w:sz w:val="22"/>
                <w:szCs w:val="22"/>
                <w:u w:val="single"/>
              </w:rPr>
            </w:pPr>
            <w:r w:rsidRPr="00D32097">
              <w:rPr>
                <w:rFonts w:ascii="Times New Roman" w:hAnsi="Times New Roman" w:cs="Times New Roman"/>
                <w:sz w:val="22"/>
                <w:szCs w:val="22"/>
              </w:rPr>
              <w:t xml:space="preserve">складову плати за приєднання потужності (ураховуючи потужність </w:t>
            </w:r>
            <w:r w:rsidRPr="00D32097">
              <w:rPr>
                <w:rFonts w:ascii="Times New Roman" w:hAnsi="Times New Roman" w:cs="Times New Roman"/>
                <w:b/>
                <w:color w:val="0070C0"/>
                <w:sz w:val="22"/>
                <w:szCs w:val="22"/>
              </w:rPr>
              <w:t>відбору та/або відпуску, що створюється</w:t>
            </w:r>
            <w:r w:rsidRPr="00D32097">
              <w:rPr>
                <w:rFonts w:ascii="Times New Roman" w:hAnsi="Times New Roman" w:cs="Times New Roman"/>
                <w:color w:val="0070C0"/>
                <w:sz w:val="22"/>
                <w:szCs w:val="22"/>
              </w:rPr>
              <w:t xml:space="preserve">), яка </w:t>
            </w:r>
            <w:r w:rsidRPr="00D32097">
              <w:rPr>
                <w:rFonts w:ascii="Times New Roman" w:hAnsi="Times New Roman" w:cs="Times New Roman"/>
                <w:b/>
                <w:color w:val="0070C0"/>
                <w:sz w:val="22"/>
                <w:szCs w:val="22"/>
              </w:rPr>
              <w:t xml:space="preserve">визначається виходячи з приросту максимального </w:t>
            </w:r>
            <w:r w:rsidRPr="00D32097">
              <w:rPr>
                <w:rFonts w:ascii="Times New Roman" w:hAnsi="Times New Roman" w:cs="Times New Roman"/>
                <w:b/>
                <w:color w:val="0070C0"/>
                <w:sz w:val="22"/>
                <w:szCs w:val="22"/>
              </w:rPr>
              <w:lastRenderedPageBreak/>
              <w:t>використання трансформаторної потужності електричних мереж у точці забезпечення потужності після врахування замовленої до приєднання потужності відбору та/або відпуску та відповідної ставки плати за нестандартне приєднання потужності</w:t>
            </w:r>
            <w:r w:rsidRPr="00D32097">
              <w:rPr>
                <w:rFonts w:ascii="Times New Roman" w:hAnsi="Times New Roman" w:cs="Times New Roman"/>
                <w:color w:val="0070C0"/>
                <w:sz w:val="22"/>
                <w:szCs w:val="22"/>
              </w:rPr>
              <w:t>;</w:t>
            </w:r>
          </w:p>
        </w:tc>
        <w:tc>
          <w:tcPr>
            <w:tcW w:w="3899" w:type="dxa"/>
          </w:tcPr>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Для приєднань понад 1 МВт ризик надмірного нарахування плати є найбільш істотним. Якщо замовник бере на себе виконання частини робіт із створення потужності або лінійної частини, Методика має особливо чітко розділяти заявлену потужність і потужність, за яку справляється плата як за приріст використання трансформаторної спроможності.</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w:t>
            </w:r>
            <w:r w:rsidRPr="00D32097">
              <w:rPr>
                <w:rFonts w:ascii="Times New Roman" w:hAnsi="Times New Roman" w:cs="Times New Roman"/>
                <w:sz w:val="22"/>
                <w:szCs w:val="22"/>
                <w:lang w:eastAsia="uk-UA"/>
              </w:rPr>
              <w:lastRenderedPageBreak/>
              <w:t>відбору та/або відпуску та ставки плати за нестандартне приєднання потужності;</w:t>
            </w:r>
          </w:p>
          <w:p w:rsidR="00CE1725" w:rsidRPr="00D32097" w:rsidRDefault="00CE1725" w:rsidP="00CE1725">
            <w:pPr>
              <w:ind w:firstLine="174"/>
              <w:jc w:val="both"/>
              <w:rPr>
                <w:b/>
                <w:sz w:val="22"/>
                <w:szCs w:val="22"/>
                <w:highlight w:val="yellow"/>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D83895">
        <w:trPr>
          <w:trHeight w:val="218"/>
        </w:trPr>
        <w:tc>
          <w:tcPr>
            <w:tcW w:w="15598" w:type="dxa"/>
            <w:gridSpan w:val="7"/>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4"/>
                <w:szCs w:val="24"/>
                <w:lang w:eastAsia="uk-UA"/>
              </w:rPr>
              <w:lastRenderedPageBreak/>
              <w:t>5. Порядок формування плати за нестандартне приєднання електроустановок до електричних мереж</w:t>
            </w:r>
          </w:p>
        </w:tc>
      </w:tr>
      <w:tr w:rsidR="00CE1725" w:rsidRPr="00D32097" w:rsidTr="002E4622">
        <w:trPr>
          <w:trHeight w:val="218"/>
        </w:trPr>
        <w:tc>
          <w:tcPr>
            <w:tcW w:w="3899" w:type="dxa"/>
            <w:gridSpan w:val="2"/>
            <w:vMerge w:val="restart"/>
          </w:tcPr>
          <w:p w:rsidR="00CE1725" w:rsidRPr="00D32097" w:rsidRDefault="00CE1725" w:rsidP="00CE1725">
            <w:pPr>
              <w:pStyle w:val="rvps2"/>
              <w:shd w:val="clear" w:color="auto" w:fill="FFFFFF"/>
              <w:spacing w:before="0" w:beforeAutospacing="0" w:after="0" w:afterAutospacing="0"/>
              <w:ind w:firstLine="314"/>
              <w:jc w:val="both"/>
              <w:rPr>
                <w:rFonts w:ascii="Times New Roman" w:hAnsi="Times New Roman" w:cs="Times New Roman"/>
                <w:sz w:val="22"/>
                <w:szCs w:val="22"/>
              </w:rPr>
            </w:pPr>
          </w:p>
          <w:p w:rsidR="00CE1725" w:rsidRPr="00D32097" w:rsidRDefault="00CE1725" w:rsidP="00CE1725">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5.1. Плата за нестандартне приєднання «під ключ»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b/>
                <w:bCs/>
                <w:sz w:val="22"/>
                <w:szCs w:val="22"/>
                <w:vertAlign w:val="subscript"/>
              </w:rPr>
              <w:t>вст</w:t>
            </w:r>
            <w:proofErr w:type="spellEnd"/>
            <w:r w:rsidRPr="00D32097">
              <w:rPr>
                <w:rFonts w:ascii="Times New Roman" w:hAnsi="Times New Roman" w:cs="Times New Roman"/>
                <w:sz w:val="22"/>
                <w:szCs w:val="22"/>
              </w:rPr>
              <w:t> розраховується за формулою</w:t>
            </w:r>
          </w:p>
          <w:p w:rsidR="00CE1725" w:rsidRPr="00D32097" w:rsidRDefault="002D57C8" w:rsidP="00CE1725">
            <w:pPr>
              <w:pStyle w:val="rvps2"/>
              <w:spacing w:before="0" w:beforeAutospacing="0" w:after="150" w:afterAutospacing="0"/>
              <w:ind w:firstLine="314"/>
              <w:jc w:val="both"/>
              <w:rPr>
                <w:rFonts w:ascii="Times New Roman" w:hAnsi="Times New Roman" w:cs="Times New Roman"/>
                <w:color w:val="333333"/>
                <w:sz w:val="22"/>
                <w:szCs w:val="22"/>
                <w:shd w:val="clear" w:color="auto" w:fill="FFFFFF"/>
              </w:rPr>
            </w:pPr>
            <m:oMathPara>
              <m:oMath>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П</m:t>
                    </m:r>
                  </m:e>
                  <m:sub>
                    <m:r>
                      <w:rPr>
                        <w:rFonts w:ascii="Cambria Math" w:hAnsi="Cambria Math" w:cs="Times New Roman"/>
                        <w:sz w:val="22"/>
                        <w:szCs w:val="22"/>
                      </w:rPr>
                      <m:t>нст</m:t>
                    </m:r>
                  </m:sub>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заявлена</m:t>
                    </m:r>
                  </m:sub>
                  <m:sup>
                    <m:r>
                      <w:rPr>
                        <w:rFonts w:ascii="Cambria Math" w:eastAsiaTheme="minorHAnsi" w:hAnsi="Cambria Math" w:cs="Times New Roman"/>
                        <w:sz w:val="22"/>
                        <w:szCs w:val="22"/>
                        <w:lang w:eastAsia="en-US"/>
                      </w:rPr>
                      <m:t>відбір</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заявлена</m:t>
                    </m:r>
                  </m:sub>
                  <m:sup>
                    <m:r>
                      <w:rPr>
                        <w:rFonts w:ascii="Cambria Math" w:eastAsiaTheme="minorHAnsi" w:hAnsi="Cambria Math" w:cs="Times New Roman"/>
                        <w:sz w:val="22"/>
                        <w:szCs w:val="22"/>
                        <w:lang w:eastAsia="en-US"/>
                      </w:rPr>
                      <m:t>відпуск</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eastAsiaTheme="minorHAnsi" w:hAnsi="Cambria Math" w:cs="Times New Roman"/>
                        <w:i/>
                        <w:sz w:val="22"/>
                        <w:szCs w:val="22"/>
                        <w:lang w:eastAsia="en-US"/>
                      </w:rPr>
                    </m:ctrlPr>
                  </m:sSubPr>
                  <m:e>
                    <m:r>
                      <w:rPr>
                        <w:rFonts w:ascii="Cambria Math" w:eastAsiaTheme="minorHAnsi" w:hAnsi="Cambria Math" w:cs="Times New Roman"/>
                        <w:sz w:val="22"/>
                        <w:szCs w:val="22"/>
                        <w:lang w:eastAsia="en-US"/>
                      </w:rPr>
                      <m:t>l</m:t>
                    </m:r>
                  </m:e>
                  <m:sub>
                    <m:r>
                      <w:rPr>
                        <w:rFonts w:ascii="Cambria Math" w:eastAsiaTheme="minorHAnsi" w:hAnsi="Cambria Math" w:cs="Times New Roman"/>
                        <w:sz w:val="22"/>
                        <w:szCs w:val="22"/>
                        <w:lang w:eastAsia="en-US"/>
                      </w:rPr>
                      <m:t>м</m:t>
                    </m:r>
                  </m:sub>
                </m:sSub>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3"/>
            </w:tblGrid>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потужність відбору, замовлена до приєднання;</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b/>
                      <w:sz w:val="22"/>
                      <w:szCs w:val="22"/>
                    </w:rPr>
                    <w:t>потужність відпуску, замовлена до приєднання</w:t>
                  </w:r>
                  <w:r w:rsidRPr="00D32097">
                    <w:rPr>
                      <w:sz w:val="22"/>
                      <w:szCs w:val="22"/>
                    </w:rP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rsidRPr="00D32097">
                    <w:rPr>
                      <w:sz w:val="22"/>
                      <w:szCs w:val="22"/>
                    </w:rPr>
                    <w:t>самовиробництва</w:t>
                  </w:r>
                  <w:proofErr w:type="spellEnd"/>
                  <w:r w:rsidRPr="00D32097">
                    <w:rPr>
                      <w:sz w:val="22"/>
                      <w:szCs w:val="22"/>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к,н,зтт,місц,с</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xml:space="preserve">, </w:t>
                  </w:r>
                  <w:r w:rsidRPr="00D32097">
                    <w:rPr>
                      <w:b/>
                      <w:sz w:val="22"/>
                      <w:szCs w:val="22"/>
                    </w:rPr>
                    <w:lastRenderedPageBreak/>
                    <w:t>призначених для споживання електричної енергії,</w:t>
                  </w:r>
                  <w:r w:rsidRPr="00D32097">
                    <w:rPr>
                      <w:sz w:val="22"/>
                      <w:szCs w:val="22"/>
                    </w:rPr>
                    <w:t xml:space="preserve"> тис. грн/кВт (без ПДВ), визначається за формулою 6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к</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категорія надійності електропостачання згідно з ПУЕ, заявлена замовником;</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місцезнаходження електроустановок замовника (міська, сільська місцевість);</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trike/>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trike/>
                      <w:sz w:val="22"/>
                      <w:szCs w:val="22"/>
                    </w:rPr>
                  </w:pPr>
                  <w:proofErr w:type="spellStart"/>
                  <w:r w:rsidRPr="00D32097">
                    <w:rPr>
                      <w:strike/>
                      <w:sz w:val="22"/>
                      <w:szCs w:val="22"/>
                    </w:rP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trike/>
                      <w:sz w:val="22"/>
                      <w:szCs w:val="22"/>
                    </w:rPr>
                  </w:pPr>
                  <w:r w:rsidRPr="00D32097">
                    <w:rPr>
                      <w:strike/>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trike/>
                      <w:sz w:val="22"/>
                      <w:szCs w:val="22"/>
                    </w:rPr>
                  </w:pPr>
                  <w:r w:rsidRPr="00D32097">
                    <w:rPr>
                      <w:strike/>
                      <w:sz w:val="22"/>
                      <w:szCs w:val="22"/>
                    </w:rPr>
                    <w:t xml:space="preserve">індекс типу електроустановки, що </w:t>
                  </w:r>
                  <w:r w:rsidRPr="00D32097">
                    <w:rPr>
                      <w:strike/>
                      <w:sz w:val="22"/>
                      <w:szCs w:val="22"/>
                    </w:rPr>
                    <w:lastRenderedPageBreak/>
                    <w:t>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к,н,зтт,місц,в</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призначених для виробництва електричної енергії,</w:t>
                  </w:r>
                  <w:r w:rsidRPr="00D32097">
                    <w:rPr>
                      <w:sz w:val="22"/>
                      <w:szCs w:val="22"/>
                    </w:rPr>
                    <w:t xml:space="preserve"> тис. грн/кВт (без ПДВ), визначається за формулою 7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категорія надійності електропостачання згідно з ПУЕ, заявлена замовником;</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н</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proofErr w:type="spellStart"/>
                  <w:r w:rsidRPr="00D32097">
                    <w:rPr>
                      <w:b/>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місцезнаходження електроустановок </w:t>
                  </w:r>
                  <w:r w:rsidRPr="00D32097">
                    <w:rPr>
                      <w:b/>
                      <w:sz w:val="22"/>
                      <w:szCs w:val="22"/>
                    </w:rPr>
                    <w:lastRenderedPageBreak/>
                    <w:t>замовника (міська, сільська місцевість);</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noProof/>
                      <w:color w:val="004BC1"/>
                      <w:sz w:val="22"/>
                      <w:szCs w:val="22"/>
                    </w:rPr>
                    <w:drawing>
                      <wp:inline distT="0" distB="0" distL="0" distR="0" wp14:anchorId="7F61B3CF" wp14:editId="623C007C">
                        <wp:extent cx="523875" cy="219075"/>
                        <wp:effectExtent l="0" t="0" r="9525" b="9525"/>
                        <wp:docPr id="1877958278" name="Рисунок 1877958278" descr="https://zakon.rada.gov.ua/laws/file/imgs/117/p480243n270v1-15.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л</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 xml:space="preserve">індекс типу лінії </w:t>
                  </w:r>
                  <w:proofErr w:type="spellStart"/>
                  <w:r w:rsidRPr="00D32097">
                    <w:rPr>
                      <w:sz w:val="22"/>
                      <w:szCs w:val="22"/>
                    </w:rPr>
                    <w:t>електропередавання</w:t>
                  </w:r>
                  <w:proofErr w:type="spellEnd"/>
                  <w:r w:rsidRPr="00D32097">
                    <w:rPr>
                      <w:sz w:val="22"/>
                      <w:szCs w:val="22"/>
                    </w:rPr>
                    <w:t xml:space="preserve"> (повітряна або кабельна);</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розташування точки приєднання у відношенні до земельної ділянки замовника;</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l</w:t>
                  </w:r>
                  <w:r w:rsidRPr="00D32097">
                    <w:rPr>
                      <w:rStyle w:val="rvts40"/>
                      <w:b/>
                      <w:bCs/>
                      <w:sz w:val="22"/>
                      <w:szCs w:val="22"/>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 xml:space="preserve">відстань по прямій лінії від найближчої (найближчих) точки (точок) в існуючих (діючих) електричних мережах (повітряна лінія, трансформаторна підстанція або розподільний пункт) оператора системи </w:t>
                  </w:r>
                  <w:r w:rsidRPr="00D32097">
                    <w:rPr>
                      <w:sz w:val="22"/>
                      <w:szCs w:val="22"/>
                    </w:rPr>
                    <w:lastRenderedPageBreak/>
                    <w:t>розподілу (ступеня напруги, що відповідає ступеню напруги в точці приєднання) до точки приєднання електроустановок замовника, м.</w:t>
                  </w:r>
                </w:p>
              </w:tc>
            </w:tr>
          </w:tbl>
          <w:p w:rsidR="00CE1725" w:rsidRPr="00D32097" w:rsidRDefault="00CE1725" w:rsidP="00CE1725">
            <w:pPr>
              <w:tabs>
                <w:tab w:val="left" w:pos="993"/>
              </w:tabs>
              <w:ind w:firstLine="314"/>
              <w:jc w:val="both"/>
              <w:rPr>
                <w:rFonts w:ascii="Times New Roman" w:hAnsi="Times New Roman" w:cs="Times New Roman"/>
                <w:b/>
                <w:color w:val="000000"/>
                <w:sz w:val="22"/>
                <w:szCs w:val="22"/>
              </w:rPr>
            </w:pPr>
          </w:p>
        </w:tc>
        <w:tc>
          <w:tcPr>
            <w:tcW w:w="3900" w:type="dxa"/>
            <w:gridSpan w:val="2"/>
          </w:tcPr>
          <w:p w:rsidR="00CE1725" w:rsidRPr="00D32097" w:rsidRDefault="00CE1725" w:rsidP="00CE1725">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УВЕА, ЄУЕА</w:t>
            </w:r>
          </w:p>
          <w:p w:rsidR="00CE1725" w:rsidRPr="00D32097" w:rsidRDefault="00CE1725" w:rsidP="00CE1725">
            <w:pPr>
              <w:pStyle w:val="rvps2"/>
              <w:shd w:val="clear" w:color="auto" w:fill="FFFFFF"/>
              <w:spacing w:before="0" w:beforeAutospacing="0" w:after="150" w:afterAutospacing="0"/>
              <w:ind w:firstLine="309"/>
              <w:jc w:val="both"/>
              <w:rPr>
                <w:rFonts w:ascii="Times New Roman" w:hAnsi="Times New Roman" w:cs="Times New Roman"/>
                <w:sz w:val="22"/>
                <w:szCs w:val="22"/>
              </w:rPr>
            </w:pPr>
            <w:r w:rsidRPr="00D32097">
              <w:rPr>
                <w:rFonts w:ascii="Times New Roman" w:hAnsi="Times New Roman" w:cs="Times New Roman"/>
                <w:sz w:val="22"/>
                <w:szCs w:val="22"/>
              </w:rPr>
              <w:t>5.1. Плата за нестандартне приєднання «під ключ»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b/>
                <w:bCs/>
                <w:sz w:val="22"/>
                <w:szCs w:val="22"/>
                <w:vertAlign w:val="subscript"/>
              </w:rPr>
              <w:t>вст</w:t>
            </w:r>
            <w:proofErr w:type="spellEnd"/>
            <w:r w:rsidRPr="00D32097">
              <w:rPr>
                <w:rFonts w:ascii="Times New Roman" w:hAnsi="Times New Roman" w:cs="Times New Roman"/>
                <w:sz w:val="22"/>
                <w:szCs w:val="22"/>
              </w:rPr>
              <w:t> розраховується за формулою</w:t>
            </w:r>
          </w:p>
          <w:p w:rsidR="00CE1725" w:rsidRPr="00D32097" w:rsidRDefault="002D57C8" w:rsidP="00CE1725">
            <w:pPr>
              <w:pStyle w:val="rvps2"/>
              <w:spacing w:before="0" w:beforeAutospacing="0" w:after="150" w:afterAutospacing="0"/>
              <w:ind w:firstLine="309"/>
              <w:jc w:val="both"/>
              <w:rPr>
                <w:rFonts w:ascii="Times New Roman" w:hAnsi="Times New Roman" w:cs="Times New Roman"/>
                <w:color w:val="333333"/>
                <w:sz w:val="22"/>
                <w:szCs w:val="22"/>
                <w:shd w:val="clear" w:color="auto" w:fill="FFFFFF"/>
              </w:rPr>
            </w:pPr>
            <m:oMathPara>
              <m:oMath>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П</m:t>
                    </m:r>
                  </m:e>
                  <m:sub>
                    <m:r>
                      <w:rPr>
                        <w:rFonts w:ascii="Cambria Math" w:hAnsi="Cambria Math" w:cs="Times New Roman"/>
                        <w:sz w:val="22"/>
                        <w:szCs w:val="22"/>
                      </w:rPr>
                      <m:t>нст</m:t>
                    </m:r>
                  </m:sub>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m:rPr>
                        <m:sty m:val="bi"/>
                      </m:rPr>
                      <w:rPr>
                        <w:rFonts w:ascii="Cambria Math" w:hAnsi="Cambria Math" w:cs="Times New Roman"/>
                        <w:color w:val="4472C4" w:themeColor="accent1"/>
                        <w:sz w:val="22"/>
                        <w:szCs w:val="22"/>
                      </w:rPr>
                      <m:t>замовлена</m:t>
                    </m:r>
                  </m:sub>
                  <m:sup>
                    <m:r>
                      <w:rPr>
                        <w:rFonts w:ascii="Cambria Math" w:eastAsiaTheme="minorHAnsi" w:hAnsi="Cambria Math" w:cs="Times New Roman"/>
                        <w:sz w:val="22"/>
                        <w:szCs w:val="22"/>
                        <w:lang w:eastAsia="en-US"/>
                      </w:rPr>
                      <m:t>відбір</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m:rPr>
                        <m:sty m:val="bi"/>
                      </m:rPr>
                      <w:rPr>
                        <w:rFonts w:ascii="Cambria Math" w:hAnsi="Cambria Math" w:cs="Times New Roman"/>
                        <w:color w:val="4472C4" w:themeColor="accent1"/>
                        <w:sz w:val="22"/>
                        <w:szCs w:val="22"/>
                      </w:rPr>
                      <m:t>замовлена</m:t>
                    </m:r>
                  </m:sub>
                  <m:sup>
                    <m:r>
                      <w:rPr>
                        <w:rFonts w:ascii="Cambria Math" w:eastAsiaTheme="minorHAnsi" w:hAnsi="Cambria Math" w:cs="Times New Roman"/>
                        <w:sz w:val="22"/>
                        <w:szCs w:val="22"/>
                        <w:lang w:eastAsia="en-US"/>
                      </w:rPr>
                      <m:t>відпуск</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eastAsiaTheme="minorHAnsi" w:hAnsi="Cambria Math" w:cs="Times New Roman"/>
                        <w:i/>
                        <w:sz w:val="22"/>
                        <w:szCs w:val="22"/>
                        <w:lang w:eastAsia="en-US"/>
                      </w:rPr>
                    </m:ctrlPr>
                  </m:sSubPr>
                  <m:e>
                    <m:r>
                      <w:rPr>
                        <w:rFonts w:ascii="Cambria Math" w:eastAsiaTheme="minorHAnsi" w:hAnsi="Cambria Math" w:cs="Times New Roman"/>
                        <w:sz w:val="22"/>
                        <w:szCs w:val="22"/>
                        <w:lang w:eastAsia="en-US"/>
                      </w:rPr>
                      <m:t>l</m:t>
                    </m:r>
                  </m:e>
                  <m:sub>
                    <m:r>
                      <w:rPr>
                        <w:rFonts w:ascii="Cambria Math" w:eastAsiaTheme="minorHAnsi" w:hAnsi="Cambria Math" w:cs="Times New Roman"/>
                        <w:sz w:val="22"/>
                        <w:szCs w:val="22"/>
                        <w:lang w:eastAsia="en-US"/>
                      </w:rPr>
                      <m:t>м</m:t>
                    </m:r>
                  </m:sub>
                </m:sSub>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4"/>
            </w:tblGrid>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309"/>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m:rPr>
                              <m:sty m:val="bi"/>
                            </m:rPr>
                            <w:rPr>
                              <w:rFonts w:ascii="Cambria Math" w:hAnsi="Cambria Math"/>
                              <w:color w:val="4472C4" w:themeColor="accent1"/>
                              <w:sz w:val="22"/>
                              <w:szCs w:val="22"/>
                            </w:rPr>
                            <m:t>замовлена</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потужність відбору, замовлена до приєднання;</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309"/>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m:rPr>
                              <m:sty m:val="bi"/>
                            </m:rPr>
                            <w:rPr>
                              <w:rFonts w:ascii="Cambria Math" w:hAnsi="Cambria Math"/>
                              <w:color w:val="4472C4" w:themeColor="accent1"/>
                              <w:sz w:val="22"/>
                              <w:szCs w:val="22"/>
                            </w:rPr>
                            <m:t>замовлена</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b/>
                      <w:sz w:val="22"/>
                      <w:szCs w:val="22"/>
                    </w:rPr>
                    <w:t>потужність відпуску, замовлена до приєднання</w:t>
                  </w:r>
                  <w:r w:rsidRPr="00D32097">
                    <w:rPr>
                      <w:sz w:val="22"/>
                      <w:szCs w:val="22"/>
                    </w:rP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rsidRPr="00D32097">
                    <w:rPr>
                      <w:sz w:val="22"/>
                      <w:szCs w:val="22"/>
                    </w:rPr>
                    <w:t>самовиробництва</w:t>
                  </w:r>
                  <w:proofErr w:type="spellEnd"/>
                  <w:r w:rsidRPr="00D32097">
                    <w:rPr>
                      <w:sz w:val="22"/>
                      <w:szCs w:val="22"/>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309"/>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к,н,зтт,місц,с</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xml:space="preserve">, </w:t>
                  </w:r>
                  <w:r w:rsidRPr="00D32097">
                    <w:rPr>
                      <w:b/>
                      <w:sz w:val="22"/>
                      <w:szCs w:val="22"/>
                    </w:rPr>
                    <w:lastRenderedPageBreak/>
                    <w:t>призначених для споживання електричної енергії,</w:t>
                  </w:r>
                  <w:r w:rsidRPr="00D32097">
                    <w:rPr>
                      <w:sz w:val="22"/>
                      <w:szCs w:val="22"/>
                    </w:rPr>
                    <w:t xml:space="preserve"> тис. грн/кВт (без ПДВ), визначається за формулою 6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к</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категорія надійності електропостачання згідно з ПУЕ, заявлена замовником;</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roofErr w:type="spellStart"/>
                  <w:r w:rsidRPr="00D32097">
                    <w:rPr>
                      <w:sz w:val="22"/>
                      <w:szCs w:val="22"/>
                    </w:rP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roofErr w:type="spellStart"/>
                  <w:r w:rsidRPr="00D32097">
                    <w:rPr>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місцезнаходження електроустановок замовника (міська, сільська місцевість);</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trike/>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trike/>
                      <w:sz w:val="22"/>
                      <w:szCs w:val="22"/>
                    </w:rPr>
                  </w:pPr>
                  <w:proofErr w:type="spellStart"/>
                  <w:r w:rsidRPr="00D32097">
                    <w:rPr>
                      <w:strike/>
                      <w:sz w:val="22"/>
                      <w:szCs w:val="22"/>
                    </w:rP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trike/>
                      <w:sz w:val="22"/>
                      <w:szCs w:val="22"/>
                    </w:rPr>
                  </w:pPr>
                  <w:r w:rsidRPr="00D32097">
                    <w:rPr>
                      <w:strike/>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trike/>
                      <w:sz w:val="22"/>
                      <w:szCs w:val="22"/>
                    </w:rPr>
                  </w:pPr>
                  <w:r w:rsidRPr="00D32097">
                    <w:rPr>
                      <w:strike/>
                      <w:sz w:val="22"/>
                      <w:szCs w:val="22"/>
                    </w:rPr>
                    <w:t xml:space="preserve">індекс типу електроустановки, що </w:t>
                  </w:r>
                  <w:r w:rsidRPr="00D32097">
                    <w:rPr>
                      <w:strike/>
                      <w:sz w:val="22"/>
                      <w:szCs w:val="22"/>
                    </w:rPr>
                    <w:lastRenderedPageBreak/>
                    <w:t>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309"/>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к,н,зтт,місц,в</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призначених для виробництва електричної енергії,</w:t>
                  </w:r>
                  <w:r w:rsidRPr="00D32097">
                    <w:rPr>
                      <w:sz w:val="22"/>
                      <w:szCs w:val="22"/>
                    </w:rPr>
                    <w:t xml:space="preserve"> тис. грн/кВт (без ПДВ), визначається за формулою 7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к</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09"/>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категорія надійності електропостачання згідно з ПУЕ, заявлена замовником;</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н</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09"/>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proofErr w:type="spellStart"/>
                  <w:r w:rsidRPr="00D32097">
                    <w:rPr>
                      <w:b/>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09"/>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09"/>
                    <w:rPr>
                      <w:b/>
                      <w:sz w:val="22"/>
                      <w:szCs w:val="22"/>
                    </w:rPr>
                  </w:pPr>
                  <w:r w:rsidRPr="00D32097">
                    <w:rPr>
                      <w:b/>
                      <w:sz w:val="22"/>
                      <w:szCs w:val="22"/>
                    </w:rPr>
                    <w:t xml:space="preserve">місцезнаходження електроустановок </w:t>
                  </w:r>
                  <w:r w:rsidRPr="00D32097">
                    <w:rPr>
                      <w:b/>
                      <w:sz w:val="22"/>
                      <w:szCs w:val="22"/>
                    </w:rPr>
                    <w:lastRenderedPageBreak/>
                    <w:t>замовника (міська, сільська місцевість);</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noProof/>
                      <w:color w:val="004BC1"/>
                      <w:sz w:val="22"/>
                      <w:szCs w:val="22"/>
                    </w:rPr>
                    <w:drawing>
                      <wp:inline distT="0" distB="0" distL="0" distR="0" wp14:anchorId="32EB91A7" wp14:editId="123F9022">
                        <wp:extent cx="523875" cy="219075"/>
                        <wp:effectExtent l="0" t="0" r="9525" b="9525"/>
                        <wp:docPr id="1576130706" name="Рисунок 1576130706" descr="https://zakon.rada.gov.ua/laws/file/imgs/117/p480243n270v1-15.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л</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 xml:space="preserve">індекс типу лінії </w:t>
                  </w:r>
                  <w:proofErr w:type="spellStart"/>
                  <w:r w:rsidRPr="00D32097">
                    <w:rPr>
                      <w:sz w:val="22"/>
                      <w:szCs w:val="22"/>
                    </w:rPr>
                    <w:t>електропередавання</w:t>
                  </w:r>
                  <w:proofErr w:type="spellEnd"/>
                  <w:r w:rsidRPr="00D32097">
                    <w:rPr>
                      <w:sz w:val="22"/>
                      <w:szCs w:val="22"/>
                    </w:rPr>
                    <w:t xml:space="preserve"> (повітряна або кабельна);</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індекс рівня напруги в точці приєднання (0,4 (0,23); 6 (10) 20; 27 (35); (110 (154));</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roofErr w:type="spellStart"/>
                  <w:r w:rsidRPr="00D32097">
                    <w:rPr>
                      <w:sz w:val="22"/>
                      <w:szCs w:val="22"/>
                    </w:rP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індекс розташування точки приєднання у відношенні до земельної ділянки замовника;</w:t>
                  </w:r>
                </w:p>
              </w:tc>
            </w:tr>
            <w:tr w:rsidR="00CE1725" w:rsidRPr="00D32097" w:rsidTr="008E5F78">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proofErr w:type="spellStart"/>
                  <w:r w:rsidRPr="00D32097">
                    <w:rPr>
                      <w:sz w:val="22"/>
                      <w:szCs w:val="22"/>
                    </w:rPr>
                    <w:t>l</w:t>
                  </w:r>
                  <w:r w:rsidRPr="00D32097">
                    <w:rPr>
                      <w:rStyle w:val="rvts40"/>
                      <w:b/>
                      <w:bCs/>
                      <w:sz w:val="22"/>
                      <w:szCs w:val="22"/>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09"/>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09"/>
                    <w:rPr>
                      <w:sz w:val="22"/>
                      <w:szCs w:val="22"/>
                    </w:rPr>
                  </w:pPr>
                  <w:r w:rsidRPr="00D32097">
                    <w:rPr>
                      <w:sz w:val="22"/>
                      <w:szCs w:val="22"/>
                    </w:rPr>
                    <w:t xml:space="preserve">відстань по прямій лінії від найближчої (найближчих) точки (точок) в існуючих (діючих) електричних мережах (повітряна лінія, трансформаторна підстанція або розподільний пункт) оператора системи </w:t>
                  </w:r>
                  <w:r w:rsidRPr="00D32097">
                    <w:rPr>
                      <w:sz w:val="22"/>
                      <w:szCs w:val="22"/>
                    </w:rPr>
                    <w:lastRenderedPageBreak/>
                    <w:t>розподілу (ступеня напруги, що відповідає ступеню напруги в точці приєднання) до точки приєднання електроустановок замовника, м.</w:t>
                  </w:r>
                </w:p>
              </w:tc>
            </w:tr>
          </w:tbl>
          <w:p w:rsidR="00CE1725" w:rsidRPr="00D32097" w:rsidRDefault="00CE1725" w:rsidP="00CE1725">
            <w:pPr>
              <w:pStyle w:val="rvps2"/>
              <w:shd w:val="clear" w:color="auto" w:fill="FFFFFF"/>
              <w:spacing w:before="0" w:beforeAutospacing="0" w:after="0" w:afterAutospacing="0"/>
              <w:ind w:firstLine="306"/>
              <w:jc w:val="both"/>
              <w:rPr>
                <w:b/>
                <w:sz w:val="22"/>
                <w:szCs w:val="22"/>
                <w:u w:val="single"/>
              </w:rPr>
            </w:pPr>
          </w:p>
        </w:tc>
        <w:tc>
          <w:tcPr>
            <w:tcW w:w="3899" w:type="dxa"/>
          </w:tcPr>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Пропонуємо замінити «</w:t>
            </w:r>
            <w:proofErr w:type="spellStart"/>
            <w:r w:rsidRPr="00D32097">
              <w:rPr>
                <w:rFonts w:ascii="Times New Roman" w:hAnsi="Times New Roman" w:cs="Times New Roman"/>
                <w:sz w:val="22"/>
                <w:szCs w:val="22"/>
              </w:rPr>
              <w:t>Рзаявлена</w:t>
            </w:r>
            <w:proofErr w:type="spellEnd"/>
            <w:r w:rsidRPr="00D32097">
              <w:rPr>
                <w:rFonts w:ascii="Times New Roman" w:hAnsi="Times New Roman" w:cs="Times New Roman"/>
                <w:sz w:val="22"/>
                <w:szCs w:val="22"/>
              </w:rPr>
              <w:t>» на «</w:t>
            </w:r>
            <w:proofErr w:type="spellStart"/>
            <w:r w:rsidRPr="00D32097">
              <w:rPr>
                <w:rFonts w:ascii="Times New Roman" w:hAnsi="Times New Roman" w:cs="Times New Roman"/>
                <w:sz w:val="22"/>
                <w:szCs w:val="22"/>
              </w:rPr>
              <w:t>Рзамовлена</w:t>
            </w:r>
            <w:proofErr w:type="spellEnd"/>
            <w:r w:rsidRPr="00D32097">
              <w:rPr>
                <w:rFonts w:ascii="Times New Roman" w:hAnsi="Times New Roman" w:cs="Times New Roman"/>
                <w:sz w:val="22"/>
                <w:szCs w:val="22"/>
              </w:rPr>
              <w:t xml:space="preserve">» в обох режимах  (відбір і відпуск). </w:t>
            </w:r>
          </w:p>
          <w:p w:rsidR="00CE1725" w:rsidRPr="00D32097" w:rsidRDefault="00CE1725" w:rsidP="00CE1725">
            <w:pPr>
              <w:ind w:firstLine="182"/>
              <w:jc w:val="both"/>
              <w:rPr>
                <w:sz w:val="22"/>
                <w:szCs w:val="22"/>
              </w:rPr>
            </w:pPr>
            <w:r w:rsidRPr="00D32097">
              <w:rPr>
                <w:rFonts w:ascii="Times New Roman" w:hAnsi="Times New Roman" w:cs="Times New Roman"/>
                <w:sz w:val="22"/>
                <w:szCs w:val="22"/>
              </w:rPr>
              <w:t xml:space="preserve">Редакційна правка з метою приведення термінів, що використовуються, у відповідність з </w:t>
            </w:r>
            <w:r w:rsidRPr="00D32097">
              <w:rPr>
                <w:rFonts w:ascii="Times New Roman" w:hAnsi="Times New Roman" w:cs="Times New Roman"/>
                <w:sz w:val="22"/>
                <w:szCs w:val="22"/>
              </w:rPr>
              <w:lastRenderedPageBreak/>
              <w:t>термінами «замовлена до приєднання потужність», «потужність, замовлена до приєднання», що застосовують у Законі України «Про ринок електричної енергії» та Кодексі систем розподілу.</w:t>
            </w:r>
          </w:p>
        </w:tc>
        <w:tc>
          <w:tcPr>
            <w:tcW w:w="3900" w:type="dxa"/>
            <w:gridSpan w:val="2"/>
          </w:tcPr>
          <w:p w:rsidR="00CE1725"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врахувати</w:t>
            </w:r>
            <w:r w:rsidR="00CC4EE4">
              <w:rPr>
                <w:rFonts w:ascii="Times New Roman" w:hAnsi="Times New Roman" w:cs="Times New Roman"/>
                <w:b/>
                <w:sz w:val="22"/>
                <w:szCs w:val="22"/>
                <w:lang w:eastAsia="uk-UA"/>
              </w:rPr>
              <w:t xml:space="preserve"> у такій редакції:</w:t>
            </w:r>
          </w:p>
          <w:p w:rsidR="00004E58" w:rsidRPr="00D32097" w:rsidRDefault="00004E58" w:rsidP="00004E58">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5.1. Плата за нестандартне приєднання «під ключ»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b/>
                <w:bCs/>
                <w:sz w:val="22"/>
                <w:szCs w:val="22"/>
                <w:vertAlign w:val="subscript"/>
              </w:rPr>
              <w:t>вст</w:t>
            </w:r>
            <w:proofErr w:type="spellEnd"/>
            <w:r w:rsidRPr="00D32097">
              <w:rPr>
                <w:rFonts w:ascii="Times New Roman" w:hAnsi="Times New Roman" w:cs="Times New Roman"/>
                <w:sz w:val="22"/>
                <w:szCs w:val="22"/>
              </w:rPr>
              <w:t> розраховується за формулою</w:t>
            </w:r>
          </w:p>
          <w:p w:rsidR="00004E58" w:rsidRPr="00D32097" w:rsidRDefault="002D57C8" w:rsidP="00004E58">
            <w:pPr>
              <w:pStyle w:val="rvps2"/>
              <w:spacing w:before="0" w:beforeAutospacing="0" w:after="150" w:afterAutospacing="0"/>
              <w:ind w:firstLine="314"/>
              <w:jc w:val="both"/>
              <w:rPr>
                <w:rFonts w:ascii="Times New Roman" w:hAnsi="Times New Roman" w:cs="Times New Roman"/>
                <w:color w:val="333333"/>
                <w:sz w:val="22"/>
                <w:szCs w:val="22"/>
                <w:shd w:val="clear" w:color="auto" w:fill="FFFFFF"/>
              </w:rPr>
            </w:pPr>
            <m:oMathPara>
              <m:oMath>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П</m:t>
                    </m:r>
                  </m:e>
                  <m:sub>
                    <m:r>
                      <w:rPr>
                        <w:rFonts w:ascii="Cambria Math" w:hAnsi="Cambria Math" w:cs="Times New Roman"/>
                        <w:sz w:val="22"/>
                        <w:szCs w:val="22"/>
                      </w:rPr>
                      <m:t>нст</m:t>
                    </m:r>
                  </m:sub>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замовлена</m:t>
                    </m:r>
                  </m:sub>
                  <m:sup>
                    <m:r>
                      <w:rPr>
                        <w:rFonts w:ascii="Cambria Math" w:eastAsiaTheme="minorHAnsi" w:hAnsi="Cambria Math" w:cs="Times New Roman"/>
                        <w:sz w:val="22"/>
                        <w:szCs w:val="22"/>
                        <w:lang w:eastAsia="en-US"/>
                      </w:rPr>
                      <m:t>відбір</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замовлена</m:t>
                    </m:r>
                  </m:sub>
                  <m:sup>
                    <m:r>
                      <w:rPr>
                        <w:rFonts w:ascii="Cambria Math" w:eastAsiaTheme="minorHAnsi" w:hAnsi="Cambria Math" w:cs="Times New Roman"/>
                        <w:sz w:val="22"/>
                        <w:szCs w:val="22"/>
                        <w:lang w:eastAsia="en-US"/>
                      </w:rPr>
                      <m:t>відпуск</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eastAsiaTheme="minorHAnsi" w:hAnsi="Cambria Math" w:cs="Times New Roman"/>
                        <w:i/>
                        <w:sz w:val="22"/>
                        <w:szCs w:val="22"/>
                        <w:lang w:eastAsia="en-US"/>
                      </w:rPr>
                    </m:ctrlPr>
                  </m:sSubPr>
                  <m:e>
                    <m:r>
                      <w:rPr>
                        <w:rFonts w:ascii="Cambria Math" w:eastAsiaTheme="minorHAnsi" w:hAnsi="Cambria Math" w:cs="Times New Roman"/>
                        <w:sz w:val="22"/>
                        <w:szCs w:val="22"/>
                        <w:lang w:eastAsia="en-US"/>
                      </w:rPr>
                      <m:t>l</m:t>
                    </m:r>
                  </m:e>
                  <m:sub>
                    <m:r>
                      <w:rPr>
                        <w:rFonts w:ascii="Cambria Math" w:eastAsiaTheme="minorHAnsi" w:hAnsi="Cambria Math" w:cs="Times New Roman"/>
                        <w:sz w:val="22"/>
                        <w:szCs w:val="22"/>
                        <w:lang w:eastAsia="en-US"/>
                      </w:rPr>
                      <m:t>м</m:t>
                    </m:r>
                  </m:sub>
                </m:sSub>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4"/>
            </w:tblGrid>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замовлена</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потужність відбору, замовлена до приєднання;</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004E58"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замовлена</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b/>
                      <w:sz w:val="22"/>
                      <w:szCs w:val="22"/>
                    </w:rPr>
                    <w:t>потужність відпуску, замовлена до приєднання</w:t>
                  </w:r>
                  <w:r w:rsidRPr="00D32097">
                    <w:rPr>
                      <w:sz w:val="22"/>
                      <w:szCs w:val="22"/>
                    </w:rP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rsidRPr="00D32097">
                    <w:rPr>
                      <w:sz w:val="22"/>
                      <w:szCs w:val="22"/>
                    </w:rPr>
                    <w:t>самовиробництва</w:t>
                  </w:r>
                  <w:proofErr w:type="spellEnd"/>
                  <w:r w:rsidRPr="00D32097">
                    <w:rPr>
                      <w:sz w:val="22"/>
                      <w:szCs w:val="22"/>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к,н,зтт,місц,с</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xml:space="preserve">, </w:t>
                  </w:r>
                  <w:r w:rsidRPr="00D32097">
                    <w:rPr>
                      <w:b/>
                      <w:sz w:val="22"/>
                      <w:szCs w:val="22"/>
                    </w:rPr>
                    <w:lastRenderedPageBreak/>
                    <w:t>призначених для споживання електричної енергії,</w:t>
                  </w:r>
                  <w:r w:rsidRPr="00D32097">
                    <w:rPr>
                      <w:sz w:val="22"/>
                      <w:szCs w:val="22"/>
                    </w:rPr>
                    <w:t xml:space="preserve"> тис. грн/кВт (без ПДВ), визначається за формулою 6 цієї Методики, встановлюється НКРЕКП та диференціюється за такими індексами:</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к</w:t>
                  </w:r>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категорія надійності електропостачання згідно з ПУЕ, заявлена замовником;</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рівня напруги в точці приєднання (0,4 (0,23); 6 (10) 20; 27 (35); (110 (154));</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місцезнаходження електроустановок замовника (міська, сільська місцевість);</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trike/>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trike/>
                      <w:sz w:val="22"/>
                      <w:szCs w:val="22"/>
                    </w:rPr>
                  </w:pPr>
                  <w:proofErr w:type="spellStart"/>
                  <w:r w:rsidRPr="00D32097">
                    <w:rPr>
                      <w:strike/>
                      <w:sz w:val="22"/>
                      <w:szCs w:val="22"/>
                    </w:rP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trike/>
                      <w:sz w:val="22"/>
                      <w:szCs w:val="22"/>
                    </w:rPr>
                  </w:pPr>
                  <w:r w:rsidRPr="00D32097">
                    <w:rPr>
                      <w:strike/>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trike/>
                      <w:sz w:val="22"/>
                      <w:szCs w:val="22"/>
                    </w:rPr>
                  </w:pPr>
                  <w:r w:rsidRPr="00D32097">
                    <w:rPr>
                      <w:strike/>
                      <w:sz w:val="22"/>
                      <w:szCs w:val="22"/>
                    </w:rPr>
                    <w:t xml:space="preserve">індекс типу електроустановки, що </w:t>
                  </w:r>
                  <w:r w:rsidRPr="00D32097">
                    <w:rPr>
                      <w:strike/>
                      <w:sz w:val="22"/>
                      <w:szCs w:val="22"/>
                    </w:rPr>
                    <w:lastRenderedPageBreak/>
                    <w:t>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004E58"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к,н,зтт,місц,в</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призначених для виробництва електричної енергії,</w:t>
                  </w:r>
                  <w:r w:rsidRPr="00D32097">
                    <w:rPr>
                      <w:sz w:val="22"/>
                      <w:szCs w:val="22"/>
                    </w:rPr>
                    <w:t xml:space="preserve"> тис. грн/кВт (без ПДВ), визначається за формулою 7 цієї Методики, встановлюється НКРЕКП та диференціюється за такими індексами:</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w:t>
                  </w:r>
                </w:p>
              </w:tc>
              <w:tc>
                <w:tcPr>
                  <w:tcW w:w="242"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категорія надійності електропостачання згідно з ПУЕ, заявлена замовником;</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н</w:t>
                  </w:r>
                </w:p>
              </w:tc>
              <w:tc>
                <w:tcPr>
                  <w:tcW w:w="242"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індекс рівня напруги в точці приєднання (0,4 (0,23); 6 (10) 20; 27 (35); (110 (154));</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proofErr w:type="spellStart"/>
                  <w:r w:rsidRPr="00D32097">
                    <w:rPr>
                      <w:b/>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2"/>
                    <w:framePr w:hSpace="180" w:wrap="around" w:vAnchor="text" w:hAnchor="margin" w:y="416"/>
                    <w:spacing w:before="150" w:beforeAutospacing="0" w:after="150" w:afterAutospacing="0"/>
                    <w:ind w:firstLine="314"/>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004E58" w:rsidRPr="00D32097" w:rsidRDefault="00004E58"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місцезнаходження електроустановок </w:t>
                  </w:r>
                  <w:r w:rsidRPr="00D32097">
                    <w:rPr>
                      <w:b/>
                      <w:sz w:val="22"/>
                      <w:szCs w:val="22"/>
                    </w:rPr>
                    <w:lastRenderedPageBreak/>
                    <w:t>замовника (міська, сільська місцевість);</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rPr>
                      <w:sz w:val="22"/>
                      <w:szCs w:val="22"/>
                    </w:rPr>
                  </w:pPr>
                  <w:r w:rsidRPr="00D32097">
                    <w:rPr>
                      <w:noProof/>
                      <w:color w:val="004BC1"/>
                      <w:sz w:val="22"/>
                      <w:szCs w:val="22"/>
                    </w:rPr>
                    <w:drawing>
                      <wp:inline distT="0" distB="0" distL="0" distR="0" wp14:anchorId="708FFDF8" wp14:editId="5F0EFEC4">
                        <wp:extent cx="523875" cy="219075"/>
                        <wp:effectExtent l="0" t="0" r="9525" b="9525"/>
                        <wp:docPr id="12" name="Рисунок 12" descr="https://zakon.rada.gov.ua/laws/file/imgs/117/p480243n270v1-15.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л</w:t>
                  </w:r>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 xml:space="preserve">індекс типу лінії </w:t>
                  </w:r>
                  <w:proofErr w:type="spellStart"/>
                  <w:r w:rsidRPr="00D32097">
                    <w:rPr>
                      <w:sz w:val="22"/>
                      <w:szCs w:val="22"/>
                    </w:rPr>
                    <w:t>електропередавання</w:t>
                  </w:r>
                  <w:proofErr w:type="spellEnd"/>
                  <w:r w:rsidRPr="00D32097">
                    <w:rPr>
                      <w:sz w:val="22"/>
                      <w:szCs w:val="22"/>
                    </w:rPr>
                    <w:t xml:space="preserve"> (повітряна або кабельна);</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рівня напруги в точці приєднання</w:t>
                  </w:r>
                  <w:r w:rsidRPr="00004E58">
                    <w:rPr>
                      <w:b/>
                      <w:color w:val="00B050"/>
                      <w:sz w:val="22"/>
                      <w:szCs w:val="22"/>
                    </w:rPr>
                    <w:t>,</w:t>
                  </w:r>
                  <w:r w:rsidRPr="00004E58">
                    <w:rPr>
                      <w:b/>
                      <w:bCs/>
                      <w:color w:val="00B050"/>
                      <w:sz w:val="22"/>
                    </w:rPr>
                    <w:t xml:space="preserve"> який визначається згідно з блоками п. 1.8. Методики </w:t>
                  </w:r>
                  <w:r w:rsidRPr="00004E58">
                    <w:rPr>
                      <w:color w:val="00B050"/>
                      <w:sz w:val="22"/>
                      <w:szCs w:val="22"/>
                    </w:rPr>
                    <w:t xml:space="preserve"> </w:t>
                  </w:r>
                  <w:r w:rsidRPr="00D32097">
                    <w:rPr>
                      <w:sz w:val="22"/>
                      <w:szCs w:val="22"/>
                    </w:rPr>
                    <w:t>(0,4 (0,23); 6 (10) 20; 27 (35); (110 (154));</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індекс розташування точки приєднання у відношенні до земельної ділянки замовника;</w:t>
                  </w:r>
                </w:p>
              </w:tc>
            </w:tr>
            <w:tr w:rsidR="00004E58" w:rsidRPr="00D32097" w:rsidTr="00BE1927">
              <w:tc>
                <w:tcPr>
                  <w:tcW w:w="370"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proofErr w:type="spellStart"/>
                  <w:r w:rsidRPr="00D32097">
                    <w:rPr>
                      <w:sz w:val="22"/>
                      <w:szCs w:val="22"/>
                    </w:rPr>
                    <w:t>l</w:t>
                  </w:r>
                  <w:r w:rsidRPr="00D32097">
                    <w:rPr>
                      <w:rStyle w:val="rvts40"/>
                      <w:b/>
                      <w:bCs/>
                      <w:sz w:val="22"/>
                      <w:szCs w:val="22"/>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2"/>
                    <w:framePr w:hSpace="180" w:wrap="around" w:vAnchor="text" w:hAnchor="margin" w:y="416"/>
                    <w:spacing w:before="150" w:beforeAutospacing="0" w:after="150" w:afterAutospacing="0"/>
                    <w:ind w:firstLine="314"/>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004E58" w:rsidRPr="00D32097" w:rsidRDefault="00004E58"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 xml:space="preserve">відстань по прямій лінії від найближчої (найближчих) точки (точок) в існуючих (діючих) електричних мережах (повітряна лінія, трансформаторна підстанція або </w:t>
                  </w:r>
                  <w:r w:rsidRPr="00D32097">
                    <w:rPr>
                      <w:sz w:val="22"/>
                      <w:szCs w:val="22"/>
                    </w:rPr>
                    <w:lastRenderedPageBreak/>
                    <w:t>розподільний пункт) оператора системи розподілу (ступеня напруги, що відповідає ступеню напруги в точці приєднання) до точки приєднання електроустановок замовника, м.</w:t>
                  </w:r>
                </w:p>
              </w:tc>
            </w:tr>
          </w:tbl>
          <w:p w:rsidR="00CC4EE4" w:rsidRDefault="00CC4EE4" w:rsidP="00CE1725">
            <w:pPr>
              <w:ind w:firstLine="174"/>
              <w:jc w:val="center"/>
              <w:rPr>
                <w:rFonts w:ascii="Times New Roman" w:hAnsi="Times New Roman" w:cs="Times New Roman"/>
                <w:b/>
                <w:sz w:val="22"/>
                <w:szCs w:val="22"/>
                <w:lang w:eastAsia="uk-UA"/>
              </w:rPr>
            </w:pPr>
          </w:p>
          <w:p w:rsidR="00CC4EE4" w:rsidRPr="00D32097" w:rsidRDefault="00CC4EE4" w:rsidP="00004E58">
            <w:pPr>
              <w:ind w:firstLine="174"/>
              <w:jc w:val="both"/>
              <w:rPr>
                <w:rFonts w:ascii="Times New Roman" w:hAnsi="Times New Roman" w:cs="Times New Roman"/>
                <w:b/>
                <w:sz w:val="22"/>
                <w:szCs w:val="22"/>
                <w:lang w:eastAsia="uk-UA"/>
              </w:rPr>
            </w:pPr>
            <w:r w:rsidRPr="00120B3E">
              <w:rPr>
                <w:rFonts w:ascii="Times New Roman" w:hAnsi="Times New Roman" w:cs="Times New Roman"/>
                <w:b/>
                <w:color w:val="00B050"/>
                <w:sz w:val="24"/>
                <w:szCs w:val="24"/>
                <w:lang w:eastAsia="uk-UA"/>
              </w:rPr>
              <w:t xml:space="preserve">У разі </w:t>
            </w:r>
            <w:r w:rsidR="00004E58">
              <w:rPr>
                <w:rFonts w:ascii="Times New Roman" w:hAnsi="Times New Roman" w:cs="Times New Roman"/>
                <w:b/>
                <w:color w:val="00B050"/>
                <w:sz w:val="24"/>
                <w:szCs w:val="24"/>
                <w:lang w:eastAsia="uk-UA"/>
              </w:rPr>
              <w:t xml:space="preserve">ініціювання </w:t>
            </w:r>
            <w:r w:rsidR="00004E58" w:rsidRPr="00004E58">
              <w:rPr>
                <w:rFonts w:ascii="Times New Roman" w:hAnsi="Times New Roman" w:cs="Times New Roman"/>
                <w:b/>
                <w:color w:val="00B050"/>
                <w:sz w:val="24"/>
                <w:szCs w:val="24"/>
                <w:lang w:eastAsia="uk-UA"/>
              </w:rPr>
              <w:t xml:space="preserve"> застосування гнучкого приєднання </w:t>
            </w:r>
            <w:r w:rsidR="00004E58">
              <w:rPr>
                <w:rFonts w:ascii="Times New Roman" w:hAnsi="Times New Roman" w:cs="Times New Roman"/>
                <w:b/>
                <w:color w:val="00B050"/>
                <w:sz w:val="24"/>
                <w:szCs w:val="24"/>
                <w:lang w:eastAsia="uk-UA"/>
              </w:rPr>
              <w:t xml:space="preserve">на постійній основі </w:t>
            </w:r>
            <w:r w:rsidR="00004E58" w:rsidRPr="00004E58">
              <w:rPr>
                <w:rFonts w:ascii="Times New Roman" w:hAnsi="Times New Roman" w:cs="Times New Roman"/>
                <w:b/>
                <w:color w:val="00B050"/>
                <w:sz w:val="24"/>
                <w:szCs w:val="24"/>
                <w:lang w:eastAsia="uk-UA"/>
              </w:rPr>
              <w:t>замовник</w:t>
            </w:r>
            <w:r w:rsidR="00004E58">
              <w:rPr>
                <w:rFonts w:ascii="Times New Roman" w:hAnsi="Times New Roman" w:cs="Times New Roman"/>
                <w:b/>
                <w:color w:val="00B050"/>
                <w:sz w:val="24"/>
                <w:szCs w:val="24"/>
                <w:lang w:eastAsia="uk-UA"/>
              </w:rPr>
              <w:t xml:space="preserve">ом послуги з нестандартного приєднання </w:t>
            </w:r>
            <w:r w:rsidR="00004E58">
              <w:t xml:space="preserve"> </w:t>
            </w:r>
            <w:r w:rsidR="00004E58" w:rsidRPr="00004E58">
              <w:rPr>
                <w:rFonts w:ascii="Times New Roman" w:hAnsi="Times New Roman" w:cs="Times New Roman"/>
                <w:b/>
                <w:color w:val="00B050"/>
                <w:sz w:val="24"/>
                <w:szCs w:val="24"/>
                <w:lang w:eastAsia="uk-UA"/>
              </w:rPr>
              <w:t>потужн</w:t>
            </w:r>
            <w:r w:rsidR="00004E58">
              <w:rPr>
                <w:rFonts w:ascii="Times New Roman" w:hAnsi="Times New Roman" w:cs="Times New Roman"/>
                <w:b/>
                <w:color w:val="00B050"/>
                <w:sz w:val="24"/>
                <w:szCs w:val="24"/>
                <w:lang w:eastAsia="uk-UA"/>
              </w:rPr>
              <w:t>о</w:t>
            </w:r>
            <w:r w:rsidR="00004E58" w:rsidRPr="00004E58">
              <w:rPr>
                <w:rFonts w:ascii="Times New Roman" w:hAnsi="Times New Roman" w:cs="Times New Roman"/>
                <w:b/>
                <w:color w:val="00B050"/>
                <w:sz w:val="24"/>
                <w:szCs w:val="24"/>
                <w:lang w:eastAsia="uk-UA"/>
              </w:rPr>
              <w:t>ст</w:t>
            </w:r>
            <w:r w:rsidR="00004E58">
              <w:rPr>
                <w:rFonts w:ascii="Times New Roman" w:hAnsi="Times New Roman" w:cs="Times New Roman"/>
                <w:b/>
                <w:color w:val="00B050"/>
                <w:sz w:val="24"/>
                <w:szCs w:val="24"/>
                <w:lang w:eastAsia="uk-UA"/>
              </w:rPr>
              <w:t>і</w:t>
            </w:r>
            <w:r w:rsidR="00004E58" w:rsidRPr="00004E58">
              <w:rPr>
                <w:rFonts w:ascii="Times New Roman" w:hAnsi="Times New Roman" w:cs="Times New Roman"/>
                <w:b/>
                <w:color w:val="00B050"/>
                <w:sz w:val="24"/>
                <w:szCs w:val="24"/>
                <w:lang w:eastAsia="uk-UA"/>
              </w:rPr>
              <w:t xml:space="preserve"> більше </w:t>
            </w:r>
            <w:r w:rsidR="00004E58">
              <w:rPr>
                <w:rFonts w:ascii="Times New Roman" w:hAnsi="Times New Roman" w:cs="Times New Roman"/>
                <w:b/>
                <w:color w:val="00B050"/>
                <w:sz w:val="24"/>
                <w:szCs w:val="24"/>
                <w:lang w:eastAsia="uk-UA"/>
              </w:rPr>
              <w:br/>
            </w:r>
            <w:r w:rsidR="00004E58" w:rsidRPr="00004E58">
              <w:rPr>
                <w:rFonts w:ascii="Times New Roman" w:hAnsi="Times New Roman" w:cs="Times New Roman"/>
                <w:b/>
                <w:color w:val="00B050"/>
                <w:sz w:val="24"/>
                <w:szCs w:val="24"/>
                <w:lang w:eastAsia="uk-UA"/>
              </w:rPr>
              <w:t xml:space="preserve">1 МВт з </w:t>
            </w:r>
            <w:proofErr w:type="spellStart"/>
            <w:r w:rsidR="00004E58" w:rsidRPr="00004E58">
              <w:rPr>
                <w:rFonts w:ascii="Times New Roman" w:hAnsi="Times New Roman" w:cs="Times New Roman"/>
                <w:b/>
                <w:color w:val="00B050"/>
                <w:sz w:val="24"/>
                <w:szCs w:val="24"/>
                <w:lang w:eastAsia="uk-UA"/>
              </w:rPr>
              <w:t>проєктування</w:t>
            </w:r>
            <w:proofErr w:type="spellEnd"/>
            <w:r w:rsidR="00004E58" w:rsidRPr="00004E58">
              <w:rPr>
                <w:rFonts w:ascii="Times New Roman" w:hAnsi="Times New Roman" w:cs="Times New Roman"/>
                <w:b/>
                <w:color w:val="00B050"/>
                <w:sz w:val="24"/>
                <w:szCs w:val="24"/>
                <w:lang w:eastAsia="uk-UA"/>
              </w:rPr>
              <w:t xml:space="preserve"> та виконанням будівельно-монтажних, </w:t>
            </w:r>
            <w:proofErr w:type="spellStart"/>
            <w:r w:rsidR="00004E58" w:rsidRPr="00004E58">
              <w:rPr>
                <w:rFonts w:ascii="Times New Roman" w:hAnsi="Times New Roman" w:cs="Times New Roman"/>
                <w:b/>
                <w:color w:val="00B050"/>
                <w:sz w:val="24"/>
                <w:szCs w:val="24"/>
                <w:lang w:eastAsia="uk-UA"/>
              </w:rPr>
              <w:t>пусконалагоджу</w:t>
            </w:r>
            <w:proofErr w:type="spellEnd"/>
            <w:r w:rsidR="00004E58" w:rsidRPr="00004E58">
              <w:rPr>
                <w:rFonts w:ascii="Times New Roman" w:hAnsi="Times New Roman" w:cs="Times New Roman"/>
                <w:b/>
                <w:color w:val="00B050"/>
                <w:sz w:val="24"/>
                <w:szCs w:val="24"/>
                <w:lang w:eastAsia="uk-UA"/>
              </w:rPr>
              <w:t>-вальних робіт із створення потужності</w:t>
            </w:r>
            <w:r w:rsidR="00004E58">
              <w:rPr>
                <w:rFonts w:ascii="Times New Roman" w:hAnsi="Times New Roman" w:cs="Times New Roman"/>
                <w:b/>
                <w:color w:val="00B050"/>
                <w:sz w:val="24"/>
                <w:szCs w:val="24"/>
                <w:lang w:eastAsia="uk-UA"/>
              </w:rPr>
              <w:t xml:space="preserve"> </w:t>
            </w:r>
            <w:r w:rsidR="00004E58" w:rsidRPr="00004E58">
              <w:rPr>
                <w:rFonts w:ascii="Times New Roman" w:hAnsi="Times New Roman" w:cs="Times New Roman"/>
                <w:b/>
                <w:color w:val="00B050"/>
                <w:sz w:val="24"/>
                <w:szCs w:val="24"/>
                <w:lang w:eastAsia="uk-UA"/>
              </w:rPr>
              <w:t xml:space="preserve">ОСР </w:t>
            </w:r>
            <w:r w:rsidR="00004E58">
              <w:rPr>
                <w:rFonts w:ascii="Times New Roman" w:hAnsi="Times New Roman" w:cs="Times New Roman"/>
                <w:b/>
                <w:color w:val="00B050"/>
                <w:sz w:val="24"/>
                <w:szCs w:val="24"/>
                <w:lang w:eastAsia="uk-UA"/>
              </w:rPr>
              <w:t xml:space="preserve">здійснює перерахунок </w:t>
            </w:r>
            <w:r w:rsidR="00004E58" w:rsidRPr="00004E58">
              <w:rPr>
                <w:rFonts w:ascii="Times New Roman" w:hAnsi="Times New Roman" w:cs="Times New Roman"/>
                <w:b/>
                <w:color w:val="00B050"/>
                <w:sz w:val="24"/>
                <w:szCs w:val="24"/>
                <w:lang w:eastAsia="uk-UA"/>
              </w:rPr>
              <w:t xml:space="preserve">вартості плати за приєднання до електричних мереж </w:t>
            </w:r>
            <w:r w:rsidRPr="00120B3E">
              <w:rPr>
                <w:rFonts w:ascii="Times New Roman" w:hAnsi="Times New Roman" w:cs="Times New Roman"/>
                <w:b/>
                <w:color w:val="00B050"/>
                <w:sz w:val="24"/>
                <w:szCs w:val="24"/>
              </w:rPr>
              <w:t>відповідно до пункту 5.1</w:t>
            </w:r>
            <w:r w:rsidR="00004E58">
              <w:rPr>
                <w:rFonts w:ascii="Times New Roman" w:hAnsi="Times New Roman" w:cs="Times New Roman"/>
                <w:b/>
                <w:color w:val="00B050"/>
                <w:sz w:val="24"/>
                <w:szCs w:val="24"/>
              </w:rPr>
              <w:t>1</w:t>
            </w:r>
            <w:r w:rsidRPr="00120B3E">
              <w:rPr>
                <w:rFonts w:ascii="Times New Roman" w:hAnsi="Times New Roman" w:cs="Times New Roman"/>
                <w:b/>
                <w:color w:val="00B050"/>
                <w:sz w:val="24"/>
                <w:szCs w:val="24"/>
              </w:rPr>
              <w:t xml:space="preserve"> цієї Методики.</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ТОВ «НЕСС ЕНЕРДЖІ»</w:t>
            </w:r>
          </w:p>
          <w:p w:rsidR="00CE1725" w:rsidRPr="00D32097" w:rsidRDefault="00CE1725" w:rsidP="00CE1725">
            <w:pPr>
              <w:ind w:firstLine="306"/>
              <w:jc w:val="both"/>
              <w:rPr>
                <w:rFonts w:ascii="Times New Roman" w:hAnsi="Times New Roman" w:cs="Times New Roman"/>
                <w:sz w:val="22"/>
                <w:szCs w:val="22"/>
              </w:rPr>
            </w:pPr>
            <w:r w:rsidRPr="00D32097">
              <w:rPr>
                <w:rFonts w:ascii="Times New Roman" w:hAnsi="Times New Roman" w:cs="Times New Roman"/>
                <w:sz w:val="22"/>
                <w:szCs w:val="22"/>
              </w:rPr>
              <w:t xml:space="preserve">5.1. Плата за нестандартне приєднання «під ключ» </w:t>
            </w:r>
            <w:proofErr w:type="spellStart"/>
            <w:r w:rsidRPr="00D32097">
              <w:rPr>
                <w:rFonts w:ascii="Times New Roman" w:hAnsi="Times New Roman" w:cs="Times New Roman"/>
                <w:sz w:val="22"/>
                <w:szCs w:val="22"/>
              </w:rPr>
              <w:t>Пнст</w:t>
            </w:r>
            <w:proofErr w:type="spellEnd"/>
            <w:r w:rsidRPr="00D32097">
              <w:rPr>
                <w:rFonts w:ascii="Times New Roman" w:hAnsi="Times New Roman" w:cs="Times New Roman"/>
                <w:sz w:val="22"/>
                <w:szCs w:val="22"/>
              </w:rPr>
              <w:t xml:space="preserve"> розраховується як сума складової плати за приєднання потужності та складової плати за створення електричних мереж лінійної частини приєднання.</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 xml:space="preserve">Для цілей визначення складової плати за приєднання потужності враховуються дві величини </w:t>
            </w:r>
            <w:r w:rsidRPr="00D32097">
              <w:rPr>
                <w:rFonts w:ascii="Times New Roman" w:hAnsi="Times New Roman" w:cs="Times New Roman"/>
                <w:b/>
                <w:color w:val="0070C0"/>
                <w:sz w:val="22"/>
                <w:szCs w:val="22"/>
              </w:rPr>
              <w:lastRenderedPageBreak/>
              <w:t>замовленої потужності: потужність відбору та потужність відпуску.</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Потужність відбору та/або відпуску, що створюється, визначається як приріст максимального використання трансформаторної потужності електричних мереж у точці забезпечення потужності після врахування замовленої потужності відбору та/або відпуску.</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Для цього за режимними замірами у відповідний час доби протягом останніх трьох років без урахування електроустановок замовника визначаються максимальне використання потужності у напрямку відбору та максимальне використання потужності у напрямку відпуску.</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Максимальне використання потужності у напрямку відбору визначається як найбільше значення потужності відбору, а за відсутності відбору - як найменше значення потужності відпуску, враховане зі знаком «мінус».</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Максимальне використання потужності у напрямку відпуску визначається як найбільше значення потужності відпуску, а за відсутності відпуску - як найменше значення потужності відбору, враховане зі знаком «мінус».</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 xml:space="preserve">Існуюче максимальне використання трансформаторної потужності визначається як більша з таких двох величин. Після врахування замовленої потужності </w:t>
            </w:r>
            <w:r w:rsidRPr="00D32097">
              <w:rPr>
                <w:rFonts w:ascii="Times New Roman" w:hAnsi="Times New Roman" w:cs="Times New Roman"/>
                <w:b/>
                <w:color w:val="0070C0"/>
                <w:sz w:val="22"/>
                <w:szCs w:val="22"/>
              </w:rPr>
              <w:lastRenderedPageBreak/>
              <w:t>відбору та/або відпуску окремо визначається приріст максимального використання трансформаторної потужності у напрямку відбору та у напрямку відпуску.</w:t>
            </w:r>
          </w:p>
          <w:p w:rsidR="00CE1725" w:rsidRPr="00D32097" w:rsidRDefault="00CE1725" w:rsidP="00CE1725">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Якщо приріст виникає у напрямку відбору, до нього застосовується ставка плати за потужність для електроустановок, призначених для споживання електричної енергії. Якщо приріст виникає у напрямку відпуску, до нього застосовується ставка плати за потужність для електроустановок, призначених для виробництва електричної енергії.</w:t>
            </w:r>
          </w:p>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color w:val="0070C0"/>
                <w:sz w:val="22"/>
                <w:szCs w:val="22"/>
              </w:rPr>
              <w:t>У разі виникнення приросту в обох напрямках складова плати за приєднання потужності визначається за більшим вартісним результатом.</w:t>
            </w:r>
          </w:p>
        </w:tc>
        <w:tc>
          <w:tcPr>
            <w:tcW w:w="3899" w:type="dxa"/>
          </w:tcPr>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Запропонована НКРЕКП формула розділяє відбір і відпуск, але може тлумачитися як механічне додавання повної потужності відбору та повної потужності відпуску. Це не відповідає економічній природі ставки за потужність, яка пов’язана з використанням трансформаторної спроможності основної мережі ОСР.</w:t>
            </w:r>
          </w:p>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t xml:space="preserve">Запропонований підхід не скасовує технічної перевірки допустимості відбору або відпуску за КСР і </w:t>
            </w:r>
            <w:r w:rsidRPr="00D32097">
              <w:rPr>
                <w:rFonts w:ascii="Times New Roman" w:hAnsi="Times New Roman" w:cs="Times New Roman"/>
                <w:sz w:val="22"/>
                <w:szCs w:val="22"/>
              </w:rPr>
              <w:lastRenderedPageBreak/>
              <w:t>технічними умовами. Він лише визначає, яка частина замовленої потужності є платною для цілей Методики, тобто створює приріст максимального використання трансформаторної потужності.</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відбору та/або відпуску, що створюється), яка визначається як </w:t>
            </w:r>
            <w:r w:rsidRPr="00D32097">
              <w:rPr>
                <w:rFonts w:ascii="Times New Roman" w:hAnsi="Times New Roman" w:cs="Times New Roman"/>
                <w:sz w:val="22"/>
                <w:szCs w:val="22"/>
                <w:lang w:eastAsia="uk-UA"/>
              </w:rPr>
              <w:lastRenderedPageBreak/>
              <w:t>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 xml:space="preserve">ТОВ «ВС Енерджі </w:t>
            </w:r>
            <w:proofErr w:type="spellStart"/>
            <w:r w:rsidRPr="00D32097">
              <w:rPr>
                <w:rFonts w:ascii="Times New Roman" w:hAnsi="Times New Roman" w:cs="Times New Roman"/>
                <w:b/>
                <w:color w:val="000000"/>
                <w:sz w:val="22"/>
                <w:szCs w:val="22"/>
                <w:u w:val="single"/>
              </w:rPr>
              <w:t>Інтернейшнл</w:t>
            </w:r>
            <w:proofErr w:type="spellEnd"/>
            <w:r w:rsidRPr="00D32097">
              <w:rPr>
                <w:rFonts w:ascii="Times New Roman" w:hAnsi="Times New Roman" w:cs="Times New Roman"/>
                <w:b/>
                <w:color w:val="000000"/>
                <w:sz w:val="22"/>
                <w:szCs w:val="22"/>
                <w:u w:val="single"/>
              </w:rPr>
              <w:t xml:space="preserve"> Україна»</w:t>
            </w:r>
          </w:p>
          <w:p w:rsidR="00CE1725" w:rsidRPr="00D32097" w:rsidRDefault="00CE1725" w:rsidP="00CE1725">
            <w:pPr>
              <w:ind w:firstLine="235"/>
              <w:contextualSpacing/>
              <w:jc w:val="both"/>
              <w:rPr>
                <w:rFonts w:ascii="Times New Roman" w:hAnsi="Times New Roman" w:cs="Times New Roman"/>
                <w:sz w:val="22"/>
                <w:szCs w:val="24"/>
              </w:rPr>
            </w:pPr>
            <w:r w:rsidRPr="00D32097">
              <w:rPr>
                <w:rFonts w:ascii="Times New Roman" w:hAnsi="Times New Roman" w:cs="Times New Roman"/>
                <w:sz w:val="22"/>
                <w:szCs w:val="24"/>
              </w:rPr>
              <w:t>…</w:t>
            </w:r>
          </w:p>
          <w:p w:rsidR="00CE1725" w:rsidRPr="00D32097" w:rsidRDefault="00CE1725" w:rsidP="00CE1725">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sz w:val="22"/>
                <w:szCs w:val="24"/>
              </w:rPr>
              <w:t xml:space="preserve">н - індекс рівня напруги в точці приєднання, </w:t>
            </w:r>
            <w:r w:rsidRPr="00D32097">
              <w:rPr>
                <w:rFonts w:ascii="Times New Roman" w:hAnsi="Times New Roman" w:cs="Times New Roman"/>
                <w:b/>
                <w:bCs/>
                <w:color w:val="0070C0"/>
                <w:sz w:val="22"/>
                <w:szCs w:val="24"/>
              </w:rPr>
              <w:t xml:space="preserve">який визначається згідно з блоками п. 1.8. Методики </w:t>
            </w:r>
            <w:r w:rsidRPr="00D32097">
              <w:rPr>
                <w:rFonts w:ascii="Times New Roman" w:hAnsi="Times New Roman" w:cs="Times New Roman"/>
                <w:sz w:val="22"/>
                <w:szCs w:val="24"/>
              </w:rPr>
              <w:t>(0,4 (0,23); 6 (10)20; 27 (35); (110 (154));</w:t>
            </w:r>
          </w:p>
        </w:tc>
        <w:tc>
          <w:tcPr>
            <w:tcW w:w="3899" w:type="dxa"/>
          </w:tcPr>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застосування ставки лінійної частини приєднання при приєднанні «під ключ»</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врахувати</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ТОВ «</w:t>
            </w:r>
            <w:proofErr w:type="spellStart"/>
            <w:r w:rsidRPr="00D32097">
              <w:rPr>
                <w:rFonts w:ascii="Times New Roman" w:hAnsi="Times New Roman" w:cs="Times New Roman"/>
                <w:b/>
                <w:color w:val="000000"/>
                <w:sz w:val="22"/>
                <w:szCs w:val="22"/>
                <w:u w:val="single"/>
              </w:rPr>
              <w:t>Енергоінвест</w:t>
            </w:r>
            <w:proofErr w:type="spellEnd"/>
            <w:r w:rsidRPr="00D32097">
              <w:rPr>
                <w:rFonts w:ascii="Times New Roman" w:hAnsi="Times New Roman" w:cs="Times New Roman"/>
                <w:b/>
                <w:color w:val="000000"/>
                <w:sz w:val="22"/>
                <w:szCs w:val="22"/>
                <w:u w:val="single"/>
              </w:rPr>
              <w:t>»</w:t>
            </w:r>
          </w:p>
          <w:p w:rsidR="00CE1725" w:rsidRPr="00D32097" w:rsidRDefault="00CE1725" w:rsidP="00CE1725">
            <w:pPr>
              <w:shd w:val="clear" w:color="auto" w:fill="FFFFFF"/>
              <w:spacing w:after="150"/>
              <w:ind w:firstLine="235"/>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5.1. Плата за нестандартне приєднання «під ключ» </w:t>
            </w:r>
            <w:proofErr w:type="spellStart"/>
            <w:r w:rsidRPr="00D32097">
              <w:rPr>
                <w:rFonts w:ascii="Times New Roman" w:hAnsi="Times New Roman" w:cs="Times New Roman"/>
                <w:b/>
                <w:bCs/>
                <w:sz w:val="22"/>
                <w:szCs w:val="22"/>
                <w:lang w:eastAsia="uk-UA"/>
              </w:rPr>
              <w:t>П</w:t>
            </w:r>
            <w:r w:rsidRPr="00D32097">
              <w:rPr>
                <w:rFonts w:ascii="Times New Roman" w:hAnsi="Times New Roman" w:cs="Times New Roman"/>
                <w:b/>
                <w:bCs/>
                <w:sz w:val="22"/>
                <w:szCs w:val="22"/>
                <w:vertAlign w:val="subscript"/>
                <w:lang w:eastAsia="uk-UA"/>
              </w:rPr>
              <w:t>вст</w:t>
            </w:r>
            <w:proofErr w:type="spellEnd"/>
            <w:r w:rsidRPr="00D32097">
              <w:rPr>
                <w:rFonts w:ascii="Times New Roman" w:hAnsi="Times New Roman" w:cs="Times New Roman"/>
                <w:sz w:val="22"/>
                <w:szCs w:val="22"/>
                <w:lang w:eastAsia="uk-UA"/>
              </w:rPr>
              <w:t> розраховується за формулою:</w:t>
            </w:r>
          </w:p>
          <w:p w:rsidR="00CE1725" w:rsidRPr="00D32097" w:rsidRDefault="002D57C8" w:rsidP="00CE1725">
            <w:pPr>
              <w:spacing w:after="150"/>
              <w:ind w:firstLine="235"/>
              <w:jc w:val="both"/>
              <w:rPr>
                <w:rFonts w:ascii="Times New Roman" w:hAnsi="Times New Roman" w:cs="Times New Roman"/>
                <w:b/>
                <w:color w:val="333333"/>
                <w:sz w:val="22"/>
                <w:szCs w:val="22"/>
                <w:shd w:val="clear" w:color="auto" w:fill="FFFFFF"/>
                <w:lang w:eastAsia="uk-UA"/>
              </w:rPr>
            </w:pPr>
            <m:oMathPara>
              <m:oMath>
                <m:sSubSup>
                  <m:sSubSupPr>
                    <m:ctrlPr>
                      <w:rPr>
                        <w:rFonts w:ascii="Cambria Math" w:eastAsia="Calibri" w:hAnsi="Cambria Math" w:cs="Times New Roman"/>
                        <w:b/>
                        <w:sz w:val="22"/>
                        <w:szCs w:val="22"/>
                      </w:rPr>
                    </m:ctrlPr>
                  </m:sSubSupPr>
                  <m:e>
                    <m:r>
                      <m:rPr>
                        <m:sty m:val="bi"/>
                      </m:rPr>
                      <w:rPr>
                        <w:rFonts w:ascii="Cambria Math" w:hAnsi="Cambria Math" w:cs="Times New Roman"/>
                        <w:sz w:val="22"/>
                        <w:szCs w:val="22"/>
                        <w:lang w:eastAsia="uk-UA"/>
                      </w:rPr>
                      <m:t>П</m:t>
                    </m:r>
                  </m:e>
                  <m:sub>
                    <m:r>
                      <m:rPr>
                        <m:sty m:val="bi"/>
                      </m:rPr>
                      <w:rPr>
                        <w:rFonts w:ascii="Cambria Math" w:hAnsi="Cambria Math" w:cs="Times New Roman"/>
                        <w:sz w:val="22"/>
                        <w:szCs w:val="22"/>
                        <w:lang w:eastAsia="uk-UA"/>
                      </w:rPr>
                      <m:t>нст</m:t>
                    </m:r>
                  </m:sub>
                  <m:sup/>
                </m:sSubSup>
                <m:r>
                  <m:rPr>
                    <m:sty m:val="bi"/>
                  </m:rPr>
                  <w:rPr>
                    <w:rFonts w:ascii="Cambria Math" w:hAnsi="Cambria Math" w:cs="Times New Roman"/>
                    <w:sz w:val="22"/>
                    <w:szCs w:val="22"/>
                    <w:lang w:eastAsia="uk-UA"/>
                  </w:rPr>
                  <m:t>=</m:t>
                </m:r>
                <m:sSubSup>
                  <m:sSubSupPr>
                    <m:ctrlPr>
                      <w:rPr>
                        <w:rFonts w:ascii="Cambria Math" w:eastAsia="Calibri" w:hAnsi="Cambria Math" w:cs="Times New Roman"/>
                        <w:b/>
                        <w:sz w:val="22"/>
                        <w:szCs w:val="22"/>
                      </w:rPr>
                    </m:ctrlPr>
                  </m:sSubSupPr>
                  <m:e>
                    <m:r>
                      <m:rPr>
                        <m:nor/>
                      </m:rPr>
                      <w:rPr>
                        <w:rFonts w:ascii="Times New Roman" w:hAnsi="Times New Roman" w:cs="Times New Roman"/>
                        <w:b/>
                        <w:sz w:val="22"/>
                        <w:szCs w:val="22"/>
                        <w:lang w:eastAsia="uk-UA"/>
                      </w:rPr>
                      <m:t>"Найбіл</m:t>
                    </m:r>
                    <m:r>
                      <m:rPr>
                        <m:nor/>
                      </m:rPr>
                      <w:rPr>
                        <w:rFonts w:ascii="Cambria Math" w:hAnsi="Times New Roman" w:cs="Times New Roman"/>
                        <w:b/>
                        <w:sz w:val="22"/>
                        <w:szCs w:val="22"/>
                        <w:lang w:eastAsia="uk-UA"/>
                      </w:rPr>
                      <m:t>ь</m:t>
                    </m:r>
                    <m:r>
                      <m:rPr>
                        <m:nor/>
                      </m:rPr>
                      <w:rPr>
                        <w:rFonts w:ascii="Times New Roman" w:hAnsi="Times New Roman" w:cs="Times New Roman"/>
                        <w:b/>
                        <w:sz w:val="22"/>
                        <w:szCs w:val="22"/>
                        <w:lang w:eastAsia="uk-UA"/>
                      </w:rPr>
                      <m:t>ше з</m:t>
                    </m:r>
                    <m:r>
                      <m:rPr>
                        <m:sty m:val="b"/>
                      </m:rPr>
                      <w:rPr>
                        <w:rFonts w:ascii="Cambria Math" w:hAnsi="Cambria Math" w:cs="Times New Roman"/>
                        <w:sz w:val="22"/>
                        <w:szCs w:val="22"/>
                        <w:lang w:eastAsia="uk-UA"/>
                      </w:rPr>
                      <m:t xml:space="preserve">" або </m:t>
                    </m:r>
                    <m:r>
                      <m:rPr>
                        <m:sty m:val="bi"/>
                      </m:rPr>
                      <w:rPr>
                        <w:rFonts w:ascii="Cambria Math" w:hAnsi="Cambria Math" w:cs="Times New Roman"/>
                        <w:sz w:val="22"/>
                        <w:szCs w:val="22"/>
                        <w:lang w:eastAsia="uk-UA"/>
                      </w:rPr>
                      <m:t>"max" (Р</m:t>
                    </m:r>
                  </m:e>
                  <m:sub>
                    <m:r>
                      <m:rPr>
                        <m:sty m:val="bi"/>
                      </m:rPr>
                      <w:rPr>
                        <w:rFonts w:ascii="Cambria Math" w:hAnsi="Cambria Math" w:cs="Times New Roman"/>
                        <w:sz w:val="22"/>
                        <w:szCs w:val="22"/>
                        <w:lang w:eastAsia="uk-UA"/>
                      </w:rPr>
                      <m:t>заявлена</m:t>
                    </m:r>
                  </m:sub>
                  <m:sup>
                    <m:r>
                      <m:rPr>
                        <m:sty m:val="bi"/>
                      </m:rPr>
                      <w:rPr>
                        <w:rFonts w:ascii="Cambria Math" w:eastAsia="Calibri" w:hAnsi="Cambria Math" w:cs="Times New Roman"/>
                        <w:sz w:val="22"/>
                        <w:szCs w:val="22"/>
                      </w:rPr>
                      <m:t>відбір</m:t>
                    </m:r>
                  </m:sup>
                </m:sSubSup>
                <m:r>
                  <m:rPr>
                    <m:sty m:val="bi"/>
                  </m:rPr>
                  <w:rPr>
                    <w:rFonts w:ascii="Cambria Math" w:hAnsi="Cambria Math" w:cs="Times New Roman"/>
                    <w:sz w:val="22"/>
                    <w:szCs w:val="22"/>
                    <w:lang w:eastAsia="uk-UA"/>
                  </w:rPr>
                  <m:t>×</m:t>
                </m:r>
                <m:sSubSup>
                  <m:sSubSupPr>
                    <m:ctrlPr>
                      <w:rPr>
                        <w:rFonts w:ascii="Cambria Math" w:eastAsia="Calibri" w:hAnsi="Cambria Math" w:cs="Times New Roman"/>
                        <w:b/>
                        <w:sz w:val="22"/>
                        <w:szCs w:val="22"/>
                      </w:rPr>
                    </m:ctrlPr>
                  </m:sSubSupPr>
                  <m:e>
                    <m:r>
                      <m:rPr>
                        <m:sty m:val="bi"/>
                      </m:rPr>
                      <w:rPr>
                        <w:rFonts w:ascii="Cambria Math" w:hAnsi="Cambria Math" w:cs="Times New Roman"/>
                        <w:sz w:val="22"/>
                        <w:szCs w:val="22"/>
                        <w:lang w:eastAsia="uk-UA"/>
                      </w:rPr>
                      <m:t>С</m:t>
                    </m:r>
                  </m:e>
                  <m:sub>
                    <m:r>
                      <m:rPr>
                        <m:sty m:val="bi"/>
                      </m:rPr>
                      <w:rPr>
                        <w:rFonts w:ascii="Cambria Math" w:hAnsi="Cambria Math" w:cs="Times New Roman"/>
                        <w:sz w:val="22"/>
                        <w:szCs w:val="22"/>
                        <w:lang w:eastAsia="uk-UA"/>
                      </w:rPr>
                      <m:t>нст</m:t>
                    </m:r>
                  </m:sub>
                  <m:sup>
                    <m:r>
                      <m:rPr>
                        <m:sty m:val="bi"/>
                      </m:rPr>
                      <w:rPr>
                        <w:rFonts w:ascii="Cambria Math" w:hAnsi="Cambria Math" w:cs="Times New Roman"/>
                        <w:sz w:val="22"/>
                        <w:szCs w:val="22"/>
                        <w:lang w:eastAsia="uk-UA"/>
                      </w:rPr>
                      <m:t>к,н,зтт,місц,с</m:t>
                    </m:r>
                  </m:sup>
                </m:sSubSup>
                <m:r>
                  <m:rPr>
                    <m:sty m:val="b"/>
                  </m:rPr>
                  <w:rPr>
                    <w:rFonts w:ascii="Cambria Math" w:eastAsia="Calibri" w:hAnsi="Cambria Math" w:cs="Times New Roman"/>
                    <w:sz w:val="22"/>
                    <w:szCs w:val="22"/>
                  </w:rPr>
                  <m:t xml:space="preserve">  ; </m:t>
                </m:r>
                <m:sSubSup>
                  <m:sSubSupPr>
                    <m:ctrlPr>
                      <w:rPr>
                        <w:rFonts w:ascii="Cambria Math" w:eastAsia="Calibri" w:hAnsi="Cambria Math" w:cs="Times New Roman"/>
                        <w:b/>
                        <w:sz w:val="22"/>
                        <w:szCs w:val="22"/>
                      </w:rPr>
                    </m:ctrlPr>
                  </m:sSubSupPr>
                  <m:e>
                    <m:r>
                      <m:rPr>
                        <m:sty m:val="bi"/>
                      </m:rPr>
                      <w:rPr>
                        <w:rFonts w:ascii="Cambria Math" w:hAnsi="Cambria Math" w:cs="Times New Roman"/>
                        <w:sz w:val="22"/>
                        <w:szCs w:val="22"/>
                        <w:lang w:eastAsia="uk-UA"/>
                      </w:rPr>
                      <m:t>Р</m:t>
                    </m:r>
                  </m:e>
                  <m:sub>
                    <m:r>
                      <m:rPr>
                        <m:sty m:val="bi"/>
                      </m:rPr>
                      <w:rPr>
                        <w:rFonts w:ascii="Cambria Math" w:hAnsi="Cambria Math" w:cs="Times New Roman"/>
                        <w:sz w:val="22"/>
                        <w:szCs w:val="22"/>
                        <w:lang w:eastAsia="uk-UA"/>
                      </w:rPr>
                      <m:t>заявлена</m:t>
                    </m:r>
                  </m:sub>
                  <m:sup>
                    <m:r>
                      <m:rPr>
                        <m:sty m:val="bi"/>
                      </m:rPr>
                      <w:rPr>
                        <w:rFonts w:ascii="Cambria Math" w:eastAsia="Calibri" w:hAnsi="Cambria Math" w:cs="Times New Roman"/>
                        <w:sz w:val="22"/>
                        <w:szCs w:val="22"/>
                      </w:rPr>
                      <m:t>відпуск</m:t>
                    </m:r>
                  </m:sup>
                </m:sSubSup>
                <m:r>
                  <m:rPr>
                    <m:sty m:val="bi"/>
                  </m:rPr>
                  <w:rPr>
                    <w:rFonts w:ascii="Cambria Math" w:hAnsi="Cambria Math" w:cs="Times New Roman"/>
                    <w:sz w:val="22"/>
                    <w:szCs w:val="22"/>
                    <w:lang w:eastAsia="uk-UA"/>
                  </w:rPr>
                  <m:t>×</m:t>
                </m:r>
                <m:sSubSup>
                  <m:sSubSupPr>
                    <m:ctrlPr>
                      <w:rPr>
                        <w:rFonts w:ascii="Cambria Math" w:eastAsia="Calibri" w:hAnsi="Cambria Math" w:cs="Times New Roman"/>
                        <w:b/>
                        <w:sz w:val="22"/>
                        <w:szCs w:val="22"/>
                      </w:rPr>
                    </m:ctrlPr>
                  </m:sSubSupPr>
                  <m:e>
                    <m:r>
                      <m:rPr>
                        <m:sty m:val="bi"/>
                      </m:rPr>
                      <w:rPr>
                        <w:rFonts w:ascii="Cambria Math" w:hAnsi="Cambria Math" w:cs="Times New Roman"/>
                        <w:sz w:val="22"/>
                        <w:szCs w:val="22"/>
                        <w:lang w:eastAsia="uk-UA"/>
                      </w:rPr>
                      <m:t>С</m:t>
                    </m:r>
                  </m:e>
                  <m:sub>
                    <m:r>
                      <m:rPr>
                        <m:sty m:val="bi"/>
                      </m:rPr>
                      <w:rPr>
                        <w:rFonts w:ascii="Cambria Math" w:hAnsi="Cambria Math" w:cs="Times New Roman"/>
                        <w:sz w:val="22"/>
                        <w:szCs w:val="22"/>
                        <w:lang w:eastAsia="uk-UA"/>
                      </w:rPr>
                      <m:t>нст</m:t>
                    </m:r>
                  </m:sub>
                  <m:sup>
                    <m:r>
                      <m:rPr>
                        <m:sty m:val="bi"/>
                      </m:rPr>
                      <w:rPr>
                        <w:rFonts w:ascii="Cambria Math" w:hAnsi="Cambria Math" w:cs="Times New Roman"/>
                        <w:sz w:val="22"/>
                        <w:szCs w:val="22"/>
                        <w:lang w:eastAsia="uk-UA"/>
                      </w:rPr>
                      <m:t>к,н,зтт,місц,в</m:t>
                    </m:r>
                  </m:sup>
                </m:sSubSup>
                <m:r>
                  <m:rPr>
                    <m:sty m:val="bi"/>
                  </m:rPr>
                  <w:rPr>
                    <w:rFonts w:ascii="Cambria Math" w:hAnsi="Cambria Math" w:cs="Times New Roman"/>
                    <w:sz w:val="22"/>
                    <w:szCs w:val="22"/>
                    <w:lang w:eastAsia="uk-UA"/>
                  </w:rPr>
                  <m:t>)+</m:t>
                </m:r>
                <m:sSub>
                  <m:sSubPr>
                    <m:ctrlPr>
                      <w:rPr>
                        <w:rFonts w:ascii="Cambria Math" w:eastAsia="Calibri" w:hAnsi="Cambria Math" w:cs="Times New Roman"/>
                        <w:b/>
                        <w:i/>
                        <w:sz w:val="22"/>
                        <w:szCs w:val="22"/>
                      </w:rPr>
                    </m:ctrlPr>
                  </m:sSubPr>
                  <m:e>
                    <m:r>
                      <m:rPr>
                        <m:sty m:val="bi"/>
                      </m:rPr>
                      <w:rPr>
                        <w:rFonts w:ascii="Cambria Math" w:eastAsia="Calibri" w:hAnsi="Cambria Math" w:cs="Times New Roman"/>
                        <w:sz w:val="22"/>
                        <w:szCs w:val="22"/>
                      </w:rPr>
                      <m:t>l</m:t>
                    </m:r>
                  </m:e>
                  <m:sub>
                    <m:r>
                      <m:rPr>
                        <m:sty m:val="bi"/>
                      </m:rPr>
                      <w:rPr>
                        <w:rFonts w:ascii="Cambria Math" w:eastAsia="Calibri" w:hAnsi="Cambria Math" w:cs="Times New Roman"/>
                        <w:sz w:val="22"/>
                        <w:szCs w:val="22"/>
                      </w:rPr>
                      <m:t>м</m:t>
                    </m:r>
                  </m:sub>
                </m:sSub>
                <m:r>
                  <m:rPr>
                    <m:sty m:val="bi"/>
                  </m:rPr>
                  <w:rPr>
                    <w:rFonts w:ascii="Cambria Math" w:hAnsi="Cambria Math" w:cs="Times New Roman"/>
                    <w:sz w:val="22"/>
                    <w:szCs w:val="22"/>
                    <w:lang w:eastAsia="uk-UA"/>
                  </w:rPr>
                  <m:t>×</m:t>
                </m:r>
                <m:sSubSup>
                  <m:sSubSupPr>
                    <m:ctrlPr>
                      <w:rPr>
                        <w:rFonts w:ascii="Cambria Math" w:eastAsia="Calibri" w:hAnsi="Cambria Math" w:cs="Times New Roman"/>
                        <w:b/>
                        <w:sz w:val="22"/>
                        <w:szCs w:val="22"/>
                      </w:rPr>
                    </m:ctrlPr>
                  </m:sSubSupPr>
                  <m:e>
                    <m:r>
                      <m:rPr>
                        <m:sty m:val="bi"/>
                      </m:rPr>
                      <w:rPr>
                        <w:rFonts w:ascii="Cambria Math" w:hAnsi="Cambria Math" w:cs="Times New Roman"/>
                        <w:sz w:val="22"/>
                        <w:szCs w:val="22"/>
                        <w:lang w:eastAsia="uk-UA"/>
                      </w:rPr>
                      <m:t>С</m:t>
                    </m:r>
                  </m:e>
                  <m:sub>
                    <m:r>
                      <m:rPr>
                        <m:sty m:val="bi"/>
                      </m:rPr>
                      <w:rPr>
                        <w:rFonts w:ascii="Cambria Math" w:hAnsi="Cambria Math" w:cs="Times New Roman"/>
                        <w:sz w:val="22"/>
                        <w:szCs w:val="22"/>
                        <w:lang w:eastAsia="uk-UA"/>
                      </w:rPr>
                      <m:t>лін</m:t>
                    </m:r>
                  </m:sub>
                  <m:sup>
                    <m:r>
                      <m:rPr>
                        <m:sty m:val="bi"/>
                      </m:rPr>
                      <w:rPr>
                        <w:rFonts w:ascii="Cambria Math" w:hAnsi="Cambria Math" w:cs="Times New Roman"/>
                        <w:sz w:val="22"/>
                        <w:szCs w:val="22"/>
                        <w:lang w:eastAsia="uk-UA"/>
                      </w:rPr>
                      <m:t>л,н,зем</m:t>
                    </m:r>
                  </m:sup>
                </m:sSubSup>
                <m:r>
                  <m:rPr>
                    <m:sty m:val="bi"/>
                  </m:rPr>
                  <w:rPr>
                    <w:rFonts w:ascii="Cambria Math" w:hAnsi="Cambria Math" w:cs="Times New Roman"/>
                    <w:sz w:val="22"/>
                    <w:szCs w:val="22"/>
                    <w:lang w:eastAsia="uk-UA"/>
                  </w:rPr>
                  <m:t>, тис грн.</m:t>
                </m:r>
              </m:oMath>
            </m:oMathPara>
          </w:p>
          <w:p w:rsidR="00CE1725" w:rsidRPr="00D32097" w:rsidRDefault="00CE1725" w:rsidP="00CE1725">
            <w:pPr>
              <w:ind w:firstLine="235"/>
              <w:contextualSpacing/>
              <w:jc w:val="both"/>
              <w:rPr>
                <w:rFonts w:ascii="Times New Roman" w:hAnsi="Times New Roman" w:cs="Times New Roman"/>
                <w:b/>
                <w:color w:val="000000"/>
                <w:sz w:val="22"/>
                <w:szCs w:val="22"/>
                <w:u w:val="single"/>
              </w:rPr>
            </w:pPr>
          </w:p>
        </w:tc>
        <w:tc>
          <w:tcPr>
            <w:tcW w:w="3899" w:type="dxa"/>
          </w:tcPr>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lastRenderedPageBreak/>
              <w:t xml:space="preserve">У такому вигляді формула яку пропонує НКРЕКП </w:t>
            </w:r>
            <w:r w:rsidRPr="00D32097">
              <w:rPr>
                <w:rFonts w:ascii="Times New Roman" w:hAnsi="Times New Roman" w:cs="Times New Roman"/>
                <w:b/>
                <w:bCs/>
                <w:sz w:val="22"/>
                <w:szCs w:val="24"/>
                <w:lang w:eastAsia="uk-UA"/>
              </w:rPr>
              <w:t>не може бути оптимальною</w:t>
            </w:r>
            <w:r w:rsidRPr="00D32097">
              <w:rPr>
                <w:rFonts w:ascii="Times New Roman" w:hAnsi="Times New Roman" w:cs="Times New Roman"/>
                <w:sz w:val="22"/>
                <w:szCs w:val="24"/>
                <w:lang w:eastAsia="uk-UA"/>
              </w:rPr>
              <w:t xml:space="preserve"> для розрахунку плати за приєднання «під ключ» і містить явне економічне дублювання.</w:t>
            </w:r>
          </w:p>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Подвійний облік потужності (Подвійна плата)</w:t>
            </w:r>
            <w:r w:rsidRPr="00D32097">
              <w:rPr>
                <w:rFonts w:ascii="Times New Roman" w:hAnsi="Times New Roman" w:cs="Times New Roman"/>
                <w:sz w:val="22"/>
                <w:szCs w:val="24"/>
                <w:lang w:eastAsia="uk-UA"/>
              </w:rPr>
              <w:t xml:space="preserve">: Якщо об'єкт працює в режимі видачі та споживання почергово  фізична мережева </w:t>
            </w:r>
            <w:r w:rsidRPr="00D32097">
              <w:rPr>
                <w:rFonts w:ascii="Times New Roman" w:hAnsi="Times New Roman" w:cs="Times New Roman"/>
                <w:sz w:val="22"/>
                <w:szCs w:val="24"/>
                <w:lang w:eastAsia="uk-UA"/>
              </w:rPr>
              <w:lastRenderedPageBreak/>
              <w:t xml:space="preserve">інфраструктура будується під </w:t>
            </w:r>
            <w:r w:rsidRPr="00D32097">
              <w:rPr>
                <w:rFonts w:ascii="Times New Roman" w:hAnsi="Times New Roman" w:cs="Times New Roman"/>
                <w:b/>
                <w:bCs/>
                <w:sz w:val="22"/>
                <w:szCs w:val="24"/>
                <w:lang w:eastAsia="uk-UA"/>
              </w:rPr>
              <w:t>максимальну</w:t>
            </w:r>
            <w:r w:rsidRPr="00D32097">
              <w:rPr>
                <w:rFonts w:ascii="Times New Roman" w:hAnsi="Times New Roman" w:cs="Times New Roman"/>
                <w:sz w:val="22"/>
                <w:szCs w:val="24"/>
                <w:lang w:eastAsia="uk-UA"/>
              </w:rPr>
              <w:t xml:space="preserve"> з цих двох величин, а не під їхню суму. Сумування ставок змушує замовника платити двічі за одні й ті самі кіловати місткості обладнання.</w:t>
            </w:r>
          </w:p>
          <w:p w:rsidR="00CE1725" w:rsidRPr="00D32097" w:rsidRDefault="00CE1725" w:rsidP="00CE1725">
            <w:pPr>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   Комплексна послуга (під ключ) має оптимізувати витрати. Додавання двох повних ставок робить ціну штучно завищеною і не відображає реальних витрат ОСР.</w:t>
            </w:r>
          </w:p>
          <w:p w:rsidR="00CE1725" w:rsidRPr="00D32097" w:rsidRDefault="00CE1725" w:rsidP="00CE1725">
            <w:pPr>
              <w:ind w:firstLine="161"/>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Тому пропонуємо розглянути нашу пропозицію</w:t>
            </w:r>
            <w:r w:rsidRPr="00D32097">
              <w:rPr>
                <w:rFonts w:ascii="Times New Roman" w:hAnsi="Times New Roman" w:cs="Times New Roman"/>
                <w:sz w:val="22"/>
                <w:szCs w:val="24"/>
                <w:lang w:eastAsia="uk-UA"/>
              </w:rPr>
              <w:t xml:space="preserve">, </w:t>
            </w:r>
            <w:r w:rsidRPr="00D32097">
              <w:rPr>
                <w:rFonts w:ascii="Times New Roman" w:hAnsi="Times New Roman" w:cs="Times New Roman"/>
                <w:b/>
                <w:sz w:val="22"/>
                <w:szCs w:val="24"/>
                <w:lang w:eastAsia="uk-UA"/>
              </w:rPr>
              <w:t>яка би врахувала різні варіанти, а саме:</w:t>
            </w:r>
          </w:p>
          <w:p w:rsidR="00CE1725" w:rsidRPr="00D32097" w:rsidRDefault="00CE1725" w:rsidP="00CE1725">
            <w:pPr>
              <w:ind w:firstLine="161"/>
              <w:jc w:val="both"/>
              <w:rPr>
                <w:rFonts w:ascii="Times New Roman" w:hAnsi="Times New Roman" w:cs="Times New Roman"/>
                <w:sz w:val="22"/>
                <w:szCs w:val="24"/>
                <w:lang w:eastAsia="uk-UA"/>
              </w:rPr>
            </w:pPr>
          </w:p>
          <w:p w:rsidR="00CE1725" w:rsidRPr="00D32097" w:rsidRDefault="00CE1725" w:rsidP="00CE1725">
            <w:pPr>
              <w:numPr>
                <w:ilvl w:val="0"/>
                <w:numId w:val="10"/>
              </w:numPr>
              <w:ind w:left="0" w:firstLine="161"/>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1.Для несиметричних систем</w:t>
            </w:r>
            <w:r w:rsidRPr="00D32097">
              <w:rPr>
                <w:rFonts w:ascii="Times New Roman" w:hAnsi="Times New Roman" w:cs="Times New Roman"/>
                <w:sz w:val="22"/>
                <w:szCs w:val="24"/>
                <w:lang w:eastAsia="uk-UA"/>
              </w:rPr>
              <w:t xml:space="preserve">: Якщо </w:t>
            </w:r>
            <w:proofErr w:type="spellStart"/>
            <w:r w:rsidRPr="00D32097">
              <w:rPr>
                <w:rFonts w:ascii="Times New Roman" w:hAnsi="Times New Roman" w:cs="Times New Roman"/>
                <w:sz w:val="22"/>
                <w:szCs w:val="24"/>
                <w:lang w:eastAsia="uk-UA"/>
              </w:rPr>
              <w:t>Pвідбір</w:t>
            </w:r>
            <w:proofErr w:type="spellEnd"/>
            <w:r w:rsidRPr="00D32097">
              <w:rPr>
                <w:rFonts w:ascii="Times New Roman" w:hAnsi="Times New Roman" w:cs="Times New Roman"/>
                <w:sz w:val="22"/>
                <w:szCs w:val="24"/>
                <w:lang w:eastAsia="uk-UA"/>
              </w:rPr>
              <w:t xml:space="preserve">=10МВт. Ставка за відбір </w:t>
            </w:r>
            <m:oMath>
              <m:r>
                <m:rPr>
                  <m:sty m:val="p"/>
                </m:rPr>
                <w:rPr>
                  <w:rFonts w:ascii="Cambria Math" w:eastAsia="Calibri" w:hAnsi="Cambria Math" w:cs="Times New Roman"/>
                  <w:sz w:val="22"/>
                  <w:szCs w:val="24"/>
                </w:rPr>
                <m:t xml:space="preserve"> </m:t>
              </m:r>
              <m:sSubSup>
                <m:sSubSupPr>
                  <m:ctrlPr>
                    <w:rPr>
                      <w:rFonts w:ascii="Cambria Math" w:eastAsia="Calibri" w:hAnsi="Cambria Math" w:cs="Times New Roman"/>
                      <w:sz w:val="22"/>
                      <w:szCs w:val="24"/>
                    </w:rPr>
                  </m:ctrlPr>
                </m:sSubSupPr>
                <m:e>
                  <m:r>
                    <w:rPr>
                      <w:rFonts w:ascii="Cambria Math" w:hAnsi="Cambria Math" w:cs="Times New Roman"/>
                      <w:sz w:val="22"/>
                      <w:szCs w:val="24"/>
                      <w:lang w:eastAsia="uk-UA"/>
                    </w:rPr>
                    <m:t xml:space="preserve">  С</m:t>
                  </m:r>
                </m:e>
                <m:sub>
                  <m:r>
                    <w:rPr>
                      <w:rFonts w:ascii="Cambria Math" w:hAnsi="Cambria Math" w:cs="Times New Roman"/>
                      <w:sz w:val="22"/>
                      <w:szCs w:val="24"/>
                      <w:lang w:eastAsia="uk-UA"/>
                    </w:rPr>
                    <m:t>нст</m:t>
                  </m:r>
                </m:sub>
                <m:sup>
                  <m:r>
                    <w:rPr>
                      <w:rFonts w:ascii="Cambria Math" w:hAnsi="Cambria Math" w:cs="Times New Roman"/>
                      <w:sz w:val="22"/>
                      <w:szCs w:val="24"/>
                      <w:lang w:eastAsia="uk-UA"/>
                    </w:rPr>
                    <m:t>к,н,зтт,місц,с</m:t>
                  </m:r>
                </m:sup>
              </m:sSubSup>
            </m:oMath>
            <w:r w:rsidRPr="00D32097">
              <w:rPr>
                <w:rFonts w:ascii="Times New Roman" w:hAnsi="Times New Roman" w:cs="Times New Roman"/>
                <w:sz w:val="22"/>
                <w:szCs w:val="24"/>
                <w:lang w:eastAsia="uk-UA"/>
              </w:rPr>
              <w:t xml:space="preserve"> = 1.2, </w:t>
            </w:r>
          </w:p>
          <w:p w:rsidR="00CE1725" w:rsidRPr="00D32097" w:rsidRDefault="00CE1725" w:rsidP="00CE1725">
            <w:pPr>
              <w:numPr>
                <w:ilvl w:val="0"/>
                <w:numId w:val="10"/>
              </w:numPr>
              <w:ind w:left="0"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а </w:t>
            </w:r>
            <w:proofErr w:type="spellStart"/>
            <w:r w:rsidRPr="00D32097">
              <w:rPr>
                <w:rFonts w:ascii="Times New Roman" w:hAnsi="Times New Roman" w:cs="Times New Roman"/>
                <w:sz w:val="22"/>
                <w:szCs w:val="24"/>
                <w:lang w:eastAsia="uk-UA"/>
              </w:rPr>
              <w:t>Pвідпуск</w:t>
            </w:r>
            <w:proofErr w:type="spellEnd"/>
            <w:r w:rsidRPr="00D32097">
              <w:rPr>
                <w:rFonts w:ascii="Times New Roman" w:hAnsi="Times New Roman" w:cs="Times New Roman"/>
                <w:sz w:val="22"/>
                <w:szCs w:val="24"/>
                <w:lang w:eastAsia="uk-UA"/>
              </w:rPr>
              <w:t xml:space="preserve"> = 2МВт. Ставка за відпуск </w:t>
            </w:r>
            <m:oMath>
              <m:sSubSup>
                <m:sSubSupPr>
                  <m:ctrlPr>
                    <w:rPr>
                      <w:rFonts w:ascii="Cambria Math" w:eastAsia="Calibri" w:hAnsi="Cambria Math" w:cs="Times New Roman"/>
                      <w:sz w:val="22"/>
                      <w:szCs w:val="24"/>
                    </w:rPr>
                  </m:ctrlPr>
                </m:sSubSupPr>
                <m:e>
                  <m:r>
                    <w:rPr>
                      <w:rFonts w:ascii="Cambria Math" w:hAnsi="Cambria Math" w:cs="Times New Roman"/>
                      <w:sz w:val="22"/>
                      <w:szCs w:val="24"/>
                      <w:lang w:eastAsia="uk-UA"/>
                    </w:rPr>
                    <m:t>С</m:t>
                  </m:r>
                </m:e>
                <m:sub>
                  <m:r>
                    <w:rPr>
                      <w:rFonts w:ascii="Cambria Math" w:hAnsi="Cambria Math" w:cs="Times New Roman"/>
                      <w:sz w:val="22"/>
                      <w:szCs w:val="24"/>
                      <w:lang w:eastAsia="uk-UA"/>
                    </w:rPr>
                    <m:t>нст</m:t>
                  </m:r>
                </m:sub>
                <m:sup>
                  <m:r>
                    <w:rPr>
                      <w:rFonts w:ascii="Cambria Math" w:hAnsi="Cambria Math" w:cs="Times New Roman"/>
                      <w:sz w:val="22"/>
                      <w:szCs w:val="24"/>
                      <w:lang w:eastAsia="uk-UA"/>
                    </w:rPr>
                    <m:t>к,н,зтт,місц,в</m:t>
                  </m:r>
                </m:sup>
              </m:sSubSup>
            </m:oMath>
            <w:r w:rsidRPr="00D32097">
              <w:rPr>
                <w:rFonts w:ascii="Times New Roman" w:hAnsi="Times New Roman" w:cs="Times New Roman"/>
                <w:sz w:val="22"/>
                <w:szCs w:val="24"/>
                <w:lang w:eastAsia="uk-UA"/>
              </w:rPr>
              <w:t>= 1.5, формула порівняє 12 млн. грн. та 3 млн. грн.. і необхідно буде обрати базою більшу вартість (12 млн. грн..), повністю перекриваючи витрати на будівництво потужнішої лінії чи ПС.</w:t>
            </w:r>
          </w:p>
          <w:p w:rsidR="00CE1725" w:rsidRPr="00D32097" w:rsidRDefault="00CE1725" w:rsidP="00CE1725">
            <w:pPr>
              <w:numPr>
                <w:ilvl w:val="0"/>
                <w:numId w:val="10"/>
              </w:numPr>
              <w:ind w:left="0" w:firstLine="161"/>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2.Для симетричних систем (УЗЕ)</w:t>
            </w:r>
            <w:r w:rsidRPr="00D32097">
              <w:rPr>
                <w:rFonts w:ascii="Times New Roman" w:hAnsi="Times New Roman" w:cs="Times New Roman"/>
                <w:sz w:val="22"/>
                <w:szCs w:val="24"/>
                <w:lang w:eastAsia="uk-UA"/>
              </w:rPr>
              <w:t>: Якщо потужності однакові, наприклад по 5 МВт., формулою обирається той режим, де дорожча ставка за приєднання, захищаючи оператора мереж від дефіциту коштів, а замовника — від подвійної переплати.</w:t>
            </w:r>
          </w:p>
          <w:p w:rsidR="00CE1725" w:rsidRPr="00D32097" w:rsidRDefault="00CE1725" w:rsidP="00CE1725">
            <w:pPr>
              <w:numPr>
                <w:ilvl w:val="0"/>
                <w:numId w:val="10"/>
              </w:numPr>
              <w:ind w:left="0" w:firstLine="161"/>
              <w:jc w:val="both"/>
              <w:rPr>
                <w:b/>
                <w:sz w:val="24"/>
                <w:szCs w:val="24"/>
                <w:lang w:eastAsia="uk-UA"/>
              </w:rPr>
            </w:pPr>
            <w:r w:rsidRPr="00D32097">
              <w:rPr>
                <w:rFonts w:ascii="Times New Roman" w:hAnsi="Times New Roman" w:cs="Times New Roman"/>
                <w:b/>
                <w:bCs/>
                <w:sz w:val="22"/>
                <w:szCs w:val="24"/>
                <w:lang w:eastAsia="uk-UA"/>
              </w:rPr>
              <w:t xml:space="preserve">3.Також розмірність формули має бути в </w:t>
            </w:r>
            <w:proofErr w:type="spellStart"/>
            <w:r w:rsidRPr="00D32097">
              <w:rPr>
                <w:rFonts w:ascii="Times New Roman" w:hAnsi="Times New Roman" w:cs="Times New Roman"/>
                <w:b/>
                <w:bCs/>
                <w:sz w:val="22"/>
                <w:szCs w:val="24"/>
                <w:lang w:eastAsia="uk-UA"/>
              </w:rPr>
              <w:t>тис</w:t>
            </w:r>
            <w:r w:rsidRPr="00D32097">
              <w:rPr>
                <w:rFonts w:ascii="Times New Roman" w:hAnsi="Times New Roman" w:cs="Times New Roman"/>
                <w:sz w:val="22"/>
                <w:szCs w:val="24"/>
                <w:lang w:eastAsia="uk-UA"/>
              </w:rPr>
              <w:t>.</w:t>
            </w:r>
            <w:r w:rsidRPr="00D32097">
              <w:rPr>
                <w:rFonts w:ascii="Times New Roman" w:hAnsi="Times New Roman" w:cs="Times New Roman"/>
                <w:b/>
                <w:sz w:val="22"/>
                <w:szCs w:val="24"/>
                <w:lang w:eastAsia="uk-UA"/>
              </w:rPr>
              <w:t>грн</w:t>
            </w:r>
            <w:proofErr w:type="spellEnd"/>
            <w:r w:rsidRPr="00D32097">
              <w:rPr>
                <w:rFonts w:ascii="Times New Roman" w:hAnsi="Times New Roman" w:cs="Times New Roman"/>
                <w:sz w:val="22"/>
                <w:szCs w:val="24"/>
                <w:lang w:eastAsia="uk-UA"/>
              </w:rPr>
              <w:t xml:space="preserve">. </w:t>
            </w:r>
            <w:r w:rsidRPr="00D32097">
              <w:rPr>
                <w:rFonts w:ascii="Times New Roman" w:hAnsi="Times New Roman" w:cs="Times New Roman"/>
                <w:b/>
                <w:sz w:val="22"/>
                <w:szCs w:val="24"/>
                <w:lang w:eastAsia="uk-UA"/>
              </w:rPr>
              <w:t xml:space="preserve">(а не в </w:t>
            </w:r>
            <w:proofErr w:type="spellStart"/>
            <w:r w:rsidRPr="00D32097">
              <w:rPr>
                <w:rFonts w:ascii="Times New Roman" w:hAnsi="Times New Roman" w:cs="Times New Roman"/>
                <w:b/>
                <w:sz w:val="22"/>
                <w:szCs w:val="24"/>
                <w:lang w:eastAsia="uk-UA"/>
              </w:rPr>
              <w:t>тис.грн</w:t>
            </w:r>
            <w:proofErr w:type="spellEnd"/>
            <w:r w:rsidRPr="00D32097">
              <w:rPr>
                <w:rFonts w:ascii="Times New Roman" w:hAnsi="Times New Roman" w:cs="Times New Roman"/>
                <w:b/>
                <w:sz w:val="22"/>
                <w:szCs w:val="24"/>
                <w:lang w:eastAsia="uk-UA"/>
              </w:rPr>
              <w:t>./кВт)</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w:t>
            </w:r>
            <w:r w:rsidRPr="00D32097">
              <w:rPr>
                <w:rFonts w:ascii="Times New Roman" w:hAnsi="Times New Roman" w:cs="Times New Roman"/>
                <w:sz w:val="22"/>
                <w:szCs w:val="22"/>
                <w:lang w:eastAsia="uk-UA"/>
              </w:rPr>
              <w:lastRenderedPageBreak/>
              <w:t>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ТОВ «ТАРГЕТ ЕНЕРДЖІ»</w:t>
            </w:r>
          </w:p>
          <w:p w:rsidR="00CE1725" w:rsidRPr="00D32097" w:rsidRDefault="00CE1725" w:rsidP="00CE1725">
            <w:pPr>
              <w:pStyle w:val="rvps2"/>
              <w:shd w:val="clear" w:color="auto" w:fill="FFFFFF"/>
              <w:spacing w:before="0" w:beforeAutospacing="0" w:after="150" w:afterAutospacing="0"/>
              <w:ind w:firstLine="235"/>
              <w:jc w:val="both"/>
              <w:rPr>
                <w:rFonts w:ascii="Times New Roman" w:hAnsi="Times New Roman" w:cs="Times New Roman"/>
                <w:b/>
                <w:bCs/>
                <w:sz w:val="22"/>
                <w:szCs w:val="22"/>
              </w:rPr>
            </w:pPr>
            <w:r w:rsidRPr="00D32097">
              <w:rPr>
                <w:rFonts w:ascii="Times New Roman" w:hAnsi="Times New Roman" w:cs="Times New Roman"/>
                <w:b/>
                <w:bCs/>
                <w:sz w:val="22"/>
                <w:szCs w:val="22"/>
              </w:rPr>
              <w:lastRenderedPageBreak/>
              <w:t>5.1. Плата за нестандартне приєднання «під ключ»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b/>
                <w:bCs/>
                <w:sz w:val="22"/>
                <w:szCs w:val="22"/>
                <w:vertAlign w:val="subscript"/>
              </w:rPr>
              <w:t>вст</w:t>
            </w:r>
            <w:proofErr w:type="spellEnd"/>
            <w:r w:rsidRPr="00D32097">
              <w:rPr>
                <w:rStyle w:val="rvts40"/>
                <w:rFonts w:ascii="Times New Roman" w:hAnsi="Times New Roman" w:cs="Times New Roman"/>
                <w:b/>
                <w:bCs/>
                <w:sz w:val="22"/>
                <w:szCs w:val="22"/>
                <w:vertAlign w:val="subscript"/>
              </w:rPr>
              <w:t xml:space="preserve">, </w:t>
            </w:r>
            <w:r w:rsidRPr="00D32097">
              <w:rPr>
                <w:rFonts w:ascii="Times New Roman" w:hAnsi="Times New Roman" w:cs="Times New Roman"/>
                <w:b/>
                <w:bCs/>
                <w:sz w:val="22"/>
                <w:szCs w:val="22"/>
              </w:rPr>
              <w:t>з 01.05.2027, розраховується за формулою</w:t>
            </w:r>
          </w:p>
          <w:p w:rsidR="00CE1725" w:rsidRPr="00D32097" w:rsidRDefault="002D57C8" w:rsidP="00CE1725">
            <w:pPr>
              <w:pStyle w:val="rvps2"/>
              <w:spacing w:before="0" w:beforeAutospacing="0" w:after="150" w:afterAutospacing="0"/>
              <w:ind w:firstLine="235"/>
              <w:jc w:val="both"/>
              <w:rPr>
                <w:rFonts w:ascii="Times New Roman" w:hAnsi="Times New Roman" w:cs="Times New Roman"/>
                <w:color w:val="333333"/>
                <w:sz w:val="22"/>
                <w:szCs w:val="22"/>
                <w:shd w:val="clear" w:color="auto" w:fill="FFFFFF"/>
              </w:rPr>
            </w:pPr>
            <m:oMathPara>
              <m:oMath>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П</m:t>
                    </m:r>
                  </m:e>
                  <m:sub>
                    <m:r>
                      <w:rPr>
                        <w:rFonts w:ascii="Cambria Math" w:hAnsi="Cambria Math" w:cs="Times New Roman"/>
                        <w:sz w:val="22"/>
                        <w:szCs w:val="22"/>
                      </w:rPr>
                      <m:t>нст</m:t>
                    </m:r>
                  </m:sub>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заявлена</m:t>
                    </m:r>
                  </m:sub>
                  <m:sup>
                    <m:r>
                      <w:rPr>
                        <w:rFonts w:ascii="Cambria Math" w:eastAsiaTheme="minorHAnsi" w:hAnsi="Cambria Math" w:cs="Times New Roman"/>
                        <w:sz w:val="22"/>
                        <w:szCs w:val="22"/>
                        <w:lang w:eastAsia="en-US"/>
                      </w:rPr>
                      <m:t>відбір</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Р</m:t>
                    </m:r>
                  </m:e>
                  <m:sub>
                    <m:r>
                      <w:rPr>
                        <w:rFonts w:ascii="Cambria Math" w:hAnsi="Cambria Math" w:cs="Times New Roman"/>
                        <w:sz w:val="22"/>
                        <w:szCs w:val="22"/>
                      </w:rPr>
                      <m:t>заявлена</m:t>
                    </m:r>
                  </m:sub>
                  <m:sup>
                    <m:r>
                      <w:rPr>
                        <w:rFonts w:ascii="Cambria Math" w:eastAsiaTheme="minorHAnsi" w:hAnsi="Cambria Math" w:cs="Times New Roman"/>
                        <w:sz w:val="22"/>
                        <w:szCs w:val="22"/>
                        <w:lang w:eastAsia="en-US"/>
                      </w:rPr>
                      <m:t>відпуск</m:t>
                    </m:r>
                  </m:sup>
                </m:sSubSup>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eastAsiaTheme="minorHAnsi" w:hAnsi="Cambria Math" w:cs="Times New Roman"/>
                        <w:i/>
                        <w:sz w:val="22"/>
                        <w:szCs w:val="22"/>
                        <w:lang w:eastAsia="en-US"/>
                      </w:rPr>
                    </m:ctrlPr>
                  </m:sSubPr>
                  <m:e>
                    <m:r>
                      <w:rPr>
                        <w:rFonts w:ascii="Cambria Math" w:eastAsiaTheme="minorHAnsi" w:hAnsi="Cambria Math" w:cs="Times New Roman"/>
                        <w:sz w:val="22"/>
                        <w:szCs w:val="22"/>
                        <w:lang w:eastAsia="en-US"/>
                      </w:rPr>
                      <m:t>l</m:t>
                    </m:r>
                  </m:e>
                  <m:sub>
                    <m:r>
                      <w:rPr>
                        <w:rFonts w:ascii="Cambria Math" w:eastAsiaTheme="minorHAnsi" w:hAnsi="Cambria Math" w:cs="Times New Roman"/>
                        <w:sz w:val="22"/>
                        <w:szCs w:val="22"/>
                        <w:lang w:eastAsia="en-US"/>
                      </w:rPr>
                      <m:t>м</m:t>
                    </m:r>
                  </m:sub>
                </m:sSub>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4"/>
            </w:tblGrid>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235"/>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потужність відбору, замовлена до приєднання;</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235"/>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b/>
                      <w:sz w:val="22"/>
                      <w:szCs w:val="22"/>
                    </w:rPr>
                    <w:t>потужність відпуску, замовлена до приєднання</w:t>
                  </w:r>
                  <w:r w:rsidRPr="00D32097">
                    <w:rPr>
                      <w:sz w:val="22"/>
                      <w:szCs w:val="22"/>
                    </w:rP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електроустановок споживача, що призначені для споживання електричної енергії, за механізмом </w:t>
                  </w:r>
                  <w:proofErr w:type="spellStart"/>
                  <w:r w:rsidRPr="00D32097">
                    <w:rPr>
                      <w:sz w:val="22"/>
                      <w:szCs w:val="22"/>
                    </w:rPr>
                    <w:t>самовиробництва</w:t>
                  </w:r>
                  <w:proofErr w:type="spellEnd"/>
                  <w:r w:rsidRPr="00D32097">
                    <w:rPr>
                      <w:sz w:val="22"/>
                      <w:szCs w:val="22"/>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235"/>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к,н,зтт,місц,с</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призначених для споживання електричної енергії,</w:t>
                  </w:r>
                  <w:r w:rsidRPr="00D32097">
                    <w:rPr>
                      <w:sz w:val="22"/>
                      <w:szCs w:val="22"/>
                    </w:rPr>
                    <w:t xml:space="preserve"> тис. грн/кВт (без ПДВ), визначається за формулою 6 цієї Методики, встановлюється НКРЕКП та диференціюється за такими індексами:</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к</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категорія надійності електропостачання згідно з ПУЕ, заявлена замовником;</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індекс рівня напруги в точці приєднання (0,4 (0,23); 6 (10) 20; 27 (35); (110 (154));</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roofErr w:type="spellStart"/>
                  <w:r w:rsidRPr="00D32097">
                    <w:rPr>
                      <w:sz w:val="22"/>
                      <w:szCs w:val="22"/>
                    </w:rPr>
                    <w:t>зтт</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індекс завантаження трансформаторних підстанцій основної мережі напругою 35 - 110(154) кВ оператора системи розподілу в межах територіальної одиниці оператора системи розподілу;</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roofErr w:type="spellStart"/>
                  <w:r w:rsidRPr="00D32097">
                    <w:rPr>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 xml:space="preserve">місцезнаходження електроустановок </w:t>
                  </w:r>
                  <w:r w:rsidRPr="00D32097">
                    <w:rPr>
                      <w:sz w:val="22"/>
                      <w:szCs w:val="22"/>
                    </w:rPr>
                    <w:lastRenderedPageBreak/>
                    <w:t>замовника (міська, сільська місцевість);</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trike/>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trike/>
                      <w:sz w:val="22"/>
                      <w:szCs w:val="22"/>
                    </w:rPr>
                  </w:pPr>
                  <w:proofErr w:type="spellStart"/>
                  <w:r w:rsidRPr="00D32097">
                    <w:rPr>
                      <w:strike/>
                      <w:sz w:val="22"/>
                      <w:szCs w:val="22"/>
                    </w:rPr>
                    <w:t>св</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trike/>
                      <w:sz w:val="22"/>
                      <w:szCs w:val="22"/>
                    </w:rPr>
                  </w:pPr>
                  <w:r w:rsidRPr="00D32097">
                    <w:rPr>
                      <w:strike/>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trike/>
                      <w:sz w:val="22"/>
                      <w:szCs w:val="22"/>
                    </w:rPr>
                  </w:pPr>
                  <w:r w:rsidRPr="00D32097">
                    <w:rPr>
                      <w:strike/>
                      <w:sz w:val="22"/>
                      <w:szCs w:val="22"/>
                    </w:rPr>
                    <w:t>індекс типу електроустановки, що приєднується (с- електроустановка, призначена для споживання електричної енергії; в- електроустановка, призначена для виробництва електричної енергії);</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235"/>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С</m:t>
                          </m:r>
                        </m:e>
                        <m:sub>
                          <m:r>
                            <w:rPr>
                              <w:rFonts w:ascii="Cambria Math" w:hAnsi="Cambria Math"/>
                              <w:sz w:val="22"/>
                              <w:szCs w:val="22"/>
                            </w:rPr>
                            <m:t>нст</m:t>
                          </m:r>
                        </m:sub>
                        <m:sup>
                          <m:r>
                            <w:rPr>
                              <w:rFonts w:ascii="Cambria Math" w:hAnsi="Cambria Math"/>
                              <w:sz w:val="22"/>
                              <w:szCs w:val="22"/>
                            </w:rPr>
                            <m:t>к,н,зтт,місц,в</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ставка плати за нестандартне приєднання потужності електроустановок</w:t>
                  </w:r>
                  <w:r w:rsidRPr="00D32097">
                    <w:rPr>
                      <w:b/>
                      <w:sz w:val="22"/>
                      <w:szCs w:val="22"/>
                    </w:rPr>
                    <w:t>, призначених для виробництва електричної енергії,</w:t>
                  </w:r>
                  <w:r w:rsidRPr="00D32097">
                    <w:rPr>
                      <w:sz w:val="22"/>
                      <w:szCs w:val="22"/>
                    </w:rPr>
                    <w:t xml:space="preserve"> тис. грн/кВт (без ПДВ), визначається за формулою 7 цієї Методики, встановлюється НКРЕКП та диференціюється за такими індексами:</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к</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235"/>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категорія надійності електропостачання згідно з ПУЕ, заявлена замовником;</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н</w:t>
                  </w:r>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235"/>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 xml:space="preserve">індекс рівня напруги в точці приєднання (0,4 </w:t>
                  </w:r>
                  <w:r w:rsidRPr="00D32097">
                    <w:rPr>
                      <w:b/>
                      <w:sz w:val="22"/>
                      <w:szCs w:val="22"/>
                    </w:rPr>
                    <w:lastRenderedPageBreak/>
                    <w:t>(0,23); 6 (10) 20; 27 (35); (110 (154));</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proofErr w:type="spellStart"/>
                  <w:r w:rsidRPr="00D32097">
                    <w:rPr>
                      <w:b/>
                      <w:sz w:val="22"/>
                      <w:szCs w:val="22"/>
                    </w:rPr>
                    <w:t>місц</w:t>
                  </w:r>
                  <w:proofErr w:type="spellEnd"/>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235"/>
                    <w:jc w:val="center"/>
                    <w:rPr>
                      <w:b/>
                      <w:sz w:val="22"/>
                      <w:szCs w:val="22"/>
                    </w:rPr>
                  </w:pPr>
                  <w:r w:rsidRPr="00D32097">
                    <w:rPr>
                      <w:b/>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235"/>
                    <w:rPr>
                      <w:b/>
                      <w:sz w:val="22"/>
                      <w:szCs w:val="22"/>
                    </w:rPr>
                  </w:pPr>
                  <w:r w:rsidRPr="00D32097">
                    <w:rPr>
                      <w:b/>
                      <w:sz w:val="22"/>
                      <w:szCs w:val="22"/>
                    </w:rPr>
                    <w:t>місцезнаходження електроустановок замовника (міська, сільська місцевість);</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noProof/>
                      <w:color w:val="004BC1"/>
                      <w:sz w:val="22"/>
                      <w:szCs w:val="22"/>
                    </w:rPr>
                    <w:drawing>
                      <wp:inline distT="0" distB="0" distL="0" distR="0" wp14:anchorId="2B892160" wp14:editId="46D21C1E">
                        <wp:extent cx="523875" cy="219075"/>
                        <wp:effectExtent l="0" t="0" r="9525" b="9525"/>
                        <wp:docPr id="4" name="Рисунок 4" descr="https://zakon.rada.gov.ua/laws/file/imgs/117/p480243n270v1-15.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zakon.rada.gov.ua/laws/file/imgs/117/p480243n270v1-15.gif">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ставка плати за створення електричних мереж лінійної частини приєднання визначається за формулою 10 цієї Методики, встановлюється НКРЕКП та диференціюється за такими індексами:</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л</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 xml:space="preserve">індекс типу лінії </w:t>
                  </w:r>
                  <w:proofErr w:type="spellStart"/>
                  <w:r w:rsidRPr="00D32097">
                    <w:rPr>
                      <w:sz w:val="22"/>
                      <w:szCs w:val="22"/>
                    </w:rPr>
                    <w:t>електропередавання</w:t>
                  </w:r>
                  <w:proofErr w:type="spellEnd"/>
                  <w:r w:rsidRPr="00D32097">
                    <w:rPr>
                      <w:sz w:val="22"/>
                      <w:szCs w:val="22"/>
                    </w:rPr>
                    <w:t xml:space="preserve"> (повітряна або кабельна);</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н</w:t>
                  </w:r>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індекс рівня напруги в точці приєднання (0,4 (0,23); 6 (10) 20; 27 (35); (110 (154));</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roofErr w:type="spellStart"/>
                  <w:r w:rsidRPr="00D32097">
                    <w:rPr>
                      <w:sz w:val="22"/>
                      <w:szCs w:val="22"/>
                    </w:rPr>
                    <w:t>зем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індекс розташування точки приєднання у відношенні до земельної ділянки замовника;</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proofErr w:type="spellStart"/>
                  <w:r w:rsidRPr="00D32097">
                    <w:rPr>
                      <w:sz w:val="22"/>
                      <w:szCs w:val="22"/>
                    </w:rPr>
                    <w:t>l</w:t>
                  </w:r>
                  <w:r w:rsidRPr="00D32097">
                    <w:rPr>
                      <w:rStyle w:val="rvts40"/>
                      <w:b/>
                      <w:bCs/>
                      <w:sz w:val="22"/>
                      <w:szCs w:val="22"/>
                      <w:vertAlign w:val="subscript"/>
                    </w:rPr>
                    <w:t>м</w:t>
                  </w:r>
                  <w:proofErr w:type="spellEnd"/>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235"/>
                    <w:jc w:val="center"/>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235"/>
                    <w:rPr>
                      <w:sz w:val="22"/>
                      <w:szCs w:val="22"/>
                    </w:rPr>
                  </w:pPr>
                  <w:r w:rsidRPr="00D32097">
                    <w:rPr>
                      <w:sz w:val="22"/>
                      <w:szCs w:val="22"/>
                    </w:rPr>
                    <w:t xml:space="preserve">відстань по прямій лінії від найближчої (найближчих) точки (точок) в існуючих (діючих) електричних </w:t>
                  </w:r>
                  <w:r w:rsidRPr="00D32097">
                    <w:rPr>
                      <w:sz w:val="22"/>
                      <w:szCs w:val="22"/>
                    </w:rPr>
                    <w:lastRenderedPageBreak/>
                    <w:t>мережах (повітряна лінія, трансформаторна підстанція або розподільний пункт) оператора системи розподілу (ступеня напруги, що відповідає ступеню напруги в точці приєднання) до точки приєднання електроустановок замовника, м.</w:t>
                  </w:r>
                </w:p>
              </w:tc>
            </w:tr>
          </w:tbl>
          <w:p w:rsidR="00CE1725" w:rsidRPr="00D32097" w:rsidRDefault="00CE1725" w:rsidP="00CE1725">
            <w:pPr>
              <w:ind w:firstLine="235"/>
              <w:contextualSpacing/>
              <w:jc w:val="both"/>
              <w:rPr>
                <w:rFonts w:ascii="Times New Roman" w:hAnsi="Times New Roman" w:cs="Times New Roman"/>
                <w:b/>
                <w:color w:val="000000"/>
                <w:sz w:val="22"/>
                <w:szCs w:val="22"/>
                <w:u w:val="single"/>
              </w:rPr>
            </w:pPr>
          </w:p>
        </w:tc>
        <w:tc>
          <w:tcPr>
            <w:tcW w:w="3899" w:type="dxa"/>
          </w:tcPr>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lastRenderedPageBreak/>
              <w:t xml:space="preserve">Впровадження механізму розрахунку плати за приєднання до мереж </w:t>
            </w:r>
            <w:r w:rsidRPr="00D32097">
              <w:rPr>
                <w:rFonts w:ascii="Times New Roman" w:hAnsi="Times New Roman" w:cs="Times New Roman"/>
                <w:sz w:val="22"/>
                <w:szCs w:val="24"/>
                <w:lang w:eastAsia="uk-UA"/>
              </w:rPr>
              <w:lastRenderedPageBreak/>
              <w:t>ОСР/ОСП (з урахуванням потужності відбору та/або відпуску, що створюється) ускладнює та вносить невизначеність щодо виконання державою гарантій для суб’єктів господарювання,  у частині отримання  технічних умов на здійснення приєднання установок зберігання енергії до електричних мереж за первинним фінансовим плануванням, внаслідок чого фактично нівелюються гарантії та умови, які визначені у пункті 92 Розділу XVII «Прикінцеві та перехідні положення» Закону України «Про ринок електричної енергії».</w:t>
            </w:r>
          </w:p>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З урахуванням вищенаведеного пропонуємо, у Главі 5 пункту 5.1 постанови НКРЕКП «Про затвердження Змін до Методики (порядку) формування плати за приєднання до системи передачі та системи розподілу».</w:t>
            </w:r>
          </w:p>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Абзацом першим пункту 92 Розділу XVII «Прикінцеві та перехідні положення» Закону України «Про ринок електричної енергії» передбачено, що до 30 квітня 2037 року оператор установки зберігання енергії, введеної в експлуатацію до 30 квітня 2027 року (а оператор установки зберігання енергії, який здійснює діяльність із зберігання енергії на </w:t>
            </w:r>
            <w:proofErr w:type="spellStart"/>
            <w:r w:rsidRPr="00D32097">
              <w:rPr>
                <w:rFonts w:ascii="Times New Roman" w:hAnsi="Times New Roman" w:cs="Times New Roman"/>
                <w:sz w:val="22"/>
                <w:szCs w:val="24"/>
                <w:lang w:eastAsia="uk-UA"/>
              </w:rPr>
              <w:t>гідроакумулюючих</w:t>
            </w:r>
            <w:proofErr w:type="spellEnd"/>
            <w:r w:rsidRPr="00D32097">
              <w:rPr>
                <w:rFonts w:ascii="Times New Roman" w:hAnsi="Times New Roman" w:cs="Times New Roman"/>
                <w:sz w:val="22"/>
                <w:szCs w:val="24"/>
                <w:lang w:eastAsia="uk-UA"/>
              </w:rPr>
              <w:t xml:space="preserve"> електростанціях, - лише щодо об’єктів електроенергетики або черг їх будівництва (пускових комплексів), які були введені в експлуатацію після нового будівництва, починаючи з 1 січня 2026 </w:t>
            </w:r>
            <w:r w:rsidRPr="00D32097">
              <w:rPr>
                <w:rFonts w:ascii="Times New Roman" w:hAnsi="Times New Roman" w:cs="Times New Roman"/>
                <w:sz w:val="22"/>
                <w:szCs w:val="24"/>
                <w:lang w:eastAsia="uk-UA"/>
              </w:rPr>
              <w:lastRenderedPageBreak/>
              <w:t>року), або суб’єкт, що увів в експлуатацію установку зберігання енергії після нового будівництва до 30 квітня 2028 року, але станом на 30 квітня 2027 року мав чинні технічні умови на здійснення приєднання такої установки зберігання енергії до електричних мереж, право власності або користування на земельну ділянку та/або інший об’єкт нерухомого майна, де планується здійснення будівництва або встановлення такої установки зберігання енергії, а також документи, що надають право на виконання будівельних робіт з будівництва такої установки зберігання енергії, сплачує плату за послуги з передачі електричної енергії, розподілу електричної енергії, плату за послуги з диспетчерського (</w:t>
            </w:r>
            <w:proofErr w:type="spellStart"/>
            <w:r w:rsidRPr="00D32097">
              <w:rPr>
                <w:rFonts w:ascii="Times New Roman" w:hAnsi="Times New Roman" w:cs="Times New Roman"/>
                <w:sz w:val="22"/>
                <w:szCs w:val="24"/>
                <w:lang w:eastAsia="uk-UA"/>
              </w:rPr>
              <w:t>оперативно</w:t>
            </w:r>
            <w:proofErr w:type="spellEnd"/>
            <w:r w:rsidRPr="00D32097">
              <w:rPr>
                <w:rFonts w:ascii="Times New Roman" w:hAnsi="Times New Roman" w:cs="Times New Roman"/>
                <w:sz w:val="22"/>
                <w:szCs w:val="24"/>
                <w:lang w:eastAsia="uk-UA"/>
              </w:rPr>
              <w:t xml:space="preserve">-технологічного) управління, яка розраховується на обсяг абсолютної величини різниці між місячним відбором та місячним відпуском електричної енергії установкою зберігання енергії за відповідними тарифами, на умовах, визначених кодексом системи передачі, кодексом систем розподілу та правилами роздрібного ринку електричної енергії в редакції, що діяла станом на 30 квітня 2027 року. Такий оператор (а оператор установки зберігання енергії, який здійснює діяльність із зберігання енергії на </w:t>
            </w:r>
            <w:proofErr w:type="spellStart"/>
            <w:r w:rsidRPr="00D32097">
              <w:rPr>
                <w:rFonts w:ascii="Times New Roman" w:hAnsi="Times New Roman" w:cs="Times New Roman"/>
                <w:sz w:val="22"/>
                <w:szCs w:val="24"/>
                <w:lang w:eastAsia="uk-UA"/>
              </w:rPr>
              <w:t>гідроакумулюючих</w:t>
            </w:r>
            <w:proofErr w:type="spellEnd"/>
            <w:r w:rsidRPr="00D32097">
              <w:rPr>
                <w:rFonts w:ascii="Times New Roman" w:hAnsi="Times New Roman" w:cs="Times New Roman"/>
                <w:sz w:val="22"/>
                <w:szCs w:val="24"/>
                <w:lang w:eastAsia="uk-UA"/>
              </w:rPr>
              <w:t xml:space="preserve"> електростанціях - лише щодо об’єктів електроенергетики або черг їх будівництва (пускових комплексів), які були введені в експлуатацію після </w:t>
            </w:r>
            <w:r w:rsidRPr="00D32097">
              <w:rPr>
                <w:rFonts w:ascii="Times New Roman" w:hAnsi="Times New Roman" w:cs="Times New Roman"/>
                <w:sz w:val="22"/>
                <w:szCs w:val="24"/>
                <w:lang w:eastAsia="uk-UA"/>
              </w:rPr>
              <w:lastRenderedPageBreak/>
              <w:t>нового будівництва, починаючи з 1 січня 2026 року) або суб’єкт має право в будь-який час, починаючи з 1 травня 2027 року, почати сплачувати плату за послуги з передачі електричної енергії, розподілу електричної енергії, плату за послуги з диспетчерського (</w:t>
            </w:r>
            <w:proofErr w:type="spellStart"/>
            <w:r w:rsidRPr="00D32097">
              <w:rPr>
                <w:rFonts w:ascii="Times New Roman" w:hAnsi="Times New Roman" w:cs="Times New Roman"/>
                <w:sz w:val="22"/>
                <w:szCs w:val="24"/>
                <w:lang w:eastAsia="uk-UA"/>
              </w:rPr>
              <w:t>оперативно</w:t>
            </w:r>
            <w:proofErr w:type="spellEnd"/>
            <w:r w:rsidRPr="00D32097">
              <w:rPr>
                <w:rFonts w:ascii="Times New Roman" w:hAnsi="Times New Roman" w:cs="Times New Roman"/>
                <w:sz w:val="22"/>
                <w:szCs w:val="24"/>
                <w:lang w:eastAsia="uk-UA"/>
              </w:rPr>
              <w:t>-технологічного) управління у порядку, встановленому Регулятором відповідно до вимог, визначених частиною восьмою статті 30-1 цього Закону.</w:t>
            </w:r>
          </w:p>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Таким чином, впровадження додаткової плати (з урахуванням потужності відбору та/або відпуску, що створюється) за приєднання до мереж ОСР/ОСП створює об’єктивну загрозу щодо розбудови суб’єктами господарювання об’єктів балансуючих </w:t>
            </w:r>
            <w:proofErr w:type="spellStart"/>
            <w:r w:rsidRPr="00D32097">
              <w:rPr>
                <w:rFonts w:ascii="Times New Roman" w:hAnsi="Times New Roman" w:cs="Times New Roman"/>
                <w:sz w:val="22"/>
                <w:szCs w:val="24"/>
                <w:lang w:eastAsia="uk-UA"/>
              </w:rPr>
              <w:t>потужностей</w:t>
            </w:r>
            <w:proofErr w:type="spellEnd"/>
            <w:r w:rsidRPr="00D32097">
              <w:rPr>
                <w:rFonts w:ascii="Times New Roman" w:hAnsi="Times New Roman" w:cs="Times New Roman"/>
                <w:sz w:val="22"/>
                <w:szCs w:val="24"/>
                <w:lang w:eastAsia="uk-UA"/>
              </w:rPr>
              <w:t xml:space="preserve">, що у свою чергу призводить до дефіциту балансуючих </w:t>
            </w:r>
            <w:proofErr w:type="spellStart"/>
            <w:r w:rsidRPr="00D32097">
              <w:rPr>
                <w:rFonts w:ascii="Times New Roman" w:hAnsi="Times New Roman" w:cs="Times New Roman"/>
                <w:sz w:val="22"/>
                <w:szCs w:val="24"/>
                <w:lang w:eastAsia="uk-UA"/>
              </w:rPr>
              <w:t>потужностей</w:t>
            </w:r>
            <w:proofErr w:type="spellEnd"/>
            <w:r w:rsidRPr="00D32097">
              <w:rPr>
                <w:rFonts w:ascii="Times New Roman" w:hAnsi="Times New Roman" w:cs="Times New Roman"/>
                <w:sz w:val="22"/>
                <w:szCs w:val="24"/>
                <w:lang w:eastAsia="uk-UA"/>
              </w:rPr>
              <w:t xml:space="preserve"> у пікові години навантажень, які виникли внаслідок систематичного знищення </w:t>
            </w:r>
            <w:proofErr w:type="spellStart"/>
            <w:r w:rsidRPr="00D32097">
              <w:rPr>
                <w:rFonts w:ascii="Times New Roman" w:hAnsi="Times New Roman" w:cs="Times New Roman"/>
                <w:sz w:val="22"/>
                <w:szCs w:val="24"/>
                <w:lang w:eastAsia="uk-UA"/>
              </w:rPr>
              <w:t>рф</w:t>
            </w:r>
            <w:proofErr w:type="spellEnd"/>
            <w:r w:rsidRPr="00D32097">
              <w:rPr>
                <w:rFonts w:ascii="Times New Roman" w:hAnsi="Times New Roman" w:cs="Times New Roman"/>
                <w:sz w:val="22"/>
                <w:szCs w:val="24"/>
                <w:lang w:eastAsia="uk-UA"/>
              </w:rPr>
              <w:t xml:space="preserve"> об’єктів генерації та балансуючих </w:t>
            </w:r>
            <w:proofErr w:type="spellStart"/>
            <w:r w:rsidRPr="00D32097">
              <w:rPr>
                <w:rFonts w:ascii="Times New Roman" w:hAnsi="Times New Roman" w:cs="Times New Roman"/>
                <w:sz w:val="22"/>
                <w:szCs w:val="24"/>
                <w:lang w:eastAsia="uk-UA"/>
              </w:rPr>
              <w:t>потужностей</w:t>
            </w:r>
            <w:proofErr w:type="spellEnd"/>
            <w:r w:rsidRPr="00D32097">
              <w:rPr>
                <w:rFonts w:ascii="Times New Roman" w:hAnsi="Times New Roman" w:cs="Times New Roman"/>
                <w:sz w:val="22"/>
                <w:szCs w:val="24"/>
                <w:lang w:eastAsia="uk-UA"/>
              </w:rPr>
              <w:t>.</w:t>
            </w:r>
          </w:p>
          <w:p w:rsidR="00CE1725" w:rsidRPr="00D32097" w:rsidRDefault="00CE1725" w:rsidP="00CE1725">
            <w:pPr>
              <w:shd w:val="clear" w:color="auto" w:fill="FFFFFF"/>
              <w:spacing w:after="150"/>
              <w:ind w:firstLine="161"/>
              <w:jc w:val="both"/>
              <w:rPr>
                <w:sz w:val="22"/>
                <w:szCs w:val="24"/>
                <w:lang w:eastAsia="uk-UA"/>
              </w:rPr>
            </w:pPr>
            <w:r w:rsidRPr="00D32097">
              <w:rPr>
                <w:rFonts w:ascii="Times New Roman" w:hAnsi="Times New Roman" w:cs="Times New Roman"/>
                <w:sz w:val="22"/>
                <w:szCs w:val="24"/>
                <w:lang w:eastAsia="uk-UA"/>
              </w:rPr>
              <w:t xml:space="preserve"> Окрім зазначеного, вищенаведене зумовлює додаткові фінансові витрати та пошук додаткових джерел фінансування для суб’єктів господарювання, які під час воєнного стану та постійних атак на енергетичну інфраструктуру України, здійснюють будівництво відповідних балансуючих </w:t>
            </w:r>
            <w:proofErr w:type="spellStart"/>
            <w:r w:rsidRPr="00D32097">
              <w:rPr>
                <w:rFonts w:ascii="Times New Roman" w:hAnsi="Times New Roman" w:cs="Times New Roman"/>
                <w:sz w:val="22"/>
                <w:szCs w:val="24"/>
                <w:lang w:eastAsia="uk-UA"/>
              </w:rPr>
              <w:t>потужностей</w:t>
            </w:r>
            <w:proofErr w:type="spellEnd"/>
            <w:r w:rsidRPr="00D32097">
              <w:rPr>
                <w:rFonts w:ascii="Times New Roman" w:hAnsi="Times New Roman" w:cs="Times New Roman"/>
                <w:sz w:val="22"/>
                <w:szCs w:val="24"/>
                <w:lang w:eastAsia="uk-UA"/>
              </w:rPr>
              <w:t>.</w:t>
            </w: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pStyle w:val="rvps2"/>
              <w:shd w:val="clear" w:color="auto" w:fill="FFFFFF"/>
              <w:spacing w:before="0" w:beforeAutospacing="0" w:after="0" w:afterAutospacing="0"/>
              <w:ind w:firstLine="377"/>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УАВЕ</w:t>
            </w:r>
          </w:p>
          <w:p w:rsidR="00CE1725" w:rsidRPr="00D32097" w:rsidRDefault="00CE1725" w:rsidP="00CE1725">
            <w:pPr>
              <w:pStyle w:val="rvps2"/>
              <w:shd w:val="clear" w:color="auto" w:fill="FFFFFF"/>
              <w:spacing w:before="0" w:beforeAutospacing="0" w:after="150" w:afterAutospacing="0"/>
              <w:ind w:firstLine="377"/>
              <w:jc w:val="both"/>
              <w:rPr>
                <w:rFonts w:ascii="Times New Roman" w:hAnsi="Times New Roman" w:cs="Times New Roman"/>
                <w:sz w:val="22"/>
                <w:szCs w:val="22"/>
              </w:rPr>
            </w:pPr>
            <w:r w:rsidRPr="00D32097">
              <w:rPr>
                <w:rFonts w:ascii="Times New Roman" w:hAnsi="Times New Roman" w:cs="Times New Roman"/>
                <w:sz w:val="22"/>
                <w:szCs w:val="22"/>
              </w:rPr>
              <w:t>5.1. Плата за нестандартне приєднання «під ключ»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sz w:val="22"/>
                <w:szCs w:val="22"/>
                <w:vertAlign w:val="subscript"/>
              </w:rPr>
              <w:t>н</w:t>
            </w:r>
            <w:r w:rsidRPr="00D32097">
              <w:rPr>
                <w:rStyle w:val="rvts40"/>
                <w:rFonts w:ascii="Times New Roman" w:hAnsi="Times New Roman" w:cs="Times New Roman"/>
                <w:b/>
                <w:bCs/>
                <w:sz w:val="22"/>
                <w:szCs w:val="22"/>
                <w:vertAlign w:val="subscript"/>
              </w:rPr>
              <w:t>ст</w:t>
            </w:r>
            <w:proofErr w:type="spellEnd"/>
            <w:r w:rsidRPr="00D32097">
              <w:rPr>
                <w:rFonts w:ascii="Times New Roman" w:hAnsi="Times New Roman" w:cs="Times New Roman"/>
                <w:sz w:val="22"/>
                <w:szCs w:val="22"/>
              </w:rPr>
              <w:t> розраховується за формулою:</w:t>
            </w:r>
          </w:p>
          <w:p w:rsidR="00CE1725" w:rsidRPr="00D32097" w:rsidRDefault="002D57C8" w:rsidP="00CE1725">
            <w:pPr>
              <w:pStyle w:val="rvps2"/>
              <w:spacing w:before="0" w:beforeAutospacing="0" w:after="150" w:afterAutospacing="0"/>
              <w:ind w:firstLine="377"/>
              <w:jc w:val="both"/>
              <w:rPr>
                <w:rFonts w:ascii="Times New Roman" w:hAnsi="Times New Roman" w:cs="Times New Roman"/>
                <w:bCs/>
                <w:color w:val="333333"/>
                <w:sz w:val="22"/>
                <w:szCs w:val="22"/>
                <w:shd w:val="clear" w:color="auto" w:fill="FFFFFF"/>
              </w:rPr>
            </w:pPr>
            <m:oMathPara>
              <m:oMath>
                <m:sSubSup>
                  <m:sSubSupPr>
                    <m:ctrlPr>
                      <w:rPr>
                        <w:rFonts w:ascii="Cambria Math" w:eastAsiaTheme="minorHAnsi" w:hAnsi="Cambria Math" w:cs="Times New Roman"/>
                        <w:b/>
                        <w:sz w:val="22"/>
                        <w:szCs w:val="22"/>
                        <w:lang w:eastAsia="en-US"/>
                      </w:rPr>
                    </m:ctrlPr>
                  </m:sSubSupPr>
                  <m:e>
                    <m:r>
                      <m:rPr>
                        <m:sty m:val="bi"/>
                      </m:rPr>
                      <w:rPr>
                        <w:rFonts w:ascii="Cambria Math" w:hAnsi="Cambria Math" w:cs="Times New Roman"/>
                        <w:sz w:val="22"/>
                        <w:szCs w:val="22"/>
                      </w:rPr>
                      <m:t>П</m:t>
                    </m:r>
                  </m:e>
                  <m:sub>
                    <m:r>
                      <m:rPr>
                        <m:sty m:val="bi"/>
                      </m:rPr>
                      <w:rPr>
                        <w:rFonts w:ascii="Cambria Math" w:hAnsi="Cambria Math" w:cs="Times New Roman"/>
                        <w:sz w:val="22"/>
                        <w:szCs w:val="22"/>
                      </w:rPr>
                      <m:t>нст</m:t>
                    </m:r>
                  </m:sub>
                  <m:sup/>
                </m:sSubSup>
                <m:r>
                  <m:rPr>
                    <m:sty m:val="bi"/>
                  </m:rPr>
                  <w:rPr>
                    <w:rFonts w:ascii="Cambria Math" w:hAnsi="Cambria Math" w:cs="Times New Roman"/>
                    <w:sz w:val="22"/>
                    <w:szCs w:val="22"/>
                  </w:rPr>
                  <m:t>=</m:t>
                </m:r>
                <m:sSubSup>
                  <m:sSubSupPr>
                    <m:ctrlPr>
                      <w:rPr>
                        <w:rFonts w:ascii="Cambria Math" w:eastAsiaTheme="minorHAnsi" w:hAnsi="Cambria Math" w:cs="Times New Roman"/>
                        <w:b/>
                        <w:sz w:val="22"/>
                        <w:szCs w:val="22"/>
                        <w:lang w:eastAsia="en-US"/>
                      </w:rPr>
                    </m:ctrlPr>
                  </m:sSubSupPr>
                  <m:e>
                    <m:r>
                      <m:rPr>
                        <m:nor/>
                      </m:rPr>
                      <w:rPr>
                        <w:rFonts w:ascii="Times New Roman" w:hAnsi="Times New Roman" w:cs="Times New Roman"/>
                        <w:b/>
                        <w:sz w:val="22"/>
                        <w:szCs w:val="22"/>
                      </w:rPr>
                      <m:t>"</m:t>
                    </m:r>
                    <m:r>
                      <m:rPr>
                        <m:sty m:val="bi"/>
                      </m:rPr>
                      <w:rPr>
                        <w:rFonts w:ascii="Cambria Math" w:hAnsi="Cambria Math" w:cs="Times New Roman"/>
                        <w:sz w:val="22"/>
                        <w:szCs w:val="22"/>
                      </w:rPr>
                      <m:t>max" з величин Р</m:t>
                    </m:r>
                  </m:e>
                  <m:sub>
                    <m:r>
                      <m:rPr>
                        <m:sty m:val="bi"/>
                      </m:rPr>
                      <w:rPr>
                        <w:rFonts w:ascii="Cambria Math" w:hAnsi="Cambria Math" w:cs="Times New Roman"/>
                        <w:sz w:val="22"/>
                        <w:szCs w:val="22"/>
                      </w:rPr>
                      <m:t>заявлена</m:t>
                    </m:r>
                  </m:sub>
                  <m:sup>
                    <m:r>
                      <m:rPr>
                        <m:sty m:val="bi"/>
                      </m:rPr>
                      <w:rPr>
                        <w:rFonts w:ascii="Cambria Math" w:eastAsiaTheme="minorHAnsi" w:hAnsi="Cambria Math" w:cs="Times New Roman"/>
                        <w:sz w:val="22"/>
                        <w:szCs w:val="22"/>
                        <w:lang w:eastAsia="en-US"/>
                      </w:rPr>
                      <m:t>відбір</m:t>
                    </m:r>
                  </m:sup>
                </m:sSubSup>
                <m:r>
                  <m:rPr>
                    <m:sty m:val="bi"/>
                  </m:rPr>
                  <w:rPr>
                    <w:rFonts w:ascii="Cambria Math" w:hAnsi="Cambria Math" w:cs="Times New Roman"/>
                    <w:sz w:val="22"/>
                    <w:szCs w:val="22"/>
                  </w:rPr>
                  <m:t>×</m:t>
                </m:r>
                <m:sSubSup>
                  <m:sSubSupPr>
                    <m:ctrlPr>
                      <w:rPr>
                        <w:rFonts w:ascii="Cambria Math" w:eastAsiaTheme="minorHAnsi" w:hAnsi="Cambria Math" w:cs="Times New Roman"/>
                        <w:b/>
                        <w:sz w:val="22"/>
                        <w:szCs w:val="22"/>
                        <w:lang w:eastAsia="en-US"/>
                      </w:rPr>
                    </m:ctrlPr>
                  </m:sSubSupPr>
                  <m:e>
                    <m:r>
                      <m:rPr>
                        <m:sty m:val="bi"/>
                      </m:rPr>
                      <w:rPr>
                        <w:rFonts w:ascii="Cambria Math" w:hAnsi="Cambria Math" w:cs="Times New Roman"/>
                        <w:sz w:val="22"/>
                        <w:szCs w:val="22"/>
                      </w:rPr>
                      <m:t>С</m:t>
                    </m:r>
                  </m:e>
                  <m:sub>
                    <m:r>
                      <m:rPr>
                        <m:sty m:val="bi"/>
                      </m:rPr>
                      <w:rPr>
                        <w:rFonts w:ascii="Cambria Math" w:hAnsi="Cambria Math" w:cs="Times New Roman"/>
                        <w:sz w:val="22"/>
                        <w:szCs w:val="22"/>
                      </w:rPr>
                      <m:t>нст</m:t>
                    </m:r>
                  </m:sub>
                  <m:sup>
                    <m:r>
                      <m:rPr>
                        <m:sty m:val="bi"/>
                      </m:rPr>
                      <w:rPr>
                        <w:rFonts w:ascii="Cambria Math" w:hAnsi="Cambria Math" w:cs="Times New Roman"/>
                        <w:sz w:val="22"/>
                        <w:szCs w:val="22"/>
                      </w:rPr>
                      <m:t>к,н,зтт,місц,с</m:t>
                    </m:r>
                  </m:sup>
                </m:sSubSup>
                <m:r>
                  <m:rPr>
                    <m:sty m:val="b"/>
                  </m:rPr>
                  <w:rPr>
                    <w:rFonts w:ascii="Cambria Math" w:eastAsiaTheme="minorHAnsi" w:hAnsi="Cambria Math" w:cs="Times New Roman"/>
                    <w:sz w:val="22"/>
                    <w:szCs w:val="22"/>
                    <w:lang w:eastAsia="en-US"/>
                  </w:rPr>
                  <m:t xml:space="preserve">  або </m:t>
                </m:r>
                <m:sSubSup>
                  <m:sSubSupPr>
                    <m:ctrlPr>
                      <w:rPr>
                        <w:rFonts w:ascii="Cambria Math" w:eastAsiaTheme="minorHAnsi" w:hAnsi="Cambria Math" w:cs="Times New Roman"/>
                        <w:b/>
                        <w:sz w:val="22"/>
                        <w:szCs w:val="22"/>
                        <w:lang w:eastAsia="en-US"/>
                      </w:rPr>
                    </m:ctrlPr>
                  </m:sSubSupPr>
                  <m:e>
                    <m:r>
                      <m:rPr>
                        <m:sty m:val="bi"/>
                      </m:rPr>
                      <w:rPr>
                        <w:rFonts w:ascii="Cambria Math" w:hAnsi="Cambria Math" w:cs="Times New Roman"/>
                        <w:sz w:val="22"/>
                        <w:szCs w:val="22"/>
                      </w:rPr>
                      <m:t>Р</m:t>
                    </m:r>
                  </m:e>
                  <m:sub>
                    <m:r>
                      <m:rPr>
                        <m:sty m:val="bi"/>
                      </m:rPr>
                      <w:rPr>
                        <w:rFonts w:ascii="Cambria Math" w:hAnsi="Cambria Math" w:cs="Times New Roman"/>
                        <w:sz w:val="22"/>
                        <w:szCs w:val="22"/>
                      </w:rPr>
                      <m:t>заявлена</m:t>
                    </m:r>
                  </m:sub>
                  <m:sup>
                    <m:r>
                      <m:rPr>
                        <m:sty m:val="bi"/>
                      </m:rPr>
                      <w:rPr>
                        <w:rFonts w:ascii="Cambria Math" w:eastAsiaTheme="minorHAnsi" w:hAnsi="Cambria Math" w:cs="Times New Roman"/>
                        <w:sz w:val="22"/>
                        <w:szCs w:val="22"/>
                        <w:lang w:eastAsia="en-US"/>
                      </w:rPr>
                      <m:t>відпуск</m:t>
                    </m:r>
                  </m:sup>
                </m:sSubSup>
                <m:r>
                  <m:rPr>
                    <m:sty m:val="bi"/>
                  </m:rPr>
                  <w:rPr>
                    <w:rFonts w:ascii="Cambria Math" w:hAnsi="Cambria Math" w:cs="Times New Roman"/>
                    <w:sz w:val="22"/>
                    <w:szCs w:val="22"/>
                  </w:rPr>
                  <m:t>×</m:t>
                </m:r>
                <m:sSubSup>
                  <m:sSubSupPr>
                    <m:ctrlPr>
                      <w:rPr>
                        <w:rFonts w:ascii="Cambria Math" w:eastAsiaTheme="minorHAnsi" w:hAnsi="Cambria Math" w:cs="Times New Roman"/>
                        <w:b/>
                        <w:sz w:val="22"/>
                        <w:szCs w:val="22"/>
                        <w:lang w:eastAsia="en-US"/>
                      </w:rPr>
                    </m:ctrlPr>
                  </m:sSubSupPr>
                  <m:e>
                    <m:r>
                      <m:rPr>
                        <m:sty m:val="bi"/>
                      </m:rPr>
                      <w:rPr>
                        <w:rFonts w:ascii="Cambria Math" w:hAnsi="Cambria Math" w:cs="Times New Roman"/>
                        <w:sz w:val="22"/>
                        <w:szCs w:val="22"/>
                      </w:rPr>
                      <m:t>С</m:t>
                    </m:r>
                  </m:e>
                  <m:sub>
                    <m:r>
                      <m:rPr>
                        <m:sty m:val="bi"/>
                      </m:rPr>
                      <w:rPr>
                        <w:rFonts w:ascii="Cambria Math" w:hAnsi="Cambria Math" w:cs="Times New Roman"/>
                        <w:sz w:val="22"/>
                        <w:szCs w:val="22"/>
                      </w:rPr>
                      <m:t>нст</m:t>
                    </m:r>
                  </m:sub>
                  <m:sup>
                    <m:r>
                      <m:rPr>
                        <m:sty m:val="bi"/>
                      </m:rPr>
                      <w:rPr>
                        <w:rFonts w:ascii="Cambria Math" w:hAnsi="Cambria Math" w:cs="Times New Roman"/>
                        <w:sz w:val="22"/>
                        <w:szCs w:val="22"/>
                      </w:rPr>
                      <m:t>к,н,зтт,місц,в</m:t>
                    </m:r>
                  </m:sup>
                </m:sSubSup>
                <m:r>
                  <m:rPr>
                    <m:sty m:val="bi"/>
                  </m:rPr>
                  <w:rPr>
                    <w:rFonts w:ascii="Cambria Math" w:hAnsi="Cambria Math" w:cs="Times New Roman"/>
                    <w:sz w:val="22"/>
                    <w:szCs w:val="22"/>
                  </w:rPr>
                  <m:t>+</m:t>
                </m:r>
                <m:sSub>
                  <m:sSubPr>
                    <m:ctrlPr>
                      <w:rPr>
                        <w:rFonts w:ascii="Cambria Math" w:eastAsiaTheme="minorHAnsi" w:hAnsi="Cambria Math" w:cs="Times New Roman"/>
                        <w:b/>
                        <w:i/>
                        <w:sz w:val="22"/>
                        <w:szCs w:val="22"/>
                        <w:lang w:eastAsia="en-US"/>
                      </w:rPr>
                    </m:ctrlPr>
                  </m:sSubPr>
                  <m:e>
                    <m:r>
                      <m:rPr>
                        <m:sty m:val="bi"/>
                      </m:rPr>
                      <w:rPr>
                        <w:rFonts w:ascii="Cambria Math" w:eastAsiaTheme="minorHAnsi" w:hAnsi="Cambria Math" w:cs="Times New Roman"/>
                        <w:sz w:val="22"/>
                        <w:szCs w:val="22"/>
                        <w:lang w:eastAsia="en-US"/>
                      </w:rPr>
                      <m:t>l</m:t>
                    </m:r>
                  </m:e>
                  <m:sub>
                    <m:r>
                      <m:rPr>
                        <m:sty m:val="bi"/>
                      </m:rPr>
                      <w:rPr>
                        <w:rFonts w:ascii="Cambria Math" w:eastAsiaTheme="minorHAnsi" w:hAnsi="Cambria Math" w:cs="Times New Roman"/>
                        <w:sz w:val="22"/>
                        <w:szCs w:val="22"/>
                        <w:lang w:eastAsia="en-US"/>
                      </w:rPr>
                      <m:t>м</m:t>
                    </m:r>
                  </m:sub>
                </m:sSub>
                <m:r>
                  <m:rPr>
                    <m:sty m:val="bi"/>
                  </m:rPr>
                  <w:rPr>
                    <w:rFonts w:ascii="Cambria Math" w:hAnsi="Cambria Math" w:cs="Times New Roman"/>
                    <w:sz w:val="22"/>
                    <w:szCs w:val="22"/>
                  </w:rPr>
                  <m:t>×</m:t>
                </m:r>
                <m:sSubSup>
                  <m:sSubSupPr>
                    <m:ctrlPr>
                      <w:rPr>
                        <w:rFonts w:ascii="Cambria Math" w:eastAsiaTheme="minorHAnsi" w:hAnsi="Cambria Math" w:cs="Times New Roman"/>
                        <w:b/>
                        <w:sz w:val="22"/>
                        <w:szCs w:val="22"/>
                        <w:lang w:eastAsia="en-US"/>
                      </w:rPr>
                    </m:ctrlPr>
                  </m:sSubSupPr>
                  <m:e>
                    <m:r>
                      <m:rPr>
                        <m:sty m:val="bi"/>
                      </m:rPr>
                      <w:rPr>
                        <w:rFonts w:ascii="Cambria Math" w:hAnsi="Cambria Math" w:cs="Times New Roman"/>
                        <w:sz w:val="22"/>
                        <w:szCs w:val="22"/>
                      </w:rPr>
                      <m:t>С</m:t>
                    </m:r>
                  </m:e>
                  <m:sub>
                    <m:r>
                      <m:rPr>
                        <m:sty m:val="bi"/>
                      </m:rPr>
                      <w:rPr>
                        <w:rFonts w:ascii="Cambria Math" w:hAnsi="Cambria Math" w:cs="Times New Roman"/>
                        <w:sz w:val="22"/>
                        <w:szCs w:val="22"/>
                      </w:rPr>
                      <m:t>лін</m:t>
                    </m:r>
                  </m:sub>
                  <m:sup>
                    <m:r>
                      <m:rPr>
                        <m:sty m:val="bi"/>
                      </m:rPr>
                      <w:rPr>
                        <w:rFonts w:ascii="Cambria Math" w:hAnsi="Cambria Math" w:cs="Times New Roman"/>
                        <w:sz w:val="22"/>
                        <w:szCs w:val="22"/>
                      </w:rPr>
                      <m:t>л,н,зем</m:t>
                    </m:r>
                  </m:sup>
                </m:sSubSup>
                <m:r>
                  <m:rPr>
                    <m:sty m:val="bi"/>
                  </m:rPr>
                  <w:rPr>
                    <w:rFonts w:ascii="Cambria Math" w:hAnsi="Cambria Math" w:cs="Times New Roman"/>
                    <w:sz w:val="22"/>
                    <w:szCs w:val="22"/>
                  </w:rPr>
                  <m:t xml:space="preserve">, </m:t>
                </m:r>
                <m:r>
                  <w:rPr>
                    <w:rFonts w:ascii="Cambria Math" w:hAnsi="Cambria Math" w:cs="Times New Roman"/>
                    <w:sz w:val="22"/>
                    <w:szCs w:val="22"/>
                  </w:rPr>
                  <m:t>тис грн.</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4"/>
            </w:tblGrid>
            <w:tr w:rsidR="00CE1725" w:rsidRPr="00D32097" w:rsidTr="006574FC">
              <w:tc>
                <w:tcPr>
                  <w:tcW w:w="370"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77"/>
                    <w:jc w:val="both"/>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CE1725" w:rsidRPr="00D32097" w:rsidRDefault="002D57C8" w:rsidP="002D57C8">
                  <w:pPr>
                    <w:pStyle w:val="rvps14"/>
                    <w:framePr w:hSpace="180" w:wrap="around" w:vAnchor="text" w:hAnchor="margin" w:y="416"/>
                    <w:spacing w:before="150" w:beforeAutospacing="0" w:after="150" w:afterAutospacing="0"/>
                    <w:ind w:firstLine="377"/>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2"/>
                    <w:framePr w:hSpace="180" w:wrap="around" w:vAnchor="text" w:hAnchor="margin" w:y="416"/>
                    <w:spacing w:before="150" w:beforeAutospacing="0" w:after="150" w:afterAutospacing="0"/>
                    <w:ind w:firstLine="377"/>
                    <w:jc w:val="both"/>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77"/>
                    <w:jc w:val="both"/>
                    <w:rPr>
                      <w:b/>
                      <w:sz w:val="22"/>
                      <w:szCs w:val="22"/>
                    </w:rPr>
                  </w:pPr>
                  <w:r w:rsidRPr="00D32097">
                    <w:rPr>
                      <w:bCs/>
                      <w:sz w:val="22"/>
                      <w:szCs w:val="22"/>
                    </w:rPr>
                    <w:t>потужність відбору, замовлена до приєднання</w:t>
                  </w:r>
                  <w:r w:rsidRPr="00D32097">
                    <w:rPr>
                      <w:b/>
                      <w:sz w:val="22"/>
                      <w:szCs w:val="22"/>
                    </w:rPr>
                    <w:t>, кВт;</w:t>
                  </w:r>
                </w:p>
              </w:tc>
            </w:tr>
            <w:tr w:rsidR="00CE1725" w:rsidRPr="00D32097" w:rsidTr="006574FC">
              <w:tc>
                <w:tcPr>
                  <w:tcW w:w="370"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77"/>
                    <w:jc w:val="both"/>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CE1725" w:rsidRPr="00D32097" w:rsidRDefault="002D57C8" w:rsidP="002D57C8">
                  <w:pPr>
                    <w:pStyle w:val="rvps14"/>
                    <w:framePr w:hSpace="180" w:wrap="around" w:vAnchor="text" w:hAnchor="margin" w:y="416"/>
                    <w:spacing w:before="150" w:beforeAutospacing="0" w:after="150" w:afterAutospacing="0"/>
                    <w:ind w:firstLine="377"/>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заявлена</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2"/>
                    <w:framePr w:hSpace="180" w:wrap="around" w:vAnchor="text" w:hAnchor="margin" w:y="416"/>
                    <w:spacing w:before="150" w:beforeAutospacing="0" w:after="150" w:afterAutospacing="0"/>
                    <w:ind w:firstLine="377"/>
                    <w:jc w:val="both"/>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598"/>
                  </w:tblGrid>
                  <w:tr w:rsidR="00CE1725" w:rsidRPr="00D32097" w:rsidTr="006574FC">
                    <w:tc>
                      <w:tcPr>
                        <w:tcW w:w="5634" w:type="dxa"/>
                        <w:tcBorders>
                          <w:top w:val="single" w:sz="2" w:space="0" w:color="auto"/>
                          <w:left w:val="single" w:sz="2" w:space="0" w:color="auto"/>
                          <w:bottom w:val="single" w:sz="2" w:space="0" w:color="auto"/>
                          <w:right w:val="single" w:sz="2" w:space="0" w:color="auto"/>
                        </w:tcBorders>
                      </w:tcPr>
                      <w:p w:rsidR="00CE1725" w:rsidRPr="00D32097" w:rsidRDefault="00CE1725" w:rsidP="002D57C8">
                        <w:pPr>
                          <w:pStyle w:val="rvps14"/>
                          <w:framePr w:hSpace="180" w:wrap="around" w:vAnchor="text" w:hAnchor="margin" w:y="416"/>
                          <w:spacing w:before="150" w:beforeAutospacing="0" w:after="150" w:afterAutospacing="0"/>
                          <w:ind w:firstLine="377"/>
                          <w:jc w:val="both"/>
                          <w:rPr>
                            <w:sz w:val="22"/>
                            <w:szCs w:val="22"/>
                          </w:rPr>
                        </w:pPr>
                        <w:r w:rsidRPr="00D32097">
                          <w:rPr>
                            <w:bCs/>
                            <w:sz w:val="22"/>
                            <w:szCs w:val="22"/>
                          </w:rPr>
                          <w:t xml:space="preserve">потужність відпуску, </w:t>
                        </w:r>
                        <w:r w:rsidRPr="00D32097">
                          <w:rPr>
                            <w:b/>
                            <w:sz w:val="22"/>
                            <w:szCs w:val="22"/>
                          </w:rPr>
                          <w:t>КВт,</w:t>
                        </w:r>
                        <w:r w:rsidRPr="00D32097">
                          <w:rPr>
                            <w:bCs/>
                            <w:sz w:val="22"/>
                            <w:szCs w:val="22"/>
                          </w:rPr>
                          <w:t xml:space="preserve"> замовлена до приєднання</w:t>
                        </w:r>
                        <w:r w:rsidRPr="00D32097">
                          <w:rPr>
                            <w:sz w:val="22"/>
                            <w:szCs w:val="22"/>
                          </w:rPr>
                          <w:t xml:space="preserve">/ замовлена до збільшення величина дозволеної до відпуску потужності активного споживача понад 50 відсотків від величини дозволеної (договірної) потужності </w:t>
                        </w:r>
                        <w:r w:rsidRPr="00D32097">
                          <w:rPr>
                            <w:sz w:val="22"/>
                            <w:szCs w:val="22"/>
                          </w:rPr>
                          <w:lastRenderedPageBreak/>
                          <w:t xml:space="preserve">електроустановок споживача, що призначені для споживання електричної енергії, за механізмом </w:t>
                        </w:r>
                        <w:proofErr w:type="spellStart"/>
                        <w:r w:rsidRPr="00D32097">
                          <w:rPr>
                            <w:sz w:val="22"/>
                            <w:szCs w:val="22"/>
                          </w:rPr>
                          <w:t>самовиробництва</w:t>
                        </w:r>
                        <w:proofErr w:type="spellEnd"/>
                        <w:r w:rsidRPr="00D32097">
                          <w:rPr>
                            <w:sz w:val="22"/>
                            <w:szCs w:val="22"/>
                          </w:rPr>
                          <w:t xml:space="preserve"> (крім побутового споживача та малого непобутового споживача), включно з генеруючими установками та установками зберігання енергії третіх осіб;</w:t>
                        </w:r>
                      </w:p>
                    </w:tc>
                  </w:tr>
                  <w:tr w:rsidR="00CE1725" w:rsidRPr="00D32097" w:rsidTr="006574FC">
                    <w:tc>
                      <w:tcPr>
                        <w:tcW w:w="5634" w:type="dxa"/>
                        <w:tcBorders>
                          <w:top w:val="single" w:sz="2" w:space="0" w:color="auto"/>
                          <w:left w:val="single" w:sz="2" w:space="0" w:color="auto"/>
                          <w:bottom w:val="single" w:sz="2" w:space="0" w:color="auto"/>
                          <w:right w:val="single" w:sz="2" w:space="0" w:color="auto"/>
                        </w:tcBorders>
                        <w:hideMark/>
                      </w:tcPr>
                      <w:p w:rsidR="00CE1725" w:rsidRPr="00D32097" w:rsidRDefault="00CE1725" w:rsidP="002D57C8">
                        <w:pPr>
                          <w:pStyle w:val="rvps14"/>
                          <w:framePr w:hSpace="180" w:wrap="around" w:vAnchor="text" w:hAnchor="margin" w:y="416"/>
                          <w:spacing w:before="150" w:beforeAutospacing="0" w:after="150" w:afterAutospacing="0"/>
                          <w:ind w:firstLine="377"/>
                          <w:jc w:val="both"/>
                          <w:rPr>
                            <w:sz w:val="22"/>
                            <w:szCs w:val="22"/>
                          </w:rPr>
                        </w:pPr>
                        <w:r w:rsidRPr="00D32097">
                          <w:rPr>
                            <w:sz w:val="22"/>
                            <w:szCs w:val="22"/>
                          </w:rPr>
                          <w:lastRenderedPageBreak/>
                          <w:t>ставка плати за нестандартне приєднання потужності електроустановок</w:t>
                        </w:r>
                        <w:r w:rsidRPr="00D32097">
                          <w:rPr>
                            <w:b/>
                            <w:sz w:val="22"/>
                            <w:szCs w:val="22"/>
                          </w:rPr>
                          <w:t>, призначених для споживання електричної енергії,</w:t>
                        </w:r>
                        <w:r w:rsidRPr="00D32097">
                          <w:rPr>
                            <w:sz w:val="22"/>
                            <w:szCs w:val="22"/>
                          </w:rPr>
                          <w:t xml:space="preserve"> тис. грн/кВт (без ПДВ), визначається за формулою 6 цієї Методики, встановлюється НКРЕКП та диференціюється за такими індексами:</w:t>
                        </w:r>
                      </w:p>
                    </w:tc>
                  </w:tr>
                </w:tbl>
                <w:p w:rsidR="00CE1725" w:rsidRPr="00D32097" w:rsidRDefault="00CE1725" w:rsidP="002D57C8">
                  <w:pPr>
                    <w:pStyle w:val="rvps14"/>
                    <w:framePr w:hSpace="180" w:wrap="around" w:vAnchor="text" w:hAnchor="margin" w:y="416"/>
                    <w:spacing w:before="150" w:beforeAutospacing="0" w:after="150" w:afterAutospacing="0"/>
                    <w:ind w:firstLine="377"/>
                    <w:jc w:val="both"/>
                    <w:rPr>
                      <w:sz w:val="22"/>
                      <w:szCs w:val="22"/>
                    </w:rPr>
                  </w:pPr>
                </w:p>
              </w:tc>
            </w:tr>
          </w:tbl>
          <w:p w:rsidR="00CE1725" w:rsidRPr="00D32097" w:rsidRDefault="00CE1725" w:rsidP="00CE1725">
            <w:pPr>
              <w:ind w:firstLine="235"/>
              <w:contextualSpacing/>
              <w:jc w:val="both"/>
              <w:rPr>
                <w:b/>
                <w:color w:val="000000"/>
                <w:sz w:val="22"/>
                <w:szCs w:val="22"/>
                <w:u w:val="single"/>
              </w:rPr>
            </w:pPr>
          </w:p>
        </w:tc>
        <w:tc>
          <w:tcPr>
            <w:tcW w:w="3899" w:type="dxa"/>
          </w:tcPr>
          <w:p w:rsidR="00CE1725" w:rsidRPr="00D32097" w:rsidRDefault="00CE1725" w:rsidP="00CE1725">
            <w:pPr>
              <w:pStyle w:val="rvps2"/>
              <w:shd w:val="clear" w:color="auto" w:fill="FFFFFF"/>
              <w:spacing w:before="0" w:beforeAutospacing="0" w:after="150" w:afterAutospacing="0"/>
              <w:ind w:firstLine="450"/>
              <w:jc w:val="both"/>
              <w:rPr>
                <w:rFonts w:ascii="Times New Roman" w:hAnsi="Times New Roman" w:cs="Times New Roman"/>
                <w:sz w:val="22"/>
                <w:szCs w:val="22"/>
              </w:rPr>
            </w:pPr>
            <w:r w:rsidRPr="00D32097">
              <w:rPr>
                <w:rFonts w:ascii="Times New Roman" w:hAnsi="Times New Roman" w:cs="Times New Roman"/>
                <w:sz w:val="22"/>
                <w:szCs w:val="22"/>
              </w:rPr>
              <w:lastRenderedPageBreak/>
              <w:t xml:space="preserve">Вважаємо, що запропонована НКРЕКП формула неправомірно збільшує витрати інвесторів при розрахунку плати за нестандартне приєднання «під ключ», оскільки  для розрахунку береться сума витрат на потужність відбору про приєднання та витрат на потужність відпуску, тоді як потужність в одній точці приєднання не може бути більше ніж максимальна величина однієї із  </w:t>
            </w:r>
            <w:proofErr w:type="spellStart"/>
            <w:r w:rsidRPr="00D32097">
              <w:rPr>
                <w:rFonts w:ascii="Times New Roman" w:hAnsi="Times New Roman" w:cs="Times New Roman"/>
                <w:sz w:val="22"/>
                <w:szCs w:val="22"/>
              </w:rPr>
              <w:t>потужностей</w:t>
            </w:r>
            <w:proofErr w:type="spellEnd"/>
            <w:r w:rsidRPr="00D32097">
              <w:rPr>
                <w:rFonts w:ascii="Times New Roman" w:hAnsi="Times New Roman" w:cs="Times New Roman"/>
                <w:sz w:val="22"/>
                <w:szCs w:val="22"/>
              </w:rPr>
              <w:t xml:space="preserve"> відбору/відпуску. В разі застосування формули, що пропонується НКРЕКП, витрати інвестора збільшуються, відповідно, на витрати з потужності відбору або на витрати з потужності відпуску в залежності від того, яка з </w:t>
            </w:r>
            <w:proofErr w:type="spellStart"/>
            <w:r w:rsidRPr="00D32097">
              <w:rPr>
                <w:rFonts w:ascii="Times New Roman" w:hAnsi="Times New Roman" w:cs="Times New Roman"/>
                <w:sz w:val="22"/>
                <w:szCs w:val="22"/>
              </w:rPr>
              <w:t>потужностей</w:t>
            </w:r>
            <w:proofErr w:type="spellEnd"/>
            <w:r w:rsidRPr="00D32097">
              <w:rPr>
                <w:rFonts w:ascii="Times New Roman" w:hAnsi="Times New Roman" w:cs="Times New Roman"/>
                <w:sz w:val="22"/>
                <w:szCs w:val="22"/>
              </w:rPr>
              <w:t xml:space="preserve"> менше максимальної величини потужності, тоді як потужність в точці приєднання є  однією величиною. </w:t>
            </w:r>
          </w:p>
          <w:p w:rsidR="00CE1725" w:rsidRPr="00D32097" w:rsidRDefault="00CE1725" w:rsidP="00CE1725">
            <w:pPr>
              <w:pStyle w:val="rvps2"/>
              <w:shd w:val="clear" w:color="auto" w:fill="FFFFFF"/>
              <w:spacing w:before="0" w:beforeAutospacing="0" w:after="150" w:afterAutospacing="0"/>
              <w:jc w:val="both"/>
              <w:rPr>
                <w:rFonts w:ascii="Times New Roman" w:hAnsi="Times New Roman" w:cs="Times New Roman"/>
                <w:b/>
                <w:bCs/>
                <w:sz w:val="22"/>
                <w:szCs w:val="22"/>
              </w:rPr>
            </w:pPr>
            <w:r w:rsidRPr="00D32097">
              <w:rPr>
                <w:rFonts w:ascii="Times New Roman" w:hAnsi="Times New Roman" w:cs="Times New Roman"/>
                <w:sz w:val="22"/>
                <w:szCs w:val="22"/>
              </w:rPr>
              <w:t xml:space="preserve">Виникає </w:t>
            </w:r>
            <w:r w:rsidRPr="00D32097">
              <w:rPr>
                <w:rFonts w:ascii="Times New Roman" w:hAnsi="Times New Roman" w:cs="Times New Roman"/>
                <w:b/>
                <w:bCs/>
                <w:sz w:val="22"/>
                <w:szCs w:val="22"/>
              </w:rPr>
              <w:t xml:space="preserve">подвійний облік потужності при розрахунку плати за приєднання «під ключ», і, відповідно, подвійна плата за приєднання. </w:t>
            </w:r>
          </w:p>
          <w:p w:rsidR="00CE1725" w:rsidRPr="00D32097" w:rsidRDefault="00CE1725" w:rsidP="00CE1725">
            <w:pPr>
              <w:shd w:val="clear" w:color="auto" w:fill="FFFFFF"/>
              <w:spacing w:after="150"/>
              <w:ind w:firstLine="450"/>
              <w:jc w:val="both"/>
              <w:rPr>
                <w:rFonts w:ascii="Times New Roman" w:hAnsi="Times New Roman" w:cs="Times New Roman"/>
                <w:sz w:val="22"/>
                <w:szCs w:val="22"/>
              </w:rPr>
            </w:pPr>
            <w:r w:rsidRPr="00D32097">
              <w:rPr>
                <w:rFonts w:ascii="Times New Roman" w:hAnsi="Times New Roman" w:cs="Times New Roman"/>
                <w:sz w:val="22"/>
                <w:szCs w:val="22"/>
              </w:rPr>
              <w:lastRenderedPageBreak/>
              <w:t>Вважаємо, що запропонована УАВЕ формула найбільше відповідає Закону України «Про ринок електричної енергії», а саме абзацу третьому  частини п'ятнадцятої статті 21 в редакції Закону </w:t>
            </w:r>
            <w:hyperlink r:id="rId17" w:anchor="n164" w:tgtFrame="_blank" w:history="1">
              <w:r w:rsidRPr="00D32097">
                <w:rPr>
                  <w:rFonts w:ascii="Times New Roman" w:hAnsi="Times New Roman" w:cs="Times New Roman"/>
                  <w:sz w:val="22"/>
                  <w:szCs w:val="22"/>
                </w:rPr>
                <w:t>№ 4777-IX від 10.02.2026</w:t>
              </w:r>
            </w:hyperlink>
            <w:r w:rsidRPr="00D32097">
              <w:rPr>
                <w:rFonts w:ascii="Times New Roman" w:hAnsi="Times New Roman" w:cs="Times New Roman"/>
                <w:sz w:val="22"/>
                <w:szCs w:val="22"/>
              </w:rPr>
              <w:t>: «Розрахунок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shd w:val="clear" w:color="auto" w:fill="FFFFFF"/>
              <w:spacing w:after="150"/>
              <w:ind w:firstLine="450"/>
              <w:jc w:val="both"/>
              <w:rPr>
                <w:rFonts w:ascii="Times New Roman" w:hAnsi="Times New Roman" w:cs="Times New Roman"/>
                <w:sz w:val="22"/>
                <w:szCs w:val="22"/>
              </w:rPr>
            </w:pPr>
            <w:bookmarkStart w:id="7" w:name="n522"/>
            <w:bookmarkEnd w:id="7"/>
            <w:r w:rsidRPr="00D32097">
              <w:rPr>
                <w:rFonts w:ascii="Times New Roman" w:hAnsi="Times New Roman" w:cs="Times New Roman"/>
                <w:sz w:val="22"/>
                <w:szCs w:val="22"/>
              </w:rPr>
              <w:t>складову плати за приєднання потужності (враховуючи потужність відбору та/або відпуску, що створюється), яка визначається як </w:t>
            </w:r>
            <w:bookmarkStart w:id="8" w:name="w1_2"/>
            <w:r w:rsidRPr="00D32097">
              <w:rPr>
                <w:sz w:val="22"/>
                <w:szCs w:val="22"/>
              </w:rPr>
              <w:fldChar w:fldCharType="begin"/>
            </w:r>
            <w:r w:rsidRPr="00D32097">
              <w:rPr>
                <w:rFonts w:ascii="Times New Roman" w:hAnsi="Times New Roman" w:cs="Times New Roman"/>
                <w:sz w:val="22"/>
                <w:szCs w:val="22"/>
              </w:rPr>
              <w:instrText>HYPERLINK "https://zakon.rada.gov.ua/laws/show/2019-19?find=1&amp;text=%D0%B4%D0%BE%D0%B1%D1%83%D1%82%D0%BE%D0%BA" \l "w1_3"</w:instrText>
            </w:r>
            <w:r w:rsidRPr="00D32097">
              <w:rPr>
                <w:sz w:val="22"/>
                <w:szCs w:val="22"/>
              </w:rPr>
              <w:fldChar w:fldCharType="separate"/>
            </w:r>
            <w:r w:rsidRPr="00D32097">
              <w:rPr>
                <w:rFonts w:ascii="Times New Roman" w:hAnsi="Times New Roman" w:cs="Times New Roman"/>
                <w:sz w:val="22"/>
                <w:szCs w:val="22"/>
              </w:rPr>
              <w:t>добуток</w:t>
            </w:r>
            <w:r w:rsidRPr="00D32097">
              <w:rPr>
                <w:sz w:val="22"/>
                <w:szCs w:val="22"/>
              </w:rPr>
              <w:fldChar w:fldCharType="end"/>
            </w:r>
            <w:bookmarkEnd w:id="8"/>
            <w:r w:rsidRPr="00D32097">
              <w:rPr>
                <w:rFonts w:ascii="Times New Roman" w:hAnsi="Times New Roman" w:cs="Times New Roman"/>
                <w:sz w:val="22"/>
                <w:szCs w:val="22"/>
              </w:rPr>
              <w:t> </w:t>
            </w:r>
            <w:r w:rsidRPr="00D32097">
              <w:rPr>
                <w:rFonts w:ascii="Times New Roman" w:hAnsi="Times New Roman" w:cs="Times New Roman"/>
                <w:b/>
                <w:bCs/>
                <w:i/>
                <w:iCs/>
                <w:sz w:val="22"/>
                <w:szCs w:val="22"/>
              </w:rPr>
              <w:t>величини додатково замовленої до приєднання потужності відбору та/або відпуску</w:t>
            </w:r>
            <w:r w:rsidRPr="00D32097">
              <w:rPr>
                <w:rFonts w:ascii="Times New Roman" w:hAnsi="Times New Roman" w:cs="Times New Roman"/>
                <w:sz w:val="22"/>
                <w:szCs w:val="22"/>
              </w:rPr>
              <w:t xml:space="preserve"> та ставки плати за нестандартне приєднання потужності». </w:t>
            </w:r>
          </w:p>
          <w:p w:rsidR="00CE1725" w:rsidRPr="00D32097" w:rsidRDefault="00CE1725" w:rsidP="00CE1725">
            <w:pPr>
              <w:shd w:val="clear" w:color="auto" w:fill="FFFFFF"/>
              <w:spacing w:after="150"/>
              <w:ind w:firstLine="450"/>
              <w:jc w:val="both"/>
              <w:rPr>
                <w:rFonts w:ascii="Times New Roman" w:hAnsi="Times New Roman" w:cs="Times New Roman"/>
                <w:sz w:val="22"/>
                <w:szCs w:val="22"/>
              </w:rPr>
            </w:pPr>
            <w:r w:rsidRPr="00D32097">
              <w:rPr>
                <w:rFonts w:ascii="Times New Roman" w:hAnsi="Times New Roman" w:cs="Times New Roman"/>
                <w:sz w:val="22"/>
                <w:szCs w:val="22"/>
              </w:rPr>
              <w:t>Додаткова замовлена до приєднання потужність буде врахована при застосуванні максимальної величини потужності.</w:t>
            </w:r>
          </w:p>
          <w:p w:rsidR="00CE1725" w:rsidRPr="00D32097" w:rsidRDefault="00CE1725" w:rsidP="00CE1725">
            <w:pPr>
              <w:spacing w:after="150"/>
              <w:jc w:val="both"/>
              <w:rPr>
                <w:rFonts w:ascii="Times New Roman" w:hAnsi="Times New Roman" w:cs="Times New Roman"/>
                <w:sz w:val="22"/>
                <w:szCs w:val="22"/>
              </w:rPr>
            </w:pPr>
            <w:bookmarkStart w:id="9" w:name="n3701"/>
            <w:bookmarkEnd w:id="9"/>
            <w:r w:rsidRPr="00D32097">
              <w:rPr>
                <w:rFonts w:ascii="Times New Roman" w:hAnsi="Times New Roman" w:cs="Times New Roman"/>
                <w:sz w:val="22"/>
                <w:szCs w:val="22"/>
              </w:rPr>
              <w:t>Усунути технічні помилки у формулі:</w:t>
            </w:r>
          </w:p>
          <w:p w:rsidR="00CE1725" w:rsidRPr="00D32097" w:rsidRDefault="00CE1725" w:rsidP="00CE1725">
            <w:pPr>
              <w:numPr>
                <w:ilvl w:val="0"/>
                <w:numId w:val="10"/>
              </w:numPr>
              <w:ind w:left="0"/>
              <w:jc w:val="both"/>
              <w:rPr>
                <w:rFonts w:ascii="Times New Roman" w:hAnsi="Times New Roman" w:cs="Times New Roman"/>
                <w:sz w:val="22"/>
                <w:szCs w:val="22"/>
              </w:rPr>
            </w:pPr>
            <w:r w:rsidRPr="00D32097">
              <w:rPr>
                <w:rFonts w:ascii="Times New Roman" w:hAnsi="Times New Roman" w:cs="Times New Roman"/>
                <w:sz w:val="22"/>
                <w:szCs w:val="22"/>
              </w:rPr>
              <w:t>1.</w:t>
            </w:r>
            <w:r w:rsidRPr="00D32097">
              <w:rPr>
                <w:rStyle w:val="rvts9"/>
                <w:rFonts w:ascii="Times New Roman" w:hAnsi="Times New Roman" w:cs="Times New Roman"/>
                <w:b/>
                <w:bCs/>
                <w:sz w:val="22"/>
                <w:szCs w:val="22"/>
              </w:rPr>
              <w:t xml:space="preserve"> </w:t>
            </w:r>
            <w:proofErr w:type="spellStart"/>
            <w:r w:rsidRPr="00D32097">
              <w:rPr>
                <w:rStyle w:val="rvts9"/>
                <w:rFonts w:ascii="Times New Roman" w:hAnsi="Times New Roman" w:cs="Times New Roman"/>
                <w:b/>
                <w:bCs/>
                <w:sz w:val="22"/>
                <w:szCs w:val="22"/>
              </w:rPr>
              <w:t>П</w:t>
            </w:r>
            <w:r w:rsidRPr="00D32097">
              <w:rPr>
                <w:rStyle w:val="rvts40"/>
                <w:rFonts w:ascii="Times New Roman" w:hAnsi="Times New Roman" w:cs="Times New Roman"/>
                <w:sz w:val="22"/>
                <w:szCs w:val="22"/>
                <w:vertAlign w:val="subscript"/>
              </w:rPr>
              <w:t>н</w:t>
            </w:r>
            <w:r w:rsidRPr="00D32097">
              <w:rPr>
                <w:rStyle w:val="rvts40"/>
                <w:rFonts w:ascii="Times New Roman" w:hAnsi="Times New Roman" w:cs="Times New Roman"/>
                <w:b/>
                <w:bCs/>
                <w:sz w:val="22"/>
                <w:szCs w:val="22"/>
                <w:vertAlign w:val="subscript"/>
              </w:rPr>
              <w:t>ст</w:t>
            </w:r>
            <w:proofErr w:type="spellEnd"/>
            <w:r w:rsidRPr="00D32097">
              <w:rPr>
                <w:rFonts w:ascii="Times New Roman" w:hAnsi="Times New Roman" w:cs="Times New Roman"/>
                <w:sz w:val="22"/>
                <w:szCs w:val="22"/>
              </w:rPr>
              <w:t xml:space="preserve"> вимірюється в тисячах гривень (у формулі -  </w:t>
            </w:r>
            <w:proofErr w:type="spellStart"/>
            <w:r w:rsidRPr="00D32097">
              <w:rPr>
                <w:rFonts w:ascii="Times New Roman" w:hAnsi="Times New Roman" w:cs="Times New Roman"/>
                <w:sz w:val="22"/>
                <w:szCs w:val="22"/>
              </w:rPr>
              <w:t>тис.грн</w:t>
            </w:r>
            <w:proofErr w:type="spellEnd"/>
            <w:r w:rsidRPr="00D32097">
              <w:rPr>
                <w:rFonts w:ascii="Times New Roman" w:hAnsi="Times New Roman" w:cs="Times New Roman"/>
                <w:sz w:val="22"/>
                <w:szCs w:val="22"/>
              </w:rPr>
              <w:t>./кВт);</w:t>
            </w:r>
          </w:p>
          <w:p w:rsidR="00CE1725" w:rsidRPr="00D32097" w:rsidRDefault="00CE1725" w:rsidP="00CE1725">
            <w:pPr>
              <w:numPr>
                <w:ilvl w:val="0"/>
                <w:numId w:val="10"/>
              </w:numPr>
              <w:ind w:left="0"/>
              <w:jc w:val="both"/>
              <w:rPr>
                <w:rFonts w:ascii="Times New Roman" w:hAnsi="Times New Roman" w:cs="Times New Roman"/>
                <w:sz w:val="22"/>
                <w:szCs w:val="22"/>
              </w:rPr>
            </w:pPr>
            <w:r w:rsidRPr="00D32097">
              <w:rPr>
                <w:rFonts w:ascii="Times New Roman" w:hAnsi="Times New Roman" w:cs="Times New Roman"/>
                <w:sz w:val="22"/>
                <w:szCs w:val="22"/>
              </w:rPr>
              <w:t xml:space="preserve">2. Усюди у формулі визначити величини вимірювання потужності </w:t>
            </w:r>
          </w:p>
          <w:p w:rsidR="00CE1725" w:rsidRPr="00D32097" w:rsidRDefault="00CE1725" w:rsidP="00CE1725">
            <w:pPr>
              <w:shd w:val="clear" w:color="auto" w:fill="FFFFFF"/>
              <w:spacing w:after="150"/>
              <w:ind w:firstLine="161"/>
              <w:jc w:val="both"/>
              <w:rPr>
                <w:rFonts w:ascii="Times New Roman" w:hAnsi="Times New Roman" w:cs="Times New Roman"/>
                <w:sz w:val="22"/>
                <w:szCs w:val="24"/>
                <w:lang w:eastAsia="uk-UA"/>
              </w:rPr>
            </w:pP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CE1725" w:rsidRPr="00D32097" w:rsidRDefault="00CE1725" w:rsidP="00CE1725">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CE1725" w:rsidRPr="00D32097" w:rsidTr="002E4622">
        <w:trPr>
          <w:trHeight w:val="218"/>
        </w:trPr>
        <w:tc>
          <w:tcPr>
            <w:tcW w:w="3899" w:type="dxa"/>
            <w:gridSpan w:val="2"/>
            <w:vMerge/>
          </w:tcPr>
          <w:p w:rsidR="00CE1725" w:rsidRPr="00D32097" w:rsidRDefault="00CE1725" w:rsidP="00CE1725">
            <w:pPr>
              <w:tabs>
                <w:tab w:val="left" w:pos="993"/>
              </w:tabs>
              <w:ind w:firstLine="326"/>
              <w:jc w:val="both"/>
              <w:rPr>
                <w:b/>
                <w:color w:val="000000"/>
                <w:sz w:val="22"/>
                <w:szCs w:val="22"/>
              </w:rPr>
            </w:pPr>
          </w:p>
        </w:tc>
        <w:tc>
          <w:tcPr>
            <w:tcW w:w="3900" w:type="dxa"/>
            <w:gridSpan w:val="2"/>
          </w:tcPr>
          <w:p w:rsidR="00CE1725" w:rsidRPr="00D32097" w:rsidRDefault="00CE1725" w:rsidP="00CE1725">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Гр. </w:t>
            </w:r>
            <w:proofErr w:type="spellStart"/>
            <w:r w:rsidRPr="00D32097">
              <w:rPr>
                <w:rFonts w:ascii="Times New Roman" w:hAnsi="Times New Roman" w:cs="Times New Roman"/>
                <w:b/>
                <w:sz w:val="22"/>
                <w:szCs w:val="22"/>
                <w:u w:val="single"/>
              </w:rPr>
              <w:t>Зоркін</w:t>
            </w:r>
            <w:proofErr w:type="spellEnd"/>
            <w:r w:rsidRPr="00D32097">
              <w:rPr>
                <w:rFonts w:ascii="Times New Roman" w:hAnsi="Times New Roman" w:cs="Times New Roman"/>
                <w:b/>
                <w:sz w:val="22"/>
                <w:szCs w:val="22"/>
                <w:u w:val="single"/>
              </w:rPr>
              <w:t xml:space="preserve"> А. В.</w:t>
            </w:r>
          </w:p>
          <w:p w:rsidR="00CE1725" w:rsidRPr="00D32097" w:rsidRDefault="00CE1725" w:rsidP="00CE1725">
            <w:pPr>
              <w:pStyle w:val="a9"/>
              <w:spacing w:before="0" w:beforeAutospacing="0" w:after="0" w:afterAutospacing="0"/>
              <w:ind w:firstLine="235"/>
              <w:jc w:val="both"/>
              <w:rPr>
                <w:rFonts w:ascii="Times New Roman" w:hAnsi="Times New Roman" w:cs="Times New Roman"/>
                <w:sz w:val="22"/>
              </w:rPr>
            </w:pPr>
            <w:r w:rsidRPr="00D32097">
              <w:rPr>
                <w:rFonts w:ascii="Times New Roman" w:hAnsi="Times New Roman" w:cs="Times New Roman"/>
                <w:sz w:val="22"/>
              </w:rPr>
              <w:t>Запропонована редакція пункту 5.1 Методики потребує доопрацювання в частині коректності формули та визначення складових плати за нестандартне приєднання «під ключ».</w:t>
            </w:r>
          </w:p>
          <w:p w:rsidR="00CE1725" w:rsidRPr="00D32097" w:rsidRDefault="00CE1725" w:rsidP="00CE1725">
            <w:pPr>
              <w:pStyle w:val="a9"/>
              <w:spacing w:before="0" w:beforeAutospacing="0" w:after="0" w:afterAutospacing="0"/>
              <w:ind w:firstLine="235"/>
              <w:jc w:val="both"/>
              <w:rPr>
                <w:rFonts w:ascii="Times New Roman" w:hAnsi="Times New Roman" w:cs="Times New Roman"/>
                <w:sz w:val="22"/>
              </w:rPr>
            </w:pPr>
            <w:r w:rsidRPr="00D32097">
              <w:rPr>
                <w:rFonts w:ascii="Times New Roman" w:hAnsi="Times New Roman" w:cs="Times New Roman"/>
                <w:sz w:val="22"/>
              </w:rPr>
              <w:lastRenderedPageBreak/>
              <w:t>- у формулі визначено одиницю виміру результату як «тис. грн/кВт», проте, одиницею виміру має бути «тис. грн».</w:t>
            </w:r>
          </w:p>
          <w:p w:rsidR="00CE1725" w:rsidRPr="00D32097" w:rsidRDefault="00CE1725" w:rsidP="00CE1725">
            <w:pPr>
              <w:pStyle w:val="a9"/>
              <w:spacing w:before="0" w:beforeAutospacing="0" w:after="0" w:afterAutospacing="0"/>
              <w:ind w:firstLine="235"/>
              <w:jc w:val="both"/>
              <w:rPr>
                <w:rFonts w:ascii="Times New Roman" w:hAnsi="Times New Roman" w:cs="Times New Roman"/>
                <w:sz w:val="22"/>
              </w:rPr>
            </w:pPr>
            <w:r w:rsidRPr="00D32097">
              <w:rPr>
                <w:rFonts w:ascii="Times New Roman" w:hAnsi="Times New Roman" w:cs="Times New Roman"/>
                <w:sz w:val="22"/>
              </w:rPr>
              <w:t>- у тексті пункту наявна неузгодженість у позначенні плати: «</w:t>
            </w:r>
            <w:proofErr w:type="spellStart"/>
            <w:r w:rsidRPr="00D32097">
              <w:rPr>
                <w:rFonts w:ascii="Times New Roman" w:hAnsi="Times New Roman" w:cs="Times New Roman"/>
                <w:sz w:val="22"/>
              </w:rPr>
              <w:t>П</w:t>
            </w:r>
            <w:r w:rsidRPr="00D32097">
              <w:rPr>
                <w:rFonts w:ascii="Times New Roman" w:hAnsi="Times New Roman" w:cs="Times New Roman"/>
                <w:b/>
                <w:bCs/>
                <w:sz w:val="22"/>
              </w:rPr>
              <w:t>вст</w:t>
            </w:r>
            <w:proofErr w:type="spellEnd"/>
            <w:r w:rsidRPr="00D32097">
              <w:rPr>
                <w:rFonts w:ascii="Times New Roman" w:hAnsi="Times New Roman" w:cs="Times New Roman"/>
                <w:sz w:val="22"/>
              </w:rPr>
              <w:t>» та «</w:t>
            </w:r>
            <w:proofErr w:type="spellStart"/>
            <w:r w:rsidRPr="00D32097">
              <w:rPr>
                <w:rFonts w:ascii="Times New Roman" w:hAnsi="Times New Roman" w:cs="Times New Roman"/>
                <w:sz w:val="22"/>
              </w:rPr>
              <w:t>П</w:t>
            </w:r>
            <w:r w:rsidRPr="00D32097">
              <w:rPr>
                <w:rFonts w:ascii="Times New Roman" w:hAnsi="Times New Roman" w:cs="Times New Roman"/>
                <w:b/>
                <w:bCs/>
                <w:sz w:val="22"/>
              </w:rPr>
              <w:t>нст</w:t>
            </w:r>
            <w:proofErr w:type="spellEnd"/>
            <w:r w:rsidRPr="00D32097">
              <w:rPr>
                <w:rFonts w:ascii="Times New Roman" w:hAnsi="Times New Roman" w:cs="Times New Roman"/>
                <w:sz w:val="22"/>
              </w:rPr>
              <w:t xml:space="preserve">». </w:t>
            </w:r>
          </w:p>
          <w:p w:rsidR="00CE1725" w:rsidRPr="00D32097" w:rsidRDefault="00CE1725" w:rsidP="00CE1725">
            <w:pPr>
              <w:pStyle w:val="a9"/>
              <w:spacing w:before="0" w:beforeAutospacing="0" w:after="0" w:afterAutospacing="0"/>
              <w:ind w:firstLine="235"/>
              <w:jc w:val="both"/>
            </w:pPr>
            <w:r w:rsidRPr="00D32097">
              <w:rPr>
                <w:rFonts w:ascii="Times New Roman" w:hAnsi="Times New Roman" w:cs="Times New Roman"/>
                <w:sz w:val="22"/>
              </w:rPr>
              <w:t xml:space="preserve">- доповнити пункт 5.1 фразою, що </w:t>
            </w:r>
            <w:r w:rsidRPr="00D32097">
              <w:rPr>
                <w:rFonts w:ascii="Times New Roman" w:hAnsi="Times New Roman" w:cs="Times New Roman"/>
                <w:b/>
                <w:bCs/>
                <w:sz w:val="22"/>
              </w:rPr>
              <w:t>формула не застосовується для гнучкого приєднання</w:t>
            </w:r>
            <w:r w:rsidRPr="00D32097">
              <w:rPr>
                <w:rFonts w:ascii="Times New Roman" w:hAnsi="Times New Roman" w:cs="Times New Roman"/>
                <w:sz w:val="22"/>
              </w:rPr>
              <w:t>, для якого передбачається спеціальний порядок розрахунку згідно пункту 5.11.</w:t>
            </w:r>
          </w:p>
        </w:tc>
        <w:tc>
          <w:tcPr>
            <w:tcW w:w="3899" w:type="dxa"/>
          </w:tcPr>
          <w:p w:rsidR="00CE1725" w:rsidRPr="00D32097" w:rsidRDefault="00CE1725" w:rsidP="00CE1725">
            <w:pPr>
              <w:pStyle w:val="rvps2"/>
              <w:shd w:val="clear" w:color="auto" w:fill="FFFFFF"/>
              <w:spacing w:before="0" w:beforeAutospacing="0" w:after="150" w:afterAutospacing="0"/>
              <w:ind w:firstLine="450"/>
              <w:jc w:val="both"/>
              <w:rPr>
                <w:sz w:val="22"/>
                <w:szCs w:val="22"/>
              </w:rPr>
            </w:pPr>
          </w:p>
        </w:tc>
        <w:tc>
          <w:tcPr>
            <w:tcW w:w="3900" w:type="dxa"/>
            <w:gridSpan w:val="2"/>
          </w:tcPr>
          <w:p w:rsidR="00CE1725" w:rsidRPr="00D32097" w:rsidRDefault="00CE1725" w:rsidP="00CE1725">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врахувати</w:t>
            </w:r>
          </w:p>
        </w:tc>
      </w:tr>
      <w:tr w:rsidR="00EF7532" w:rsidRPr="00D32097" w:rsidTr="002E4622">
        <w:trPr>
          <w:trHeight w:val="218"/>
        </w:trPr>
        <w:tc>
          <w:tcPr>
            <w:tcW w:w="3899" w:type="dxa"/>
            <w:gridSpan w:val="2"/>
          </w:tcPr>
          <w:p w:rsidR="00EF7532" w:rsidRPr="00C67904" w:rsidRDefault="00EF7532" w:rsidP="00EF7532">
            <w:pPr>
              <w:shd w:val="clear" w:color="auto" w:fill="FFFFFF"/>
              <w:spacing w:after="150"/>
              <w:ind w:firstLine="450"/>
              <w:jc w:val="both"/>
              <w:rPr>
                <w:rFonts w:ascii="Times New Roman" w:hAnsi="Times New Roman" w:cs="Times New Roman"/>
                <w:sz w:val="24"/>
                <w:szCs w:val="24"/>
                <w:lang w:eastAsia="uk-UA"/>
              </w:rPr>
            </w:pPr>
            <w:r w:rsidRPr="00C67904">
              <w:rPr>
                <w:rFonts w:ascii="Times New Roman" w:hAnsi="Times New Roman" w:cs="Times New Roman"/>
                <w:sz w:val="24"/>
                <w:szCs w:val="24"/>
                <w:lang w:eastAsia="uk-UA"/>
              </w:rPr>
              <w:t>5.2. Ставка плати за нестандартне приєднання потужності </w:t>
            </w:r>
            <w:r w:rsidRPr="00C67904">
              <w:rPr>
                <w:noProof/>
                <w:sz w:val="24"/>
                <w:szCs w:val="24"/>
                <w:lang w:eastAsia="uk-UA"/>
              </w:rPr>
              <w:drawing>
                <wp:inline distT="0" distB="0" distL="0" distR="0" wp14:anchorId="288C8C9A" wp14:editId="32FAA73E">
                  <wp:extent cx="838200" cy="323850"/>
                  <wp:effectExtent l="0" t="0" r="0" b="0"/>
                  <wp:docPr id="8" name="Рисунок 8" descr="https://zakon.rada.gov.ua/laws/file/imgs/128/p480243n271v1-16.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8/p480243n271v1-16.gif">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38200" cy="323850"/>
                          </a:xfrm>
                          <a:prstGeom prst="rect">
                            <a:avLst/>
                          </a:prstGeom>
                          <a:noFill/>
                          <a:ln>
                            <a:noFill/>
                          </a:ln>
                        </pic:spPr>
                      </pic:pic>
                    </a:graphicData>
                  </a:graphic>
                </wp:inline>
              </w:drawing>
            </w:r>
            <w:r w:rsidRPr="00C67904">
              <w:rPr>
                <w:rFonts w:ascii="Times New Roman" w:hAnsi="Times New Roman" w:cs="Times New Roman"/>
                <w:sz w:val="24"/>
                <w:szCs w:val="24"/>
                <w:lang w:eastAsia="uk-UA"/>
              </w:rPr>
              <w:t> для електроустановок, призначених для споживання електричної енергії, встановлюються НКРЕКП на розрахунковий період та розраховуються за формулою</w:t>
            </w:r>
          </w:p>
          <w:p w:rsidR="00EF7532" w:rsidRPr="00C67904" w:rsidRDefault="002D57C8" w:rsidP="00EF7532">
            <w:pPr>
              <w:shd w:val="clear" w:color="auto" w:fill="FFFFFF"/>
              <w:spacing w:after="150"/>
              <w:ind w:firstLine="450"/>
              <w:jc w:val="both"/>
              <w:rPr>
                <w:rFonts w:ascii="Times New Roman" w:hAnsi="Times New Roman" w:cs="Times New Roman"/>
                <w:color w:val="333333"/>
                <w:sz w:val="24"/>
                <w:szCs w:val="24"/>
                <w:lang w:eastAsia="uk-UA"/>
              </w:rPr>
            </w:pPr>
            <m:oMathPara>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П</m:t>
                    </m:r>
                  </m:e>
                  <m:sub>
                    <m:sSub>
                      <m:sSubPr>
                        <m:ctrlPr>
                          <w:rPr>
                            <w:rFonts w:ascii="Cambria Math" w:hAnsi="Cambria Math"/>
                            <w:i/>
                            <w:sz w:val="28"/>
                            <w:szCs w:val="28"/>
                          </w:rPr>
                        </m:ctrlPr>
                      </m:sSubPr>
                      <m:e>
                        <m:r>
                          <w:rPr>
                            <w:rFonts w:ascii="Cambria Math" w:hAnsi="Cambria Math"/>
                            <w:sz w:val="28"/>
                            <w:szCs w:val="28"/>
                          </w:rPr>
                          <m:t>базова</m:t>
                        </m:r>
                      </m:e>
                      <m:sub>
                        <m:r>
                          <w:rPr>
                            <w:rFonts w:ascii="Cambria Math" w:hAnsi="Cambria Math"/>
                            <w:sz w:val="28"/>
                            <w:szCs w:val="28"/>
                          </w:rPr>
                          <m:t>нст</m:t>
                        </m:r>
                      </m:sub>
                    </m:sSub>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76"/>
              <w:gridCol w:w="568"/>
              <w:gridCol w:w="102"/>
              <w:gridCol w:w="2831"/>
            </w:tblGrid>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sz w:val="24"/>
                      <w:szCs w:val="24"/>
                      <w:lang w:eastAsia="uk-UA"/>
                    </w:rPr>
                    <w:t>де</w:t>
                  </w: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noProof/>
                      <w:color w:val="004BC1"/>
                      <w:sz w:val="24"/>
                      <w:szCs w:val="24"/>
                      <w:lang w:eastAsia="uk-UA"/>
                    </w:rPr>
                    <w:drawing>
                      <wp:inline distT="0" distB="0" distL="0" distR="0" wp14:anchorId="54EED14F" wp14:editId="68E0B118">
                        <wp:extent cx="723900" cy="361950"/>
                        <wp:effectExtent l="0" t="0" r="0" b="0"/>
                        <wp:docPr id="9" name="Рисунок 9" descr="https://zakon.rada.gov.ua/laws/file/imgs/128/p480243n459-18.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8/p480243n459-18.gif">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3619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sz w:val="24"/>
                      <w:szCs w:val="24"/>
                      <w:lang w:eastAsia="uk-UA"/>
                    </w:rPr>
                    <w:t>-</w:t>
                  </w: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 xml:space="preserve">питома вартість приєднання 1 кВт потужності електроустановок замовника, яка встановлюється на рівні </w:t>
                  </w:r>
                  <w:r w:rsidRPr="00C67904">
                    <w:rPr>
                      <w:sz w:val="24"/>
                      <w:szCs w:val="24"/>
                      <w:lang w:eastAsia="uk-UA"/>
                    </w:rPr>
                    <w:lastRenderedPageBreak/>
                    <w:t xml:space="preserve">3,48 </w:t>
                  </w:r>
                  <w:proofErr w:type="spellStart"/>
                  <w:r w:rsidRPr="00C67904">
                    <w:rPr>
                      <w:sz w:val="24"/>
                      <w:szCs w:val="24"/>
                      <w:lang w:eastAsia="uk-UA"/>
                    </w:rPr>
                    <w:t>тис.грн</w:t>
                  </w:r>
                  <w:proofErr w:type="spellEnd"/>
                  <w:r w:rsidRPr="00C67904">
                    <w:rPr>
                      <w:sz w:val="24"/>
                      <w:szCs w:val="24"/>
                      <w:lang w:eastAsia="uk-UA"/>
                    </w:rPr>
                    <w:t>/кВт станом на 01 січня 2025 року;</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к</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категорії надійності електропостачання (додаток 3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н</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ступеня напруги в точці приєднання (110(154)/35/20(10)6/0,4(0,23) кВ) (додаток 4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місц</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що враховує місцезнаходження електроустановок замовника (міська або сільська місцевість), визначається згідно з додатком 6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noProof/>
                      <w:color w:val="004BC1"/>
                      <w:sz w:val="24"/>
                      <w:szCs w:val="24"/>
                      <w:lang w:eastAsia="uk-UA"/>
                    </w:rPr>
                    <w:drawing>
                      <wp:inline distT="0" distB="0" distL="0" distR="0" wp14:anchorId="0EF6C70E" wp14:editId="2C3F15B1">
                        <wp:extent cx="409575" cy="247650"/>
                        <wp:effectExtent l="0" t="0" r="9525" b="0"/>
                        <wp:docPr id="10" name="Рисунок 10" descr="https://zakon.rada.gov.ua/laws/file/imgs/117/p480243n459-19.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17/p480243n459-19.gif">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 xml:space="preserve">коефіцієнт завантаження трансформаторних підстанцій у межах територіальної одиниці і основної мережі напругою 35-110(154) кВ оператора системи розподілу, який розраховується за </w:t>
                  </w:r>
                  <w:r w:rsidRPr="00C67904">
                    <w:rPr>
                      <w:sz w:val="24"/>
                      <w:szCs w:val="24"/>
                      <w:lang w:eastAsia="uk-UA"/>
                    </w:rPr>
                    <w:lastRenderedPageBreak/>
                    <w:t>формулою 8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інд</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прогнозного індексу зміни цін виробників промислової продукції на розрахунковий період у відношенні до базового періоду. Розмір індексу затверджується відповідною постановою Кабінету Міністрів України про схвалення Прогнозу економічного і соціального розвитку України на розрахунковий період (мінімальний). У разі відсутності затвердженого відповідною постановою Кабінету Міністрів України прогнозного індексу цін виробників промислової продукції, його застосовується індекс, врахований у Державному бюджеті України на відповідний рік.</w:t>
                  </w:r>
                </w:p>
              </w:tc>
            </w:tr>
          </w:tbl>
          <w:p w:rsidR="00EF7532" w:rsidRPr="00D32097" w:rsidRDefault="00EF7532" w:rsidP="00CE1725">
            <w:pPr>
              <w:tabs>
                <w:tab w:val="left" w:pos="993"/>
              </w:tabs>
              <w:ind w:firstLine="326"/>
              <w:jc w:val="both"/>
              <w:rPr>
                <w:b/>
                <w:color w:val="000000"/>
                <w:sz w:val="22"/>
                <w:szCs w:val="22"/>
              </w:rPr>
            </w:pPr>
          </w:p>
        </w:tc>
        <w:tc>
          <w:tcPr>
            <w:tcW w:w="3900" w:type="dxa"/>
            <w:gridSpan w:val="2"/>
          </w:tcPr>
          <w:p w:rsidR="00EF7532" w:rsidRPr="00D32097" w:rsidRDefault="00EF7532" w:rsidP="00CE1725">
            <w:pPr>
              <w:shd w:val="clear" w:color="auto" w:fill="FFFFFF"/>
              <w:ind w:firstLine="309"/>
              <w:jc w:val="both"/>
              <w:rPr>
                <w:b/>
                <w:sz w:val="22"/>
                <w:szCs w:val="22"/>
                <w:u w:val="single"/>
              </w:rPr>
            </w:pPr>
          </w:p>
        </w:tc>
        <w:tc>
          <w:tcPr>
            <w:tcW w:w="3899" w:type="dxa"/>
          </w:tcPr>
          <w:p w:rsidR="00EF7532" w:rsidRPr="00D32097" w:rsidRDefault="00EF7532" w:rsidP="00CE1725">
            <w:pPr>
              <w:pStyle w:val="rvps2"/>
              <w:shd w:val="clear" w:color="auto" w:fill="FFFFFF"/>
              <w:spacing w:before="0" w:beforeAutospacing="0" w:after="150" w:afterAutospacing="0"/>
              <w:ind w:firstLine="450"/>
              <w:jc w:val="both"/>
              <w:rPr>
                <w:sz w:val="22"/>
                <w:szCs w:val="22"/>
              </w:rPr>
            </w:pPr>
          </w:p>
        </w:tc>
        <w:tc>
          <w:tcPr>
            <w:tcW w:w="3900" w:type="dxa"/>
            <w:gridSpan w:val="2"/>
          </w:tcPr>
          <w:p w:rsidR="00EF7532" w:rsidRPr="00EF7532" w:rsidRDefault="00EF7532" w:rsidP="00EF7532">
            <w:pPr>
              <w:shd w:val="clear" w:color="auto" w:fill="FFFFFF"/>
              <w:spacing w:after="150"/>
              <w:ind w:firstLine="450"/>
              <w:jc w:val="both"/>
              <w:rPr>
                <w:rFonts w:ascii="Times New Roman" w:hAnsi="Times New Roman" w:cs="Times New Roman"/>
                <w:b/>
                <w:sz w:val="24"/>
                <w:szCs w:val="24"/>
                <w:lang w:eastAsia="uk-UA"/>
              </w:rPr>
            </w:pPr>
            <w:r w:rsidRPr="00EF7532">
              <w:rPr>
                <w:rFonts w:ascii="Times New Roman" w:hAnsi="Times New Roman" w:cs="Times New Roman"/>
                <w:b/>
                <w:sz w:val="24"/>
                <w:szCs w:val="24"/>
                <w:lang w:eastAsia="uk-UA"/>
              </w:rPr>
              <w:t>Пропонується уточнити з метою уникнення подвійної оплати при одночасному замовленні потужності відпуску та відбору.</w:t>
            </w:r>
          </w:p>
          <w:p w:rsidR="00EF7532" w:rsidRPr="00C67904" w:rsidRDefault="00EF7532" w:rsidP="00EF7532">
            <w:pPr>
              <w:shd w:val="clear" w:color="auto" w:fill="FFFFFF"/>
              <w:spacing w:after="150"/>
              <w:ind w:firstLine="450"/>
              <w:jc w:val="both"/>
              <w:rPr>
                <w:rFonts w:ascii="Times New Roman" w:hAnsi="Times New Roman" w:cs="Times New Roman"/>
                <w:sz w:val="24"/>
                <w:szCs w:val="24"/>
                <w:lang w:eastAsia="uk-UA"/>
              </w:rPr>
            </w:pPr>
            <w:r w:rsidRPr="00C67904">
              <w:rPr>
                <w:rFonts w:ascii="Times New Roman" w:hAnsi="Times New Roman" w:cs="Times New Roman"/>
                <w:sz w:val="24"/>
                <w:szCs w:val="24"/>
                <w:lang w:eastAsia="uk-UA"/>
              </w:rPr>
              <w:t>5.2. Ставка плати за нестандартне приєднання потужності </w:t>
            </w:r>
            <w:r w:rsidRPr="00C67904">
              <w:rPr>
                <w:noProof/>
                <w:sz w:val="24"/>
                <w:szCs w:val="24"/>
                <w:lang w:eastAsia="uk-UA"/>
              </w:rPr>
              <w:drawing>
                <wp:inline distT="0" distB="0" distL="0" distR="0" wp14:anchorId="588FC558" wp14:editId="1E92B004">
                  <wp:extent cx="838200" cy="323850"/>
                  <wp:effectExtent l="0" t="0" r="0" b="0"/>
                  <wp:docPr id="5" name="Рисунок 5" descr="https://zakon.rada.gov.ua/laws/file/imgs/128/p480243n271v1-16.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file/imgs/128/p480243n271v1-16.gif">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38200" cy="323850"/>
                          </a:xfrm>
                          <a:prstGeom prst="rect">
                            <a:avLst/>
                          </a:prstGeom>
                          <a:noFill/>
                          <a:ln>
                            <a:noFill/>
                          </a:ln>
                        </pic:spPr>
                      </pic:pic>
                    </a:graphicData>
                  </a:graphic>
                </wp:inline>
              </w:drawing>
            </w:r>
            <w:r w:rsidRPr="00C67904">
              <w:rPr>
                <w:rFonts w:ascii="Times New Roman" w:hAnsi="Times New Roman" w:cs="Times New Roman"/>
                <w:sz w:val="24"/>
                <w:szCs w:val="24"/>
                <w:lang w:eastAsia="uk-UA"/>
              </w:rPr>
              <w:t> для електроустановок, призначених для споживання електричної енергії, встановлюються НКРЕКП на розрахунковий період та розраховуються за формулою</w:t>
            </w:r>
          </w:p>
          <w:p w:rsidR="00EF7532" w:rsidRPr="00C67904" w:rsidRDefault="002D57C8" w:rsidP="00EF7532">
            <w:pPr>
              <w:shd w:val="clear" w:color="auto" w:fill="FFFFFF"/>
              <w:spacing w:after="150"/>
              <w:ind w:firstLine="450"/>
              <w:jc w:val="both"/>
              <w:rPr>
                <w:rFonts w:ascii="Times New Roman" w:hAnsi="Times New Roman" w:cs="Times New Roman"/>
                <w:color w:val="333333"/>
                <w:sz w:val="24"/>
                <w:szCs w:val="24"/>
                <w:lang w:eastAsia="uk-UA"/>
              </w:rPr>
            </w:pPr>
            <m:oMathPara>
              <m:oMath>
                <m:sSubSup>
                  <m:sSubSupPr>
                    <m:ctrlPr>
                      <w:rPr>
                        <w:rFonts w:ascii="Cambria Math" w:hAnsi="Cambria Math"/>
                        <w:sz w:val="28"/>
                        <w:szCs w:val="28"/>
                      </w:rPr>
                    </m:ctrlPr>
                  </m:sSubSupPr>
                  <m:e>
                    <m:r>
                      <w:rPr>
                        <w:rFonts w:ascii="Cambria Math" w:hAnsi="Cambria Math"/>
                        <w:sz w:val="28"/>
                        <w:szCs w:val="28"/>
                      </w:rPr>
                      <m:t>С</m:t>
                    </m:r>
                  </m:e>
                  <m:sub>
                    <m:r>
                      <w:rPr>
                        <w:rFonts w:ascii="Cambria Math" w:hAnsi="Cambria Math"/>
                        <w:sz w:val="28"/>
                        <w:szCs w:val="28"/>
                      </w:rPr>
                      <m:t>нст</m:t>
                    </m:r>
                  </m:sub>
                  <m:sup>
                    <m:r>
                      <w:rPr>
                        <w:rFonts w:ascii="Cambria Math" w:hAnsi="Cambria Math"/>
                        <w:sz w:val="28"/>
                        <w:szCs w:val="28"/>
                      </w:rPr>
                      <m:t>к,н,зтт,місц,с</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П</m:t>
                    </m:r>
                  </m:e>
                  <m:sub>
                    <m:sSub>
                      <m:sSubPr>
                        <m:ctrlPr>
                          <w:rPr>
                            <w:rFonts w:ascii="Cambria Math" w:hAnsi="Cambria Math"/>
                            <w:i/>
                            <w:sz w:val="28"/>
                            <w:szCs w:val="28"/>
                          </w:rPr>
                        </m:ctrlPr>
                      </m:sSubPr>
                      <m:e>
                        <m:r>
                          <w:rPr>
                            <w:rFonts w:ascii="Cambria Math" w:hAnsi="Cambria Math"/>
                            <w:sz w:val="28"/>
                            <w:szCs w:val="28"/>
                          </w:rPr>
                          <m:t>базова</m:t>
                        </m:r>
                      </m:e>
                      <m:sub>
                        <m:r>
                          <w:rPr>
                            <w:rFonts w:ascii="Cambria Math" w:hAnsi="Cambria Math"/>
                            <w:sz w:val="28"/>
                            <w:szCs w:val="28"/>
                          </w:rPr>
                          <m:t>нст</m:t>
                        </m:r>
                      </m:sub>
                    </m:sSub>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к</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місц</m:t>
                    </m:r>
                  </m:sub>
                </m:sSub>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m:t>
                    </m:r>
                  </m:e>
                  <m:sub>
                    <m:r>
                      <w:rPr>
                        <w:rFonts w:ascii="Cambria Math" w:hAnsi="Cambria Math"/>
                        <w:sz w:val="28"/>
                        <w:szCs w:val="28"/>
                      </w:rPr>
                      <m:t>зтт</m:t>
                    </m:r>
                  </m:sub>
                  <m:sup>
                    <m:r>
                      <w:rPr>
                        <w:rFonts w:ascii="Cambria Math" w:hAnsi="Cambria Math"/>
                        <w:sz w:val="28"/>
                        <w:szCs w:val="28"/>
                      </w:rPr>
                      <m:t>і</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інд</m:t>
                    </m:r>
                  </m:sub>
                </m:sSub>
                <m:r>
                  <w:rPr>
                    <w:rFonts w:ascii="Cambria Math" w:hAnsi="Cambria Math"/>
                    <w:sz w:val="28"/>
                    <w:szCs w:val="28"/>
                  </w:rPr>
                  <m:t>, тис грн/кВт,</m:t>
                </m:r>
              </m:oMath>
            </m:oMathPara>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76"/>
              <w:gridCol w:w="568"/>
              <w:gridCol w:w="102"/>
              <w:gridCol w:w="2832"/>
            </w:tblGrid>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sz w:val="24"/>
                      <w:szCs w:val="24"/>
                      <w:lang w:eastAsia="uk-UA"/>
                    </w:rPr>
                    <w:lastRenderedPageBreak/>
                    <w:t>де</w:t>
                  </w: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noProof/>
                      <w:color w:val="004BC1"/>
                      <w:sz w:val="24"/>
                      <w:szCs w:val="24"/>
                      <w:lang w:eastAsia="uk-UA"/>
                    </w:rPr>
                    <w:drawing>
                      <wp:inline distT="0" distB="0" distL="0" distR="0" wp14:anchorId="7C774445" wp14:editId="0682FB76">
                        <wp:extent cx="723900" cy="361950"/>
                        <wp:effectExtent l="0" t="0" r="0" b="0"/>
                        <wp:docPr id="6" name="Рисунок 6" descr="https://zakon.rada.gov.ua/laws/file/imgs/128/p480243n459-18.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rada.gov.ua/laws/file/imgs/128/p480243n459-18.gif">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3900" cy="3619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sz w:val="24"/>
                      <w:szCs w:val="24"/>
                      <w:lang w:eastAsia="uk-UA"/>
                    </w:rPr>
                    <w:t>-</w:t>
                  </w: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 xml:space="preserve">питома вартість приєднання 1 кВт потужності електроустановок замовника, яка встановлюється на рівні 3,48 </w:t>
                  </w:r>
                  <w:proofErr w:type="spellStart"/>
                  <w:r w:rsidRPr="00C67904">
                    <w:rPr>
                      <w:sz w:val="24"/>
                      <w:szCs w:val="24"/>
                      <w:lang w:eastAsia="uk-UA"/>
                    </w:rPr>
                    <w:t>тис.грн</w:t>
                  </w:r>
                  <w:proofErr w:type="spellEnd"/>
                  <w:r w:rsidRPr="00C67904">
                    <w:rPr>
                      <w:sz w:val="24"/>
                      <w:szCs w:val="24"/>
                      <w:lang w:eastAsia="uk-UA"/>
                    </w:rPr>
                    <w:t>/кВт станом на 01 січня 2025 року;</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к</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категорії надійності електропостачання (додаток 3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н</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ступеня напруги в точці приєднання (110(154)/35/20(10)6/0,4(0,23) кВ) (додаток 4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місц</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що враховує місцезнаходження електроустановок замовника (міська або сільська місцевість), визначається згідно з додатком 6 до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r w:rsidRPr="00C67904">
                    <w:rPr>
                      <w:noProof/>
                      <w:color w:val="004BC1"/>
                      <w:sz w:val="24"/>
                      <w:szCs w:val="24"/>
                      <w:lang w:eastAsia="uk-UA"/>
                    </w:rPr>
                    <w:drawing>
                      <wp:inline distT="0" distB="0" distL="0" distR="0" wp14:anchorId="69F5A306" wp14:editId="0F7C101F">
                        <wp:extent cx="409575" cy="247650"/>
                        <wp:effectExtent l="0" t="0" r="9525" b="0"/>
                        <wp:docPr id="7" name="Рисунок 7" descr="https://zakon.rada.gov.ua/laws/file/imgs/117/p480243n459-19.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17/p480243n459-19.gif">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 xml:space="preserve">коефіцієнт завантаження трансформаторних підстанцій у межах </w:t>
                  </w:r>
                  <w:r w:rsidRPr="00C67904">
                    <w:rPr>
                      <w:sz w:val="24"/>
                      <w:szCs w:val="24"/>
                      <w:lang w:eastAsia="uk-UA"/>
                    </w:rPr>
                    <w:lastRenderedPageBreak/>
                    <w:t>територіальної одиниці і основної мережі напругою 35-110(154) кВ оператора системи розподілу, який розраховується за формулою 8 цієї Методики;</w:t>
                  </w:r>
                </w:p>
              </w:tc>
            </w:tr>
            <w:tr w:rsidR="00EF7532" w:rsidRPr="00C67904" w:rsidTr="00CC4EE4">
              <w:tc>
                <w:tcPr>
                  <w:tcW w:w="322"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1170"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roofErr w:type="spellStart"/>
                  <w:r w:rsidRPr="00C67904">
                    <w:rPr>
                      <w:sz w:val="24"/>
                      <w:szCs w:val="24"/>
                      <w:lang w:eastAsia="uk-UA"/>
                    </w:rPr>
                    <w:t>К</w:t>
                  </w:r>
                  <w:r w:rsidRPr="00C67904">
                    <w:rPr>
                      <w:b/>
                      <w:bCs/>
                      <w:sz w:val="16"/>
                      <w:szCs w:val="16"/>
                      <w:vertAlign w:val="subscript"/>
                      <w:lang w:eastAsia="uk-UA"/>
                    </w:rPr>
                    <w:t>інд</w:t>
                  </w:r>
                  <w:proofErr w:type="spellEnd"/>
                </w:p>
              </w:tc>
              <w:tc>
                <w:tcPr>
                  <w:tcW w:w="163"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jc w:val="center"/>
                    <w:rPr>
                      <w:sz w:val="24"/>
                      <w:szCs w:val="24"/>
                      <w:lang w:eastAsia="uk-UA"/>
                    </w:rPr>
                  </w:pPr>
                </w:p>
              </w:tc>
              <w:tc>
                <w:tcPr>
                  <w:tcW w:w="6061" w:type="dxa"/>
                  <w:tcBorders>
                    <w:top w:val="single" w:sz="2" w:space="0" w:color="auto"/>
                    <w:left w:val="single" w:sz="2" w:space="0" w:color="auto"/>
                    <w:bottom w:val="single" w:sz="2" w:space="0" w:color="auto"/>
                    <w:right w:val="single" w:sz="2" w:space="0" w:color="auto"/>
                  </w:tcBorders>
                  <w:hideMark/>
                </w:tcPr>
                <w:p w:rsidR="00EF7532" w:rsidRPr="00C67904" w:rsidRDefault="00EF7532" w:rsidP="002D57C8">
                  <w:pPr>
                    <w:framePr w:hSpace="180" w:wrap="around" w:vAnchor="text" w:hAnchor="margin" w:y="416"/>
                    <w:spacing w:before="150" w:after="150"/>
                    <w:rPr>
                      <w:sz w:val="24"/>
                      <w:szCs w:val="24"/>
                      <w:lang w:eastAsia="uk-UA"/>
                    </w:rPr>
                  </w:pPr>
                  <w:r w:rsidRPr="00C67904">
                    <w:rPr>
                      <w:sz w:val="24"/>
                      <w:szCs w:val="24"/>
                      <w:lang w:eastAsia="uk-UA"/>
                    </w:rPr>
                    <w:t>коефіцієнт прогнозного індексу зміни цін виробників промислової продукції на розрахунковий період у відношенні до базового періоду. Розмір індексу затверджується відповідною постановою Кабінету Міністрів України про схвалення Прогнозу економічного і соціального розвитку України на розрахунковий період (мінімальний). У разі відсутності затвердженого відповідною постановою Кабінету Міністрів України прогнозного індексу цін виробників промислової продукції, його застосовується індекс, врахований у Державному бюджеті України на відповідний рік.</w:t>
                  </w:r>
                </w:p>
              </w:tc>
            </w:tr>
          </w:tbl>
          <w:p w:rsidR="00EF7532" w:rsidRDefault="00EF7532" w:rsidP="00CE1725">
            <w:pPr>
              <w:ind w:firstLine="174"/>
              <w:jc w:val="center"/>
              <w:rPr>
                <w:b/>
                <w:sz w:val="22"/>
                <w:szCs w:val="22"/>
                <w:lang w:eastAsia="uk-UA"/>
              </w:rPr>
            </w:pPr>
          </w:p>
          <w:p w:rsidR="00EF7532" w:rsidRPr="00EF7532" w:rsidRDefault="00EF7532" w:rsidP="00EF7532">
            <w:pPr>
              <w:ind w:firstLine="174"/>
              <w:jc w:val="both"/>
              <w:rPr>
                <w:rFonts w:ascii="Times New Roman" w:hAnsi="Times New Roman" w:cs="Times New Roman"/>
                <w:b/>
                <w:sz w:val="22"/>
                <w:szCs w:val="22"/>
                <w:lang w:eastAsia="uk-UA"/>
              </w:rPr>
            </w:pPr>
            <w:r w:rsidRPr="00EF7532">
              <w:rPr>
                <w:rFonts w:ascii="Times New Roman" w:hAnsi="Times New Roman" w:cs="Times New Roman"/>
                <w:b/>
                <w:color w:val="00B050"/>
                <w:sz w:val="22"/>
                <w:szCs w:val="22"/>
                <w:lang w:eastAsia="uk-UA"/>
              </w:rPr>
              <w:t xml:space="preserve">Якщо величина </w:t>
            </w:r>
            <w:r w:rsidRPr="00C67904">
              <w:rPr>
                <w:noProof/>
                <w:color w:val="004BC1"/>
                <w:sz w:val="24"/>
                <w:szCs w:val="24"/>
                <w:lang w:eastAsia="uk-UA"/>
              </w:rPr>
              <w:drawing>
                <wp:inline distT="0" distB="0" distL="0" distR="0" wp14:anchorId="5115EA3F" wp14:editId="50C861B4">
                  <wp:extent cx="409575" cy="247650"/>
                  <wp:effectExtent l="0" t="0" r="9525" b="0"/>
                  <wp:docPr id="11" name="Рисунок 11" descr="https://zakon.rada.gov.ua/laws/file/imgs/117/p480243n459-19.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zakon.rada.gov.ua/laws/file/imgs/117/p480243n459-19.gif">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r w:rsidRPr="00EF7532">
              <w:rPr>
                <w:rFonts w:ascii="Times New Roman" w:hAnsi="Times New Roman" w:cs="Times New Roman"/>
                <w:b/>
                <w:color w:val="00B050"/>
                <w:sz w:val="22"/>
                <w:szCs w:val="22"/>
                <w:lang w:eastAsia="uk-UA"/>
              </w:rPr>
              <w:t xml:space="preserve">становить </w:t>
            </w:r>
            <w:r>
              <w:rPr>
                <w:rFonts w:ascii="Times New Roman" w:hAnsi="Times New Roman" w:cs="Times New Roman"/>
                <w:b/>
                <w:color w:val="00B050"/>
                <w:sz w:val="22"/>
                <w:szCs w:val="22"/>
                <w:lang w:eastAsia="uk-UA"/>
              </w:rPr>
              <w:t>більше</w:t>
            </w:r>
            <w:r w:rsidRPr="00EF7532">
              <w:rPr>
                <w:rFonts w:ascii="Times New Roman" w:hAnsi="Times New Roman" w:cs="Times New Roman"/>
                <w:b/>
                <w:color w:val="00B050"/>
                <w:sz w:val="22"/>
                <w:szCs w:val="22"/>
                <w:lang w:eastAsia="uk-UA"/>
              </w:rPr>
              <w:t xml:space="preserve"> 0,</w:t>
            </w:r>
            <w:r>
              <w:rPr>
                <w:rFonts w:ascii="Times New Roman" w:hAnsi="Times New Roman" w:cs="Times New Roman"/>
                <w:b/>
                <w:color w:val="00B050"/>
                <w:sz w:val="22"/>
                <w:szCs w:val="22"/>
                <w:lang w:eastAsia="uk-UA"/>
              </w:rPr>
              <w:t>7</w:t>
            </w:r>
            <w:r w:rsidRPr="00EF7532">
              <w:rPr>
                <w:rFonts w:ascii="Times New Roman" w:hAnsi="Times New Roman" w:cs="Times New Roman"/>
                <w:b/>
                <w:color w:val="00B050"/>
                <w:sz w:val="22"/>
                <w:szCs w:val="22"/>
                <w:lang w:eastAsia="uk-UA"/>
              </w:rPr>
              <w:t>5, в</w:t>
            </w:r>
            <w:r>
              <w:rPr>
                <w:rFonts w:ascii="Times New Roman" w:hAnsi="Times New Roman" w:cs="Times New Roman"/>
                <w:b/>
                <w:color w:val="00B050"/>
                <w:sz w:val="22"/>
                <w:szCs w:val="22"/>
                <w:lang w:eastAsia="uk-UA"/>
              </w:rPr>
              <w:t>ін</w:t>
            </w:r>
            <w:r w:rsidRPr="00EF7532">
              <w:rPr>
                <w:rFonts w:ascii="Times New Roman" w:hAnsi="Times New Roman" w:cs="Times New Roman"/>
                <w:b/>
                <w:color w:val="00B050"/>
                <w:sz w:val="22"/>
                <w:szCs w:val="22"/>
                <w:lang w:eastAsia="uk-UA"/>
              </w:rPr>
              <w:t xml:space="preserve"> приймається рівн</w:t>
            </w:r>
            <w:r>
              <w:rPr>
                <w:rFonts w:ascii="Times New Roman" w:hAnsi="Times New Roman" w:cs="Times New Roman"/>
                <w:b/>
                <w:color w:val="00B050"/>
                <w:sz w:val="22"/>
                <w:szCs w:val="22"/>
                <w:lang w:eastAsia="uk-UA"/>
              </w:rPr>
              <w:t>им</w:t>
            </w:r>
            <w:r w:rsidRPr="00EF7532">
              <w:rPr>
                <w:rFonts w:ascii="Times New Roman" w:hAnsi="Times New Roman" w:cs="Times New Roman"/>
                <w:b/>
                <w:color w:val="00B050"/>
                <w:sz w:val="22"/>
                <w:szCs w:val="22"/>
                <w:lang w:eastAsia="uk-UA"/>
              </w:rPr>
              <w:t xml:space="preserve"> 0,</w:t>
            </w:r>
            <w:r>
              <w:rPr>
                <w:rFonts w:ascii="Times New Roman" w:hAnsi="Times New Roman" w:cs="Times New Roman"/>
                <w:b/>
                <w:color w:val="00B050"/>
                <w:sz w:val="22"/>
                <w:szCs w:val="22"/>
                <w:lang w:eastAsia="uk-UA"/>
              </w:rPr>
              <w:t>7</w:t>
            </w:r>
            <w:r w:rsidRPr="00EF7532">
              <w:rPr>
                <w:rFonts w:ascii="Times New Roman" w:hAnsi="Times New Roman" w:cs="Times New Roman"/>
                <w:b/>
                <w:color w:val="00B050"/>
                <w:sz w:val="22"/>
                <w:szCs w:val="22"/>
                <w:lang w:eastAsia="uk-UA"/>
              </w:rPr>
              <w:t>5.</w:t>
            </w:r>
          </w:p>
        </w:tc>
      </w:tr>
      <w:tr w:rsidR="00CE1725" w:rsidRPr="00D32097" w:rsidTr="002E4622">
        <w:trPr>
          <w:trHeight w:val="218"/>
        </w:trPr>
        <w:tc>
          <w:tcPr>
            <w:tcW w:w="3899" w:type="dxa"/>
            <w:gridSpan w:val="2"/>
          </w:tcPr>
          <w:p w:rsidR="00CE1725" w:rsidRPr="00D32097" w:rsidRDefault="00CE1725" w:rsidP="00CE1725">
            <w:pPr>
              <w:tabs>
                <w:tab w:val="left" w:pos="993"/>
              </w:tabs>
              <w:ind w:firstLine="326"/>
              <w:jc w:val="both"/>
              <w:rPr>
                <w:rFonts w:ascii="Times New Roman" w:hAnsi="Times New Roman" w:cs="Times New Roman"/>
                <w:b/>
                <w:color w:val="000000"/>
                <w:sz w:val="22"/>
                <w:szCs w:val="22"/>
              </w:rPr>
            </w:pPr>
          </w:p>
          <w:p w:rsidR="00CE1725" w:rsidRPr="00D32097" w:rsidRDefault="00CE1725" w:rsidP="00CE1725">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t>Зміни не вносились</w:t>
            </w:r>
          </w:p>
          <w:p w:rsidR="00CE1725" w:rsidRPr="00D32097" w:rsidRDefault="00CE1725" w:rsidP="00CE1725">
            <w:pPr>
              <w:tabs>
                <w:tab w:val="left" w:pos="993"/>
              </w:tabs>
              <w:ind w:firstLine="326"/>
              <w:jc w:val="both"/>
              <w:rPr>
                <w:rFonts w:ascii="Times New Roman" w:hAnsi="Times New Roman" w:cs="Times New Roman"/>
                <w:b/>
                <w:color w:val="000000"/>
                <w:sz w:val="22"/>
                <w:szCs w:val="22"/>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5.7. Розрахунок коефіцієнта оптимізації </w:t>
            </w:r>
            <w:r w:rsidRPr="00D32097">
              <w:rPr>
                <w:noProof/>
                <w:sz w:val="22"/>
                <w:szCs w:val="22"/>
                <w:lang w:eastAsia="uk-UA"/>
              </w:rPr>
              <w:drawing>
                <wp:inline distT="0" distB="0" distL="0" distR="0" wp14:anchorId="058D863D" wp14:editId="216395BF">
                  <wp:extent cx="511810" cy="218796"/>
                  <wp:effectExtent l="0" t="0" r="2540" b="0"/>
                  <wp:docPr id="1779134509" name="Рисунок 2">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449" cy="224626"/>
                          </a:xfrm>
                          <a:prstGeom prst="rect">
                            <a:avLst/>
                          </a:prstGeom>
                          <a:noFill/>
                          <a:ln>
                            <a:noFill/>
                          </a:ln>
                        </pic:spPr>
                      </pic:pic>
                    </a:graphicData>
                  </a:graphic>
                </wp:inline>
              </w:drawing>
            </w:r>
            <w:r w:rsidRPr="00D32097">
              <w:rPr>
                <w:rFonts w:ascii="Times New Roman" w:hAnsi="Times New Roman" w:cs="Times New Roman"/>
                <w:sz w:val="22"/>
                <w:szCs w:val="24"/>
                <w:lang w:eastAsia="uk-UA"/>
              </w:rPr>
              <w:t xml:space="preserve">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Окремо проводиться аналіз по не менше як п’яти кошторисам нестандартних приєднань з найбільшими витратами, виконаних господарським і підрядним способами.</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У разі, якщо фактична кількість наданих оператором систем розподілу послуг з нестандартних приєднань у базовому періоді залежно від способу виконання менша п’яти, аналіз по кошторисах виконаних приєднань проводиться по фактичній кількості </w:t>
            </w:r>
            <w:r w:rsidRPr="00D32097">
              <w:rPr>
                <w:rFonts w:ascii="Times New Roman" w:hAnsi="Times New Roman" w:cs="Times New Roman"/>
                <w:sz w:val="22"/>
                <w:szCs w:val="24"/>
                <w:lang w:eastAsia="uk-UA"/>
              </w:rPr>
              <w:lastRenderedPageBreak/>
              <w:t>наданих ОСР послуг з нестандартних приєднань у базовому періоді.</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D32097">
              <w:rPr>
                <w:rFonts w:ascii="Times New Roman" w:hAnsi="Times New Roman" w:cs="Times New Roman"/>
                <w:sz w:val="22"/>
                <w:szCs w:val="24"/>
                <w:lang w:eastAsia="uk-UA"/>
              </w:rPr>
              <w:t>проєктів</w:t>
            </w:r>
            <w:proofErr w:type="spellEnd"/>
            <w:r w:rsidRPr="00D32097">
              <w:rPr>
                <w:rFonts w:ascii="Times New Roman" w:hAnsi="Times New Roman" w:cs="Times New Roman"/>
                <w:sz w:val="22"/>
                <w:szCs w:val="24"/>
                <w:lang w:eastAsia="uk-UA"/>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підставі цінових показників на обладнання зі схожими технічними характеристиками.</w:t>
            </w:r>
          </w:p>
          <w:p w:rsidR="00CE1725" w:rsidRPr="00D32097" w:rsidRDefault="00CE1725" w:rsidP="00CE1725">
            <w:pPr>
              <w:tabs>
                <w:tab w:val="left" w:pos="993"/>
              </w:tabs>
              <w:ind w:firstLine="306"/>
              <w:jc w:val="both"/>
              <w:rPr>
                <w:rFonts w:ascii="Times New Roman" w:hAnsi="Times New Roman" w:cs="Times New Roman"/>
                <w:b/>
                <w:color w:val="000000"/>
                <w:sz w:val="22"/>
                <w:szCs w:val="22"/>
              </w:rPr>
            </w:pPr>
            <w:r w:rsidRPr="00D32097">
              <w:rPr>
                <w:rFonts w:ascii="Times New Roman" w:hAnsi="Times New Roman" w:cs="Times New Roman"/>
                <w:sz w:val="22"/>
                <w:szCs w:val="24"/>
                <w:lang w:eastAsia="uk-UA"/>
              </w:rPr>
              <w:t xml:space="preserve">Результати аналізу застосовуються </w:t>
            </w:r>
            <w:proofErr w:type="spellStart"/>
            <w:r w:rsidRPr="00D32097">
              <w:rPr>
                <w:rFonts w:ascii="Times New Roman" w:hAnsi="Times New Roman" w:cs="Times New Roman"/>
                <w:sz w:val="22"/>
                <w:szCs w:val="24"/>
                <w:lang w:eastAsia="uk-UA"/>
              </w:rPr>
              <w:t>пропорційно</w:t>
            </w:r>
            <w:proofErr w:type="spellEnd"/>
            <w:r w:rsidRPr="00D32097">
              <w:rPr>
                <w:rFonts w:ascii="Times New Roman" w:hAnsi="Times New Roman" w:cs="Times New Roman"/>
                <w:sz w:val="22"/>
                <w:szCs w:val="24"/>
                <w:lang w:eastAsia="uk-UA"/>
              </w:rPr>
              <w:t xml:space="preserve"> до кожного напряму для визначення фактичних капітальних </w:t>
            </w:r>
            <w:r w:rsidRPr="00D32097">
              <w:rPr>
                <w:rFonts w:ascii="Times New Roman" w:hAnsi="Times New Roman" w:cs="Times New Roman"/>
                <w:sz w:val="22"/>
                <w:szCs w:val="24"/>
                <w:lang w:eastAsia="uk-UA"/>
              </w:rPr>
              <w:lastRenderedPageBreak/>
              <w:t>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 за якими проводився аналіз.</w:t>
            </w:r>
          </w:p>
        </w:tc>
        <w:tc>
          <w:tcPr>
            <w:tcW w:w="3900" w:type="dxa"/>
            <w:gridSpan w:val="2"/>
          </w:tcPr>
          <w:p w:rsidR="00CE1725" w:rsidRPr="00D32097" w:rsidRDefault="00CE1725" w:rsidP="00CE1725">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 xml:space="preserve">АТ «ДТЕК ДНІПРОВСЬКІ ЕЛЕКТРОМЕРЕЖІ», ПРАТ «ДТЕК КИЇВСЬКІ ЕЛЕКТРОМЕРЕЖІ»,   АТ «ДТЕК ОДЕСЬКІ ЕЛЕКТРОМЕРЕЖІ», ПРАТ «ДТЕК КИЇВСЬКІ РЕГІОНАЛЬНІ ЕЛЕКТРОМЕРЕЖІ», АТ «ДТЕК ДОНЕЦЬКІ ЕЛЕКТРОМЕРЕЖІ» </w:t>
            </w:r>
            <w:r w:rsidRPr="00D32097">
              <w:rPr>
                <w:rFonts w:ascii="Times New Roman" w:hAnsi="Times New Roman" w:cs="Times New Roman"/>
                <w:sz w:val="22"/>
                <w:szCs w:val="22"/>
              </w:rPr>
              <w:t xml:space="preserve"> </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5.7. Розрахунок коефіцієнта оптимізації </w:t>
            </w:r>
            <w:r w:rsidRPr="00D32097">
              <w:rPr>
                <w:noProof/>
                <w:sz w:val="22"/>
                <w:szCs w:val="22"/>
                <w:lang w:eastAsia="uk-UA"/>
              </w:rPr>
              <w:drawing>
                <wp:inline distT="0" distB="0" distL="0" distR="0" wp14:anchorId="04749416" wp14:editId="0761BF5A">
                  <wp:extent cx="511810" cy="218796"/>
                  <wp:effectExtent l="0" t="0" r="2540" b="0"/>
                  <wp:docPr id="13" name="Рисунок 2">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449" cy="224626"/>
                          </a:xfrm>
                          <a:prstGeom prst="rect">
                            <a:avLst/>
                          </a:prstGeom>
                          <a:noFill/>
                          <a:ln>
                            <a:noFill/>
                          </a:ln>
                        </pic:spPr>
                      </pic:pic>
                    </a:graphicData>
                  </a:graphic>
                </wp:inline>
              </w:drawing>
            </w:r>
            <w:r w:rsidRPr="00D32097">
              <w:rPr>
                <w:rFonts w:ascii="Times New Roman" w:hAnsi="Times New Roman" w:cs="Times New Roman"/>
                <w:sz w:val="22"/>
                <w:szCs w:val="24"/>
                <w:lang w:eastAsia="uk-UA"/>
              </w:rPr>
              <w:t xml:space="preserve">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 </w:t>
            </w:r>
            <w:r w:rsidRPr="00D32097">
              <w:rPr>
                <w:rFonts w:ascii="Times New Roman" w:hAnsi="Times New Roman" w:cs="Times New Roman"/>
                <w:b/>
                <w:color w:val="0070C0"/>
                <w:sz w:val="22"/>
                <w:szCs w:val="24"/>
                <w:lang w:eastAsia="uk-UA"/>
              </w:rPr>
              <w:t>(крім реалізованих приєднань згідно пункту 4.3.11 та 4.3.12 розділу 4 Кодексу оператора систем розподілу)</w:t>
            </w:r>
            <w:r w:rsidRPr="00D32097">
              <w:rPr>
                <w:rFonts w:ascii="Times New Roman" w:hAnsi="Times New Roman" w:cs="Times New Roman"/>
                <w:sz w:val="22"/>
                <w:szCs w:val="24"/>
                <w:lang w:eastAsia="uk-UA"/>
              </w:rPr>
              <w:t>.</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Окремо проводиться аналіз по не менше як п’яти кошторисам нестандартних приєднань з найбільшими витратами, виконаних господарським і підрядним способами.</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У разі, якщо фактична кількість наданих оператором систем розподілу послуг з нестандартних приєднань у базовому періоді залежно від способу виконання менша п’яти, аналіз по кошторисах виконаних приєднань проводиться по фактичній кількості </w:t>
            </w:r>
            <w:r w:rsidRPr="00D32097">
              <w:rPr>
                <w:rFonts w:ascii="Times New Roman" w:hAnsi="Times New Roman" w:cs="Times New Roman"/>
                <w:sz w:val="22"/>
                <w:szCs w:val="24"/>
                <w:lang w:eastAsia="uk-UA"/>
              </w:rPr>
              <w:lastRenderedPageBreak/>
              <w:t>наданих ОСР послуг з нестандартних приєднань у базовому періоді.</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D32097">
              <w:rPr>
                <w:rFonts w:ascii="Times New Roman" w:hAnsi="Times New Roman" w:cs="Times New Roman"/>
                <w:sz w:val="22"/>
                <w:szCs w:val="24"/>
                <w:lang w:eastAsia="uk-UA"/>
              </w:rPr>
              <w:t>проєктів</w:t>
            </w:r>
            <w:proofErr w:type="spellEnd"/>
            <w:r w:rsidRPr="00D32097">
              <w:rPr>
                <w:rFonts w:ascii="Times New Roman" w:hAnsi="Times New Roman" w:cs="Times New Roman"/>
                <w:sz w:val="22"/>
                <w:szCs w:val="24"/>
                <w:lang w:eastAsia="uk-UA"/>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CE1725" w:rsidRPr="00D32097" w:rsidRDefault="00CE1725" w:rsidP="00CE1725">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підставі цінових показників на обладнання зі схожими технічними характеристиками.</w:t>
            </w:r>
          </w:p>
          <w:p w:rsidR="00CE1725" w:rsidRPr="00D32097" w:rsidRDefault="00CE1725" w:rsidP="00CE1725">
            <w:pPr>
              <w:ind w:firstLine="224"/>
              <w:contextualSpacing/>
              <w:jc w:val="both"/>
              <w:rPr>
                <w:rFonts w:ascii="Times New Roman" w:hAnsi="Times New Roman" w:cs="Times New Roman"/>
                <w:b/>
                <w:color w:val="000000"/>
                <w:sz w:val="22"/>
                <w:szCs w:val="22"/>
              </w:rPr>
            </w:pPr>
            <w:r w:rsidRPr="00D32097">
              <w:rPr>
                <w:rFonts w:ascii="Times New Roman" w:hAnsi="Times New Roman" w:cs="Times New Roman"/>
                <w:sz w:val="22"/>
                <w:szCs w:val="24"/>
                <w:lang w:eastAsia="uk-UA"/>
              </w:rPr>
              <w:t xml:space="preserve">Результати аналізу застосовуються </w:t>
            </w:r>
            <w:proofErr w:type="spellStart"/>
            <w:r w:rsidRPr="00D32097">
              <w:rPr>
                <w:rFonts w:ascii="Times New Roman" w:hAnsi="Times New Roman" w:cs="Times New Roman"/>
                <w:sz w:val="22"/>
                <w:szCs w:val="24"/>
                <w:lang w:eastAsia="uk-UA"/>
              </w:rPr>
              <w:t>пропорційно</w:t>
            </w:r>
            <w:proofErr w:type="spellEnd"/>
            <w:r w:rsidRPr="00D32097">
              <w:rPr>
                <w:rFonts w:ascii="Times New Roman" w:hAnsi="Times New Roman" w:cs="Times New Roman"/>
                <w:sz w:val="22"/>
                <w:szCs w:val="24"/>
                <w:lang w:eastAsia="uk-UA"/>
              </w:rPr>
              <w:t xml:space="preserve"> до кожного напряму для визначення фактичних капітальних </w:t>
            </w:r>
            <w:r w:rsidRPr="00D32097">
              <w:rPr>
                <w:rFonts w:ascii="Times New Roman" w:hAnsi="Times New Roman" w:cs="Times New Roman"/>
                <w:sz w:val="22"/>
                <w:szCs w:val="24"/>
                <w:lang w:eastAsia="uk-UA"/>
              </w:rPr>
              <w:lastRenderedPageBreak/>
              <w:t>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 за якими проводився аналіз.</w:t>
            </w:r>
          </w:p>
        </w:tc>
        <w:tc>
          <w:tcPr>
            <w:tcW w:w="3899" w:type="dxa"/>
          </w:tcPr>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sz w:val="22"/>
                <w:szCs w:val="22"/>
              </w:rPr>
              <w:t xml:space="preserve">При нестандартному приєднанню з </w:t>
            </w:r>
            <w:proofErr w:type="spellStart"/>
            <w:r w:rsidRPr="00D32097">
              <w:rPr>
                <w:rFonts w:ascii="Times New Roman" w:hAnsi="Times New Roman" w:cs="Times New Roman"/>
                <w:sz w:val="22"/>
                <w:szCs w:val="22"/>
              </w:rPr>
              <w:t>проєктуванням</w:t>
            </w:r>
            <w:proofErr w:type="spellEnd"/>
            <w:r w:rsidRPr="00D32097">
              <w:rPr>
                <w:rFonts w:ascii="Times New Roman" w:hAnsi="Times New Roman" w:cs="Times New Roman"/>
                <w:sz w:val="22"/>
                <w:szCs w:val="22"/>
              </w:rPr>
              <w:t xml:space="preserve"> замовником лінійної частини приєднання ОСР повертає кошти Замовнику згідно кошторисної документації, в зв’язку з чим вплив на дефіцит/профіцит коштів ОСР при приєднанні відсутній .</w:t>
            </w: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p>
          <w:p w:rsidR="00CE1725" w:rsidRPr="00D32097" w:rsidRDefault="00CE1725" w:rsidP="00CE1725">
            <w:pPr>
              <w:ind w:firstLine="182"/>
              <w:jc w:val="both"/>
              <w:rPr>
                <w:rFonts w:ascii="Times New Roman" w:hAnsi="Times New Roman" w:cs="Times New Roman"/>
                <w:sz w:val="22"/>
                <w:szCs w:val="22"/>
              </w:rPr>
            </w:pPr>
            <w:r w:rsidRPr="00D32097">
              <w:rPr>
                <w:rFonts w:ascii="Times New Roman" w:hAnsi="Times New Roman" w:cs="Times New Roman"/>
                <w:bCs/>
                <w:sz w:val="22"/>
                <w:szCs w:val="24"/>
                <w:lang w:eastAsia="uk-UA"/>
              </w:rPr>
              <w:t>Редакційна правка</w:t>
            </w:r>
          </w:p>
        </w:tc>
        <w:tc>
          <w:tcPr>
            <w:tcW w:w="3900" w:type="dxa"/>
            <w:gridSpan w:val="2"/>
          </w:tcPr>
          <w:p w:rsidR="00CE1725" w:rsidRDefault="001514FB" w:rsidP="00CE1725">
            <w:pPr>
              <w:ind w:firstLine="174"/>
              <w:jc w:val="center"/>
              <w:rPr>
                <w:rFonts w:ascii="Times New Roman" w:hAnsi="Times New Roman" w:cs="Times New Roman"/>
                <w:b/>
                <w:sz w:val="22"/>
                <w:szCs w:val="22"/>
                <w:lang w:eastAsia="uk-UA"/>
              </w:rPr>
            </w:pPr>
            <w:r>
              <w:rPr>
                <w:rFonts w:ascii="Times New Roman" w:hAnsi="Times New Roman" w:cs="Times New Roman"/>
                <w:b/>
                <w:sz w:val="22"/>
                <w:szCs w:val="22"/>
                <w:lang w:eastAsia="uk-UA"/>
              </w:rPr>
              <w:lastRenderedPageBreak/>
              <w:t>Пропонується викласти в такій редакції:</w:t>
            </w:r>
          </w:p>
          <w:p w:rsidR="001514FB" w:rsidRPr="00D32097" w:rsidRDefault="001514FB" w:rsidP="001514FB">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5.7. Розрахунок коефіцієнта оптимізації </w:t>
            </w:r>
            <w:r w:rsidRPr="00D32097">
              <w:rPr>
                <w:noProof/>
                <w:sz w:val="22"/>
                <w:szCs w:val="22"/>
                <w:lang w:eastAsia="uk-UA"/>
              </w:rPr>
              <w:drawing>
                <wp:inline distT="0" distB="0" distL="0" distR="0" wp14:anchorId="548C46A1" wp14:editId="247E6961">
                  <wp:extent cx="511810" cy="218796"/>
                  <wp:effectExtent l="0" t="0" r="2540" b="0"/>
                  <wp:docPr id="1" name="Рисунок 2">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5449" cy="224626"/>
                          </a:xfrm>
                          <a:prstGeom prst="rect">
                            <a:avLst/>
                          </a:prstGeom>
                          <a:noFill/>
                          <a:ln>
                            <a:noFill/>
                          </a:ln>
                        </pic:spPr>
                      </pic:pic>
                    </a:graphicData>
                  </a:graphic>
                </wp:inline>
              </w:drawing>
            </w:r>
            <w:r w:rsidRPr="00D32097">
              <w:rPr>
                <w:rFonts w:ascii="Times New Roman" w:hAnsi="Times New Roman" w:cs="Times New Roman"/>
                <w:sz w:val="22"/>
                <w:szCs w:val="24"/>
                <w:lang w:eastAsia="uk-UA"/>
              </w:rPr>
              <w:t xml:space="preserve">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w:t>
            </w:r>
          </w:p>
          <w:p w:rsidR="001514FB" w:rsidRPr="00D32097" w:rsidRDefault="001514FB" w:rsidP="001514FB">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Окремо проводиться аналіз по не менше як п’яти кошторисам нестандартних приєднань з найбільшими витратами, виконаних господарським і підрядним способами</w:t>
            </w:r>
            <w:r>
              <w:rPr>
                <w:rFonts w:ascii="Times New Roman" w:hAnsi="Times New Roman" w:cs="Times New Roman"/>
                <w:sz w:val="22"/>
                <w:szCs w:val="24"/>
                <w:lang w:eastAsia="uk-UA"/>
              </w:rPr>
              <w:t xml:space="preserve">, </w:t>
            </w:r>
            <w:r w:rsidRPr="001514FB">
              <w:rPr>
                <w:rFonts w:ascii="Times New Roman" w:hAnsi="Times New Roman" w:cs="Times New Roman"/>
                <w:b/>
                <w:color w:val="00B050"/>
                <w:sz w:val="22"/>
                <w:szCs w:val="24"/>
                <w:lang w:eastAsia="uk-UA"/>
              </w:rPr>
              <w:t>а також</w:t>
            </w:r>
            <w:r w:rsidRPr="001514FB">
              <w:rPr>
                <w:b/>
                <w:color w:val="00B050"/>
              </w:rPr>
              <w:t xml:space="preserve"> </w:t>
            </w:r>
            <w:r w:rsidRPr="001514FB">
              <w:rPr>
                <w:rFonts w:ascii="Times New Roman" w:hAnsi="Times New Roman" w:cs="Times New Roman"/>
                <w:b/>
                <w:color w:val="00B050"/>
                <w:sz w:val="22"/>
                <w:szCs w:val="24"/>
                <w:lang w:eastAsia="uk-UA"/>
              </w:rPr>
              <w:t xml:space="preserve">реалізованих приєднань згідно з пунктами 4.3.11 та 4.3.12 розділу </w:t>
            </w:r>
            <w:r w:rsidRPr="001514FB">
              <w:rPr>
                <w:rFonts w:ascii="Times New Roman" w:hAnsi="Times New Roman" w:cs="Times New Roman"/>
                <w:b/>
                <w:color w:val="00B050"/>
                <w:sz w:val="22"/>
                <w:szCs w:val="24"/>
                <w:lang w:val="en-US" w:eastAsia="uk-UA"/>
              </w:rPr>
              <w:t>IV</w:t>
            </w:r>
            <w:r w:rsidRPr="001514FB">
              <w:rPr>
                <w:rFonts w:ascii="Times New Roman" w:hAnsi="Times New Roman" w:cs="Times New Roman"/>
                <w:b/>
                <w:color w:val="00B050"/>
                <w:sz w:val="22"/>
                <w:szCs w:val="24"/>
                <w:lang w:eastAsia="uk-UA"/>
              </w:rPr>
              <w:t xml:space="preserve"> Кодексу систем розподілу</w:t>
            </w:r>
            <w:r w:rsidRPr="00D32097">
              <w:rPr>
                <w:rFonts w:ascii="Times New Roman" w:hAnsi="Times New Roman" w:cs="Times New Roman"/>
                <w:sz w:val="22"/>
                <w:szCs w:val="24"/>
                <w:lang w:eastAsia="uk-UA"/>
              </w:rPr>
              <w:t>.</w:t>
            </w:r>
          </w:p>
          <w:p w:rsidR="001514FB" w:rsidRPr="00D32097" w:rsidRDefault="001514FB" w:rsidP="001514FB">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У разі, якщо фактична кількість наданих оператором систем розподілу послуг з нестандартних приєднань у базовому періоді залежно від способу виконання менша п’яти, аналіз по кошторисах виконаних приєднань проводиться по фактичній кількості наданих ОСР послуг з нестандартних приєднань у базовому періоді.</w:t>
            </w:r>
          </w:p>
          <w:p w:rsidR="00E82EAE" w:rsidRPr="00D32097" w:rsidRDefault="00E82EAE" w:rsidP="00E82EAE">
            <w:pPr>
              <w:pStyle w:val="rvps2"/>
              <w:shd w:val="clear" w:color="auto" w:fill="FFFFFF"/>
              <w:spacing w:before="0" w:beforeAutospacing="0" w:after="0" w:afterAutospacing="0"/>
              <w:ind w:firstLine="309"/>
              <w:jc w:val="both"/>
              <w:rPr>
                <w:rFonts w:ascii="Times New Roman" w:hAnsi="Times New Roman" w:cs="Times New Roman"/>
                <w:sz w:val="22"/>
              </w:rPr>
            </w:pPr>
            <w:r w:rsidRPr="00D32097">
              <w:rPr>
                <w:rFonts w:ascii="Times New Roman" w:hAnsi="Times New Roman" w:cs="Times New Roman"/>
                <w:sz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w:t>
            </w:r>
            <w:r w:rsidRPr="00D32097">
              <w:rPr>
                <w:rFonts w:ascii="Times New Roman" w:hAnsi="Times New Roman" w:cs="Times New Roman"/>
                <w:sz w:val="22"/>
              </w:rPr>
              <w:lastRenderedPageBreak/>
              <w:t xml:space="preserve">наданням послуг з приєднання, застосовуються відповідно до показників, врахованих при </w:t>
            </w:r>
            <w:r w:rsidRPr="00AE22EF">
              <w:rPr>
                <w:rFonts w:ascii="Times New Roman" w:hAnsi="Times New Roman" w:cs="Times New Roman"/>
                <w:b/>
                <w:strike/>
                <w:color w:val="00B050"/>
                <w:sz w:val="22"/>
              </w:rPr>
              <w:t>виконанні/</w:t>
            </w:r>
            <w:r w:rsidRPr="00D32097">
              <w:rPr>
                <w:rFonts w:ascii="Times New Roman" w:hAnsi="Times New Roman" w:cs="Times New Roman"/>
                <w:sz w:val="22"/>
              </w:rPr>
              <w:t xml:space="preserve">плануванні </w:t>
            </w:r>
            <w:proofErr w:type="spellStart"/>
            <w:r w:rsidRPr="00D32097">
              <w:rPr>
                <w:rFonts w:ascii="Times New Roman" w:hAnsi="Times New Roman" w:cs="Times New Roman"/>
                <w:sz w:val="22"/>
              </w:rPr>
              <w:t>проєктів</w:t>
            </w:r>
            <w:proofErr w:type="spellEnd"/>
            <w:r w:rsidRPr="00D32097">
              <w:rPr>
                <w:rFonts w:ascii="Times New Roman" w:hAnsi="Times New Roman" w:cs="Times New Roman"/>
                <w:sz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w:t>
            </w:r>
            <w:r w:rsidRPr="00AE22EF">
              <w:rPr>
                <w:rFonts w:ascii="Times New Roman" w:hAnsi="Times New Roman" w:cs="Times New Roman"/>
                <w:b/>
                <w:strike/>
                <w:color w:val="00B050"/>
                <w:sz w:val="22"/>
              </w:rPr>
              <w:t>на відповідний період</w:t>
            </w:r>
            <w:r w:rsidRPr="00AE22EF">
              <w:rPr>
                <w:rFonts w:ascii="Times New Roman" w:hAnsi="Times New Roman" w:cs="Times New Roman"/>
                <w:b/>
                <w:color w:val="00B050"/>
                <w:sz w:val="22"/>
              </w:rPr>
              <w:t>,</w:t>
            </w:r>
            <w:r>
              <w:rPr>
                <w:rFonts w:ascii="Times New Roman" w:hAnsi="Times New Roman" w:cs="Times New Roman"/>
                <w:color w:val="00B050"/>
                <w:sz w:val="22"/>
              </w:rPr>
              <w:t xml:space="preserve"> </w:t>
            </w:r>
            <w:r w:rsidRPr="00AE22EF">
              <w:rPr>
                <w:rFonts w:ascii="Times New Roman" w:hAnsi="Times New Roman" w:cs="Times New Roman"/>
                <w:b/>
                <w:color w:val="00B050"/>
                <w:sz w:val="22"/>
              </w:rPr>
              <w:t>що формується у році, в</w:t>
            </w:r>
            <w:r w:rsidRPr="00D32097">
              <w:rPr>
                <w:rFonts w:ascii="Times New Roman" w:hAnsi="Times New Roman" w:cs="Times New Roman"/>
                <w:sz w:val="22"/>
              </w:rPr>
              <w:t xml:space="preserve">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E82EAE" w:rsidRPr="00AE22EF" w:rsidRDefault="00E82EAE" w:rsidP="00E82EAE">
            <w:pPr>
              <w:pStyle w:val="rvps2"/>
              <w:shd w:val="clear" w:color="auto" w:fill="FFFFFF"/>
              <w:spacing w:before="0" w:beforeAutospacing="0" w:after="0" w:afterAutospacing="0"/>
              <w:ind w:firstLine="309"/>
              <w:jc w:val="both"/>
              <w:rPr>
                <w:rFonts w:ascii="Times New Roman" w:hAnsi="Times New Roman" w:cs="Times New Roman"/>
                <w:b/>
                <w:strike/>
                <w:color w:val="00B050"/>
                <w:sz w:val="22"/>
              </w:rPr>
            </w:pPr>
            <w:r w:rsidRPr="00AE22EF">
              <w:rPr>
                <w:rFonts w:ascii="Times New Roman" w:hAnsi="Times New Roman" w:cs="Times New Roman"/>
                <w:b/>
                <w:strike/>
                <w:color w:val="00B050"/>
                <w:sz w:val="22"/>
              </w:rPr>
              <w:t>Вартісні показники на матеріали та обладнання враховуються із застосуванням коефіцієнта 1,1 для всього переліку матеріалів та обладнання, використаних під час надання послуг з приєднань.</w:t>
            </w:r>
          </w:p>
          <w:p w:rsidR="001514FB" w:rsidRDefault="001514FB" w:rsidP="001514FB">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підставі цінових показників на обладнання зі схожими технічними характеристиками.</w:t>
            </w:r>
          </w:p>
          <w:p w:rsidR="001514FB" w:rsidRPr="001514FB" w:rsidRDefault="001514FB" w:rsidP="001514FB">
            <w:pPr>
              <w:shd w:val="clear" w:color="auto" w:fill="FFFFFF"/>
              <w:ind w:firstLine="306"/>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Результати аналізу застосовуються </w:t>
            </w:r>
            <w:proofErr w:type="spellStart"/>
            <w:r w:rsidRPr="00D32097">
              <w:rPr>
                <w:rFonts w:ascii="Times New Roman" w:hAnsi="Times New Roman" w:cs="Times New Roman"/>
                <w:sz w:val="22"/>
                <w:szCs w:val="24"/>
                <w:lang w:eastAsia="uk-UA"/>
              </w:rPr>
              <w:t>пропорційно</w:t>
            </w:r>
            <w:proofErr w:type="spellEnd"/>
            <w:r w:rsidRPr="00D32097">
              <w:rPr>
                <w:rFonts w:ascii="Times New Roman" w:hAnsi="Times New Roman" w:cs="Times New Roman"/>
                <w:sz w:val="22"/>
                <w:szCs w:val="24"/>
                <w:lang w:eastAsia="uk-UA"/>
              </w:rPr>
              <w:t xml:space="preserve"> до кожного напряму для визначення фактичних капітальних 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w:t>
            </w:r>
            <w:r>
              <w:rPr>
                <w:rFonts w:ascii="Times New Roman" w:hAnsi="Times New Roman" w:cs="Times New Roman"/>
                <w:sz w:val="22"/>
                <w:szCs w:val="24"/>
                <w:lang w:eastAsia="uk-UA"/>
              </w:rPr>
              <w:t>,</w:t>
            </w:r>
            <w:r w:rsidRPr="001514FB">
              <w:rPr>
                <w:rFonts w:ascii="Times New Roman" w:hAnsi="Times New Roman" w:cs="Times New Roman"/>
                <w:b/>
                <w:color w:val="00B050"/>
                <w:sz w:val="22"/>
                <w:szCs w:val="24"/>
                <w:lang w:eastAsia="uk-UA"/>
              </w:rPr>
              <w:t xml:space="preserve"> а також</w:t>
            </w:r>
            <w:r w:rsidRPr="001514FB">
              <w:rPr>
                <w:b/>
                <w:color w:val="00B050"/>
              </w:rPr>
              <w:t xml:space="preserve"> </w:t>
            </w:r>
            <w:r w:rsidRPr="001514FB">
              <w:rPr>
                <w:rFonts w:ascii="Times New Roman" w:hAnsi="Times New Roman" w:cs="Times New Roman"/>
                <w:b/>
                <w:color w:val="00B050"/>
                <w:sz w:val="22"/>
                <w:szCs w:val="24"/>
                <w:lang w:eastAsia="uk-UA"/>
              </w:rPr>
              <w:t xml:space="preserve">реалізованих приєднань згідно з </w:t>
            </w:r>
            <w:r w:rsidRPr="001514FB">
              <w:rPr>
                <w:rFonts w:ascii="Times New Roman" w:hAnsi="Times New Roman" w:cs="Times New Roman"/>
                <w:b/>
                <w:color w:val="00B050"/>
                <w:sz w:val="22"/>
                <w:szCs w:val="24"/>
                <w:lang w:eastAsia="uk-UA"/>
              </w:rPr>
              <w:lastRenderedPageBreak/>
              <w:t xml:space="preserve">пунктами 4.3.11 та 4.3.12 розділу </w:t>
            </w:r>
            <w:r w:rsidRPr="001514FB">
              <w:rPr>
                <w:rFonts w:ascii="Times New Roman" w:hAnsi="Times New Roman" w:cs="Times New Roman"/>
                <w:b/>
                <w:color w:val="00B050"/>
                <w:sz w:val="22"/>
                <w:szCs w:val="24"/>
                <w:lang w:val="en-US" w:eastAsia="uk-UA"/>
              </w:rPr>
              <w:t>IV</w:t>
            </w:r>
            <w:r w:rsidRPr="001514FB">
              <w:rPr>
                <w:rFonts w:ascii="Times New Roman" w:hAnsi="Times New Roman" w:cs="Times New Roman"/>
                <w:b/>
                <w:color w:val="00B050"/>
                <w:sz w:val="22"/>
                <w:szCs w:val="24"/>
                <w:lang w:eastAsia="uk-UA"/>
              </w:rPr>
              <w:t xml:space="preserve"> Кодексу систем розподілу</w:t>
            </w:r>
            <w:r w:rsidRPr="00D32097">
              <w:rPr>
                <w:rFonts w:ascii="Times New Roman" w:hAnsi="Times New Roman" w:cs="Times New Roman"/>
                <w:sz w:val="22"/>
                <w:szCs w:val="24"/>
                <w:lang w:eastAsia="uk-UA"/>
              </w:rPr>
              <w:t>, за якими проводився аналіз.</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b/>
                <w:color w:val="000000"/>
                <w:sz w:val="22"/>
                <w:szCs w:val="22"/>
              </w:rPr>
            </w:pPr>
          </w:p>
        </w:tc>
        <w:tc>
          <w:tcPr>
            <w:tcW w:w="3900" w:type="dxa"/>
            <w:gridSpan w:val="2"/>
          </w:tcPr>
          <w:p w:rsidR="00FE4387" w:rsidRDefault="00FE4387" w:rsidP="00FE4387">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bCs/>
                <w:sz w:val="22"/>
                <w:szCs w:val="22"/>
              </w:rPr>
            </w:pPr>
            <w:r w:rsidRPr="00FE4387">
              <w:rPr>
                <w:rFonts w:ascii="Times New Roman" w:hAnsi="Times New Roman" w:cs="Times New Roman"/>
                <w:b/>
                <w:bCs/>
                <w:sz w:val="22"/>
                <w:szCs w:val="22"/>
              </w:rPr>
              <w:t>Варіант 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5.7. Розрахунок коефіцієнта оптимізації </w:t>
            </w:r>
            <w:r w:rsidRPr="00FE4387">
              <w:rPr>
                <w:noProof/>
                <w:sz w:val="22"/>
                <w:szCs w:val="22"/>
              </w:rPr>
              <w:drawing>
                <wp:inline distT="0" distB="0" distL="0" distR="0" wp14:anchorId="0FEF615B" wp14:editId="6D76A7D6">
                  <wp:extent cx="695325" cy="361950"/>
                  <wp:effectExtent l="0" t="0" r="9525" b="0"/>
                  <wp:docPr id="876828722" name="Рисунок 4">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5325" cy="361950"/>
                          </a:xfrm>
                          <a:prstGeom prst="rect">
                            <a:avLst/>
                          </a:prstGeom>
                          <a:noFill/>
                          <a:ln>
                            <a:noFill/>
                          </a:ln>
                        </pic:spPr>
                      </pic:pic>
                    </a:graphicData>
                  </a:graphic>
                </wp:inline>
              </w:drawing>
            </w:r>
            <w:r w:rsidRPr="00FE4387">
              <w:rPr>
                <w:rFonts w:ascii="Times New Roman" w:hAnsi="Times New Roman" w:cs="Times New Roman"/>
                <w:sz w:val="22"/>
                <w:szCs w:val="22"/>
              </w:rPr>
              <w:t>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 (</w:t>
            </w:r>
            <w:r w:rsidRPr="00FE4387">
              <w:rPr>
                <w:rFonts w:ascii="Times New Roman" w:hAnsi="Times New Roman" w:cs="Times New Roman"/>
                <w:b/>
                <w:bCs/>
                <w:sz w:val="22"/>
                <w:szCs w:val="22"/>
              </w:rPr>
              <w:t>крім реалізованих приєднань згідно пункту 4.3.11 та 4.3.12 розділу 4 Кодексу оператора систем розподілу)</w:t>
            </w:r>
            <w:r w:rsidRPr="00FE4387">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Вартісні показники на матеріали та обладнання враховуються із застосуванням коефіцієнта </w:t>
            </w:r>
            <w:r w:rsidRPr="00FE4387">
              <w:rPr>
                <w:rFonts w:ascii="Times New Roman" w:hAnsi="Times New Roman" w:cs="Times New Roman"/>
                <w:strike/>
                <w:sz w:val="22"/>
                <w:szCs w:val="22"/>
              </w:rPr>
              <w:t>1,1</w:t>
            </w:r>
            <w:r w:rsidRPr="00FE4387">
              <w:rPr>
                <w:rFonts w:ascii="Times New Roman" w:hAnsi="Times New Roman" w:cs="Times New Roman"/>
                <w:sz w:val="22"/>
                <w:szCs w:val="22"/>
              </w:rPr>
              <w:t xml:space="preserve"> </w:t>
            </w:r>
            <w:r w:rsidRPr="00FE4387">
              <w:rPr>
                <w:rFonts w:ascii="Times New Roman" w:hAnsi="Times New Roman" w:cs="Times New Roman"/>
                <w:b/>
                <w:bCs/>
                <w:sz w:val="22"/>
                <w:szCs w:val="22"/>
              </w:rPr>
              <w:t>1,2</w:t>
            </w:r>
            <w:r w:rsidRPr="00FE4387">
              <w:rPr>
                <w:rFonts w:ascii="Times New Roman" w:hAnsi="Times New Roman" w:cs="Times New Roman"/>
                <w:sz w:val="22"/>
                <w:szCs w:val="22"/>
              </w:rPr>
              <w:t xml:space="preserve"> </w:t>
            </w:r>
            <w:r w:rsidRPr="00FE4387">
              <w:rPr>
                <w:rFonts w:ascii="Times New Roman" w:hAnsi="Times New Roman" w:cs="Times New Roman"/>
                <w:b/>
                <w:bCs/>
                <w:color w:val="000000" w:themeColor="text1"/>
                <w:sz w:val="22"/>
                <w:szCs w:val="22"/>
              </w:rPr>
              <w:t>(1,5 для 2026 року)</w:t>
            </w:r>
            <w:r w:rsidRPr="00FE4387">
              <w:rPr>
                <w:rFonts w:ascii="Times New Roman" w:hAnsi="Times New Roman" w:cs="Times New Roman"/>
                <w:color w:val="000000" w:themeColor="text1"/>
                <w:sz w:val="22"/>
                <w:szCs w:val="22"/>
              </w:rPr>
              <w:t xml:space="preserve"> </w:t>
            </w:r>
            <w:r w:rsidRPr="00FE4387">
              <w:rPr>
                <w:rFonts w:ascii="Times New Roman" w:hAnsi="Times New Roman" w:cs="Times New Roman"/>
                <w:sz w:val="22"/>
                <w:szCs w:val="22"/>
              </w:rPr>
              <w:t>для всього переліку матеріалів та обладнання, використаних під час надання послуг з приєднань.</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w:t>
            </w:r>
            <w:r w:rsidRPr="00FE4387">
              <w:rPr>
                <w:rFonts w:ascii="Times New Roman" w:hAnsi="Times New Roman" w:cs="Times New Roman"/>
                <w:sz w:val="22"/>
                <w:szCs w:val="22"/>
              </w:rPr>
              <w:lastRenderedPageBreak/>
              <w:t>підставі цінових показників на обладнання зі схожими технічними характеристиками.</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sz w:val="22"/>
                <w:szCs w:val="22"/>
              </w:rPr>
            </w:pPr>
            <w:r w:rsidRPr="00FE4387">
              <w:rPr>
                <w:rFonts w:ascii="Times New Roman" w:hAnsi="Times New Roman" w:cs="Times New Roman"/>
                <w:b/>
                <w:sz w:val="22"/>
                <w:szCs w:val="22"/>
              </w:rPr>
              <w:t>Приєднання, виконані відповідно до пунктів 4.3.11 та 4.3.12 Кодексу систем розподілу, не враховуються при розрахунку коефіцієнта оптимізації.</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Результати аналізу застосовуються </w:t>
            </w:r>
            <w:proofErr w:type="spellStart"/>
            <w:r w:rsidRPr="00FE4387">
              <w:rPr>
                <w:rFonts w:ascii="Times New Roman" w:hAnsi="Times New Roman" w:cs="Times New Roman"/>
                <w:sz w:val="22"/>
                <w:szCs w:val="22"/>
              </w:rPr>
              <w:t>пропорційно</w:t>
            </w:r>
            <w:proofErr w:type="spellEnd"/>
            <w:r w:rsidRPr="00FE4387">
              <w:rPr>
                <w:rFonts w:ascii="Times New Roman" w:hAnsi="Times New Roman" w:cs="Times New Roman"/>
                <w:sz w:val="22"/>
                <w:szCs w:val="22"/>
              </w:rPr>
              <w:t xml:space="preserve"> до кожного напряму для визначення фактичних капітальних 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 за якими проводився аналіз.</w:t>
            </w:r>
          </w:p>
        </w:tc>
        <w:tc>
          <w:tcPr>
            <w:tcW w:w="3899" w:type="dxa"/>
          </w:tcPr>
          <w:p w:rsidR="00FE4387" w:rsidRPr="00FE4387" w:rsidRDefault="00FE4387" w:rsidP="00FE4387">
            <w:pPr>
              <w:pStyle w:val="rvps2"/>
              <w:shd w:val="clear" w:color="auto" w:fill="FFFFFF"/>
              <w:spacing w:before="0" w:beforeAutospacing="0" w:after="0" w:afterAutospacing="0"/>
              <w:ind w:firstLine="176"/>
              <w:jc w:val="both"/>
              <w:rPr>
                <w:rFonts w:ascii="Times New Roman" w:hAnsi="Times New Roman" w:cs="Times New Roman"/>
                <w:sz w:val="22"/>
                <w:szCs w:val="22"/>
              </w:rPr>
            </w:pPr>
            <w:r w:rsidRPr="00FE4387">
              <w:rPr>
                <w:rFonts w:ascii="Times New Roman" w:eastAsia="Arial" w:hAnsi="Times New Roman" w:cs="Times New Roman"/>
                <w:sz w:val="22"/>
                <w:szCs w:val="22"/>
              </w:rPr>
              <w:lastRenderedPageBreak/>
              <w:t xml:space="preserve">При нестандартному приєднанню </w:t>
            </w:r>
            <w:r w:rsidRPr="00FE4387">
              <w:rPr>
                <w:rFonts w:ascii="Times New Roman" w:hAnsi="Times New Roman" w:cs="Times New Roman"/>
                <w:sz w:val="22"/>
                <w:szCs w:val="22"/>
              </w:rPr>
              <w:t xml:space="preserve">з </w:t>
            </w:r>
            <w:proofErr w:type="spellStart"/>
            <w:r w:rsidRPr="00FE4387">
              <w:rPr>
                <w:rFonts w:ascii="Times New Roman" w:hAnsi="Times New Roman" w:cs="Times New Roman"/>
                <w:sz w:val="22"/>
                <w:szCs w:val="22"/>
              </w:rPr>
              <w:t>проєктуванням</w:t>
            </w:r>
            <w:proofErr w:type="spellEnd"/>
            <w:r w:rsidRPr="00FE4387">
              <w:rPr>
                <w:rFonts w:ascii="Times New Roman" w:hAnsi="Times New Roman" w:cs="Times New Roman"/>
                <w:sz w:val="22"/>
                <w:szCs w:val="22"/>
              </w:rPr>
              <w:t xml:space="preserve"> замовником лінійної частини приєднання ОСР повертає кошти Замовнику згідно кошторисної документації, в зв’язку з чим вплив на дефіцит/профіцит коштів ОСР при приєднанні відсутній.</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Необхідність перегляду коефіцієнта, що застосовується до вартісних показників матеріалів та обладнання, зумовлена суттєвими змінами цінової кон’юнктури у 2024–2026 роках, зокрема стрімким зростанням вартості металопродукції, кабельної продукції, електротехнічного обладнання, а також логістичних витрат.</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Застосування коефіцієнта на рівні 1,5 для 2026 року обґрунтовується необхідністю врахування пікового рівня зростання цін, що спостерігається у поточному періоді, та забезпечення коректного відображення фактичних витрат операторів систем розподілу при виконанні приєднань.</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Встановлення базового коефіцієнта на рівні 1,2 для інших періодів спрямоване на:</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урахування системного інфляційного впливу на вартість матеріально-технічних ресурсів;</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забезпечення більш наближеного до ринкового рівня індикативних цін;</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lastRenderedPageBreak/>
              <w:t>підвищення точності визначення дефіциту/профіциту коштів.</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Запропонований диференційований підхід до встановлення коефіцієнта дозволяє:</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забезпечити адаптивність розрахунків до поточних економічних умов;</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мінімізувати викривлення фінансових результатів ОСР;</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забезпечити економічно обґрунтований рівень вартості послуг з приєднання.</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Зазначені зміни спрямовані на підвищення достовірності розрахунків та забезпечення балансу інтересів між ОСР та замовниками послуг приєднання.</w:t>
            </w:r>
          </w:p>
        </w:tc>
        <w:tc>
          <w:tcPr>
            <w:tcW w:w="3900" w:type="dxa"/>
            <w:gridSpan w:val="2"/>
          </w:tcPr>
          <w:p w:rsidR="00FE4387" w:rsidRPr="00D32097" w:rsidRDefault="00E82EAE" w:rsidP="00FE4387">
            <w:pPr>
              <w:ind w:firstLine="174"/>
              <w:jc w:val="center"/>
              <w:rPr>
                <w:b/>
                <w:sz w:val="22"/>
                <w:szCs w:val="22"/>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b/>
                <w:color w:val="000000"/>
                <w:sz w:val="22"/>
                <w:szCs w:val="22"/>
              </w:rPr>
            </w:pPr>
          </w:p>
        </w:tc>
        <w:tc>
          <w:tcPr>
            <w:tcW w:w="3900" w:type="dxa"/>
            <w:gridSpan w:val="2"/>
          </w:tcPr>
          <w:p w:rsidR="00FE4387" w:rsidRDefault="00FE4387" w:rsidP="00FE4387">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bCs/>
                <w:sz w:val="22"/>
                <w:szCs w:val="22"/>
              </w:rPr>
            </w:pPr>
            <w:r w:rsidRPr="00FE4387">
              <w:rPr>
                <w:rFonts w:ascii="Times New Roman" w:hAnsi="Times New Roman" w:cs="Times New Roman"/>
                <w:b/>
                <w:bCs/>
                <w:sz w:val="22"/>
                <w:szCs w:val="22"/>
              </w:rPr>
              <w:t>Варіант ІІ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5.7. Розрахунок коефіцієнта оптимізації </w:t>
            </w:r>
            <w:r w:rsidRPr="00FE4387">
              <w:rPr>
                <w:noProof/>
                <w:sz w:val="22"/>
                <w:szCs w:val="22"/>
              </w:rPr>
              <w:drawing>
                <wp:inline distT="0" distB="0" distL="0" distR="0" wp14:anchorId="7C11BD64" wp14:editId="4F9BA0E2">
                  <wp:extent cx="695325" cy="361950"/>
                  <wp:effectExtent l="0" t="0" r="9525" b="0"/>
                  <wp:docPr id="141464846" name="Рисунок 4">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5325" cy="361950"/>
                          </a:xfrm>
                          <a:prstGeom prst="rect">
                            <a:avLst/>
                          </a:prstGeom>
                          <a:noFill/>
                          <a:ln>
                            <a:noFill/>
                          </a:ln>
                        </pic:spPr>
                      </pic:pic>
                    </a:graphicData>
                  </a:graphic>
                </wp:inline>
              </w:drawing>
            </w:r>
            <w:r w:rsidRPr="00FE4387">
              <w:rPr>
                <w:rFonts w:ascii="Times New Roman" w:hAnsi="Times New Roman" w:cs="Times New Roman"/>
                <w:sz w:val="22"/>
                <w:szCs w:val="22"/>
              </w:rPr>
              <w:t>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 (</w:t>
            </w:r>
            <w:r w:rsidRPr="00FE4387">
              <w:rPr>
                <w:rFonts w:ascii="Times New Roman" w:hAnsi="Times New Roman" w:cs="Times New Roman"/>
                <w:b/>
                <w:bCs/>
                <w:sz w:val="22"/>
                <w:szCs w:val="22"/>
              </w:rPr>
              <w:t>крім реалізованих приєднань згідно пункту 4.3.11 та 4.3.12 розділу 4 Кодексу оператора систем розподілу)</w:t>
            </w:r>
            <w:r w:rsidRPr="00FE4387">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lastRenderedPageBreak/>
              <w:t>Вартісні показники на матеріали та обладнання враховуються із застосуванням коефіцієнта 1,1</w:t>
            </w:r>
            <w:r w:rsidRPr="00FE4387">
              <w:rPr>
                <w:rFonts w:ascii="Times New Roman" w:hAnsi="Times New Roman" w:cs="Times New Roman"/>
                <w:color w:val="000000" w:themeColor="text1"/>
                <w:sz w:val="22"/>
                <w:szCs w:val="22"/>
              </w:rPr>
              <w:t xml:space="preserve"> </w:t>
            </w:r>
            <w:r w:rsidRPr="00FE4387">
              <w:rPr>
                <w:rFonts w:ascii="Times New Roman" w:hAnsi="Times New Roman" w:cs="Times New Roman"/>
                <w:sz w:val="22"/>
                <w:szCs w:val="22"/>
              </w:rPr>
              <w:t>для всього переліку матеріалів та обладнання, використаних під час надання послуг з приєднань.</w:t>
            </w:r>
          </w:p>
          <w:p w:rsidR="00FE4387" w:rsidRPr="00FE4387" w:rsidRDefault="00FE4387" w:rsidP="00FE4387">
            <w:pPr>
              <w:shd w:val="clear" w:color="auto" w:fill="FFFFFF"/>
              <w:ind w:firstLine="241"/>
              <w:jc w:val="both"/>
              <w:rPr>
                <w:rFonts w:ascii="Times New Roman" w:hAnsi="Times New Roman" w:cs="Times New Roman"/>
                <w:b/>
                <w:bCs/>
                <w:color w:val="000000" w:themeColor="text1"/>
                <w:sz w:val="22"/>
                <w:szCs w:val="22"/>
              </w:rPr>
            </w:pPr>
            <w:r w:rsidRPr="00FE4387">
              <w:rPr>
                <w:rFonts w:ascii="Times New Roman" w:hAnsi="Times New Roman" w:cs="Times New Roman"/>
                <w:b/>
                <w:bCs/>
                <w:color w:val="000000" w:themeColor="text1"/>
                <w:sz w:val="22"/>
                <w:szCs w:val="22"/>
              </w:rPr>
              <w:t>У разі виявлення суттєвого відхилення вартісних показників на окремі види матеріалів та/або обладнання від індикативних цін, що використовуються при розрахунках, НКРЕКП має право здійснити їх перегляд із урахуванням актуального рівня ринкових цін.</w:t>
            </w:r>
          </w:p>
          <w:p w:rsidR="00FE4387" w:rsidRPr="00FE4387" w:rsidRDefault="00FE4387" w:rsidP="00FE4387">
            <w:pPr>
              <w:shd w:val="clear" w:color="auto" w:fill="FFFFFF"/>
              <w:ind w:firstLine="241"/>
              <w:jc w:val="both"/>
              <w:rPr>
                <w:rFonts w:ascii="Times New Roman" w:hAnsi="Times New Roman" w:cs="Times New Roman"/>
                <w:b/>
                <w:bCs/>
                <w:color w:val="000000" w:themeColor="text1"/>
                <w:sz w:val="22"/>
                <w:szCs w:val="22"/>
              </w:rPr>
            </w:pPr>
            <w:r w:rsidRPr="00FE4387">
              <w:rPr>
                <w:rFonts w:ascii="Times New Roman" w:hAnsi="Times New Roman" w:cs="Times New Roman"/>
                <w:b/>
                <w:bCs/>
                <w:color w:val="000000" w:themeColor="text1"/>
                <w:sz w:val="22"/>
                <w:szCs w:val="22"/>
              </w:rPr>
              <w:t>Оновлені індикативні показники застосовуються при проведенні відповідних розрахунків та надаються оператору системи розподілу на його запит.</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підставі цінових показників на обладнання зі схожими технічними характеристиками.</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sz w:val="22"/>
                <w:szCs w:val="22"/>
              </w:rPr>
            </w:pPr>
            <w:r w:rsidRPr="00FE4387">
              <w:rPr>
                <w:rFonts w:ascii="Times New Roman" w:hAnsi="Times New Roman" w:cs="Times New Roman"/>
                <w:b/>
                <w:sz w:val="22"/>
                <w:szCs w:val="22"/>
              </w:rPr>
              <w:t>Приєднання, виконані відповідно до пунктів 4.3.11 та 4.3.12 Кодексу систем розподілу, не враховуються при розрахунку коефіцієнта оптимізації.</w:t>
            </w:r>
          </w:p>
          <w:p w:rsidR="00FE4387" w:rsidRPr="00FE4387" w:rsidRDefault="00FE4387" w:rsidP="00FE4387">
            <w:pPr>
              <w:shd w:val="clear" w:color="auto" w:fill="FFFFFF"/>
              <w:ind w:firstLine="241"/>
              <w:jc w:val="both"/>
              <w:rPr>
                <w:rFonts w:ascii="Times New Roman" w:hAnsi="Times New Roman" w:cs="Times New Roman"/>
                <w:b/>
                <w:bCs/>
                <w:color w:val="000000" w:themeColor="text1"/>
                <w:sz w:val="22"/>
                <w:szCs w:val="22"/>
                <w:u w:val="single"/>
              </w:rPr>
            </w:pPr>
            <w:r w:rsidRPr="00FE4387">
              <w:rPr>
                <w:rFonts w:ascii="Times New Roman" w:hAnsi="Times New Roman" w:cs="Times New Roman"/>
                <w:sz w:val="22"/>
                <w:szCs w:val="22"/>
              </w:rPr>
              <w:t xml:space="preserve">Результати аналізу застосовуються </w:t>
            </w:r>
            <w:proofErr w:type="spellStart"/>
            <w:r w:rsidRPr="00FE4387">
              <w:rPr>
                <w:rFonts w:ascii="Times New Roman" w:hAnsi="Times New Roman" w:cs="Times New Roman"/>
                <w:sz w:val="22"/>
                <w:szCs w:val="22"/>
              </w:rPr>
              <w:t>пропорційно</w:t>
            </w:r>
            <w:proofErr w:type="spellEnd"/>
            <w:r w:rsidRPr="00FE4387">
              <w:rPr>
                <w:rFonts w:ascii="Times New Roman" w:hAnsi="Times New Roman" w:cs="Times New Roman"/>
                <w:sz w:val="22"/>
                <w:szCs w:val="22"/>
              </w:rPr>
              <w:t xml:space="preserve"> до кожного напряму для визначення фактичних капітальних витрат, понесених під час надання послуг із нестандартного приєднання (за об’єктами замовників, приєднання </w:t>
            </w:r>
            <w:r w:rsidRPr="00FE4387">
              <w:rPr>
                <w:rFonts w:ascii="Times New Roman" w:hAnsi="Times New Roman" w:cs="Times New Roman"/>
                <w:sz w:val="22"/>
                <w:szCs w:val="22"/>
              </w:rPr>
              <w:lastRenderedPageBreak/>
              <w:t>яких завершено в базовому періоді) для міської та сільської місцевості, за якими проводився аналіз.</w:t>
            </w:r>
          </w:p>
        </w:tc>
        <w:tc>
          <w:tcPr>
            <w:tcW w:w="3899" w:type="dxa"/>
          </w:tcPr>
          <w:p w:rsidR="00FE4387" w:rsidRPr="00FE4387" w:rsidRDefault="00FE4387" w:rsidP="00FE4387">
            <w:pPr>
              <w:shd w:val="clear" w:color="auto" w:fill="FFFFFF"/>
              <w:ind w:firstLine="176"/>
              <w:jc w:val="both"/>
              <w:rPr>
                <w:rFonts w:ascii="Times New Roman" w:hAnsi="Times New Roman" w:cs="Times New Roman"/>
                <w:sz w:val="22"/>
              </w:rPr>
            </w:pPr>
            <w:r w:rsidRPr="00FE4387">
              <w:rPr>
                <w:rFonts w:ascii="Times New Roman" w:hAnsi="Times New Roman" w:cs="Times New Roman"/>
                <w:sz w:val="22"/>
              </w:rPr>
              <w:lastRenderedPageBreak/>
              <w:t>Необхідність внесення змін зумовлена потребою забезпечення актуальності та достовірності індикативних цінових показників, що застосовуються при розрахунку вартості послуг з приєднання та визначенні дефіциту/профіциту коштів.</w:t>
            </w:r>
          </w:p>
          <w:p w:rsidR="00FE4387" w:rsidRPr="00FE4387" w:rsidRDefault="00FE4387" w:rsidP="00FE4387">
            <w:pPr>
              <w:shd w:val="clear" w:color="auto" w:fill="FFFFFF"/>
              <w:ind w:firstLine="176"/>
              <w:jc w:val="both"/>
              <w:rPr>
                <w:rFonts w:ascii="Times New Roman" w:hAnsi="Times New Roman" w:cs="Times New Roman"/>
                <w:sz w:val="22"/>
              </w:rPr>
            </w:pPr>
            <w:r w:rsidRPr="00FE4387">
              <w:rPr>
                <w:rFonts w:ascii="Times New Roman" w:hAnsi="Times New Roman" w:cs="Times New Roman"/>
                <w:sz w:val="22"/>
              </w:rPr>
              <w:t>Існуючий підхід не завжди враховує оперативні зміни ринкової кон’юнктури, що призводить до ризиків викривлення фактичних витрат ОСР та некоректного визначення вартості послуг.</w:t>
            </w:r>
          </w:p>
          <w:p w:rsidR="00FE4387" w:rsidRPr="00FE4387" w:rsidRDefault="00FE4387" w:rsidP="00FE4387">
            <w:pPr>
              <w:shd w:val="clear" w:color="auto" w:fill="FFFFFF"/>
              <w:ind w:firstLine="176"/>
              <w:jc w:val="both"/>
              <w:rPr>
                <w:rFonts w:ascii="Times New Roman" w:hAnsi="Times New Roman" w:cs="Times New Roman"/>
                <w:sz w:val="22"/>
              </w:rPr>
            </w:pPr>
            <w:r w:rsidRPr="00FE4387">
              <w:rPr>
                <w:rFonts w:ascii="Times New Roman" w:hAnsi="Times New Roman" w:cs="Times New Roman"/>
                <w:sz w:val="22"/>
              </w:rPr>
              <w:t>Запровадження механізму перегляду індикативних цін НКРЕКП у разі їх суттєвого відхилення від ринкових дозволить підвищити точність розрахунків, забезпечити збалансованість інтересів сторін та мінімізувати фінансові ризики.</w:t>
            </w:r>
          </w:p>
          <w:p w:rsidR="00FE4387" w:rsidRPr="00FE4387" w:rsidRDefault="00FE4387" w:rsidP="00FE4387">
            <w:pPr>
              <w:shd w:val="clear" w:color="auto" w:fill="FFFFFF"/>
              <w:ind w:firstLine="176"/>
              <w:jc w:val="both"/>
              <w:rPr>
                <w:rFonts w:ascii="Times New Roman" w:hAnsi="Times New Roman" w:cs="Times New Roman"/>
                <w:sz w:val="22"/>
              </w:rPr>
            </w:pPr>
            <w:r w:rsidRPr="00FE4387">
              <w:rPr>
                <w:rFonts w:ascii="Times New Roman" w:hAnsi="Times New Roman" w:cs="Times New Roman"/>
                <w:sz w:val="22"/>
              </w:rPr>
              <w:lastRenderedPageBreak/>
              <w:t>Крім того, надання оновлених показників на запит ОСР сприятиме уніфікованому та прозорому підходу до формування вартості приєднань.</w:t>
            </w:r>
          </w:p>
          <w:p w:rsidR="00FE4387" w:rsidRDefault="00FE4387" w:rsidP="00FE4387">
            <w:pPr>
              <w:pStyle w:val="rvps2"/>
              <w:shd w:val="clear" w:color="auto" w:fill="FFFFFF"/>
              <w:spacing w:before="0" w:beforeAutospacing="0" w:after="150" w:afterAutospacing="0"/>
              <w:ind w:firstLine="450"/>
              <w:jc w:val="both"/>
              <w:rPr>
                <w:rFonts w:eastAsia="Arial"/>
                <w:sz w:val="20"/>
                <w:szCs w:val="20"/>
              </w:rPr>
            </w:pPr>
          </w:p>
          <w:p w:rsidR="00FE4387" w:rsidRPr="0023487A" w:rsidRDefault="00FE4387" w:rsidP="00FE4387">
            <w:pPr>
              <w:pStyle w:val="rvps2"/>
              <w:shd w:val="clear" w:color="auto" w:fill="FFFFFF"/>
              <w:spacing w:before="0" w:beforeAutospacing="0" w:after="150" w:afterAutospacing="0"/>
              <w:ind w:firstLine="450"/>
              <w:jc w:val="both"/>
              <w:rPr>
                <w:rFonts w:eastAsia="Arial"/>
                <w:sz w:val="20"/>
                <w:szCs w:val="20"/>
              </w:rPr>
            </w:pPr>
          </w:p>
        </w:tc>
        <w:tc>
          <w:tcPr>
            <w:tcW w:w="3900" w:type="dxa"/>
            <w:gridSpan w:val="2"/>
          </w:tcPr>
          <w:p w:rsidR="00FE4387" w:rsidRPr="00D32097" w:rsidRDefault="00E82EAE" w:rsidP="00FE4387">
            <w:pPr>
              <w:ind w:firstLine="174"/>
              <w:jc w:val="center"/>
              <w:rPr>
                <w:b/>
                <w:sz w:val="22"/>
                <w:szCs w:val="22"/>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b/>
                <w:color w:val="000000"/>
                <w:sz w:val="22"/>
                <w:szCs w:val="22"/>
              </w:rPr>
            </w:pPr>
          </w:p>
        </w:tc>
        <w:tc>
          <w:tcPr>
            <w:tcW w:w="3900" w:type="dxa"/>
            <w:gridSpan w:val="2"/>
          </w:tcPr>
          <w:p w:rsidR="00FE4387" w:rsidRDefault="00FE4387" w:rsidP="00FE4387">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bCs/>
                <w:sz w:val="22"/>
                <w:szCs w:val="22"/>
              </w:rPr>
            </w:pPr>
            <w:r w:rsidRPr="00FE4387">
              <w:rPr>
                <w:rFonts w:ascii="Times New Roman" w:hAnsi="Times New Roman" w:cs="Times New Roman"/>
                <w:b/>
                <w:bCs/>
                <w:sz w:val="22"/>
                <w:szCs w:val="22"/>
              </w:rPr>
              <w:t>Варіант ІІІ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5.7. Розрахунок коефіцієнта оптимізації </w:t>
            </w:r>
            <w:r w:rsidRPr="00FE4387">
              <w:rPr>
                <w:noProof/>
                <w:sz w:val="22"/>
                <w:szCs w:val="22"/>
              </w:rPr>
              <w:drawing>
                <wp:inline distT="0" distB="0" distL="0" distR="0" wp14:anchorId="2077EC2C" wp14:editId="33AC274E">
                  <wp:extent cx="695325" cy="361950"/>
                  <wp:effectExtent l="0" t="0" r="9525" b="0"/>
                  <wp:docPr id="961972489" name="Рисунок 4">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5325" cy="361950"/>
                          </a:xfrm>
                          <a:prstGeom prst="rect">
                            <a:avLst/>
                          </a:prstGeom>
                          <a:noFill/>
                          <a:ln>
                            <a:noFill/>
                          </a:ln>
                        </pic:spPr>
                      </pic:pic>
                    </a:graphicData>
                  </a:graphic>
                </wp:inline>
              </w:drawing>
            </w:r>
            <w:r w:rsidRPr="00FE4387">
              <w:rPr>
                <w:rFonts w:ascii="Times New Roman" w:hAnsi="Times New Roman" w:cs="Times New Roman"/>
                <w:sz w:val="22"/>
                <w:szCs w:val="22"/>
              </w:rPr>
              <w:t>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 (</w:t>
            </w:r>
            <w:r w:rsidRPr="00FE4387">
              <w:rPr>
                <w:rFonts w:ascii="Times New Roman" w:hAnsi="Times New Roman" w:cs="Times New Roman"/>
                <w:b/>
                <w:bCs/>
                <w:sz w:val="22"/>
                <w:szCs w:val="22"/>
              </w:rPr>
              <w:t>крім реалізованих приєднань згідно пункту 4.3.11 та 4.3.12 розділу 4 Кодексу оператора систем розподілу)</w:t>
            </w:r>
            <w:r w:rsidRPr="00FE4387">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FE4387">
              <w:rPr>
                <w:rFonts w:ascii="Times New Roman" w:hAnsi="Times New Roman" w:cs="Times New Roman"/>
                <w:sz w:val="22"/>
                <w:szCs w:val="22"/>
              </w:rPr>
              <w:t>проєктів</w:t>
            </w:r>
            <w:proofErr w:type="spellEnd"/>
            <w:r w:rsidRPr="00FE4387">
              <w:rPr>
                <w:rFonts w:ascii="Times New Roman" w:hAnsi="Times New Roman" w:cs="Times New Roman"/>
                <w:sz w:val="22"/>
                <w:szCs w:val="22"/>
              </w:rPr>
              <w:t xml:space="preserve"> нового 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w:t>
            </w:r>
            <w:r w:rsidRPr="00FE4387">
              <w:rPr>
                <w:rFonts w:ascii="Times New Roman" w:hAnsi="Times New Roman" w:cs="Times New Roman"/>
                <w:b/>
                <w:bCs/>
                <w:sz w:val="22"/>
                <w:szCs w:val="22"/>
              </w:rPr>
              <w:t xml:space="preserve"> </w:t>
            </w:r>
            <w:r w:rsidRPr="00FE4387">
              <w:rPr>
                <w:rFonts w:ascii="Times New Roman" w:hAnsi="Times New Roman" w:cs="Times New Roman"/>
                <w:b/>
                <w:bCs/>
                <w:color w:val="000000" w:themeColor="text1"/>
                <w:sz w:val="22"/>
                <w:szCs w:val="22"/>
              </w:rPr>
              <w:t xml:space="preserve">(крім рівня </w:t>
            </w:r>
            <w:r w:rsidRPr="00FE4387">
              <w:rPr>
                <w:rFonts w:ascii="Times New Roman" w:hAnsi="Times New Roman" w:cs="Times New Roman"/>
                <w:b/>
                <w:bCs/>
                <w:color w:val="000000" w:themeColor="text1"/>
                <w:sz w:val="22"/>
                <w:szCs w:val="22"/>
                <w:lang w:eastAsia="en-US"/>
              </w:rPr>
              <w:t>заробітної плати,</w:t>
            </w:r>
            <w:r w:rsidRPr="00FE4387">
              <w:rPr>
                <w:rFonts w:ascii="Times New Roman" w:hAnsi="Times New Roman" w:cs="Times New Roman"/>
                <w:b/>
                <w:bCs/>
                <w:color w:val="000000" w:themeColor="text1"/>
                <w:sz w:val="22"/>
                <w:szCs w:val="22"/>
              </w:rPr>
              <w:t xml:space="preserve"> який розраховується відповідно до чинних </w:t>
            </w:r>
            <w:r w:rsidRPr="00FE4387">
              <w:rPr>
                <w:rFonts w:ascii="Times New Roman" w:hAnsi="Times New Roman" w:cs="Times New Roman"/>
                <w:b/>
                <w:bCs/>
                <w:color w:val="000000" w:themeColor="text1"/>
                <w:sz w:val="22"/>
                <w:szCs w:val="22"/>
              </w:rPr>
              <w:lastRenderedPageBreak/>
              <w:t>нормативних документів у сфері будівництва),</w:t>
            </w:r>
            <w:r w:rsidRPr="00FE4387">
              <w:rPr>
                <w:rFonts w:ascii="Times New Roman" w:hAnsi="Times New Roman" w:cs="Times New Roman"/>
                <w:b/>
                <w:bCs/>
                <w:sz w:val="22"/>
                <w:szCs w:val="22"/>
              </w:rPr>
              <w:t xml:space="preserve">  </w:t>
            </w:r>
            <w:r w:rsidRPr="00FE4387">
              <w:rPr>
                <w:rFonts w:ascii="Times New Roman" w:hAnsi="Times New Roman" w:cs="Times New Roman"/>
                <w:sz w:val="22"/>
                <w:szCs w:val="22"/>
              </w:rPr>
              <w:t>, 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Вартісні показники на матеріали та обладнання враховуються із застосуванням коефіцієнта </w:t>
            </w:r>
            <w:r w:rsidRPr="00FE4387">
              <w:rPr>
                <w:rFonts w:ascii="Times New Roman" w:hAnsi="Times New Roman" w:cs="Times New Roman"/>
                <w:strike/>
                <w:sz w:val="22"/>
                <w:szCs w:val="22"/>
              </w:rPr>
              <w:t>1,1</w:t>
            </w:r>
            <w:r w:rsidRPr="00FE4387">
              <w:rPr>
                <w:rFonts w:ascii="Times New Roman" w:hAnsi="Times New Roman" w:cs="Times New Roman"/>
                <w:sz w:val="22"/>
                <w:szCs w:val="22"/>
              </w:rPr>
              <w:t xml:space="preserve"> </w:t>
            </w:r>
            <w:r w:rsidRPr="00FE4387">
              <w:rPr>
                <w:rFonts w:ascii="Times New Roman" w:hAnsi="Times New Roman" w:cs="Times New Roman"/>
                <w:b/>
                <w:bCs/>
                <w:sz w:val="22"/>
                <w:szCs w:val="22"/>
              </w:rPr>
              <w:t>1,2</w:t>
            </w:r>
            <w:r w:rsidRPr="00FE4387">
              <w:rPr>
                <w:rFonts w:ascii="Times New Roman" w:hAnsi="Times New Roman" w:cs="Times New Roman"/>
                <w:sz w:val="22"/>
                <w:szCs w:val="22"/>
              </w:rPr>
              <w:t xml:space="preserve"> для всього переліку матеріалів та обладнання, використаних під час надання послуг з приєднань. </w:t>
            </w:r>
            <w:r w:rsidRPr="00FE4387">
              <w:rPr>
                <w:rFonts w:ascii="Times New Roman" w:hAnsi="Times New Roman" w:cs="Times New Roman"/>
                <w:b/>
                <w:bCs/>
                <w:sz w:val="22"/>
                <w:szCs w:val="22"/>
              </w:rPr>
              <w:t>У випадку перевищення вартісних показників матеріалів та обладнання над індикативними цінами більш ніж на 20 %, ОСР застосовує вартісні показники на рівні найнижчої ціни, визначеної за результатами двох тендерних процедур, або на рівні найнижчої ціни, встановленої за результатами щонайменше двох комерційних пропозицій, наданих підрядником.</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підставі цінових показників на обладнання зі схожими технічними характеристиками.</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sz w:val="22"/>
                <w:szCs w:val="22"/>
              </w:rPr>
            </w:pPr>
            <w:r w:rsidRPr="00FE4387">
              <w:rPr>
                <w:rFonts w:ascii="Times New Roman" w:hAnsi="Times New Roman" w:cs="Times New Roman"/>
                <w:b/>
                <w:sz w:val="22"/>
                <w:szCs w:val="22"/>
              </w:rPr>
              <w:t>Приєднання, виконані відповідно до пунктів 4.3.11 та 4.3.12 Кодексу систем розподілу, не враховуються при розрахунку коефіцієнта оптимізації.</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lastRenderedPageBreak/>
              <w:t xml:space="preserve">Результати аналізу застосовуються </w:t>
            </w:r>
            <w:proofErr w:type="spellStart"/>
            <w:r w:rsidRPr="00FE4387">
              <w:rPr>
                <w:rFonts w:ascii="Times New Roman" w:hAnsi="Times New Roman" w:cs="Times New Roman"/>
                <w:sz w:val="22"/>
                <w:szCs w:val="22"/>
              </w:rPr>
              <w:t>пропорційно</w:t>
            </w:r>
            <w:proofErr w:type="spellEnd"/>
            <w:r w:rsidRPr="00FE4387">
              <w:rPr>
                <w:rFonts w:ascii="Times New Roman" w:hAnsi="Times New Roman" w:cs="Times New Roman"/>
                <w:sz w:val="22"/>
                <w:szCs w:val="22"/>
              </w:rPr>
              <w:t xml:space="preserve"> до кожного напряму для визначення фактичних капітальних 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 за якими проводився аналіз.</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p>
        </w:tc>
        <w:tc>
          <w:tcPr>
            <w:tcW w:w="3899" w:type="dxa"/>
          </w:tcPr>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lastRenderedPageBreak/>
              <w:t>Необхідність внесення змін зумовлена потребою підвищення обґрунтованості та контрольованості витрат при наданні послуг з приєднання, а також забезпечення відповідності індикативних показників реальним ринковим умовам.</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Встановлення єдиного коефіцієнта на рівні 1,2 спрямоване на врахування інфляційних процесів та системного зростання вартості матеріалів і обладнання, що дозволяє більш точно відображати фактичні витрати ОСР та забезпечувати коректність розрахунків вартості приєднань.</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Одночасно запровадження механізму обмеження у випадку перевищення фактичних витрат над індикативними більш ніж на 20 % забезпечує:</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недопущення необґрунтованого завищення вартості матеріалів та обладнання;</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 xml:space="preserve">стимулювання ОСР та підрядників до застосування конкурентних процедур </w:t>
            </w:r>
            <w:proofErr w:type="spellStart"/>
            <w:r w:rsidRPr="00FE4387">
              <w:rPr>
                <w:rFonts w:ascii="Times New Roman" w:hAnsi="Times New Roman" w:cs="Times New Roman"/>
                <w:sz w:val="22"/>
                <w:szCs w:val="22"/>
              </w:rPr>
              <w:t>закупівель</w:t>
            </w:r>
            <w:proofErr w:type="spellEnd"/>
            <w:r w:rsidRPr="00FE4387">
              <w:rPr>
                <w:rFonts w:ascii="Times New Roman" w:hAnsi="Times New Roman" w:cs="Times New Roman"/>
                <w:sz w:val="22"/>
                <w:szCs w:val="22"/>
              </w:rPr>
              <w:t>;</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підвищення прозорості формування вартості приєднання;</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мінімізацію ризиків включення неефективних витрат до розрахунків.</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Вимога щодо підтвердження вартості найнижчими цінами за результатами тендерних процедур або комерційних пропозицій забезпечує ринковий характер ціноутворення та уніфікує підхід до визначення витрат.</w:t>
            </w:r>
          </w:p>
          <w:p w:rsidR="00FE4387" w:rsidRPr="00FE4387" w:rsidRDefault="00FE4387" w:rsidP="00FE4387">
            <w:pPr>
              <w:pStyle w:val="rvps2"/>
              <w:shd w:val="clear" w:color="auto" w:fill="FFFFFF"/>
              <w:spacing w:before="0" w:beforeAutospacing="0" w:after="150" w:afterAutospacing="0"/>
              <w:ind w:firstLine="176"/>
              <w:jc w:val="both"/>
              <w:rPr>
                <w:rFonts w:ascii="Times New Roman" w:eastAsia="Arial" w:hAnsi="Times New Roman" w:cs="Times New Roman"/>
                <w:sz w:val="22"/>
                <w:szCs w:val="22"/>
              </w:rPr>
            </w:pPr>
            <w:r w:rsidRPr="00FE4387">
              <w:rPr>
                <w:rFonts w:ascii="Times New Roman" w:hAnsi="Times New Roman" w:cs="Times New Roman"/>
                <w:sz w:val="22"/>
                <w:szCs w:val="22"/>
              </w:rPr>
              <w:lastRenderedPageBreak/>
              <w:t>Запропонований підхід дозволяє досягти балансу між урахуванням ринкових коливань цін та запобіганням завищенню вартості робіт, що в цілому підвищує достовірність визначення дефіциту/профіциту коштів та забезпечує економічно обґрунтований рівень плати за приєднання.</w:t>
            </w:r>
          </w:p>
        </w:tc>
        <w:tc>
          <w:tcPr>
            <w:tcW w:w="3900" w:type="dxa"/>
            <w:gridSpan w:val="2"/>
          </w:tcPr>
          <w:p w:rsidR="00FE4387" w:rsidRPr="00D32097" w:rsidRDefault="00E82EAE" w:rsidP="00FE4387">
            <w:pPr>
              <w:ind w:firstLine="174"/>
              <w:jc w:val="center"/>
              <w:rPr>
                <w:b/>
                <w:sz w:val="22"/>
                <w:szCs w:val="22"/>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b/>
                <w:color w:val="000000"/>
                <w:sz w:val="22"/>
                <w:szCs w:val="22"/>
              </w:rPr>
            </w:pPr>
          </w:p>
        </w:tc>
        <w:tc>
          <w:tcPr>
            <w:tcW w:w="3900" w:type="dxa"/>
            <w:gridSpan w:val="2"/>
          </w:tcPr>
          <w:p w:rsidR="00FE4387" w:rsidRDefault="00FE4387" w:rsidP="00FE4387">
            <w:pPr>
              <w:pStyle w:val="rvps2"/>
              <w:shd w:val="clear" w:color="auto" w:fill="FFFFFF"/>
              <w:spacing w:before="0" w:beforeAutospacing="0" w:after="0" w:afterAutospacing="0"/>
              <w:ind w:firstLine="24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ПРАТ «ДТЕК КИЇВСЬКІ ЕЛЕКТРОМЕРЕЖІ»,   ПРАТ «ДТЕК КИЇВСЬКІ РЕГІОНАЛЬНІ ЕЛЕКТРОМЕРЕЖІ»</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bCs/>
                <w:sz w:val="22"/>
                <w:szCs w:val="22"/>
              </w:rPr>
            </w:pPr>
            <w:r w:rsidRPr="00FE4387">
              <w:rPr>
                <w:rFonts w:ascii="Times New Roman" w:hAnsi="Times New Roman" w:cs="Times New Roman"/>
                <w:b/>
                <w:bCs/>
                <w:sz w:val="22"/>
                <w:szCs w:val="22"/>
              </w:rPr>
              <w:t>Варіант І</w:t>
            </w:r>
            <w:r w:rsidRPr="00FE4387">
              <w:rPr>
                <w:rFonts w:ascii="Times New Roman" w:hAnsi="Times New Roman" w:cs="Times New Roman"/>
                <w:b/>
                <w:bCs/>
                <w:sz w:val="22"/>
                <w:szCs w:val="22"/>
                <w:lang w:val="en-US"/>
              </w:rPr>
              <w:t>V</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5.7. Розрахунок коефіцієнта оптимізації </w:t>
            </w:r>
            <w:r w:rsidRPr="00FE4387">
              <w:rPr>
                <w:noProof/>
                <w:sz w:val="22"/>
                <w:szCs w:val="22"/>
              </w:rPr>
              <w:drawing>
                <wp:inline distT="0" distB="0" distL="0" distR="0" wp14:anchorId="6E6CB493" wp14:editId="5B58520E">
                  <wp:extent cx="695325" cy="361950"/>
                  <wp:effectExtent l="0" t="0" r="9525" b="0"/>
                  <wp:docPr id="283021200" name="Рисунок 4">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5325" cy="361950"/>
                          </a:xfrm>
                          <a:prstGeom prst="rect">
                            <a:avLst/>
                          </a:prstGeom>
                          <a:noFill/>
                          <a:ln>
                            <a:noFill/>
                          </a:ln>
                        </pic:spPr>
                      </pic:pic>
                    </a:graphicData>
                  </a:graphic>
                </wp:inline>
              </w:drawing>
            </w:r>
            <w:r w:rsidRPr="00FE4387">
              <w:rPr>
                <w:rFonts w:ascii="Times New Roman" w:hAnsi="Times New Roman" w:cs="Times New Roman"/>
                <w:sz w:val="22"/>
                <w:szCs w:val="22"/>
              </w:rPr>
              <w:t> коштів щодо витрат, пов'язаних з наданням послуг з нестандартних приєднань електроустановок замовників до електричних мереж за базовий період, проводиться НКРЕКП на підставі аналізу актів за виконаними договорами про нестандартне приєднання (</w:t>
            </w:r>
            <w:r w:rsidRPr="00FE4387">
              <w:rPr>
                <w:rFonts w:ascii="Times New Roman" w:hAnsi="Times New Roman" w:cs="Times New Roman"/>
                <w:b/>
                <w:bCs/>
                <w:sz w:val="22"/>
                <w:szCs w:val="22"/>
              </w:rPr>
              <w:t>крім реалізованих приєднань згідно пункту 4.3.11 та 4.3.12 розділу 4 Кодексу оператора систем розподілу)</w:t>
            </w:r>
            <w:r w:rsidRPr="00FE4387">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Pr>
                <w:rFonts w:ascii="Times New Roman" w:hAnsi="Times New Roman" w:cs="Times New Roman"/>
                <w:sz w:val="22"/>
                <w:szCs w:val="22"/>
              </w:rPr>
              <w:t>…</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Вартісні показники на матеріали, обладнання та роботи, що застосовуються при розрахунку дефіциту/профіциту коштів щодо надходжень та витрат, пов'язаних з наданням послуг з приєднання, застосовуються відповідно до показників, врахованих при виконанні/плануванні </w:t>
            </w:r>
            <w:proofErr w:type="spellStart"/>
            <w:r w:rsidRPr="00FE4387">
              <w:rPr>
                <w:rFonts w:ascii="Times New Roman" w:hAnsi="Times New Roman" w:cs="Times New Roman"/>
                <w:sz w:val="22"/>
                <w:szCs w:val="22"/>
              </w:rPr>
              <w:t>проєктів</w:t>
            </w:r>
            <w:proofErr w:type="spellEnd"/>
            <w:r w:rsidRPr="00FE4387">
              <w:rPr>
                <w:rFonts w:ascii="Times New Roman" w:hAnsi="Times New Roman" w:cs="Times New Roman"/>
                <w:sz w:val="22"/>
                <w:szCs w:val="22"/>
              </w:rPr>
              <w:t xml:space="preserve"> нового </w:t>
            </w:r>
            <w:r w:rsidRPr="00FE4387">
              <w:rPr>
                <w:rFonts w:ascii="Times New Roman" w:hAnsi="Times New Roman" w:cs="Times New Roman"/>
                <w:sz w:val="22"/>
                <w:szCs w:val="22"/>
              </w:rPr>
              <w:lastRenderedPageBreak/>
              <w:t xml:space="preserve">будівництва, реконструкції та технічного переоснащення об'єктів енергетики у складі інвестиційних програм операторів систем розподілу на відповідний період, </w:t>
            </w:r>
            <w:r w:rsidRPr="00FE4387">
              <w:rPr>
                <w:rFonts w:ascii="Times New Roman" w:hAnsi="Times New Roman" w:cs="Times New Roman"/>
                <w:b/>
                <w:bCs/>
                <w:color w:val="000000" w:themeColor="text1"/>
                <w:sz w:val="22"/>
                <w:szCs w:val="22"/>
              </w:rPr>
              <w:t xml:space="preserve">(крім рівня </w:t>
            </w:r>
            <w:r w:rsidRPr="00FE4387">
              <w:rPr>
                <w:rFonts w:ascii="Times New Roman" w:hAnsi="Times New Roman" w:cs="Times New Roman"/>
                <w:b/>
                <w:bCs/>
                <w:color w:val="000000" w:themeColor="text1"/>
                <w:sz w:val="22"/>
                <w:szCs w:val="22"/>
                <w:lang w:eastAsia="en-US"/>
              </w:rPr>
              <w:t>заробітної плати,</w:t>
            </w:r>
            <w:r w:rsidRPr="00FE4387">
              <w:rPr>
                <w:rFonts w:ascii="Times New Roman" w:hAnsi="Times New Roman" w:cs="Times New Roman"/>
                <w:b/>
                <w:bCs/>
                <w:color w:val="000000" w:themeColor="text1"/>
                <w:sz w:val="22"/>
                <w:szCs w:val="22"/>
              </w:rPr>
              <w:t xml:space="preserve"> який розраховується відповідно до чинних нормативних документів у сфері будівництва) </w:t>
            </w:r>
            <w:r w:rsidRPr="00FE4387">
              <w:rPr>
                <w:rFonts w:ascii="Times New Roman" w:hAnsi="Times New Roman" w:cs="Times New Roman"/>
                <w:sz w:val="22"/>
                <w:szCs w:val="22"/>
              </w:rPr>
              <w:t>у якому завершено надання послуги з приєднання. За запитом ОСР НКРЕКП надає інформацію щодо індикативних показників згідно запитуваного переліку матеріалів та обладнання.</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Вартісні показники на матеріали та обладнання враховуються із застосуванням коефіцієнта </w:t>
            </w:r>
            <w:r w:rsidRPr="00FE4387">
              <w:rPr>
                <w:rFonts w:ascii="Times New Roman" w:hAnsi="Times New Roman" w:cs="Times New Roman"/>
                <w:strike/>
                <w:sz w:val="22"/>
                <w:szCs w:val="22"/>
              </w:rPr>
              <w:t>1,1</w:t>
            </w:r>
            <w:r w:rsidRPr="00FE4387">
              <w:rPr>
                <w:rFonts w:ascii="Times New Roman" w:hAnsi="Times New Roman" w:cs="Times New Roman"/>
                <w:sz w:val="22"/>
                <w:szCs w:val="22"/>
              </w:rPr>
              <w:t xml:space="preserve"> </w:t>
            </w:r>
            <w:r w:rsidRPr="00FE4387">
              <w:rPr>
                <w:rFonts w:ascii="Times New Roman" w:hAnsi="Times New Roman" w:cs="Times New Roman"/>
                <w:b/>
                <w:bCs/>
                <w:sz w:val="22"/>
                <w:szCs w:val="22"/>
              </w:rPr>
              <w:t>1,2</w:t>
            </w:r>
            <w:r w:rsidRPr="00FE4387">
              <w:rPr>
                <w:rFonts w:ascii="Times New Roman" w:hAnsi="Times New Roman" w:cs="Times New Roman"/>
                <w:sz w:val="22"/>
                <w:szCs w:val="22"/>
              </w:rPr>
              <w:t xml:space="preserve"> для всього переліку матеріалів та обладнання, використаних під час надання послуг з приєднань. </w:t>
            </w:r>
            <w:r w:rsidRPr="00FE4387">
              <w:rPr>
                <w:rFonts w:ascii="Times New Roman" w:hAnsi="Times New Roman" w:cs="Times New Roman"/>
                <w:b/>
                <w:bCs/>
                <w:sz w:val="22"/>
                <w:szCs w:val="22"/>
              </w:rPr>
              <w:t>У випадку перевищення вартісних показників матеріалів та обладнання над індикативними цінами більш ніж на 20 %, ОСР застосовує вартісні показники на рівні найнижчої ціни, визначеної за результатами двох тендерних процедур, або на рівні найнижчої ціни, встановленої за результатами щонайменше двох комерційних пропозицій наданих підрядником, або підтвердження ціни від Торгово-промислової палати України.</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У разі придбання обладнання/матеріалів, по яких відсутні цінові показники, граничні ціни визначаються виходячи з вартості складових обладнання в разі можливості такого аналізу або на </w:t>
            </w:r>
            <w:r w:rsidRPr="00FE4387">
              <w:rPr>
                <w:rFonts w:ascii="Times New Roman" w:hAnsi="Times New Roman" w:cs="Times New Roman"/>
                <w:sz w:val="22"/>
                <w:szCs w:val="22"/>
              </w:rPr>
              <w:lastRenderedPageBreak/>
              <w:t>підставі цінових показників на обладнання зі схожими технічними характеристиками.</w:t>
            </w:r>
          </w:p>
          <w:p w:rsidR="00FE4387" w:rsidRPr="00FE4387" w:rsidRDefault="00FE4387" w:rsidP="00FE4387">
            <w:pPr>
              <w:pStyle w:val="rvps2"/>
              <w:spacing w:before="0" w:beforeAutospacing="0" w:after="0" w:afterAutospacing="0"/>
              <w:ind w:firstLine="241"/>
              <w:jc w:val="both"/>
              <w:rPr>
                <w:rFonts w:ascii="Times New Roman" w:hAnsi="Times New Roman" w:cs="Times New Roman"/>
                <w:b/>
                <w:sz w:val="22"/>
                <w:szCs w:val="22"/>
              </w:rPr>
            </w:pPr>
            <w:r w:rsidRPr="00FE4387">
              <w:rPr>
                <w:rFonts w:ascii="Times New Roman" w:hAnsi="Times New Roman" w:cs="Times New Roman"/>
                <w:b/>
                <w:sz w:val="22"/>
                <w:szCs w:val="22"/>
              </w:rPr>
              <w:t>Приєднання, виконані відповідно до пунктів 4.3.11 та 4.3.12 Кодексу систем розподілу, не враховуються при розрахунку коефіцієнта оптимізації.</w:t>
            </w:r>
          </w:p>
          <w:p w:rsidR="00FE4387" w:rsidRPr="00FE4387" w:rsidRDefault="00FE4387" w:rsidP="00FE4387">
            <w:pPr>
              <w:pStyle w:val="rvps2"/>
              <w:spacing w:before="0" w:beforeAutospacing="0" w:after="0" w:afterAutospacing="0"/>
              <w:ind w:firstLine="241"/>
              <w:jc w:val="both"/>
              <w:rPr>
                <w:rFonts w:ascii="Times New Roman" w:hAnsi="Times New Roman" w:cs="Times New Roman"/>
                <w:sz w:val="22"/>
                <w:szCs w:val="22"/>
              </w:rPr>
            </w:pPr>
            <w:r w:rsidRPr="00FE4387">
              <w:rPr>
                <w:rFonts w:ascii="Times New Roman" w:hAnsi="Times New Roman" w:cs="Times New Roman"/>
                <w:sz w:val="22"/>
                <w:szCs w:val="22"/>
              </w:rPr>
              <w:t xml:space="preserve">Результати аналізу застосовуються </w:t>
            </w:r>
            <w:proofErr w:type="spellStart"/>
            <w:r w:rsidRPr="00FE4387">
              <w:rPr>
                <w:rFonts w:ascii="Times New Roman" w:hAnsi="Times New Roman" w:cs="Times New Roman"/>
                <w:sz w:val="22"/>
                <w:szCs w:val="22"/>
              </w:rPr>
              <w:t>пропорційно</w:t>
            </w:r>
            <w:proofErr w:type="spellEnd"/>
            <w:r w:rsidRPr="00FE4387">
              <w:rPr>
                <w:rFonts w:ascii="Times New Roman" w:hAnsi="Times New Roman" w:cs="Times New Roman"/>
                <w:sz w:val="22"/>
                <w:szCs w:val="22"/>
              </w:rPr>
              <w:t xml:space="preserve"> до кожного напряму для визначення фактичних капітальних витрат, понесених під час надання послуг із нестандартного приєднання (за об’єктами замовників, приєднання яких завершено в базовому періоді) для міської та сільської місцевості, за якими проводився аналіз.</w:t>
            </w:r>
          </w:p>
        </w:tc>
        <w:tc>
          <w:tcPr>
            <w:tcW w:w="3899" w:type="dxa"/>
          </w:tcPr>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lastRenderedPageBreak/>
              <w:t>Необхідність внесення змін зумовлена потребою підвищення достовірності, прозорості та контрольованості формування вартості послуг з приєднання в умовах нестабільної ринкової кон’юнктури.</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Застосування коефіцієнта на рівні 1,2 дозволяє врахувати загальний інфляційний вплив та зростання вартості матеріалів і обладнання, забезпечуючи наближення індикативних показників до фактичного рівня ринкових цін.</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 xml:space="preserve">Запровадження обмеження щодо перевищення індикативних цін більш ніж на 20 % спрямоване на недопущення необґрунтованого завищення витрат та стимулювання застосування конкурентних механізмів </w:t>
            </w:r>
            <w:proofErr w:type="spellStart"/>
            <w:r w:rsidRPr="00FE4387">
              <w:rPr>
                <w:rFonts w:ascii="Times New Roman" w:hAnsi="Times New Roman" w:cs="Times New Roman"/>
                <w:sz w:val="22"/>
                <w:szCs w:val="22"/>
              </w:rPr>
              <w:t>закупівель</w:t>
            </w:r>
            <w:proofErr w:type="spellEnd"/>
            <w:r w:rsidRPr="00FE4387">
              <w:rPr>
                <w:rFonts w:ascii="Times New Roman" w:hAnsi="Times New Roman" w:cs="Times New Roman"/>
                <w:sz w:val="22"/>
                <w:szCs w:val="22"/>
              </w:rPr>
              <w:t>.</w:t>
            </w:r>
          </w:p>
          <w:p w:rsidR="00FE4387" w:rsidRPr="00FE4387" w:rsidRDefault="00FE4387" w:rsidP="00FE4387">
            <w:pPr>
              <w:shd w:val="clear" w:color="auto" w:fill="FFFFFF"/>
              <w:ind w:firstLine="176"/>
              <w:jc w:val="both"/>
              <w:rPr>
                <w:rFonts w:ascii="Times New Roman" w:hAnsi="Times New Roman" w:cs="Times New Roman"/>
                <w:sz w:val="22"/>
                <w:szCs w:val="22"/>
              </w:rPr>
            </w:pPr>
            <w:r w:rsidRPr="00FE4387">
              <w:rPr>
                <w:rFonts w:ascii="Times New Roman" w:hAnsi="Times New Roman" w:cs="Times New Roman"/>
                <w:sz w:val="22"/>
                <w:szCs w:val="22"/>
              </w:rPr>
              <w:t xml:space="preserve">Додаткове передбачення можливості підтвердження вартості матеріалів та обладнання висновками Торгово-промислової палати України забезпечує гнучкість у випадках відсутності достатньої кількості тендерних процедур або комерційних пропозицій, а також підвищує </w:t>
            </w:r>
            <w:r w:rsidRPr="00FE4387">
              <w:rPr>
                <w:rFonts w:ascii="Times New Roman" w:hAnsi="Times New Roman" w:cs="Times New Roman"/>
                <w:sz w:val="22"/>
                <w:szCs w:val="22"/>
              </w:rPr>
              <w:lastRenderedPageBreak/>
              <w:t>достовірність визначення ринкової ціни.</w:t>
            </w:r>
          </w:p>
          <w:p w:rsidR="00FE4387" w:rsidRPr="00FE4387" w:rsidRDefault="00FE4387" w:rsidP="00FE4387">
            <w:pPr>
              <w:pStyle w:val="rvps2"/>
              <w:shd w:val="clear" w:color="auto" w:fill="FFFFFF"/>
              <w:spacing w:before="0" w:beforeAutospacing="0" w:after="150" w:afterAutospacing="0"/>
              <w:ind w:firstLine="176"/>
              <w:jc w:val="both"/>
              <w:rPr>
                <w:rFonts w:ascii="Times New Roman" w:eastAsia="Arial" w:hAnsi="Times New Roman" w:cs="Times New Roman"/>
                <w:sz w:val="22"/>
                <w:szCs w:val="22"/>
              </w:rPr>
            </w:pPr>
            <w:r w:rsidRPr="00FE4387">
              <w:rPr>
                <w:rFonts w:ascii="Times New Roman" w:hAnsi="Times New Roman" w:cs="Times New Roman"/>
                <w:sz w:val="22"/>
                <w:szCs w:val="22"/>
              </w:rPr>
              <w:t>Запропонований підхід дозволяє збалансувати врахування ринкових коливань із механізмами контролю витрат, мінімізувати ризики викривлення розрахунків та забезпечити економічно обґрунтований рівень вартості послуг з приєднання.</w:t>
            </w:r>
          </w:p>
        </w:tc>
        <w:tc>
          <w:tcPr>
            <w:tcW w:w="3900" w:type="dxa"/>
            <w:gridSpan w:val="2"/>
          </w:tcPr>
          <w:p w:rsidR="00FE4387" w:rsidRPr="00D32097" w:rsidRDefault="00E82EAE" w:rsidP="00FE4387">
            <w:pPr>
              <w:ind w:firstLine="174"/>
              <w:jc w:val="center"/>
              <w:rPr>
                <w:b/>
                <w:sz w:val="22"/>
                <w:szCs w:val="22"/>
                <w:lang w:eastAsia="uk-UA"/>
              </w:rPr>
            </w:pPr>
            <w:r>
              <w:rPr>
                <w:rFonts w:ascii="Times New Roman" w:hAnsi="Times New Roman" w:cs="Times New Roman"/>
                <w:b/>
                <w:sz w:val="22"/>
                <w:szCs w:val="24"/>
                <w:lang w:eastAsia="uk-UA"/>
              </w:rPr>
              <w:lastRenderedPageBreak/>
              <w:t>Пропонується врахувати в вищенаведеній редакції</w:t>
            </w:r>
          </w:p>
        </w:tc>
      </w:tr>
      <w:tr w:rsidR="00FE4387" w:rsidRPr="00D32097" w:rsidTr="002E4622">
        <w:trPr>
          <w:trHeight w:val="218"/>
        </w:trPr>
        <w:tc>
          <w:tcPr>
            <w:tcW w:w="3899" w:type="dxa"/>
            <w:gridSpan w:val="2"/>
            <w:vMerge w:val="restart"/>
          </w:tcPr>
          <w:p w:rsidR="00FE4387" w:rsidRPr="00D32097" w:rsidRDefault="00FE4387" w:rsidP="00FE4387">
            <w:pPr>
              <w:pStyle w:val="rvps2"/>
              <w:shd w:val="clear" w:color="auto" w:fill="FFFFFF"/>
              <w:spacing w:before="0" w:beforeAutospacing="0" w:after="0" w:afterAutospacing="0"/>
              <w:ind w:firstLine="606"/>
              <w:jc w:val="both"/>
              <w:rPr>
                <w:rFonts w:ascii="Times New Roman" w:hAnsi="Times New Roman" w:cs="Times New Roman"/>
                <w:strike/>
                <w:sz w:val="22"/>
                <w:szCs w:val="22"/>
              </w:rPr>
            </w:pPr>
          </w:p>
          <w:p w:rsidR="00FE4387" w:rsidRPr="00D32097" w:rsidRDefault="00FE4387" w:rsidP="00FE4387">
            <w:pPr>
              <w:pStyle w:val="rvps2"/>
              <w:shd w:val="clear" w:color="auto" w:fill="FFFFFF"/>
              <w:spacing w:before="0" w:beforeAutospacing="0" w:after="150" w:afterAutospacing="0"/>
              <w:ind w:firstLine="309"/>
              <w:jc w:val="both"/>
              <w:rPr>
                <w:rFonts w:ascii="Times New Roman" w:hAnsi="Times New Roman" w:cs="Times New Roman"/>
                <w:strike/>
                <w:sz w:val="22"/>
                <w:szCs w:val="22"/>
              </w:rPr>
            </w:pPr>
            <w:r w:rsidRPr="00D32097">
              <w:rPr>
                <w:rFonts w:ascii="Times New Roman" w:hAnsi="Times New Roman" w:cs="Times New Roman"/>
                <w:strike/>
                <w:sz w:val="22"/>
                <w:szCs w:val="22"/>
              </w:rPr>
              <w:t>5.8. Плата за нестандартне приєднання «під ключ» для електроустановок, призначених для зберігання енергії, визначається за формулою</w:t>
            </w:r>
          </w:p>
          <w:p w:rsidR="00FE4387" w:rsidRPr="00D32097" w:rsidRDefault="002D57C8" w:rsidP="00FE4387">
            <w:pPr>
              <w:tabs>
                <w:tab w:val="left" w:pos="993"/>
              </w:tabs>
              <w:ind w:firstLine="326"/>
              <w:jc w:val="both"/>
              <w:rPr>
                <w:rFonts w:ascii="Times New Roman" w:hAnsi="Times New Roman" w:cs="Times New Roman"/>
                <w:b/>
                <w:color w:val="000000"/>
                <w:sz w:val="22"/>
                <w:szCs w:val="22"/>
              </w:rPr>
            </w:pPr>
            <m:oMathPara>
              <m:oMath>
                <m:sSubSup>
                  <m:sSubSupPr>
                    <m:ctrlPr>
                      <w:rPr>
                        <w:rFonts w:ascii="Cambria Math" w:hAnsi="Cambria Math" w:cs="Times New Roman"/>
                        <w:i/>
                        <w:strike/>
                        <w:sz w:val="22"/>
                        <w:szCs w:val="22"/>
                      </w:rPr>
                    </m:ctrlPr>
                  </m:sSubSupPr>
                  <m:e>
                    <m:r>
                      <w:rPr>
                        <w:rFonts w:ascii="Cambria Math" w:hAnsi="Cambria Math" w:cs="Times New Roman"/>
                        <w:strike/>
                        <w:sz w:val="22"/>
                        <w:szCs w:val="22"/>
                      </w:rPr>
                      <m:t>П</m:t>
                    </m:r>
                  </m:e>
                  <m:sub>
                    <m:r>
                      <w:rPr>
                        <w:rFonts w:ascii="Cambria Math" w:hAnsi="Cambria Math" w:cs="Times New Roman"/>
                        <w:strike/>
                        <w:sz w:val="22"/>
                        <w:szCs w:val="22"/>
                      </w:rPr>
                      <m:t>нст</m:t>
                    </m:r>
                  </m:sub>
                  <m:sup>
                    <m:r>
                      <w:rPr>
                        <w:rFonts w:ascii="Cambria Math" w:hAnsi="Cambria Math" w:cs="Times New Roman"/>
                        <w:strike/>
                        <w:sz w:val="22"/>
                        <w:szCs w:val="22"/>
                      </w:rPr>
                      <m:t>з</m:t>
                    </m:r>
                  </m:sup>
                </m:sSubSup>
                <m:r>
                  <w:rPr>
                    <w:rFonts w:ascii="Cambria Math" w:hAnsi="Cambria Math" w:cs="Times New Roman"/>
                    <w:strike/>
                    <w:sz w:val="22"/>
                    <w:szCs w:val="22"/>
                  </w:rPr>
                  <m:t xml:space="preserve">= </m:t>
                </m:r>
                <m:sSub>
                  <m:sSubPr>
                    <m:ctrlPr>
                      <w:rPr>
                        <w:rFonts w:ascii="Cambria Math" w:hAnsi="Cambria Math" w:cs="Times New Roman"/>
                        <w:i/>
                        <w:strike/>
                        <w:sz w:val="22"/>
                        <w:szCs w:val="22"/>
                      </w:rPr>
                    </m:ctrlPr>
                  </m:sSubPr>
                  <m:e>
                    <m:r>
                      <w:rPr>
                        <w:rFonts w:ascii="Cambria Math" w:hAnsi="Cambria Math" w:cs="Times New Roman"/>
                        <w:strike/>
                        <w:sz w:val="22"/>
                        <w:szCs w:val="22"/>
                      </w:rPr>
                      <m:t>Р</m:t>
                    </m:r>
                  </m:e>
                  <m:sub>
                    <m:r>
                      <w:rPr>
                        <w:rFonts w:ascii="Cambria Math" w:hAnsi="Cambria Math" w:cs="Times New Roman"/>
                        <w:strike/>
                        <w:sz w:val="22"/>
                        <w:szCs w:val="22"/>
                      </w:rPr>
                      <m:t>заявл</m:t>
                    </m:r>
                  </m:sub>
                </m:sSub>
                <m:r>
                  <w:rPr>
                    <w:rFonts w:ascii="Cambria Math" w:hAnsi="Cambria Math" w:cs="Times New Roman"/>
                    <w:strike/>
                    <w:sz w:val="22"/>
                    <w:szCs w:val="22"/>
                  </w:rPr>
                  <m:t xml:space="preserve"> х </m:t>
                </m:r>
                <m:f>
                  <m:fPr>
                    <m:ctrlPr>
                      <w:rPr>
                        <w:rFonts w:ascii="Cambria Math" w:hAnsi="Cambria Math" w:cs="Times New Roman"/>
                        <w:i/>
                        <w:strike/>
                        <w:sz w:val="22"/>
                        <w:szCs w:val="22"/>
                      </w:rPr>
                    </m:ctrlPr>
                  </m:fPr>
                  <m:num>
                    <m:r>
                      <w:rPr>
                        <w:rFonts w:ascii="Cambria Math" w:hAnsi="Cambria Math" w:cs="Times New Roman"/>
                        <w:strike/>
                        <w:sz w:val="22"/>
                        <w:szCs w:val="22"/>
                      </w:rPr>
                      <m:t>(</m:t>
                    </m:r>
                    <m:sSubSup>
                      <m:sSubSupPr>
                        <m:ctrlPr>
                          <w:rPr>
                            <w:rFonts w:ascii="Cambria Math" w:hAnsi="Cambria Math" w:cs="Times New Roman"/>
                            <w:i/>
                            <w:strike/>
                            <w:sz w:val="22"/>
                            <w:szCs w:val="22"/>
                          </w:rPr>
                        </m:ctrlPr>
                      </m:sSubSupPr>
                      <m:e>
                        <m:r>
                          <w:rPr>
                            <w:rFonts w:ascii="Cambria Math" w:hAnsi="Cambria Math" w:cs="Times New Roman"/>
                            <w:strike/>
                            <w:sz w:val="22"/>
                            <w:szCs w:val="22"/>
                          </w:rPr>
                          <m:t>С</m:t>
                        </m:r>
                      </m:e>
                      <m:sub>
                        <m:r>
                          <w:rPr>
                            <w:rFonts w:ascii="Cambria Math" w:hAnsi="Cambria Math" w:cs="Times New Roman"/>
                            <w:strike/>
                            <w:sz w:val="22"/>
                            <w:szCs w:val="22"/>
                          </w:rPr>
                          <m:t>нст</m:t>
                        </m:r>
                      </m:sub>
                      <m:sup>
                        <m:r>
                          <w:rPr>
                            <w:rFonts w:ascii="Cambria Math" w:hAnsi="Cambria Math" w:cs="Times New Roman"/>
                            <w:strike/>
                            <w:sz w:val="22"/>
                            <w:szCs w:val="22"/>
                          </w:rPr>
                          <m:t>к,н, зтт, місц, с</m:t>
                        </m:r>
                      </m:sup>
                    </m:sSubSup>
                    <m:r>
                      <w:rPr>
                        <w:rFonts w:ascii="Cambria Math" w:hAnsi="Cambria Math" w:cs="Times New Roman"/>
                        <w:strike/>
                        <w:sz w:val="22"/>
                        <w:szCs w:val="22"/>
                      </w:rPr>
                      <m:t>+</m:t>
                    </m:r>
                    <m:sSubSup>
                      <m:sSubSupPr>
                        <m:ctrlPr>
                          <w:rPr>
                            <w:rFonts w:ascii="Cambria Math" w:hAnsi="Cambria Math" w:cs="Times New Roman"/>
                            <w:i/>
                            <w:strike/>
                            <w:sz w:val="22"/>
                            <w:szCs w:val="22"/>
                          </w:rPr>
                        </m:ctrlPr>
                      </m:sSubSupPr>
                      <m:e>
                        <m:r>
                          <w:rPr>
                            <w:rFonts w:ascii="Cambria Math" w:hAnsi="Cambria Math" w:cs="Times New Roman"/>
                            <w:strike/>
                            <w:sz w:val="22"/>
                            <w:szCs w:val="22"/>
                          </w:rPr>
                          <m:t>С</m:t>
                        </m:r>
                      </m:e>
                      <m:sub>
                        <m:r>
                          <w:rPr>
                            <w:rFonts w:ascii="Cambria Math" w:hAnsi="Cambria Math" w:cs="Times New Roman"/>
                            <w:strike/>
                            <w:sz w:val="22"/>
                            <w:szCs w:val="22"/>
                          </w:rPr>
                          <m:t>нст</m:t>
                        </m:r>
                      </m:sub>
                      <m:sup>
                        <m:r>
                          <w:rPr>
                            <w:rFonts w:ascii="Cambria Math" w:hAnsi="Cambria Math" w:cs="Times New Roman"/>
                            <w:strike/>
                            <w:sz w:val="22"/>
                            <w:szCs w:val="22"/>
                          </w:rPr>
                          <m:t>к,н, зтт, місц, в</m:t>
                        </m:r>
                      </m:sup>
                    </m:sSubSup>
                    <m:r>
                      <w:rPr>
                        <w:rFonts w:ascii="Cambria Math" w:hAnsi="Cambria Math" w:cs="Times New Roman"/>
                        <w:strike/>
                        <w:sz w:val="22"/>
                        <w:szCs w:val="22"/>
                      </w:rPr>
                      <m:t>)</m:t>
                    </m:r>
                  </m:num>
                  <m:den>
                    <m:r>
                      <w:rPr>
                        <w:rFonts w:ascii="Cambria Math" w:hAnsi="Cambria Math" w:cs="Times New Roman"/>
                        <w:strike/>
                        <w:sz w:val="22"/>
                        <w:szCs w:val="22"/>
                      </w:rPr>
                      <m:t>2</m:t>
                    </m:r>
                  </m:den>
                </m:f>
                <m:r>
                  <w:rPr>
                    <w:rFonts w:ascii="Cambria Math" w:hAnsi="Cambria Math" w:cs="Times New Roman"/>
                    <w:strike/>
                    <w:sz w:val="22"/>
                    <w:szCs w:val="22"/>
                  </w:rPr>
                  <m:t>+</m:t>
                </m:r>
                <m:sSub>
                  <m:sSubPr>
                    <m:ctrlPr>
                      <w:rPr>
                        <w:rFonts w:ascii="Cambria Math" w:hAnsi="Cambria Math" w:cs="Times New Roman"/>
                        <w:i/>
                        <w:strike/>
                        <w:sz w:val="22"/>
                        <w:szCs w:val="22"/>
                      </w:rPr>
                    </m:ctrlPr>
                  </m:sSubPr>
                  <m:e>
                    <m:r>
                      <w:rPr>
                        <w:rFonts w:ascii="Cambria Math" w:hAnsi="Cambria Math" w:cs="Times New Roman"/>
                        <w:strike/>
                        <w:sz w:val="22"/>
                        <w:szCs w:val="22"/>
                      </w:rPr>
                      <m:t>l</m:t>
                    </m:r>
                  </m:e>
                  <m:sub>
                    <m:r>
                      <w:rPr>
                        <w:rFonts w:ascii="Cambria Math" w:hAnsi="Cambria Math" w:cs="Times New Roman"/>
                        <w:strike/>
                        <w:sz w:val="22"/>
                        <w:szCs w:val="22"/>
                      </w:rPr>
                      <m:t>м</m:t>
                    </m:r>
                  </m:sub>
                </m:sSub>
                <m:r>
                  <w:rPr>
                    <w:rFonts w:ascii="Cambria Math" w:hAnsi="Cambria Math" w:cs="Times New Roman"/>
                    <w:strike/>
                    <w:sz w:val="22"/>
                    <w:szCs w:val="22"/>
                  </w:rPr>
                  <m:t xml:space="preserve"> х </m:t>
                </m:r>
                <m:sSubSup>
                  <m:sSubSupPr>
                    <m:ctrlPr>
                      <w:rPr>
                        <w:rFonts w:ascii="Cambria Math" w:hAnsi="Cambria Math" w:cs="Times New Roman"/>
                        <w:i/>
                        <w:strike/>
                        <w:sz w:val="22"/>
                        <w:szCs w:val="22"/>
                      </w:rPr>
                    </m:ctrlPr>
                  </m:sSubSupPr>
                  <m:e>
                    <m:r>
                      <w:rPr>
                        <w:rFonts w:ascii="Cambria Math" w:hAnsi="Cambria Math" w:cs="Times New Roman"/>
                        <w:strike/>
                        <w:sz w:val="22"/>
                        <w:szCs w:val="22"/>
                      </w:rPr>
                      <m:t>С</m:t>
                    </m:r>
                  </m:e>
                  <m:sub>
                    <m:r>
                      <w:rPr>
                        <w:rFonts w:ascii="Cambria Math" w:hAnsi="Cambria Math" w:cs="Times New Roman"/>
                        <w:strike/>
                        <w:sz w:val="22"/>
                        <w:szCs w:val="22"/>
                      </w:rPr>
                      <m:t>лін</m:t>
                    </m:r>
                  </m:sub>
                  <m:sup>
                    <m:r>
                      <w:rPr>
                        <w:rFonts w:ascii="Cambria Math" w:hAnsi="Cambria Math" w:cs="Times New Roman"/>
                        <w:strike/>
                        <w:sz w:val="22"/>
                        <w:szCs w:val="22"/>
                      </w:rPr>
                      <m:t>л,н,зем</m:t>
                    </m:r>
                  </m:sup>
                </m:sSubSup>
                <m:r>
                  <w:rPr>
                    <w:rFonts w:ascii="Cambria Math" w:hAnsi="Cambria Math" w:cs="Times New Roman"/>
                    <w:strike/>
                    <w:sz w:val="22"/>
                    <w:szCs w:val="22"/>
                  </w:rPr>
                  <m:t xml:space="preserve">   тис. грн</m:t>
                </m:r>
              </m:oMath>
            </m:oMathPara>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УВЕА, ЄУЕА</w:t>
            </w:r>
          </w:p>
          <w:p w:rsidR="00FE4387" w:rsidRPr="00D32097" w:rsidRDefault="00FE4387" w:rsidP="00FE4387">
            <w:pPr>
              <w:pStyle w:val="rvps2"/>
              <w:shd w:val="clear" w:color="auto" w:fill="FFFFFF"/>
              <w:spacing w:before="0" w:beforeAutospacing="0" w:after="150" w:afterAutospacing="0"/>
              <w:ind w:firstLine="233"/>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 xml:space="preserve">5.8. </w:t>
            </w:r>
            <w:r w:rsidRPr="00D32097">
              <w:rPr>
                <w:rFonts w:ascii="Times New Roman" w:hAnsi="Times New Roman" w:cs="Times New Roman"/>
                <w:b/>
                <w:bCs/>
                <w:color w:val="0070C0"/>
                <w:sz w:val="22"/>
                <w:szCs w:val="22"/>
              </w:rPr>
              <w:t>Плата за нестандартне приєднання «під ключ» для електроустановок, призначених для зберігання енергії, визначається за формулою</w:t>
            </w:r>
          </w:p>
          <w:p w:rsidR="00FE4387" w:rsidRPr="00D32097" w:rsidRDefault="002D57C8" w:rsidP="00FE4387">
            <w:pPr>
              <w:shd w:val="clear" w:color="auto" w:fill="FFFFFF"/>
              <w:ind w:firstLine="233"/>
              <w:jc w:val="both"/>
              <w:rPr>
                <w:rFonts w:ascii="Times New Roman" w:hAnsi="Times New Roman" w:cs="Times New Roman"/>
                <w:color w:val="0070C0"/>
                <w:sz w:val="22"/>
                <w:szCs w:val="22"/>
              </w:rPr>
            </w:pPr>
            <m:oMathPara>
              <m:oMath>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П</m:t>
                    </m:r>
                  </m:e>
                  <m:sub>
                    <m:r>
                      <w:rPr>
                        <w:rFonts w:ascii="Cambria Math" w:hAnsi="Cambria Math" w:cs="Times New Roman"/>
                        <w:color w:val="0070C0"/>
                        <w:sz w:val="22"/>
                        <w:szCs w:val="22"/>
                      </w:rPr>
                      <m:t>нст</m:t>
                    </m:r>
                  </m:sub>
                  <m:sup>
                    <m:r>
                      <w:rPr>
                        <w:rFonts w:ascii="Cambria Math" w:hAnsi="Cambria Math" w:cs="Times New Roman"/>
                        <w:color w:val="0070C0"/>
                        <w:sz w:val="22"/>
                        <w:szCs w:val="22"/>
                      </w:rPr>
                      <m:t>з</m:t>
                    </m:r>
                  </m:sup>
                </m:sSubSup>
                <m:r>
                  <w:rPr>
                    <w:rFonts w:ascii="Cambria Math" w:hAnsi="Cambria Math" w:cs="Times New Roman"/>
                    <w:color w:val="0070C0"/>
                    <w:sz w:val="22"/>
                    <w:szCs w:val="22"/>
                  </w:rPr>
                  <m:t>= max</m:t>
                </m:r>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відбір</m:t>
                    </m:r>
                  </m:sup>
                </m:sSubSup>
                <m:r>
                  <w:rPr>
                    <w:rFonts w:ascii="Cambria Math" w:hAnsi="Cambria Math" w:cs="Times New Roman"/>
                    <w:color w:val="0070C0"/>
                    <w:sz w:val="22"/>
                    <w:szCs w:val="22"/>
                  </w:rPr>
                  <m:t xml:space="preserve">; </m:t>
                </m:r>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відпуск</m:t>
                    </m:r>
                  </m:sup>
                </m:sSubSup>
                <m:r>
                  <w:rPr>
                    <w:rFonts w:ascii="Cambria Math" w:hAnsi="Cambria Math" w:cs="Times New Roman"/>
                    <w:color w:val="0070C0"/>
                    <w:sz w:val="22"/>
                    <w:szCs w:val="22"/>
                  </w:rPr>
                  <m:t>) х</m:t>
                </m:r>
              </m:oMath>
            </m:oMathPara>
          </w:p>
          <w:p w:rsidR="00FE4387" w:rsidRPr="00D32097" w:rsidRDefault="00FE4387" w:rsidP="00FE4387">
            <w:pPr>
              <w:shd w:val="clear" w:color="auto" w:fill="FFFFFF"/>
              <w:ind w:firstLine="233"/>
              <w:jc w:val="both"/>
              <w:rPr>
                <w:rFonts w:ascii="Times New Roman" w:hAnsi="Times New Roman" w:cs="Times New Roman"/>
                <w:b/>
                <w:color w:val="0070C0"/>
                <w:sz w:val="22"/>
                <w:szCs w:val="22"/>
                <w:lang w:eastAsia="uk-UA"/>
              </w:rPr>
            </w:pPr>
            <m:oMathPara>
              <m:oMath>
                <m:r>
                  <w:rPr>
                    <w:rFonts w:ascii="Cambria Math" w:hAnsi="Cambria Math" w:cs="Times New Roman"/>
                    <w:color w:val="0070C0"/>
                    <w:sz w:val="22"/>
                    <w:szCs w:val="22"/>
                  </w:rPr>
                  <m:t xml:space="preserve"> </m:t>
                </m:r>
                <m:f>
                  <m:fPr>
                    <m:ctrlPr>
                      <w:rPr>
                        <w:rFonts w:ascii="Cambria Math" w:hAnsi="Cambria Math" w:cs="Times New Roman"/>
                        <w:i/>
                        <w:color w:val="0070C0"/>
                        <w:sz w:val="22"/>
                        <w:szCs w:val="22"/>
                      </w:rPr>
                    </m:ctrlPr>
                  </m:fPr>
                  <m:num>
                    <m:r>
                      <w:rPr>
                        <w:rFonts w:ascii="Cambria Math" w:hAnsi="Cambria Math" w:cs="Times New Roman"/>
                        <w:color w:val="0070C0"/>
                        <w:sz w:val="22"/>
                        <w:szCs w:val="22"/>
                      </w:rPr>
                      <m:t>(</m:t>
                    </m:r>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нст</m:t>
                        </m:r>
                      </m:sub>
                      <m:sup>
                        <m:r>
                          <w:rPr>
                            <w:rFonts w:ascii="Cambria Math" w:hAnsi="Cambria Math" w:cs="Times New Roman"/>
                            <w:color w:val="0070C0"/>
                            <w:sz w:val="22"/>
                            <w:szCs w:val="22"/>
                          </w:rPr>
                          <m:t>к,н, зтт, місц, с</m:t>
                        </m:r>
                      </m:sup>
                    </m:sSubSup>
                    <m:r>
                      <w:rPr>
                        <w:rFonts w:ascii="Cambria Math" w:hAnsi="Cambria Math" w:cs="Times New Roman"/>
                        <w:color w:val="0070C0"/>
                        <w:sz w:val="22"/>
                        <w:szCs w:val="22"/>
                      </w:rPr>
                      <m:t>+</m:t>
                    </m:r>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нст</m:t>
                        </m:r>
                      </m:sub>
                      <m:sup>
                        <m:r>
                          <w:rPr>
                            <w:rFonts w:ascii="Cambria Math" w:hAnsi="Cambria Math" w:cs="Times New Roman"/>
                            <w:color w:val="0070C0"/>
                            <w:sz w:val="22"/>
                            <w:szCs w:val="22"/>
                          </w:rPr>
                          <m:t>к,н, зтт, місц, в</m:t>
                        </m:r>
                      </m:sup>
                    </m:sSubSup>
                    <m:r>
                      <w:rPr>
                        <w:rFonts w:ascii="Cambria Math" w:hAnsi="Cambria Math" w:cs="Times New Roman"/>
                        <w:color w:val="0070C0"/>
                        <w:sz w:val="22"/>
                        <w:szCs w:val="22"/>
                      </w:rPr>
                      <m:t>)</m:t>
                    </m:r>
                  </m:num>
                  <m:den>
                    <m:r>
                      <w:rPr>
                        <w:rFonts w:ascii="Cambria Math" w:hAnsi="Cambria Math" w:cs="Times New Roman"/>
                        <w:color w:val="0070C0"/>
                        <w:sz w:val="22"/>
                        <w:szCs w:val="22"/>
                      </w:rPr>
                      <m:t>2</m:t>
                    </m:r>
                  </m:den>
                </m:f>
                <m:r>
                  <w:rPr>
                    <w:rFonts w:ascii="Cambria Math" w:hAnsi="Cambria Math" w:cs="Times New Roman"/>
                    <w:color w:val="0070C0"/>
                    <w:sz w:val="22"/>
                    <w:szCs w:val="22"/>
                  </w:rPr>
                  <m:t>+</m:t>
                </m:r>
                <m:sSub>
                  <m:sSubPr>
                    <m:ctrlPr>
                      <w:rPr>
                        <w:rFonts w:ascii="Cambria Math" w:hAnsi="Cambria Math" w:cs="Times New Roman"/>
                        <w:i/>
                        <w:color w:val="0070C0"/>
                        <w:sz w:val="22"/>
                        <w:szCs w:val="22"/>
                      </w:rPr>
                    </m:ctrlPr>
                  </m:sSubPr>
                  <m:e>
                    <m:r>
                      <w:rPr>
                        <w:rFonts w:ascii="Cambria Math" w:hAnsi="Cambria Math" w:cs="Times New Roman"/>
                        <w:color w:val="0070C0"/>
                        <w:sz w:val="22"/>
                        <w:szCs w:val="22"/>
                      </w:rPr>
                      <m:t>l</m:t>
                    </m:r>
                  </m:e>
                  <m:sub>
                    <m:r>
                      <w:rPr>
                        <w:rFonts w:ascii="Cambria Math" w:hAnsi="Cambria Math" w:cs="Times New Roman"/>
                        <w:color w:val="0070C0"/>
                        <w:sz w:val="22"/>
                        <w:szCs w:val="22"/>
                      </w:rPr>
                      <m:t>м</m:t>
                    </m:r>
                  </m:sub>
                </m:sSub>
                <m:r>
                  <w:rPr>
                    <w:rFonts w:ascii="Cambria Math" w:hAnsi="Cambria Math" w:cs="Times New Roman"/>
                    <w:color w:val="0070C0"/>
                    <w:sz w:val="22"/>
                    <w:szCs w:val="22"/>
                  </w:rPr>
                  <m:t xml:space="preserve"> х </m:t>
                </m:r>
                <m:sSubSup>
                  <m:sSubSupPr>
                    <m:ctrlPr>
                      <w:rPr>
                        <w:rFonts w:ascii="Cambria Math" w:hAnsi="Cambria Math" w:cs="Times New Roman"/>
                        <w:i/>
                        <w:color w:val="0070C0"/>
                        <w:sz w:val="22"/>
                        <w:szCs w:val="22"/>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лін</m:t>
                    </m:r>
                  </m:sub>
                  <m:sup>
                    <m:r>
                      <w:rPr>
                        <w:rFonts w:ascii="Cambria Math" w:hAnsi="Cambria Math" w:cs="Times New Roman"/>
                        <w:color w:val="0070C0"/>
                        <w:sz w:val="22"/>
                        <w:szCs w:val="22"/>
                      </w:rPr>
                      <m:t>л,н,зем</m:t>
                    </m:r>
                  </m:sup>
                </m:sSubSup>
                <m:r>
                  <w:rPr>
                    <w:rFonts w:ascii="Cambria Math" w:hAnsi="Cambria Math" w:cs="Times New Roman"/>
                    <w:color w:val="0070C0"/>
                    <w:sz w:val="22"/>
                    <w:szCs w:val="22"/>
                  </w:rPr>
                  <m:t xml:space="preserve">   тис. грн</m:t>
                </m:r>
              </m:oMath>
            </m:oMathPara>
          </w:p>
          <w:p w:rsidR="00FE4387" w:rsidRPr="00D32097" w:rsidRDefault="00FE4387" w:rsidP="00FE4387">
            <w:pPr>
              <w:shd w:val="clear" w:color="auto" w:fill="FFFFFF"/>
              <w:ind w:firstLine="233"/>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(13)</w:t>
            </w:r>
          </w:p>
          <w:p w:rsidR="00FE4387" w:rsidRPr="00D32097" w:rsidRDefault="00FE4387" w:rsidP="00FE4387">
            <w:pPr>
              <w:shd w:val="clear" w:color="auto" w:fill="FFFFFF"/>
              <w:ind w:firstLine="233"/>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 xml:space="preserve">Для електроустановок, призначених для виробництва електричної енергії, які приєднуються з установками зберігання енергії в одній точці приєднання (у тому числі у разі приєднання установки зберігання енергії до внутрішніх технологічних мереж виробника в межах існуючої точки приєднання), та для установок </w:t>
            </w:r>
            <w:r w:rsidRPr="00D32097">
              <w:rPr>
                <w:rFonts w:ascii="Times New Roman" w:hAnsi="Times New Roman" w:cs="Times New Roman"/>
                <w:b/>
                <w:color w:val="0070C0"/>
                <w:sz w:val="22"/>
                <w:szCs w:val="22"/>
                <w:lang w:eastAsia="uk-UA"/>
              </w:rPr>
              <w:lastRenderedPageBreak/>
              <w:t xml:space="preserve">зберігання енергії, які приєднуються з електроустановками, призначеними для виробництва електричної енергії, в одній точці приєднання, плата за нестандартне приєднання «під ключ» визначається за формулою </w:t>
            </w:r>
          </w:p>
          <w:p w:rsidR="00FE4387" w:rsidRPr="00D32097" w:rsidRDefault="00FE4387" w:rsidP="00FE4387">
            <w:pPr>
              <w:shd w:val="clear" w:color="auto" w:fill="FFFFFF"/>
              <w:ind w:firstLine="233"/>
              <w:jc w:val="both"/>
              <w:rPr>
                <w:rFonts w:ascii="Times New Roman" w:hAnsi="Times New Roman" w:cs="Times New Roman"/>
                <w:b/>
                <w:color w:val="0070C0"/>
                <w:sz w:val="22"/>
                <w:szCs w:val="22"/>
                <w:lang w:eastAsia="uk-UA"/>
              </w:rPr>
            </w:pPr>
          </w:p>
          <w:p w:rsidR="00FE4387" w:rsidRPr="00D32097" w:rsidRDefault="002D57C8" w:rsidP="00FE4387">
            <w:pPr>
              <w:pStyle w:val="rvps2"/>
              <w:spacing w:before="0" w:beforeAutospacing="0" w:after="150" w:afterAutospacing="0"/>
              <w:ind w:firstLine="233"/>
              <w:jc w:val="both"/>
              <w:rPr>
                <w:rFonts w:ascii="Times New Roman" w:hAnsi="Times New Roman" w:cs="Times New Roman"/>
                <w:color w:val="0070C0"/>
                <w:sz w:val="22"/>
                <w:szCs w:val="22"/>
                <w:shd w:val="clear" w:color="auto" w:fill="FFFFFF"/>
              </w:rPr>
            </w:pPr>
            <m:oMathPara>
              <m:oMath>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П</m:t>
                    </m:r>
                  </m:e>
                  <m:sub>
                    <m:r>
                      <w:rPr>
                        <w:rFonts w:ascii="Cambria Math" w:hAnsi="Cambria Math" w:cs="Times New Roman"/>
                        <w:color w:val="0070C0"/>
                        <w:sz w:val="22"/>
                        <w:szCs w:val="22"/>
                      </w:rPr>
                      <m:t>нст</m:t>
                    </m:r>
                  </m:sub>
                  <m:sup/>
                </m:sSubSup>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eastAsiaTheme="minorHAnsi" w:hAnsi="Cambria Math" w:cs="Times New Roman"/>
                        <w:color w:val="0070C0"/>
                        <w:sz w:val="22"/>
                        <w:szCs w:val="22"/>
                        <w:lang w:eastAsia="en-US"/>
                      </w:rPr>
                      <m:t>відбір</m:t>
                    </m:r>
                  </m:sup>
                </m:sSubSup>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нст</m:t>
                    </m:r>
                  </m:sub>
                  <m:sup>
                    <m:r>
                      <w:rPr>
                        <w:rFonts w:ascii="Cambria Math" w:hAnsi="Cambria Math" w:cs="Times New Roman"/>
                        <w:color w:val="0070C0"/>
                        <w:sz w:val="22"/>
                        <w:szCs w:val="22"/>
                      </w:rPr>
                      <m:t>к,н,зтт,місц,с</m:t>
                    </m:r>
                  </m:sup>
                </m:sSubSup>
                <m:r>
                  <w:rPr>
                    <w:rFonts w:ascii="Cambria Math" w:hAnsi="Cambria Math" w:cs="Times New Roman"/>
                    <w:color w:val="0070C0"/>
                    <w:sz w:val="22"/>
                    <w:szCs w:val="22"/>
                  </w:rPr>
                  <m:t>+</m:t>
                </m:r>
                <m:sSub>
                  <m:sSubPr>
                    <m:ctrlPr>
                      <w:rPr>
                        <w:rFonts w:ascii="Cambria Math" w:eastAsiaTheme="minorHAnsi" w:hAnsi="Cambria Math" w:cs="Times New Roman"/>
                        <w:i/>
                        <w:color w:val="0070C0"/>
                        <w:sz w:val="22"/>
                        <w:szCs w:val="22"/>
                        <w:lang w:eastAsia="en-US"/>
                      </w:rPr>
                    </m:ctrlPr>
                  </m:sSubPr>
                  <m:e>
                    <m:r>
                      <w:rPr>
                        <w:rFonts w:ascii="Cambria Math" w:eastAsiaTheme="minorHAnsi" w:hAnsi="Cambria Math" w:cs="Times New Roman"/>
                        <w:color w:val="0070C0"/>
                        <w:sz w:val="22"/>
                        <w:szCs w:val="22"/>
                        <w:lang w:eastAsia="en-US"/>
                      </w:rPr>
                      <m:t>l</m:t>
                    </m:r>
                  </m:e>
                  <m:sub>
                    <m:r>
                      <w:rPr>
                        <w:rFonts w:ascii="Cambria Math" w:eastAsiaTheme="minorHAnsi" w:hAnsi="Cambria Math" w:cs="Times New Roman"/>
                        <w:color w:val="0070C0"/>
                        <w:sz w:val="22"/>
                        <w:szCs w:val="22"/>
                        <w:lang w:eastAsia="en-US"/>
                      </w:rPr>
                      <m:t>м</m:t>
                    </m:r>
                  </m:sub>
                </m:sSub>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лін</m:t>
                    </m:r>
                  </m:sub>
                  <m:sup>
                    <m:r>
                      <w:rPr>
                        <w:rFonts w:ascii="Cambria Math" w:hAnsi="Cambria Math" w:cs="Times New Roman"/>
                        <w:color w:val="0070C0"/>
                        <w:sz w:val="22"/>
                        <w:szCs w:val="22"/>
                      </w:rPr>
                      <m:t>л,н,зем</m:t>
                    </m:r>
                  </m:sup>
                </m:sSubSup>
                <m:r>
                  <w:rPr>
                    <w:rFonts w:ascii="Cambria Math" w:hAnsi="Cambria Math" w:cs="Times New Roman"/>
                    <w:color w:val="0070C0"/>
                    <w:sz w:val="22"/>
                    <w:szCs w:val="22"/>
                  </w:rPr>
                  <m:t>, тис</m:t>
                </m:r>
                <m:f>
                  <m:fPr>
                    <m:ctrlPr>
                      <w:rPr>
                        <w:rFonts w:ascii="Cambria Math" w:hAnsi="Cambria Math" w:cs="Times New Roman"/>
                        <w:i/>
                        <w:color w:val="0070C0"/>
                        <w:sz w:val="22"/>
                        <w:szCs w:val="22"/>
                      </w:rPr>
                    </m:ctrlPr>
                  </m:fPr>
                  <m:num>
                    <m:r>
                      <w:rPr>
                        <w:rFonts w:ascii="Cambria Math" w:hAnsi="Cambria Math" w:cs="Times New Roman"/>
                        <w:color w:val="0070C0"/>
                        <w:sz w:val="22"/>
                        <w:szCs w:val="22"/>
                      </w:rPr>
                      <m:t>грн</m:t>
                    </m:r>
                  </m:num>
                  <m:den>
                    <m:r>
                      <w:rPr>
                        <w:rFonts w:ascii="Cambria Math" w:hAnsi="Cambria Math" w:cs="Times New Roman"/>
                        <w:color w:val="0070C0"/>
                        <w:sz w:val="22"/>
                        <w:szCs w:val="22"/>
                      </w:rPr>
                      <m:t>кВт</m:t>
                    </m:r>
                  </m:den>
                </m:f>
                <m:r>
                  <w:rPr>
                    <w:rFonts w:ascii="Cambria Math" w:hAnsi="Cambria Math" w:cs="Times New Roman"/>
                    <w:color w:val="0070C0"/>
                    <w:sz w:val="22"/>
                    <w:szCs w:val="22"/>
                  </w:rPr>
                  <m:t xml:space="preserve">, </m:t>
                </m:r>
              </m:oMath>
            </m:oMathPara>
          </w:p>
          <w:p w:rsidR="00FE4387" w:rsidRPr="00D32097" w:rsidRDefault="00FE4387" w:rsidP="00FE4387">
            <w:pPr>
              <w:shd w:val="clear" w:color="auto" w:fill="FFFFFF"/>
              <w:ind w:firstLine="233"/>
              <w:jc w:val="both"/>
              <w:rPr>
                <w:rFonts w:ascii="Times New Roman" w:hAnsi="Times New Roman" w:cs="Times New Roman"/>
                <w:color w:val="0070C0"/>
                <w:sz w:val="22"/>
                <w:szCs w:val="22"/>
              </w:rPr>
            </w:pPr>
            <w:r w:rsidRPr="00D32097">
              <w:rPr>
                <w:rFonts w:ascii="Times New Roman" w:hAnsi="Times New Roman" w:cs="Times New Roman"/>
                <w:bCs/>
                <w:color w:val="0070C0"/>
                <w:sz w:val="22"/>
                <w:szCs w:val="22"/>
                <w:lang w:eastAsia="uk-UA"/>
              </w:rPr>
              <w:t xml:space="preserve">якщо   </w:t>
            </w:r>
            <m:oMath>
              <m:sSubSup>
                <m:sSubSupPr>
                  <m:ctrlPr>
                    <w:rPr>
                      <w:rFonts w:ascii="Cambria Math" w:hAnsi="Cambria Math" w:cs="Times New Roman"/>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відбір</m:t>
                  </m:r>
                </m:sup>
              </m:sSubSup>
            </m:oMath>
            <w:r w:rsidRPr="00D32097">
              <w:rPr>
                <w:rFonts w:ascii="Times New Roman" w:hAnsi="Times New Roman" w:cs="Times New Roman"/>
                <w:bCs/>
                <w:color w:val="0070C0"/>
                <w:sz w:val="22"/>
                <w:szCs w:val="22"/>
                <w:lang w:eastAsia="uk-UA"/>
              </w:rPr>
              <w:t xml:space="preserve"> ≥ </w:t>
            </w:r>
            <m:oMath>
              <m:sSubSup>
                <m:sSubSupPr>
                  <m:ctrlPr>
                    <w:rPr>
                      <w:rFonts w:ascii="Cambria Math" w:hAnsi="Cambria Math" w:cs="Times New Roman"/>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відпуск</m:t>
                  </m:r>
                </m:sup>
              </m:sSubSup>
            </m:oMath>
            <w:r w:rsidRPr="00D32097">
              <w:rPr>
                <w:rFonts w:ascii="Times New Roman" w:hAnsi="Times New Roman" w:cs="Times New Roman"/>
                <w:bCs/>
                <w:color w:val="0070C0"/>
                <w:sz w:val="22"/>
                <w:szCs w:val="22"/>
                <w:lang w:eastAsia="uk-UA"/>
              </w:rPr>
              <w:t xml:space="preserve"> </w:t>
            </w:r>
            <m:oMath>
              <m:r>
                <w:rPr>
                  <w:rFonts w:ascii="Cambria Math" w:hAnsi="Cambria Math" w:cs="Times New Roman"/>
                  <w:color w:val="0070C0"/>
                  <w:sz w:val="22"/>
                  <w:szCs w:val="22"/>
                </w:rPr>
                <m:t xml:space="preserve"> </m:t>
              </m:r>
            </m:oMath>
          </w:p>
          <w:p w:rsidR="00FE4387" w:rsidRPr="00D32097" w:rsidRDefault="00FE4387" w:rsidP="00FE4387">
            <w:pPr>
              <w:shd w:val="clear" w:color="auto" w:fill="FFFFFF"/>
              <w:ind w:firstLine="233"/>
              <w:jc w:val="both"/>
              <w:rPr>
                <w:rFonts w:ascii="Times New Roman" w:hAnsi="Times New Roman" w:cs="Times New Roman"/>
                <w:b/>
                <w:strike/>
                <w:color w:val="0070C0"/>
                <w:sz w:val="22"/>
                <w:szCs w:val="22"/>
              </w:rPr>
            </w:pPr>
          </w:p>
          <w:p w:rsidR="00FE4387" w:rsidRPr="00D32097" w:rsidRDefault="002D57C8" w:rsidP="00FE4387">
            <w:pPr>
              <w:pStyle w:val="rvps2"/>
              <w:spacing w:before="0" w:beforeAutospacing="0" w:after="150" w:afterAutospacing="0"/>
              <w:ind w:firstLine="233"/>
              <w:jc w:val="both"/>
              <w:rPr>
                <w:rFonts w:ascii="Times New Roman" w:hAnsi="Times New Roman" w:cs="Times New Roman"/>
                <w:color w:val="0070C0"/>
                <w:sz w:val="22"/>
                <w:szCs w:val="22"/>
                <w:shd w:val="clear" w:color="auto" w:fill="FFFFFF"/>
              </w:rPr>
            </w:pPr>
            <m:oMathPara>
              <m:oMath>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П</m:t>
                    </m:r>
                  </m:e>
                  <m:sub>
                    <m:r>
                      <w:rPr>
                        <w:rFonts w:ascii="Cambria Math" w:hAnsi="Cambria Math" w:cs="Times New Roman"/>
                        <w:color w:val="0070C0"/>
                        <w:sz w:val="22"/>
                        <w:szCs w:val="22"/>
                      </w:rPr>
                      <m:t>нст</m:t>
                    </m:r>
                  </m:sub>
                  <m:sup/>
                </m:sSubSup>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eastAsiaTheme="minorHAnsi" w:hAnsi="Cambria Math" w:cs="Times New Roman"/>
                        <w:color w:val="0070C0"/>
                        <w:sz w:val="22"/>
                        <w:szCs w:val="22"/>
                        <w:lang w:eastAsia="en-US"/>
                      </w:rPr>
                      <m:t>відпуск</m:t>
                    </m:r>
                  </m:sup>
                </m:sSubSup>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нст</m:t>
                    </m:r>
                  </m:sub>
                  <m:sup>
                    <m:r>
                      <w:rPr>
                        <w:rFonts w:ascii="Cambria Math" w:hAnsi="Cambria Math" w:cs="Times New Roman"/>
                        <w:color w:val="0070C0"/>
                        <w:sz w:val="22"/>
                        <w:szCs w:val="22"/>
                      </w:rPr>
                      <m:t>к,н,зтт,місц,в</m:t>
                    </m:r>
                  </m:sup>
                </m:sSubSup>
                <m:r>
                  <w:rPr>
                    <w:rFonts w:ascii="Cambria Math" w:hAnsi="Cambria Math" w:cs="Times New Roman"/>
                    <w:color w:val="0070C0"/>
                    <w:sz w:val="22"/>
                    <w:szCs w:val="22"/>
                  </w:rPr>
                  <m:t>+</m:t>
                </m:r>
                <m:sSub>
                  <m:sSubPr>
                    <m:ctrlPr>
                      <w:rPr>
                        <w:rFonts w:ascii="Cambria Math" w:eastAsiaTheme="minorHAnsi" w:hAnsi="Cambria Math" w:cs="Times New Roman"/>
                        <w:i/>
                        <w:color w:val="0070C0"/>
                        <w:sz w:val="22"/>
                        <w:szCs w:val="22"/>
                        <w:lang w:eastAsia="en-US"/>
                      </w:rPr>
                    </m:ctrlPr>
                  </m:sSubPr>
                  <m:e>
                    <m:r>
                      <w:rPr>
                        <w:rFonts w:ascii="Cambria Math" w:eastAsiaTheme="minorHAnsi" w:hAnsi="Cambria Math" w:cs="Times New Roman"/>
                        <w:color w:val="0070C0"/>
                        <w:sz w:val="22"/>
                        <w:szCs w:val="22"/>
                        <w:lang w:eastAsia="en-US"/>
                      </w:rPr>
                      <m:t>l</m:t>
                    </m:r>
                  </m:e>
                  <m:sub>
                    <m:r>
                      <w:rPr>
                        <w:rFonts w:ascii="Cambria Math" w:eastAsiaTheme="minorHAnsi" w:hAnsi="Cambria Math" w:cs="Times New Roman"/>
                        <w:color w:val="0070C0"/>
                        <w:sz w:val="22"/>
                        <w:szCs w:val="22"/>
                        <w:lang w:eastAsia="en-US"/>
                      </w:rPr>
                      <m:t>м</m:t>
                    </m:r>
                  </m:sub>
                </m:sSub>
                <m:r>
                  <w:rPr>
                    <w:rFonts w:ascii="Cambria Math" w:hAnsi="Cambria Math" w:cs="Times New Roman"/>
                    <w:color w:val="0070C0"/>
                    <w:sz w:val="22"/>
                    <w:szCs w:val="22"/>
                  </w:rPr>
                  <m:t>×</m:t>
                </m:r>
                <m:sSubSup>
                  <m:sSubSupPr>
                    <m:ctrlPr>
                      <w:rPr>
                        <w:rFonts w:ascii="Cambria Math" w:eastAsiaTheme="minorHAnsi" w:hAnsi="Cambria Math" w:cs="Times New Roman"/>
                        <w:color w:val="0070C0"/>
                        <w:sz w:val="22"/>
                        <w:szCs w:val="22"/>
                        <w:lang w:eastAsia="en-US"/>
                      </w:rPr>
                    </m:ctrlPr>
                  </m:sSubSupPr>
                  <m:e>
                    <m:r>
                      <w:rPr>
                        <w:rFonts w:ascii="Cambria Math" w:hAnsi="Cambria Math" w:cs="Times New Roman"/>
                        <w:color w:val="0070C0"/>
                        <w:sz w:val="22"/>
                        <w:szCs w:val="22"/>
                      </w:rPr>
                      <m:t>С</m:t>
                    </m:r>
                  </m:e>
                  <m:sub>
                    <m:r>
                      <w:rPr>
                        <w:rFonts w:ascii="Cambria Math" w:hAnsi="Cambria Math" w:cs="Times New Roman"/>
                        <w:color w:val="0070C0"/>
                        <w:sz w:val="22"/>
                        <w:szCs w:val="22"/>
                      </w:rPr>
                      <m:t>лін</m:t>
                    </m:r>
                  </m:sub>
                  <m:sup>
                    <m:r>
                      <w:rPr>
                        <w:rFonts w:ascii="Cambria Math" w:hAnsi="Cambria Math" w:cs="Times New Roman"/>
                        <w:color w:val="0070C0"/>
                        <w:sz w:val="22"/>
                        <w:szCs w:val="22"/>
                      </w:rPr>
                      <m:t>л,н,зем</m:t>
                    </m:r>
                  </m:sup>
                </m:sSubSup>
                <m:r>
                  <w:rPr>
                    <w:rFonts w:ascii="Cambria Math" w:hAnsi="Cambria Math" w:cs="Times New Roman"/>
                    <w:color w:val="0070C0"/>
                    <w:sz w:val="22"/>
                    <w:szCs w:val="22"/>
                  </w:rPr>
                  <m:t>, тис грн/кВт,</m:t>
                </m:r>
              </m:oMath>
            </m:oMathPara>
          </w:p>
          <w:p w:rsidR="00FE4387" w:rsidRPr="00D32097" w:rsidRDefault="00FE4387" w:rsidP="00FE4387">
            <w:pPr>
              <w:shd w:val="clear" w:color="auto" w:fill="FFFFFF"/>
              <w:ind w:firstLine="233"/>
              <w:jc w:val="both"/>
              <w:rPr>
                <w:rFonts w:ascii="Times New Roman" w:hAnsi="Times New Roman" w:cs="Times New Roman"/>
                <w:color w:val="4472C4" w:themeColor="accent1"/>
                <w:sz w:val="28"/>
                <w:szCs w:val="28"/>
              </w:rPr>
            </w:pPr>
            <w:r w:rsidRPr="00D32097">
              <w:rPr>
                <w:rFonts w:ascii="Times New Roman" w:hAnsi="Times New Roman" w:cs="Times New Roman"/>
                <w:bCs/>
                <w:color w:val="0070C0"/>
                <w:sz w:val="22"/>
                <w:szCs w:val="22"/>
                <w:lang w:eastAsia="uk-UA"/>
              </w:rPr>
              <w:t xml:space="preserve">якщо </w:t>
            </w:r>
            <w:r w:rsidRPr="00D32097">
              <w:rPr>
                <w:rFonts w:ascii="Times New Roman" w:hAnsi="Times New Roman" w:cs="Times New Roman"/>
                <w:color w:val="0070C0"/>
                <w:sz w:val="22"/>
                <w:szCs w:val="22"/>
              </w:rPr>
              <w:t xml:space="preserve"> </w:t>
            </w:r>
            <m:oMath>
              <m:sSubSup>
                <m:sSubSupPr>
                  <m:ctrlPr>
                    <w:rPr>
                      <w:rFonts w:ascii="Cambria Math" w:hAnsi="Cambria Math" w:cs="Times New Roman"/>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відпуск</m:t>
                  </m:r>
                </m:sup>
              </m:sSubSup>
            </m:oMath>
            <w:r w:rsidRPr="00D32097">
              <w:rPr>
                <w:rFonts w:ascii="Times New Roman" w:hAnsi="Times New Roman" w:cs="Times New Roman"/>
                <w:bCs/>
                <w:color w:val="0070C0"/>
                <w:sz w:val="22"/>
                <w:szCs w:val="22"/>
                <w:lang w:eastAsia="uk-UA"/>
              </w:rPr>
              <w:t xml:space="preserve"> ≥ </w:t>
            </w:r>
            <m:oMath>
              <m:sSubSup>
                <m:sSubSupPr>
                  <m:ctrlPr>
                    <w:rPr>
                      <w:rFonts w:ascii="Cambria Math" w:hAnsi="Cambria Math" w:cs="Times New Roman"/>
                      <w:color w:val="0070C0"/>
                      <w:sz w:val="22"/>
                      <w:szCs w:val="22"/>
                    </w:rPr>
                  </m:ctrlPr>
                </m:sSubSupPr>
                <m:e>
                  <m:r>
                    <w:rPr>
                      <w:rFonts w:ascii="Cambria Math" w:hAnsi="Cambria Math" w:cs="Times New Roman"/>
                      <w:color w:val="0070C0"/>
                      <w:sz w:val="22"/>
                      <w:szCs w:val="22"/>
                    </w:rPr>
                    <m:t>Р</m:t>
                  </m:r>
                </m:e>
                <m:sub>
                  <m:r>
                    <w:rPr>
                      <w:rFonts w:ascii="Cambria Math" w:hAnsi="Cambria Math" w:cs="Times New Roman"/>
                      <w:color w:val="0070C0"/>
                      <w:sz w:val="22"/>
                      <w:szCs w:val="22"/>
                    </w:rPr>
                    <m:t>замовлена</m:t>
                  </m:r>
                </m:sub>
                <m:sup>
                  <m:r>
                    <w:rPr>
                      <w:rFonts w:ascii="Cambria Math" w:hAnsi="Cambria Math" w:cs="Times New Roman"/>
                      <w:color w:val="0070C0"/>
                      <w:sz w:val="22"/>
                      <w:szCs w:val="22"/>
                    </w:rPr>
                    <m:t>відбір</m:t>
                  </m:r>
                </m:sup>
              </m:sSubSup>
            </m:oMath>
            <w:r w:rsidRPr="00D32097">
              <w:rPr>
                <w:rFonts w:ascii="Times New Roman" w:hAnsi="Times New Roman" w:cs="Times New Roman"/>
                <w:color w:val="0070C0"/>
                <w:sz w:val="22"/>
                <w:szCs w:val="22"/>
              </w:rPr>
              <w:t xml:space="preserve">                          (14)</w:t>
            </w:r>
          </w:p>
        </w:tc>
        <w:tc>
          <w:tcPr>
            <w:tcW w:w="3899" w:type="dxa"/>
          </w:tcPr>
          <w:p w:rsidR="00FE4387" w:rsidRPr="00D32097" w:rsidRDefault="00FE4387" w:rsidP="00FE4387">
            <w:pPr>
              <w:shd w:val="clear" w:color="auto" w:fill="FFFFFF"/>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lastRenderedPageBreak/>
              <w:t>Учасники ЄУЕА, обговоривши запропоновані зміни в контексті регулювання питання розрахунку плати за приєднання УЗЕ та гібридних електростанцій, звертають увагу на:</w:t>
            </w:r>
          </w:p>
          <w:p w:rsidR="00FE4387" w:rsidRPr="00D32097" w:rsidRDefault="00FE4387" w:rsidP="00FE4387">
            <w:pPr>
              <w:shd w:val="clear" w:color="auto" w:fill="FFFFFF"/>
              <w:jc w:val="both"/>
              <w:rPr>
                <w:rFonts w:ascii="Times New Roman" w:hAnsi="Times New Roman" w:cs="Times New Roman"/>
                <w:bCs/>
                <w:sz w:val="22"/>
                <w:szCs w:val="24"/>
                <w:lang w:eastAsia="uk-UA"/>
              </w:rPr>
            </w:pPr>
          </w:p>
          <w:p w:rsidR="00FE4387" w:rsidRPr="00D32097" w:rsidRDefault="00FE4387" w:rsidP="00FE4387">
            <w:pPr>
              <w:pStyle w:val="a4"/>
              <w:numPr>
                <w:ilvl w:val="0"/>
                <w:numId w:val="4"/>
              </w:numPr>
              <w:shd w:val="clear" w:color="auto" w:fill="FFFFFF"/>
              <w:spacing w:after="0" w:line="240" w:lineRule="auto"/>
              <w:ind w:left="36" w:firstLine="32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розрахунок складової плати за приєднання потужності електроустановок, що характеризуються як потужністю відбору, так і потужністю відпуску, не повинен призводити до подвійного врахування однієї і тієї ж зовнішньої мережевої (пропускної) здатності (резерву потужності), якщо оператором системи не доведено необхідність створення окремого резерву та/або виконання окремих заходів для кожного з таких напрямів;</w:t>
            </w:r>
          </w:p>
          <w:p w:rsidR="00FE4387" w:rsidRPr="00D32097" w:rsidRDefault="00FE4387" w:rsidP="00FE4387">
            <w:pPr>
              <w:pStyle w:val="a4"/>
              <w:numPr>
                <w:ilvl w:val="0"/>
                <w:numId w:val="4"/>
              </w:numPr>
              <w:shd w:val="clear" w:color="auto" w:fill="FFFFFF"/>
              <w:spacing w:after="0" w:line="240" w:lineRule="auto"/>
              <w:ind w:left="36" w:firstLine="32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запропонований Регулятором в </w:t>
            </w:r>
            <w:proofErr w:type="spellStart"/>
            <w:r w:rsidRPr="00D32097">
              <w:rPr>
                <w:rFonts w:ascii="Times New Roman" w:eastAsia="Times New Roman" w:hAnsi="Times New Roman" w:cs="Times New Roman"/>
                <w:bCs/>
                <w:szCs w:val="24"/>
                <w:lang w:eastAsia="uk-UA"/>
              </w:rPr>
              <w:t>проєкті</w:t>
            </w:r>
            <w:proofErr w:type="spellEnd"/>
            <w:r w:rsidRPr="00D32097">
              <w:rPr>
                <w:rFonts w:ascii="Times New Roman" w:eastAsia="Times New Roman" w:hAnsi="Times New Roman" w:cs="Times New Roman"/>
                <w:bCs/>
                <w:szCs w:val="24"/>
                <w:lang w:eastAsia="uk-UA"/>
              </w:rPr>
              <w:t xml:space="preserve"> змін порядок розрахунку складової плати за приєднання </w:t>
            </w:r>
            <w:r w:rsidRPr="00D32097">
              <w:rPr>
                <w:rFonts w:ascii="Times New Roman" w:eastAsia="Times New Roman" w:hAnsi="Times New Roman" w:cs="Times New Roman"/>
                <w:bCs/>
                <w:szCs w:val="24"/>
                <w:lang w:eastAsia="uk-UA"/>
              </w:rPr>
              <w:lastRenderedPageBreak/>
              <w:t xml:space="preserve">потужності - нарахування плати окремо за потужність відбору і окремо за потужність відпуску (як за формулою 5) призведе до збільшення загального розміру плати за приєднання УЗЕ та гібридних електростанцій до мереж ОСР. Таке рішення може мати негативні наслідки для прийняття інвесторами рішень щодо впровадження таких необхідних енергосистеми УЗЕ та  збалансованих генеруючих </w:t>
            </w:r>
            <w:proofErr w:type="spellStart"/>
            <w:r w:rsidRPr="00D32097">
              <w:rPr>
                <w:rFonts w:ascii="Times New Roman" w:eastAsia="Times New Roman" w:hAnsi="Times New Roman" w:cs="Times New Roman"/>
                <w:bCs/>
                <w:szCs w:val="24"/>
                <w:lang w:eastAsia="uk-UA"/>
              </w:rPr>
              <w:t>потужностей</w:t>
            </w:r>
            <w:proofErr w:type="spellEnd"/>
            <w:r w:rsidRPr="00D32097">
              <w:rPr>
                <w:rFonts w:ascii="Times New Roman" w:eastAsia="Times New Roman" w:hAnsi="Times New Roman" w:cs="Times New Roman"/>
                <w:bCs/>
                <w:szCs w:val="24"/>
                <w:lang w:eastAsia="uk-UA"/>
              </w:rPr>
              <w:t xml:space="preserve">. </w:t>
            </w:r>
          </w:p>
          <w:p w:rsidR="00FE4387" w:rsidRPr="00D32097" w:rsidRDefault="00FE4387" w:rsidP="00FE4387">
            <w:pPr>
              <w:pStyle w:val="a4"/>
              <w:numPr>
                <w:ilvl w:val="0"/>
                <w:numId w:val="4"/>
              </w:numPr>
              <w:shd w:val="clear" w:color="auto" w:fill="FFFFFF"/>
              <w:spacing w:after="0" w:line="240" w:lineRule="auto"/>
              <w:ind w:left="36" w:firstLine="32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Закон № 4777-IX спрямований на розвиток УЗЕ та посилення енергетичної стійкості. Подвоєння плати за приєднання </w:t>
            </w:r>
            <w:proofErr w:type="spellStart"/>
            <w:r w:rsidRPr="00D32097">
              <w:rPr>
                <w:rFonts w:ascii="Times New Roman" w:eastAsia="Times New Roman" w:hAnsi="Times New Roman" w:cs="Times New Roman"/>
                <w:bCs/>
                <w:szCs w:val="24"/>
                <w:lang w:eastAsia="uk-UA"/>
              </w:rPr>
              <w:t>дестимулює</w:t>
            </w:r>
            <w:proofErr w:type="spellEnd"/>
            <w:r w:rsidRPr="00D32097">
              <w:rPr>
                <w:rFonts w:ascii="Times New Roman" w:eastAsia="Times New Roman" w:hAnsi="Times New Roman" w:cs="Times New Roman"/>
                <w:bCs/>
                <w:szCs w:val="24"/>
                <w:lang w:eastAsia="uk-UA"/>
              </w:rPr>
              <w:t xml:space="preserve"> інвестиції в УЗЕ, що суперечить меті Закону.</w:t>
            </w:r>
          </w:p>
          <w:p w:rsidR="00FE4387" w:rsidRPr="00D32097" w:rsidRDefault="00FE4387" w:rsidP="00FE4387">
            <w:pPr>
              <w:shd w:val="clear" w:color="auto" w:fill="FFFFFF"/>
              <w:jc w:val="both"/>
              <w:rPr>
                <w:rFonts w:ascii="Times New Roman" w:hAnsi="Times New Roman" w:cs="Times New Roman"/>
                <w:bCs/>
                <w:sz w:val="22"/>
                <w:szCs w:val="24"/>
                <w:lang w:eastAsia="uk-UA"/>
              </w:rPr>
            </w:pPr>
          </w:p>
          <w:p w:rsidR="00FE4387" w:rsidRPr="00D32097" w:rsidRDefault="00FE4387" w:rsidP="00FE4387">
            <w:pPr>
              <w:shd w:val="clear" w:color="auto" w:fill="FFFFFF"/>
              <w:ind w:left="36" w:firstLine="284"/>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Щодо гібридних УЗЕ</w:t>
            </w:r>
          </w:p>
          <w:p w:rsidR="00FE4387" w:rsidRPr="00D32097" w:rsidRDefault="00FE4387" w:rsidP="00FE4387">
            <w:pPr>
              <w:pStyle w:val="a4"/>
              <w:numPr>
                <w:ilvl w:val="0"/>
                <w:numId w:val="6"/>
              </w:numPr>
              <w:shd w:val="clear" w:color="auto" w:fill="FFFFFF"/>
              <w:spacing w:after="0" w:line="240" w:lineRule="auto"/>
              <w:ind w:left="36" w:firstLine="28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У гібридному об'єкті потужність відпуску генеруючої установки переважає над потужністю відбору УЗЕ. Менша величина фізично вміщається в межах більшої, оскільки під час заряду УЗЕ генеруюча установка не завантажує точку приєднання на повну потужність.</w:t>
            </w:r>
          </w:p>
          <w:p w:rsidR="00FE4387" w:rsidRPr="00D32097" w:rsidRDefault="00FE4387" w:rsidP="00FE4387">
            <w:pPr>
              <w:pStyle w:val="a4"/>
              <w:numPr>
                <w:ilvl w:val="0"/>
                <w:numId w:val="6"/>
              </w:numPr>
              <w:shd w:val="clear" w:color="auto" w:fill="FFFFFF"/>
              <w:spacing w:after="0" w:line="240" w:lineRule="auto"/>
              <w:ind w:left="36" w:firstLine="28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оскільки переважає потужність відпуску, застосовується ставка для електроустановок виробництва </w:t>
            </w:r>
            <w:proofErr w:type="spellStart"/>
            <w:r w:rsidRPr="00D32097">
              <w:rPr>
                <w:rFonts w:ascii="Times New Roman" w:eastAsia="Times New Roman" w:hAnsi="Times New Roman" w:cs="Times New Roman"/>
                <w:bCs/>
                <w:szCs w:val="24"/>
                <w:lang w:eastAsia="uk-UA"/>
              </w:rPr>
              <w:t>Снст</w:t>
            </w:r>
            <w:proofErr w:type="spellEnd"/>
            <w:r w:rsidRPr="00D32097">
              <w:rPr>
                <w:rFonts w:ascii="Times New Roman" w:eastAsia="Times New Roman" w:hAnsi="Times New Roman" w:cs="Times New Roman"/>
                <w:bCs/>
                <w:szCs w:val="24"/>
                <w:lang w:eastAsia="uk-UA"/>
              </w:rPr>
              <w:t>(</w:t>
            </w:r>
            <w:proofErr w:type="spellStart"/>
            <w:r w:rsidRPr="00D32097">
              <w:rPr>
                <w:rFonts w:ascii="Times New Roman" w:eastAsia="Times New Roman" w:hAnsi="Times New Roman" w:cs="Times New Roman"/>
                <w:bCs/>
                <w:szCs w:val="24"/>
                <w:lang w:eastAsia="uk-UA"/>
              </w:rPr>
              <w:t>к,н,зтт,місц,в</w:t>
            </w:r>
            <w:proofErr w:type="spellEnd"/>
            <w:r w:rsidRPr="00D32097">
              <w:rPr>
                <w:rFonts w:ascii="Times New Roman" w:eastAsia="Times New Roman" w:hAnsi="Times New Roman" w:cs="Times New Roman"/>
                <w:bCs/>
                <w:szCs w:val="24"/>
                <w:lang w:eastAsia="uk-UA"/>
              </w:rPr>
              <w:t>). Це звичайне приєднання генерації за виробничою ставкою; потужність відбору УЗЕ не створює резерву понад той, що вже забезпечує потужність відпуску в тій самій точці.</w:t>
            </w:r>
          </w:p>
          <w:p w:rsidR="00FE4387" w:rsidRPr="00D32097" w:rsidRDefault="00FE4387" w:rsidP="00FE4387">
            <w:pPr>
              <w:pStyle w:val="a4"/>
              <w:numPr>
                <w:ilvl w:val="0"/>
                <w:numId w:val="6"/>
              </w:numPr>
              <w:shd w:val="clear" w:color="auto" w:fill="FFFFFF"/>
              <w:spacing w:after="0" w:line="240" w:lineRule="auto"/>
              <w:ind w:left="36" w:firstLine="284"/>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ст. 30 ЗУ «Про ринок електричної енергії» передбачає </w:t>
            </w:r>
            <w:r w:rsidRPr="00D32097">
              <w:rPr>
                <w:rFonts w:ascii="Times New Roman" w:eastAsia="Times New Roman" w:hAnsi="Times New Roman" w:cs="Times New Roman"/>
                <w:bCs/>
                <w:szCs w:val="24"/>
                <w:lang w:eastAsia="uk-UA"/>
              </w:rPr>
              <w:lastRenderedPageBreak/>
              <w:t>приєднання УЗЕ до внутрішніх технологічних мереж виробника в місці провадження його діяльності, у межах дозволеної потужності в точці приєднання. Розрахунок за більшою величиною застосовний лише за умови спільної точки приєднання як єдиного об'єкта.</w:t>
            </w:r>
          </w:p>
          <w:p w:rsidR="00FE4387" w:rsidRPr="00D32097" w:rsidRDefault="00FE4387" w:rsidP="00FE4387">
            <w:pPr>
              <w:shd w:val="clear" w:color="auto" w:fill="FFFFFF"/>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Пропонуємо для гібридних електростанцій, гібридних УЗЕ передбачити розрахунок складової плати за приєднання потужності з урахуванням більшої з величин замовленої до приєднання потужності – за потужністю відпуску або потужністю відбору. </w:t>
            </w:r>
          </w:p>
          <w:p w:rsidR="00FE4387" w:rsidRPr="00D32097" w:rsidRDefault="00FE4387" w:rsidP="00FE4387">
            <w:pPr>
              <w:shd w:val="clear" w:color="auto" w:fill="FFFFFF"/>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Отже, складова плати за приєднання потужності буде визначатись як добуток більшої з величин замовленої до приєднання потужності (відбору або відпуску) та розміру відповідної ставки плати за нестандартне приєднання потужності (відпуску та відбору), затвердженої НКРЕКП.</w:t>
            </w:r>
          </w:p>
          <w:p w:rsidR="00FE4387" w:rsidRPr="00D32097" w:rsidRDefault="00FE4387" w:rsidP="00FE4387">
            <w:pPr>
              <w:shd w:val="clear" w:color="auto" w:fill="FFFFFF"/>
              <w:jc w:val="both"/>
              <w:rPr>
                <w:rFonts w:ascii="Times New Roman" w:hAnsi="Times New Roman" w:cs="Times New Roman"/>
                <w:bCs/>
                <w:sz w:val="22"/>
                <w:szCs w:val="24"/>
                <w:lang w:eastAsia="uk-UA"/>
              </w:rPr>
            </w:pPr>
          </w:p>
          <w:p w:rsidR="00FE4387" w:rsidRPr="00D32097" w:rsidRDefault="00FE4387" w:rsidP="00FE4387">
            <w:pPr>
              <w:shd w:val="clear" w:color="auto" w:fill="FFFFFF"/>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Щодо окремої  (</w:t>
            </w:r>
            <w:proofErr w:type="spellStart"/>
            <w:r w:rsidRPr="00D32097">
              <w:rPr>
                <w:rFonts w:ascii="Times New Roman" w:hAnsi="Times New Roman" w:cs="Times New Roman"/>
                <w:b/>
                <w:sz w:val="22"/>
                <w:szCs w:val="24"/>
                <w:lang w:eastAsia="uk-UA"/>
              </w:rPr>
              <w:t>standalone</w:t>
            </w:r>
            <w:proofErr w:type="spellEnd"/>
            <w:r w:rsidRPr="00D32097">
              <w:rPr>
                <w:rFonts w:ascii="Times New Roman" w:hAnsi="Times New Roman" w:cs="Times New Roman"/>
                <w:b/>
                <w:sz w:val="22"/>
                <w:szCs w:val="24"/>
                <w:lang w:eastAsia="uk-UA"/>
              </w:rPr>
              <w:t>) УЗЕ</w:t>
            </w:r>
          </w:p>
          <w:p w:rsidR="00FE4387" w:rsidRPr="00D32097" w:rsidRDefault="00FE4387" w:rsidP="00FE4387">
            <w:pPr>
              <w:pStyle w:val="a4"/>
              <w:numPr>
                <w:ilvl w:val="0"/>
                <w:numId w:val="5"/>
              </w:numPr>
              <w:shd w:val="clear" w:color="auto" w:fill="FFFFFF"/>
              <w:spacing w:after="0" w:line="240" w:lineRule="auto"/>
              <w:ind w:left="0" w:firstLine="462"/>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окрема УЗЕ під час заряду навантажує мережу (як споживач), а під час розряду розвантажує її. Усереднена ставка (</w:t>
            </w:r>
            <w:proofErr w:type="spellStart"/>
            <w:r w:rsidRPr="00D32097">
              <w:rPr>
                <w:rFonts w:ascii="Times New Roman" w:eastAsia="Times New Roman" w:hAnsi="Times New Roman" w:cs="Times New Roman"/>
                <w:bCs/>
                <w:szCs w:val="24"/>
                <w:lang w:eastAsia="uk-UA"/>
              </w:rPr>
              <w:t>Снст,с</w:t>
            </w:r>
            <w:proofErr w:type="spellEnd"/>
            <w:r w:rsidRPr="00D32097">
              <w:rPr>
                <w:rFonts w:ascii="Times New Roman" w:eastAsia="Times New Roman" w:hAnsi="Times New Roman" w:cs="Times New Roman"/>
                <w:bCs/>
                <w:szCs w:val="24"/>
                <w:lang w:eastAsia="uk-UA"/>
              </w:rPr>
              <w:t xml:space="preserve"> + </w:t>
            </w:r>
            <w:proofErr w:type="spellStart"/>
            <w:r w:rsidRPr="00D32097">
              <w:rPr>
                <w:rFonts w:ascii="Times New Roman" w:eastAsia="Times New Roman" w:hAnsi="Times New Roman" w:cs="Times New Roman"/>
                <w:bCs/>
                <w:szCs w:val="24"/>
                <w:lang w:eastAsia="uk-UA"/>
              </w:rPr>
              <w:t>Снст,в</w:t>
            </w:r>
            <w:proofErr w:type="spellEnd"/>
            <w:r w:rsidRPr="00D32097">
              <w:rPr>
                <w:rFonts w:ascii="Times New Roman" w:eastAsia="Times New Roman" w:hAnsi="Times New Roman" w:cs="Times New Roman"/>
                <w:bCs/>
                <w:szCs w:val="24"/>
                <w:lang w:eastAsia="uk-UA"/>
              </w:rPr>
              <w:t>) / 2 відображає цю подвійну природу: половину функції об'єкта становить відбір, половину - відпуск.</w:t>
            </w:r>
          </w:p>
          <w:p w:rsidR="00FE4387" w:rsidRPr="00D32097" w:rsidRDefault="00FE4387" w:rsidP="00FE4387">
            <w:pPr>
              <w:pStyle w:val="a4"/>
              <w:numPr>
                <w:ilvl w:val="0"/>
                <w:numId w:val="5"/>
              </w:numPr>
              <w:shd w:val="clear" w:color="auto" w:fill="FFFFFF"/>
              <w:spacing w:after="0" w:line="240" w:lineRule="auto"/>
              <w:ind w:left="0" w:firstLine="462"/>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В усередненій ставці множник </w:t>
            </w:r>
            <w:proofErr w:type="spellStart"/>
            <w:r w:rsidRPr="00D32097">
              <w:rPr>
                <w:rFonts w:ascii="Times New Roman" w:eastAsia="Times New Roman" w:hAnsi="Times New Roman" w:cs="Times New Roman"/>
                <w:bCs/>
                <w:szCs w:val="24"/>
                <w:lang w:eastAsia="uk-UA"/>
              </w:rPr>
              <w:t>Кзтт</w:t>
            </w:r>
            <w:proofErr w:type="spellEnd"/>
            <w:r w:rsidRPr="00D32097">
              <w:rPr>
                <w:rFonts w:ascii="Times New Roman" w:eastAsia="Times New Roman" w:hAnsi="Times New Roman" w:cs="Times New Roman"/>
                <w:bCs/>
                <w:szCs w:val="24"/>
                <w:lang w:eastAsia="uk-UA"/>
              </w:rPr>
              <w:t xml:space="preserve"> у складовій споживання і множник (1 − </w:t>
            </w:r>
            <w:proofErr w:type="spellStart"/>
            <w:r w:rsidRPr="00D32097">
              <w:rPr>
                <w:rFonts w:ascii="Times New Roman" w:eastAsia="Times New Roman" w:hAnsi="Times New Roman" w:cs="Times New Roman"/>
                <w:bCs/>
                <w:szCs w:val="24"/>
                <w:lang w:eastAsia="uk-UA"/>
              </w:rPr>
              <w:t>Кзтт</w:t>
            </w:r>
            <w:proofErr w:type="spellEnd"/>
            <w:r w:rsidRPr="00D32097">
              <w:rPr>
                <w:rFonts w:ascii="Times New Roman" w:eastAsia="Times New Roman" w:hAnsi="Times New Roman" w:cs="Times New Roman"/>
                <w:bCs/>
                <w:szCs w:val="24"/>
                <w:lang w:eastAsia="uk-UA"/>
              </w:rPr>
              <w:t xml:space="preserve">) у складовій виробництва частково компенсують один одного. Результат є передбачуваним і не залежить від </w:t>
            </w:r>
            <w:r w:rsidRPr="00D32097">
              <w:rPr>
                <w:rFonts w:ascii="Times New Roman" w:eastAsia="Times New Roman" w:hAnsi="Times New Roman" w:cs="Times New Roman"/>
                <w:bCs/>
                <w:szCs w:val="24"/>
                <w:lang w:eastAsia="uk-UA"/>
              </w:rPr>
              <w:lastRenderedPageBreak/>
              <w:t>випадкового співвідношення відбору та відпуску, що важливо для планування інвестицій;</w:t>
            </w:r>
          </w:p>
          <w:p w:rsidR="00FE4387" w:rsidRPr="00D32097" w:rsidRDefault="00FE4387" w:rsidP="00FE4387">
            <w:pPr>
              <w:pStyle w:val="a4"/>
              <w:numPr>
                <w:ilvl w:val="0"/>
                <w:numId w:val="5"/>
              </w:numPr>
              <w:shd w:val="clear" w:color="auto" w:fill="FFFFFF"/>
              <w:spacing w:after="0" w:line="240" w:lineRule="auto"/>
              <w:ind w:left="0" w:firstLine="462"/>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усереднена ставка (</w:t>
            </w:r>
            <w:proofErr w:type="spellStart"/>
            <w:r w:rsidRPr="00D32097">
              <w:rPr>
                <w:rFonts w:ascii="Times New Roman" w:eastAsia="Times New Roman" w:hAnsi="Times New Roman" w:cs="Times New Roman"/>
                <w:bCs/>
                <w:szCs w:val="24"/>
                <w:lang w:eastAsia="uk-UA"/>
              </w:rPr>
              <w:t>Снст,с</w:t>
            </w:r>
            <w:proofErr w:type="spellEnd"/>
            <w:r w:rsidRPr="00D32097">
              <w:rPr>
                <w:rFonts w:ascii="Times New Roman" w:eastAsia="Times New Roman" w:hAnsi="Times New Roman" w:cs="Times New Roman"/>
                <w:bCs/>
                <w:szCs w:val="24"/>
                <w:lang w:eastAsia="uk-UA"/>
              </w:rPr>
              <w:t xml:space="preserve"> + </w:t>
            </w:r>
            <w:proofErr w:type="spellStart"/>
            <w:r w:rsidRPr="00D32097">
              <w:rPr>
                <w:rFonts w:ascii="Times New Roman" w:eastAsia="Times New Roman" w:hAnsi="Times New Roman" w:cs="Times New Roman"/>
                <w:bCs/>
                <w:szCs w:val="24"/>
                <w:lang w:eastAsia="uk-UA"/>
              </w:rPr>
              <w:t>Снст,в</w:t>
            </w:r>
            <w:proofErr w:type="spellEnd"/>
            <w:r w:rsidRPr="00D32097">
              <w:rPr>
                <w:rFonts w:ascii="Times New Roman" w:eastAsia="Times New Roman" w:hAnsi="Times New Roman" w:cs="Times New Roman"/>
                <w:bCs/>
                <w:szCs w:val="24"/>
                <w:lang w:eastAsia="uk-UA"/>
              </w:rPr>
              <w:t>) / 2 застосовується в чинній редакції Методики (формула 13). Пропозиція зберігає чинний підхід до визначення ставки і виправляє виключно спосіб визначення обсягу потужності - заміну величини «</w:t>
            </w:r>
            <w:proofErr w:type="spellStart"/>
            <w:r w:rsidRPr="00D32097">
              <w:rPr>
                <w:rFonts w:ascii="Times New Roman" w:eastAsia="Times New Roman" w:hAnsi="Times New Roman" w:cs="Times New Roman"/>
                <w:bCs/>
                <w:szCs w:val="24"/>
                <w:lang w:eastAsia="uk-UA"/>
              </w:rPr>
              <w:t>Рзаявлена</w:t>
            </w:r>
            <w:proofErr w:type="spellEnd"/>
            <w:r w:rsidRPr="00D32097">
              <w:rPr>
                <w:rFonts w:ascii="Times New Roman" w:eastAsia="Times New Roman" w:hAnsi="Times New Roman" w:cs="Times New Roman"/>
                <w:bCs/>
                <w:szCs w:val="24"/>
                <w:lang w:eastAsia="uk-UA"/>
              </w:rPr>
              <w:t xml:space="preserve">» на більшу з двох величин </w:t>
            </w:r>
            <w:proofErr w:type="spellStart"/>
            <w:r w:rsidRPr="00D32097">
              <w:rPr>
                <w:rFonts w:ascii="Times New Roman" w:eastAsia="Times New Roman" w:hAnsi="Times New Roman" w:cs="Times New Roman"/>
                <w:bCs/>
                <w:szCs w:val="24"/>
                <w:lang w:eastAsia="uk-UA"/>
              </w:rPr>
              <w:t>max</w:t>
            </w:r>
            <w:proofErr w:type="spellEnd"/>
            <w:r w:rsidRPr="00D32097">
              <w:rPr>
                <w:rFonts w:ascii="Times New Roman" w:eastAsia="Times New Roman" w:hAnsi="Times New Roman" w:cs="Times New Roman"/>
                <w:bCs/>
                <w:szCs w:val="24"/>
                <w:lang w:eastAsia="uk-UA"/>
              </w:rPr>
              <w:t xml:space="preserve">(Р </w:t>
            </w:r>
            <w:proofErr w:type="spellStart"/>
            <w:r w:rsidRPr="00D32097">
              <w:rPr>
                <w:rFonts w:ascii="Times New Roman" w:eastAsia="Times New Roman" w:hAnsi="Times New Roman" w:cs="Times New Roman"/>
                <w:bCs/>
                <w:szCs w:val="24"/>
                <w:lang w:eastAsia="uk-UA"/>
              </w:rPr>
              <w:t>замовлена,відбір</w:t>
            </w:r>
            <w:proofErr w:type="spellEnd"/>
            <w:r w:rsidRPr="00D32097">
              <w:rPr>
                <w:rFonts w:ascii="Times New Roman" w:eastAsia="Times New Roman" w:hAnsi="Times New Roman" w:cs="Times New Roman"/>
                <w:bCs/>
                <w:szCs w:val="24"/>
                <w:lang w:eastAsia="uk-UA"/>
              </w:rPr>
              <w:t xml:space="preserve">; </w:t>
            </w:r>
            <w:proofErr w:type="spellStart"/>
            <w:r w:rsidRPr="00D32097">
              <w:rPr>
                <w:rFonts w:ascii="Times New Roman" w:eastAsia="Times New Roman" w:hAnsi="Times New Roman" w:cs="Times New Roman"/>
                <w:bCs/>
                <w:szCs w:val="24"/>
                <w:lang w:eastAsia="uk-UA"/>
              </w:rPr>
              <w:t>Рзамовлена,відпуск</w:t>
            </w:r>
            <w:proofErr w:type="spellEnd"/>
            <w:r w:rsidRPr="00D32097">
              <w:rPr>
                <w:rFonts w:ascii="Times New Roman" w:eastAsia="Times New Roman" w:hAnsi="Times New Roman" w:cs="Times New Roman"/>
                <w:bCs/>
                <w:szCs w:val="24"/>
                <w:lang w:eastAsia="uk-UA"/>
              </w:rPr>
              <w:t xml:space="preserve">). Це усуває подвійний облік потужності, не змінюючи затвердженого Регулятором рівня ставки. </w:t>
            </w:r>
          </w:p>
          <w:p w:rsidR="00FE4387" w:rsidRPr="00D32097" w:rsidRDefault="00FE4387" w:rsidP="00FE4387">
            <w:pPr>
              <w:shd w:val="clear" w:color="auto" w:fill="FFFFFF"/>
              <w:jc w:val="both"/>
              <w:rPr>
                <w:rFonts w:ascii="Times New Roman" w:hAnsi="Times New Roman" w:cs="Times New Roman"/>
                <w:bCs/>
                <w:sz w:val="22"/>
                <w:szCs w:val="24"/>
                <w:lang w:eastAsia="uk-UA"/>
              </w:rPr>
            </w:pP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b/>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tcPr>
          <w:p w:rsidR="00FE4387" w:rsidRPr="00D32097" w:rsidRDefault="00FE4387" w:rsidP="00FE4387">
            <w:pPr>
              <w:pStyle w:val="rvps2"/>
              <w:shd w:val="clear" w:color="auto" w:fill="FFFFFF"/>
              <w:spacing w:before="0" w:beforeAutospacing="0" w:after="150" w:afterAutospacing="0"/>
              <w:ind w:firstLine="606"/>
              <w:jc w:val="both"/>
              <w:rPr>
                <w:strike/>
                <w:sz w:val="22"/>
                <w:szCs w:val="22"/>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ТОВ «НЕСС ЕНЕРДЖІ»</w:t>
            </w:r>
          </w:p>
          <w:p w:rsidR="00FE4387" w:rsidRPr="00D32097" w:rsidRDefault="00FE4387" w:rsidP="00FE4387">
            <w:pPr>
              <w:ind w:firstLine="306"/>
              <w:jc w:val="both"/>
              <w:rPr>
                <w:rFonts w:ascii="Times New Roman" w:hAnsi="Times New Roman" w:cs="Times New Roman"/>
                <w:sz w:val="22"/>
                <w:szCs w:val="22"/>
              </w:rPr>
            </w:pPr>
            <w:r w:rsidRPr="00D32097">
              <w:rPr>
                <w:rFonts w:ascii="Times New Roman" w:hAnsi="Times New Roman" w:cs="Times New Roman"/>
                <w:sz w:val="22"/>
                <w:szCs w:val="22"/>
              </w:rPr>
              <w:t>5.8. Плата за нестандартне приєднання «під ключ» для електроустановок, призначених для зберігання енергії, визначається за формулою.</w:t>
            </w:r>
          </w:p>
          <w:p w:rsidR="00FE4387" w:rsidRPr="00D32097" w:rsidRDefault="00FE4387" w:rsidP="00FE4387">
            <w:pPr>
              <w:ind w:firstLine="306"/>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Після формули доповнити абзацом такого змісту:</w:t>
            </w:r>
          </w:p>
          <w:p w:rsidR="00FE4387" w:rsidRPr="00D32097" w:rsidRDefault="00FE4387" w:rsidP="00FE4387">
            <w:pPr>
              <w:shd w:val="clear" w:color="auto" w:fill="FFFFFF"/>
              <w:ind w:firstLine="306"/>
              <w:jc w:val="both"/>
              <w:rPr>
                <w:rFonts w:ascii="Times New Roman" w:hAnsi="Times New Roman" w:cs="Times New Roman"/>
                <w:b/>
                <w:sz w:val="22"/>
                <w:szCs w:val="22"/>
                <w:u w:val="single"/>
              </w:rPr>
            </w:pPr>
            <w:r w:rsidRPr="00D32097">
              <w:rPr>
                <w:rFonts w:ascii="Times New Roman" w:hAnsi="Times New Roman" w:cs="Times New Roman"/>
                <w:b/>
                <w:color w:val="0070C0"/>
                <w:sz w:val="22"/>
                <w:szCs w:val="22"/>
              </w:rPr>
              <w:t>«Складова плати за приєднання потужності для електроустановок, призначених для зберігання енергії, визначається з урахуванням потужності відбору та/або відпуску, що створюється, відповідно до порядку визначення приросту максимального використання трансформаторної потужності, встановленого пунктом 5.1 цієї Методики».</w:t>
            </w:r>
          </w:p>
        </w:tc>
        <w:tc>
          <w:tcPr>
            <w:tcW w:w="3899" w:type="dxa"/>
          </w:tcPr>
          <w:p w:rsidR="00FE4387" w:rsidRPr="00D32097" w:rsidRDefault="00FE4387" w:rsidP="00FE4387">
            <w:pPr>
              <w:shd w:val="clear" w:color="auto" w:fill="FFFFFF"/>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t>УЗЕ може мати окрему замовлену потужність відбору та окрему замовлену потужність відпуску. Тому спеціальна формула для УЗЕ має бути синхронізована із загальним принципом: плата за потужність не повинна визначатися як автоматична сума повних величин відбору та відпуску, якщо для цілей трансформаторної спроможності релевантним є приріст її максимального використання.</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b/>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tcPr>
          <w:p w:rsidR="00FE4387" w:rsidRPr="00D32097" w:rsidRDefault="00FE4387" w:rsidP="00FE4387">
            <w:pPr>
              <w:pStyle w:val="rvps2"/>
              <w:shd w:val="clear" w:color="auto" w:fill="FFFFFF"/>
              <w:spacing w:before="0" w:beforeAutospacing="0" w:after="150" w:afterAutospacing="0"/>
              <w:ind w:firstLine="606"/>
              <w:jc w:val="both"/>
              <w:rPr>
                <w:strike/>
                <w:sz w:val="22"/>
                <w:szCs w:val="22"/>
              </w:rPr>
            </w:pPr>
          </w:p>
        </w:tc>
        <w:tc>
          <w:tcPr>
            <w:tcW w:w="3900" w:type="dxa"/>
            <w:gridSpan w:val="2"/>
          </w:tcPr>
          <w:p w:rsidR="00FE4387" w:rsidRPr="00D32097" w:rsidRDefault="00FE4387" w:rsidP="00FE4387">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ТОВ «ТАРГЕТ ЕНЕРДЖІ»</w:t>
            </w:r>
          </w:p>
          <w:p w:rsidR="00FE4387" w:rsidRPr="00D32097" w:rsidRDefault="00FE4387" w:rsidP="00FE4387">
            <w:pPr>
              <w:pStyle w:val="rvps2"/>
              <w:shd w:val="clear" w:color="auto" w:fill="FFFFFF"/>
              <w:spacing w:before="0" w:beforeAutospacing="0" w:after="150" w:afterAutospacing="0"/>
              <w:ind w:firstLine="235"/>
              <w:jc w:val="both"/>
              <w:rPr>
                <w:rFonts w:ascii="Times New Roman" w:hAnsi="Times New Roman" w:cs="Times New Roman"/>
                <w:b/>
                <w:bCs/>
                <w:color w:val="0070C0"/>
                <w:sz w:val="22"/>
                <w:szCs w:val="20"/>
              </w:rPr>
            </w:pPr>
            <w:r w:rsidRPr="00D32097">
              <w:rPr>
                <w:rFonts w:ascii="Times New Roman" w:hAnsi="Times New Roman" w:cs="Times New Roman"/>
                <w:b/>
                <w:bCs/>
                <w:color w:val="0070C0"/>
                <w:sz w:val="22"/>
                <w:szCs w:val="20"/>
              </w:rPr>
              <w:lastRenderedPageBreak/>
              <w:t>5.8. Для операторів установок зберігання енергії (до 30.04.2027) плата за нестандартне приєднання «під ключ» для електроустановок, призначених для зберігання енергії, визначається за формулою</w:t>
            </w:r>
          </w:p>
          <w:p w:rsidR="00FE4387" w:rsidRPr="00D32097" w:rsidRDefault="002D57C8" w:rsidP="00FE4387">
            <w:pPr>
              <w:pStyle w:val="rvps2"/>
              <w:shd w:val="clear" w:color="auto" w:fill="FFFFFF"/>
              <w:spacing w:before="0" w:beforeAutospacing="0" w:after="150" w:afterAutospacing="0"/>
              <w:ind w:firstLine="377"/>
              <w:jc w:val="both"/>
              <w:rPr>
                <w:rFonts w:ascii="Times New Roman" w:hAnsi="Times New Roman" w:cs="Times New Roman"/>
                <w:b/>
                <w:bCs/>
                <w:i/>
                <w:color w:val="000000" w:themeColor="text1"/>
                <w:sz w:val="22"/>
                <w:szCs w:val="20"/>
              </w:rPr>
            </w:pPr>
            <m:oMathPara>
              <m:oMath>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П</m:t>
                    </m:r>
                  </m:e>
                  <m:sub>
                    <m:r>
                      <m:rPr>
                        <m:sty m:val="bi"/>
                      </m:rPr>
                      <w:rPr>
                        <w:rFonts w:ascii="Cambria Math" w:hAnsi="Cambria Math" w:cs="Times New Roman"/>
                        <w:sz w:val="22"/>
                        <w:szCs w:val="20"/>
                      </w:rPr>
                      <m:t>нст</m:t>
                    </m:r>
                  </m:sub>
                  <m:sup>
                    <m:r>
                      <m:rPr>
                        <m:sty m:val="bi"/>
                      </m:rPr>
                      <w:rPr>
                        <w:rFonts w:ascii="Cambria Math" w:hAnsi="Cambria Math" w:cs="Times New Roman"/>
                        <w:sz w:val="22"/>
                        <w:szCs w:val="20"/>
                      </w:rPr>
                      <m:t>з</m:t>
                    </m:r>
                  </m:sup>
                </m:sSubSup>
                <m:r>
                  <m:rPr>
                    <m:sty m:val="bi"/>
                  </m:rPr>
                  <w:rPr>
                    <w:rFonts w:ascii="Cambria Math" w:hAnsi="Cambria Math" w:cs="Times New Roman"/>
                    <w:sz w:val="22"/>
                    <w:szCs w:val="20"/>
                  </w:rPr>
                  <m:t xml:space="preserve">= </m:t>
                </m:r>
                <m:sSub>
                  <m:sSubPr>
                    <m:ctrlPr>
                      <w:rPr>
                        <w:rFonts w:ascii="Cambria Math" w:hAnsi="Cambria Math" w:cs="Times New Roman"/>
                        <w:b/>
                        <w:bCs/>
                        <w:i/>
                        <w:sz w:val="22"/>
                        <w:szCs w:val="20"/>
                      </w:rPr>
                    </m:ctrlPr>
                  </m:sSubPr>
                  <m:e>
                    <m:r>
                      <m:rPr>
                        <m:sty m:val="bi"/>
                      </m:rPr>
                      <w:rPr>
                        <w:rFonts w:ascii="Cambria Math" w:hAnsi="Cambria Math" w:cs="Times New Roman"/>
                        <w:sz w:val="22"/>
                        <w:szCs w:val="20"/>
                      </w:rPr>
                      <m:t>Р</m:t>
                    </m:r>
                  </m:e>
                  <m:sub>
                    <m:r>
                      <m:rPr>
                        <m:sty m:val="bi"/>
                      </m:rPr>
                      <w:rPr>
                        <w:rFonts w:ascii="Cambria Math" w:hAnsi="Cambria Math" w:cs="Times New Roman"/>
                        <w:sz w:val="22"/>
                        <w:szCs w:val="20"/>
                      </w:rPr>
                      <m:t>заявл</m:t>
                    </m:r>
                  </m:sub>
                </m:sSub>
                <m:r>
                  <m:rPr>
                    <m:sty m:val="bi"/>
                  </m:rPr>
                  <w:rPr>
                    <w:rFonts w:ascii="Cambria Math" w:hAnsi="Cambria Math" w:cs="Times New Roman"/>
                    <w:sz w:val="22"/>
                    <w:szCs w:val="20"/>
                  </w:rPr>
                  <m:t xml:space="preserve"> х </m:t>
                </m:r>
                <m:f>
                  <m:fPr>
                    <m:ctrlPr>
                      <w:rPr>
                        <w:rFonts w:ascii="Cambria Math" w:hAnsi="Cambria Math" w:cs="Times New Roman"/>
                        <w:b/>
                        <w:bCs/>
                        <w:i/>
                        <w:sz w:val="22"/>
                        <w:szCs w:val="20"/>
                      </w:rPr>
                    </m:ctrlPr>
                  </m:fPr>
                  <m:num>
                    <m:r>
                      <m:rPr>
                        <m:sty m:val="bi"/>
                      </m:rPr>
                      <w:rPr>
                        <w:rFonts w:ascii="Cambria Math" w:hAnsi="Cambria Math" w:cs="Times New Roman"/>
                        <w:sz w:val="22"/>
                        <w:szCs w:val="20"/>
                      </w:rPr>
                      <m:t>(</m:t>
                    </m:r>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С</m:t>
                        </m:r>
                      </m:e>
                      <m:sub>
                        <m:r>
                          <m:rPr>
                            <m:sty m:val="bi"/>
                          </m:rPr>
                          <w:rPr>
                            <w:rFonts w:ascii="Cambria Math" w:hAnsi="Cambria Math" w:cs="Times New Roman"/>
                            <w:sz w:val="22"/>
                            <w:szCs w:val="20"/>
                          </w:rPr>
                          <m:t>нст</m:t>
                        </m:r>
                      </m:sub>
                      <m:sup>
                        <m:r>
                          <m:rPr>
                            <m:sty m:val="bi"/>
                          </m:rPr>
                          <w:rPr>
                            <w:rFonts w:ascii="Cambria Math" w:hAnsi="Cambria Math" w:cs="Times New Roman"/>
                            <w:sz w:val="22"/>
                            <w:szCs w:val="20"/>
                          </w:rPr>
                          <m:t>к,н, зтт, місц, с</m:t>
                        </m:r>
                      </m:sup>
                    </m:sSubSup>
                    <m:r>
                      <m:rPr>
                        <m:sty m:val="bi"/>
                      </m:rPr>
                      <w:rPr>
                        <w:rFonts w:ascii="Cambria Math" w:hAnsi="Cambria Math" w:cs="Times New Roman"/>
                        <w:sz w:val="22"/>
                        <w:szCs w:val="20"/>
                      </w:rPr>
                      <m:t>+</m:t>
                    </m:r>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С</m:t>
                        </m:r>
                      </m:e>
                      <m:sub>
                        <m:r>
                          <m:rPr>
                            <m:sty m:val="bi"/>
                          </m:rPr>
                          <w:rPr>
                            <w:rFonts w:ascii="Cambria Math" w:hAnsi="Cambria Math" w:cs="Times New Roman"/>
                            <w:sz w:val="22"/>
                            <w:szCs w:val="20"/>
                          </w:rPr>
                          <m:t>нст</m:t>
                        </m:r>
                      </m:sub>
                      <m:sup>
                        <m:r>
                          <m:rPr>
                            <m:sty m:val="bi"/>
                          </m:rPr>
                          <w:rPr>
                            <w:rFonts w:ascii="Cambria Math" w:hAnsi="Cambria Math" w:cs="Times New Roman"/>
                            <w:sz w:val="22"/>
                            <w:szCs w:val="20"/>
                          </w:rPr>
                          <m:t>к,н, зтт, місц, в</m:t>
                        </m:r>
                      </m:sup>
                    </m:sSubSup>
                    <m:r>
                      <m:rPr>
                        <m:sty m:val="bi"/>
                      </m:rPr>
                      <w:rPr>
                        <w:rFonts w:ascii="Cambria Math" w:hAnsi="Cambria Math" w:cs="Times New Roman"/>
                        <w:sz w:val="22"/>
                        <w:szCs w:val="20"/>
                      </w:rPr>
                      <m:t>)</m:t>
                    </m:r>
                  </m:num>
                  <m:den>
                    <m:r>
                      <m:rPr>
                        <m:sty m:val="bi"/>
                      </m:rPr>
                      <w:rPr>
                        <w:rFonts w:ascii="Cambria Math" w:hAnsi="Cambria Math" w:cs="Times New Roman"/>
                        <w:sz w:val="22"/>
                        <w:szCs w:val="20"/>
                      </w:rPr>
                      <m:t>2</m:t>
                    </m:r>
                  </m:den>
                </m:f>
                <m:r>
                  <m:rPr>
                    <m:sty m:val="bi"/>
                  </m:rPr>
                  <w:rPr>
                    <w:rFonts w:ascii="Cambria Math" w:hAnsi="Cambria Math" w:cs="Times New Roman"/>
                    <w:sz w:val="22"/>
                    <w:szCs w:val="20"/>
                  </w:rPr>
                  <m:t>+</m:t>
                </m:r>
                <m:sSub>
                  <m:sSubPr>
                    <m:ctrlPr>
                      <w:rPr>
                        <w:rFonts w:ascii="Cambria Math" w:hAnsi="Cambria Math" w:cs="Times New Roman"/>
                        <w:b/>
                        <w:bCs/>
                        <w:i/>
                        <w:sz w:val="22"/>
                        <w:szCs w:val="20"/>
                      </w:rPr>
                    </m:ctrlPr>
                  </m:sSubPr>
                  <m:e>
                    <m:r>
                      <m:rPr>
                        <m:sty m:val="bi"/>
                      </m:rPr>
                      <w:rPr>
                        <w:rFonts w:ascii="Cambria Math" w:hAnsi="Cambria Math" w:cs="Times New Roman"/>
                        <w:sz w:val="22"/>
                        <w:szCs w:val="20"/>
                      </w:rPr>
                      <m:t>l</m:t>
                    </m:r>
                  </m:e>
                  <m:sub>
                    <m:r>
                      <m:rPr>
                        <m:sty m:val="bi"/>
                      </m:rPr>
                      <w:rPr>
                        <w:rFonts w:ascii="Cambria Math" w:hAnsi="Cambria Math" w:cs="Times New Roman"/>
                        <w:sz w:val="22"/>
                        <w:szCs w:val="20"/>
                      </w:rPr>
                      <m:t>м</m:t>
                    </m:r>
                  </m:sub>
                </m:sSub>
                <m:r>
                  <m:rPr>
                    <m:sty m:val="bi"/>
                  </m:rPr>
                  <w:rPr>
                    <w:rFonts w:ascii="Cambria Math" w:hAnsi="Cambria Math" w:cs="Times New Roman"/>
                    <w:sz w:val="22"/>
                    <w:szCs w:val="20"/>
                  </w:rPr>
                  <m:t xml:space="preserve"> х </m:t>
                </m:r>
                <m:sSubSup>
                  <m:sSubSupPr>
                    <m:ctrlPr>
                      <w:rPr>
                        <w:rFonts w:ascii="Cambria Math" w:hAnsi="Cambria Math" w:cs="Times New Roman"/>
                        <w:b/>
                        <w:bCs/>
                        <w:i/>
                        <w:sz w:val="22"/>
                        <w:szCs w:val="20"/>
                      </w:rPr>
                    </m:ctrlPr>
                  </m:sSubSupPr>
                  <m:e>
                    <m:r>
                      <m:rPr>
                        <m:sty m:val="bi"/>
                      </m:rPr>
                      <w:rPr>
                        <w:rFonts w:ascii="Cambria Math" w:hAnsi="Cambria Math" w:cs="Times New Roman"/>
                        <w:sz w:val="22"/>
                        <w:szCs w:val="20"/>
                      </w:rPr>
                      <m:t>С</m:t>
                    </m:r>
                  </m:e>
                  <m:sub>
                    <m:r>
                      <m:rPr>
                        <m:sty m:val="bi"/>
                      </m:rPr>
                      <w:rPr>
                        <w:rFonts w:ascii="Cambria Math" w:hAnsi="Cambria Math" w:cs="Times New Roman"/>
                        <w:sz w:val="22"/>
                        <w:szCs w:val="20"/>
                      </w:rPr>
                      <m:t>лін</m:t>
                    </m:r>
                  </m:sub>
                  <m:sup>
                    <m:r>
                      <m:rPr>
                        <m:sty m:val="bi"/>
                      </m:rPr>
                      <w:rPr>
                        <w:rFonts w:ascii="Cambria Math" w:hAnsi="Cambria Math" w:cs="Times New Roman"/>
                        <w:sz w:val="22"/>
                        <w:szCs w:val="20"/>
                      </w:rPr>
                      <m:t>л,н,зем</m:t>
                    </m:r>
                  </m:sup>
                </m:sSubSup>
                <m:r>
                  <m:rPr>
                    <m:sty m:val="bi"/>
                  </m:rPr>
                  <w:rPr>
                    <w:rFonts w:ascii="Cambria Math" w:hAnsi="Cambria Math" w:cs="Times New Roman"/>
                    <w:sz w:val="22"/>
                    <w:szCs w:val="20"/>
                  </w:rPr>
                  <m:t xml:space="preserve">   тис. грн</m:t>
                </m:r>
              </m:oMath>
            </m:oMathPara>
          </w:p>
          <w:p w:rsidR="00FE4387" w:rsidRPr="00D32097" w:rsidRDefault="00FE4387" w:rsidP="00FE4387">
            <w:pPr>
              <w:pStyle w:val="rvps2"/>
              <w:shd w:val="clear" w:color="auto" w:fill="FFFFFF"/>
              <w:spacing w:before="0" w:beforeAutospacing="0" w:after="0" w:afterAutospacing="0"/>
              <w:ind w:firstLine="306"/>
              <w:jc w:val="both"/>
              <w:rPr>
                <w:b/>
                <w:sz w:val="22"/>
                <w:szCs w:val="22"/>
                <w:u w:val="single"/>
              </w:rPr>
            </w:pPr>
          </w:p>
        </w:tc>
        <w:tc>
          <w:tcPr>
            <w:tcW w:w="3899" w:type="dxa"/>
          </w:tcPr>
          <w:p w:rsidR="00FE4387" w:rsidRPr="00D32097" w:rsidRDefault="00FE4387" w:rsidP="00FE4387">
            <w:pPr>
              <w:shd w:val="clear" w:color="auto" w:fill="FFFFFF"/>
              <w:ind w:firstLine="303"/>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lastRenderedPageBreak/>
              <w:t xml:space="preserve">Впровадження механізму розрахунку плати за приєднання до </w:t>
            </w:r>
            <w:r w:rsidRPr="00D32097">
              <w:rPr>
                <w:rFonts w:ascii="Times New Roman" w:eastAsia="Calibri" w:hAnsi="Times New Roman" w:cs="Times New Roman"/>
                <w:sz w:val="22"/>
                <w:szCs w:val="24"/>
              </w:rPr>
              <w:lastRenderedPageBreak/>
              <w:t>мереж ОСР/ОСП (з урахуванням потужності відбору та/або відпуску, що створюється) ускладнює та вносить невизначеність щодо виконання державою гарантій для суб’єктів господарювання,  у частині отримання  технічних умов на здійснення приєднання установок зберігання енергії до електричних мереж за первинним фінансовим плануванням, внаслідок чого фактично нівелюються гарантії та умови, які визначені у пункті 92 Розділу XVII «Прикінцеві та перехідні положення» Закону України «Про ринок електричної енергії».</w:t>
            </w:r>
          </w:p>
          <w:p w:rsidR="00FE4387" w:rsidRPr="00D32097" w:rsidRDefault="00FE4387" w:rsidP="00FE4387">
            <w:pPr>
              <w:shd w:val="clear" w:color="auto" w:fill="FFFFFF"/>
              <w:ind w:firstLine="303"/>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t>З урахуванням вищенаведеного пропонуємо, у Главі 5 пункту 5.8 постанови НКРЕКП «Про затвердження Змін до Методики (порядку) формування плати за приєднання до системи передачі та системи розподілу».</w:t>
            </w:r>
          </w:p>
          <w:p w:rsidR="00FE4387" w:rsidRPr="00D32097" w:rsidRDefault="00FE4387" w:rsidP="00FE4387">
            <w:pPr>
              <w:shd w:val="clear" w:color="auto" w:fill="FFFFFF"/>
              <w:ind w:firstLine="303"/>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t xml:space="preserve">Абзацом першим пункту 92 Розділу XVII «Прикінцеві та перехідні положення» Закону України «Про ринок електричної енергії» передбачено, що до 30 квітня 2037 року оператор установки зберігання енергії, введеної в експлуатацію до 30 квітня 2027 року (а оператор установки зберігання енергії, який здійснює діяльність із зберігання енергії на </w:t>
            </w:r>
            <w:proofErr w:type="spellStart"/>
            <w:r w:rsidRPr="00D32097">
              <w:rPr>
                <w:rFonts w:ascii="Times New Roman" w:eastAsia="Calibri" w:hAnsi="Times New Roman" w:cs="Times New Roman"/>
                <w:sz w:val="22"/>
                <w:szCs w:val="24"/>
              </w:rPr>
              <w:t>гідроакумулюючих</w:t>
            </w:r>
            <w:proofErr w:type="spellEnd"/>
            <w:r w:rsidRPr="00D32097">
              <w:rPr>
                <w:rFonts w:ascii="Times New Roman" w:eastAsia="Calibri" w:hAnsi="Times New Roman" w:cs="Times New Roman"/>
                <w:sz w:val="22"/>
                <w:szCs w:val="24"/>
              </w:rPr>
              <w:t xml:space="preserve"> електростанціях, - лише щодо об’єктів електроенергетики або черг їх будівництва (пускових комплексів), які були введені в експлуатацію після нового будівництва, починаючи з 1 січня 2026 року), або суб’єкт, що увів в </w:t>
            </w:r>
            <w:r w:rsidRPr="00D32097">
              <w:rPr>
                <w:rFonts w:ascii="Times New Roman" w:eastAsia="Calibri" w:hAnsi="Times New Roman" w:cs="Times New Roman"/>
                <w:sz w:val="22"/>
                <w:szCs w:val="24"/>
              </w:rPr>
              <w:lastRenderedPageBreak/>
              <w:t>експлуатацію установку зберігання енергії після нового будівництва до 30 квітня 2028 року, але станом на 30 квітня 2027 року мав чинні технічні умови на здійснення приєднання такої установки зберігання енергії до електричних мереж, право власності або користування на земельну ділянку та/або інший об’єкт нерухомого майна, де планується здійснення будівництва або встановлення такої установки зберігання енергії, а також документи, що надають право на виконання будівельних робіт з будівництва такої установки зберігання енергії, сплачує плату за послуги з передачі електричної енергії, розподілу електричної енергії, плату за послуги з диспетчерського (</w:t>
            </w:r>
            <w:proofErr w:type="spellStart"/>
            <w:r w:rsidRPr="00D32097">
              <w:rPr>
                <w:rFonts w:ascii="Times New Roman" w:eastAsia="Calibri" w:hAnsi="Times New Roman" w:cs="Times New Roman"/>
                <w:sz w:val="22"/>
                <w:szCs w:val="24"/>
              </w:rPr>
              <w:t>оперативно</w:t>
            </w:r>
            <w:proofErr w:type="spellEnd"/>
            <w:r w:rsidRPr="00D32097">
              <w:rPr>
                <w:rFonts w:ascii="Times New Roman" w:eastAsia="Calibri" w:hAnsi="Times New Roman" w:cs="Times New Roman"/>
                <w:sz w:val="22"/>
                <w:szCs w:val="24"/>
              </w:rPr>
              <w:t xml:space="preserve">-технологічного) управління, яка розраховується на обсяг абсолютної величини різниці між місячним відбором та місячним відпуском електричної енергії установкою зберігання енергії за відповідними тарифами, на умовах, визначених кодексом системи передачі, кодексом систем розподілу та правилами роздрібного ринку електричної енергії в редакції, що діяла станом на 30 квітня 2027 року. Такий оператор (а оператор установки зберігання енергії, який здійснює діяльність із зберігання енергії на </w:t>
            </w:r>
            <w:proofErr w:type="spellStart"/>
            <w:r w:rsidRPr="00D32097">
              <w:rPr>
                <w:rFonts w:ascii="Times New Roman" w:eastAsia="Calibri" w:hAnsi="Times New Roman" w:cs="Times New Roman"/>
                <w:sz w:val="22"/>
                <w:szCs w:val="24"/>
              </w:rPr>
              <w:t>гідроакумулюючих</w:t>
            </w:r>
            <w:proofErr w:type="spellEnd"/>
            <w:r w:rsidRPr="00D32097">
              <w:rPr>
                <w:rFonts w:ascii="Times New Roman" w:eastAsia="Calibri" w:hAnsi="Times New Roman" w:cs="Times New Roman"/>
                <w:sz w:val="22"/>
                <w:szCs w:val="24"/>
              </w:rPr>
              <w:t xml:space="preserve"> електростанціях - лише щодо об’єктів електроенергетики або черг їх будівництва (пускових комплексів), які були введені в експлуатацію після нового будівництва, починаючи з 1 </w:t>
            </w:r>
            <w:r w:rsidRPr="00D32097">
              <w:rPr>
                <w:rFonts w:ascii="Times New Roman" w:eastAsia="Calibri" w:hAnsi="Times New Roman" w:cs="Times New Roman"/>
                <w:sz w:val="22"/>
                <w:szCs w:val="24"/>
              </w:rPr>
              <w:lastRenderedPageBreak/>
              <w:t>січня 2026 року) або суб’єкт має право в будь-який час, починаючи з 1 травня 2027 року, почати сплачувати плату за послуги з передачі електричної енергії, розподілу електричної енергії, плату за послуги з диспетчерського (</w:t>
            </w:r>
            <w:proofErr w:type="spellStart"/>
            <w:r w:rsidRPr="00D32097">
              <w:rPr>
                <w:rFonts w:ascii="Times New Roman" w:eastAsia="Calibri" w:hAnsi="Times New Roman" w:cs="Times New Roman"/>
                <w:sz w:val="22"/>
                <w:szCs w:val="24"/>
              </w:rPr>
              <w:t>оперативно</w:t>
            </w:r>
            <w:proofErr w:type="spellEnd"/>
            <w:r w:rsidRPr="00D32097">
              <w:rPr>
                <w:rFonts w:ascii="Times New Roman" w:eastAsia="Calibri" w:hAnsi="Times New Roman" w:cs="Times New Roman"/>
                <w:sz w:val="22"/>
                <w:szCs w:val="24"/>
              </w:rPr>
              <w:t>-технологічного) управління у порядку, встановленому Регулятором відповідно до вимог, визначених частиною восьмою статті 30-1 цього Закону.</w:t>
            </w:r>
          </w:p>
          <w:p w:rsidR="00FE4387" w:rsidRPr="00D32097" w:rsidRDefault="00FE4387" w:rsidP="00FE4387">
            <w:pPr>
              <w:shd w:val="clear" w:color="auto" w:fill="FFFFFF"/>
              <w:ind w:firstLine="303"/>
              <w:jc w:val="both"/>
              <w:rPr>
                <w:rFonts w:ascii="Times New Roman" w:eastAsia="Calibri" w:hAnsi="Times New Roman" w:cs="Times New Roman"/>
                <w:sz w:val="22"/>
                <w:szCs w:val="24"/>
              </w:rPr>
            </w:pPr>
            <w:r w:rsidRPr="00D32097">
              <w:rPr>
                <w:rFonts w:ascii="Times New Roman" w:eastAsia="Calibri" w:hAnsi="Times New Roman" w:cs="Times New Roman"/>
                <w:sz w:val="22"/>
                <w:szCs w:val="24"/>
              </w:rPr>
              <w:t xml:space="preserve">Таким чином, впровадження додаткової плати (з урахуванням потужності відбору та/або відпуску, що створюється) за приєднання до мереж ОСР/ОСП створює об’єктивну загрозу щодо розбудови суб’єктами господарювання об’єктів балансуючих </w:t>
            </w:r>
            <w:proofErr w:type="spellStart"/>
            <w:r w:rsidRPr="00D32097">
              <w:rPr>
                <w:rFonts w:ascii="Times New Roman" w:eastAsia="Calibri" w:hAnsi="Times New Roman" w:cs="Times New Roman"/>
                <w:sz w:val="22"/>
                <w:szCs w:val="24"/>
              </w:rPr>
              <w:t>потужностей</w:t>
            </w:r>
            <w:proofErr w:type="spellEnd"/>
            <w:r w:rsidRPr="00D32097">
              <w:rPr>
                <w:rFonts w:ascii="Times New Roman" w:eastAsia="Calibri" w:hAnsi="Times New Roman" w:cs="Times New Roman"/>
                <w:sz w:val="22"/>
                <w:szCs w:val="24"/>
              </w:rPr>
              <w:t xml:space="preserve">, що у свою чергу призводить до дефіциту балансуючих </w:t>
            </w:r>
            <w:proofErr w:type="spellStart"/>
            <w:r w:rsidRPr="00D32097">
              <w:rPr>
                <w:rFonts w:ascii="Times New Roman" w:eastAsia="Calibri" w:hAnsi="Times New Roman" w:cs="Times New Roman"/>
                <w:sz w:val="22"/>
                <w:szCs w:val="24"/>
              </w:rPr>
              <w:t>потужностей</w:t>
            </w:r>
            <w:proofErr w:type="spellEnd"/>
            <w:r w:rsidRPr="00D32097">
              <w:rPr>
                <w:rFonts w:ascii="Times New Roman" w:eastAsia="Calibri" w:hAnsi="Times New Roman" w:cs="Times New Roman"/>
                <w:sz w:val="22"/>
                <w:szCs w:val="24"/>
              </w:rPr>
              <w:t xml:space="preserve"> у пікові години навантажень, які виникли внаслідок систематичного знищення </w:t>
            </w:r>
            <w:proofErr w:type="spellStart"/>
            <w:r w:rsidRPr="00D32097">
              <w:rPr>
                <w:rFonts w:ascii="Times New Roman" w:eastAsia="Calibri" w:hAnsi="Times New Roman" w:cs="Times New Roman"/>
                <w:sz w:val="22"/>
                <w:szCs w:val="24"/>
              </w:rPr>
              <w:t>рф</w:t>
            </w:r>
            <w:proofErr w:type="spellEnd"/>
            <w:r w:rsidRPr="00D32097">
              <w:rPr>
                <w:rFonts w:ascii="Times New Roman" w:eastAsia="Calibri" w:hAnsi="Times New Roman" w:cs="Times New Roman"/>
                <w:sz w:val="22"/>
                <w:szCs w:val="24"/>
              </w:rPr>
              <w:t xml:space="preserve"> об’єктів генерації та балансуючих </w:t>
            </w:r>
            <w:proofErr w:type="spellStart"/>
            <w:r w:rsidRPr="00D32097">
              <w:rPr>
                <w:rFonts w:ascii="Times New Roman" w:eastAsia="Calibri" w:hAnsi="Times New Roman" w:cs="Times New Roman"/>
                <w:sz w:val="22"/>
                <w:szCs w:val="24"/>
              </w:rPr>
              <w:t>потужностей</w:t>
            </w:r>
            <w:proofErr w:type="spellEnd"/>
            <w:r w:rsidRPr="00D32097">
              <w:rPr>
                <w:rFonts w:ascii="Times New Roman" w:eastAsia="Calibri" w:hAnsi="Times New Roman" w:cs="Times New Roman"/>
                <w:sz w:val="22"/>
                <w:szCs w:val="24"/>
              </w:rPr>
              <w:t>.</w:t>
            </w:r>
          </w:p>
          <w:p w:rsidR="00FE4387" w:rsidRPr="00D32097" w:rsidRDefault="00FE4387" w:rsidP="00FE4387">
            <w:pPr>
              <w:shd w:val="clear" w:color="auto" w:fill="FFFFFF"/>
              <w:ind w:firstLine="303"/>
              <w:jc w:val="both"/>
              <w:rPr>
                <w:rFonts w:eastAsia="Calibri"/>
                <w:sz w:val="22"/>
                <w:szCs w:val="24"/>
              </w:rPr>
            </w:pPr>
            <w:r w:rsidRPr="00D32097">
              <w:rPr>
                <w:rFonts w:ascii="Times New Roman" w:eastAsia="Calibri" w:hAnsi="Times New Roman" w:cs="Times New Roman"/>
                <w:sz w:val="22"/>
                <w:szCs w:val="24"/>
              </w:rPr>
              <w:t xml:space="preserve"> Окрім зазначеного, вищенаведене зумовлює додаткові фінансові витрати та пошук додаткових джерел фінансування для суб’єктів господарювання, які під час воєнного стану та постійних атак на енергетичну інфраструктуру України, здійснюють будівництво відповідних балансуючих </w:t>
            </w:r>
            <w:proofErr w:type="spellStart"/>
            <w:r w:rsidRPr="00D32097">
              <w:rPr>
                <w:rFonts w:ascii="Times New Roman" w:eastAsia="Calibri" w:hAnsi="Times New Roman" w:cs="Times New Roman"/>
                <w:sz w:val="22"/>
                <w:szCs w:val="24"/>
              </w:rPr>
              <w:t>потужностей</w:t>
            </w:r>
            <w:proofErr w:type="spellEnd"/>
            <w:r w:rsidRPr="00D32097">
              <w:rPr>
                <w:rFonts w:ascii="Times New Roman" w:eastAsia="Calibri" w:hAnsi="Times New Roman" w:cs="Times New Roman"/>
                <w:sz w:val="22"/>
                <w:szCs w:val="24"/>
              </w:rPr>
              <w:t>.</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b/>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tcPr>
          <w:p w:rsidR="00FE4387" w:rsidRPr="00D32097" w:rsidRDefault="00FE4387" w:rsidP="00FE4387">
            <w:pPr>
              <w:pStyle w:val="rvps2"/>
              <w:shd w:val="clear" w:color="auto" w:fill="FFFFFF"/>
              <w:spacing w:before="0" w:beforeAutospacing="0" w:after="0" w:afterAutospacing="0"/>
              <w:ind w:firstLine="314"/>
              <w:jc w:val="both"/>
              <w:rPr>
                <w:rFonts w:ascii="Times New Roman" w:hAnsi="Times New Roman" w:cs="Times New Roman"/>
                <w:sz w:val="22"/>
                <w:szCs w:val="22"/>
              </w:rPr>
            </w:pPr>
          </w:p>
          <w:p w:rsidR="00FE4387" w:rsidRPr="00D32097" w:rsidRDefault="00FE4387" w:rsidP="00FE4387">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5.</w:t>
            </w:r>
            <w:r w:rsidRPr="00D32097">
              <w:rPr>
                <w:rFonts w:ascii="Times New Roman" w:hAnsi="Times New Roman" w:cs="Times New Roman"/>
                <w:b/>
                <w:sz w:val="22"/>
                <w:szCs w:val="22"/>
              </w:rPr>
              <w:t>10</w:t>
            </w:r>
            <w:r w:rsidRPr="00D32097">
              <w:rPr>
                <w:rFonts w:ascii="Times New Roman" w:hAnsi="Times New Roman" w:cs="Times New Roman"/>
                <w:sz w:val="22"/>
                <w:szCs w:val="22"/>
              </w:rPr>
              <w:t xml:space="preserve">. У випадках, визначених Кодексом систем розподілу, якщо приєднання електроустановок замовника до електричних мереж </w:t>
            </w:r>
            <w:r w:rsidRPr="00D32097">
              <w:rPr>
                <w:rFonts w:ascii="Times New Roman" w:hAnsi="Times New Roman" w:cs="Times New Roman"/>
                <w:sz w:val="22"/>
                <w:szCs w:val="22"/>
              </w:rPr>
              <w:lastRenderedPageBreak/>
              <w:t>оператора системи розподілу здійснюється на підставі багатостороннього договору про приєднання, плата замовника за послугу з приєднання включає:</w:t>
            </w:r>
          </w:p>
          <w:p w:rsidR="00FE4387" w:rsidRPr="00D32097" w:rsidRDefault="00FE4387" w:rsidP="00FE4387">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 xml:space="preserve">складову плати за здійснення будівництва та/або технічного переоснащення електричних мереж систем розподілу, яка визначається як сума добутку величини замовленої до приєднання потужності </w:t>
            </w:r>
            <w:r w:rsidRPr="00D32097">
              <w:rPr>
                <w:rFonts w:ascii="Times New Roman" w:hAnsi="Times New Roman" w:cs="Times New Roman"/>
                <w:b/>
                <w:sz w:val="22"/>
                <w:szCs w:val="22"/>
              </w:rPr>
              <w:t>відбору та/або відпуску</w:t>
            </w:r>
            <w:r w:rsidRPr="00D32097">
              <w:rPr>
                <w:rFonts w:ascii="Times New Roman" w:hAnsi="Times New Roman" w:cs="Times New Roman"/>
                <w:sz w:val="22"/>
                <w:szCs w:val="22"/>
              </w:rPr>
              <w:t xml:space="preserve"> та ставки плати за нестандартне приєднання потужності, та складової плати за створення електричних мереж лінійної частини приєднання;</w:t>
            </w:r>
          </w:p>
          <w:p w:rsidR="00FE4387" w:rsidRPr="00D32097" w:rsidRDefault="00FE4387" w:rsidP="00FE4387">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 xml:space="preserve">складову плати за здійснення будівництва та/або технічного переоснащення електричних мереж системи передачі, яка визначається згідно з узгодженою </w:t>
            </w:r>
            <w:proofErr w:type="spellStart"/>
            <w:r w:rsidRPr="00D32097">
              <w:rPr>
                <w:rFonts w:ascii="Times New Roman" w:hAnsi="Times New Roman" w:cs="Times New Roman"/>
                <w:sz w:val="22"/>
                <w:szCs w:val="22"/>
              </w:rPr>
              <w:t>проєктно</w:t>
            </w:r>
            <w:proofErr w:type="spellEnd"/>
            <w:r w:rsidRPr="00D32097">
              <w:rPr>
                <w:rFonts w:ascii="Times New Roman" w:hAnsi="Times New Roman" w:cs="Times New Roman"/>
                <w:sz w:val="22"/>
                <w:szCs w:val="22"/>
              </w:rPr>
              <w:t>-кошторисною документацією;</w:t>
            </w:r>
          </w:p>
          <w:p w:rsidR="00FE4387" w:rsidRPr="00D32097" w:rsidRDefault="00FE4387" w:rsidP="00FE4387">
            <w:pPr>
              <w:tabs>
                <w:tab w:val="left" w:pos="993"/>
              </w:tabs>
              <w:ind w:firstLine="314"/>
              <w:jc w:val="both"/>
              <w:rPr>
                <w:strike/>
                <w:sz w:val="22"/>
              </w:rPr>
            </w:pPr>
            <w:r w:rsidRPr="00D32097">
              <w:rPr>
                <w:rFonts w:ascii="Times New Roman" w:hAnsi="Times New Roman" w:cs="Times New Roman"/>
                <w:sz w:val="22"/>
                <w:szCs w:val="22"/>
              </w:rPr>
              <w:t xml:space="preserve">складову плати за здійснення будівництва та/або технічного переоснащення електричних мереж інших суб’єктів господарювання, яка визначається згідно з узгодженою </w:t>
            </w:r>
            <w:proofErr w:type="spellStart"/>
            <w:r w:rsidRPr="00D32097">
              <w:rPr>
                <w:rFonts w:ascii="Times New Roman" w:hAnsi="Times New Roman" w:cs="Times New Roman"/>
                <w:sz w:val="22"/>
                <w:szCs w:val="22"/>
              </w:rPr>
              <w:t>проєктно</w:t>
            </w:r>
            <w:proofErr w:type="spellEnd"/>
            <w:r w:rsidRPr="00D32097">
              <w:rPr>
                <w:rFonts w:ascii="Times New Roman" w:hAnsi="Times New Roman" w:cs="Times New Roman"/>
                <w:sz w:val="22"/>
                <w:szCs w:val="22"/>
              </w:rPr>
              <w:t>-кошторисною документацією.</w:t>
            </w: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ТОВ «НЕСС ЕНЕРДЖІ»</w:t>
            </w:r>
          </w:p>
          <w:p w:rsidR="00FE4387" w:rsidRPr="00D32097" w:rsidRDefault="00FE4387" w:rsidP="00FE4387">
            <w:pPr>
              <w:ind w:firstLine="306"/>
              <w:jc w:val="both"/>
              <w:rPr>
                <w:rFonts w:ascii="Times New Roman" w:hAnsi="Times New Roman" w:cs="Times New Roman"/>
                <w:sz w:val="22"/>
                <w:szCs w:val="22"/>
              </w:rPr>
            </w:pPr>
            <w:r w:rsidRPr="00D32097">
              <w:rPr>
                <w:rFonts w:ascii="Times New Roman" w:hAnsi="Times New Roman" w:cs="Times New Roman"/>
                <w:sz w:val="22"/>
                <w:szCs w:val="22"/>
              </w:rPr>
              <w:t xml:space="preserve">5.10. У випадках, визначених Кодексом систем розподілу, якщо приєднання електроустановок замовника до електричних мереж </w:t>
            </w:r>
            <w:r w:rsidRPr="00D32097">
              <w:rPr>
                <w:rFonts w:ascii="Times New Roman" w:hAnsi="Times New Roman" w:cs="Times New Roman"/>
                <w:sz w:val="22"/>
                <w:szCs w:val="22"/>
              </w:rPr>
              <w:lastRenderedPageBreak/>
              <w:t>оператора системи розподілу здійснюється на підставі багатостороннього договору про приєднання, плата замовника за послугу з приєднання включає:</w:t>
            </w:r>
          </w:p>
          <w:p w:rsidR="00FE4387" w:rsidRPr="00D32097" w:rsidRDefault="00FE4387" w:rsidP="00FE4387">
            <w:pPr>
              <w:shd w:val="clear" w:color="auto" w:fill="FFFFFF"/>
              <w:ind w:firstLine="306"/>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складову плати за здійснення будівництва та/або технічного переоснащення електричних мереж систем розподілу, яка визначається виходячи з потужності відбору та/або відпуску, що створюється, відповідно до пункту 5.1 цієї Методики, та складової плати за створення електричних мереж лінійної частини приєднання;</w:t>
            </w:r>
          </w:p>
          <w:p w:rsidR="00FE4387" w:rsidRPr="00D32097" w:rsidRDefault="00FE4387" w:rsidP="00FE4387">
            <w:pPr>
              <w:pStyle w:val="rvps2"/>
              <w:shd w:val="clear" w:color="auto" w:fill="FFFFFF"/>
              <w:spacing w:before="0" w:beforeAutospacing="0" w:after="0" w:afterAutospacing="0"/>
              <w:ind w:firstLine="314"/>
              <w:jc w:val="both"/>
              <w:rPr>
                <w:rFonts w:ascii="Times New Roman" w:hAnsi="Times New Roman" w:cs="Times New Roman"/>
                <w:sz w:val="22"/>
                <w:szCs w:val="22"/>
              </w:rPr>
            </w:pPr>
            <w:r w:rsidRPr="00D32097">
              <w:rPr>
                <w:rFonts w:ascii="Times New Roman" w:hAnsi="Times New Roman" w:cs="Times New Roman"/>
                <w:sz w:val="22"/>
                <w:szCs w:val="22"/>
              </w:rPr>
              <w:t xml:space="preserve">складову плати за здійснення будівництва та/або технічного переоснащення електричних мереж системи передачі, яка визначається згідно з узгодженою </w:t>
            </w:r>
            <w:proofErr w:type="spellStart"/>
            <w:r w:rsidRPr="00D32097">
              <w:rPr>
                <w:rFonts w:ascii="Times New Roman" w:hAnsi="Times New Roman" w:cs="Times New Roman"/>
                <w:sz w:val="22"/>
                <w:szCs w:val="22"/>
              </w:rPr>
              <w:t>проєктно</w:t>
            </w:r>
            <w:proofErr w:type="spellEnd"/>
            <w:r w:rsidRPr="00D32097">
              <w:rPr>
                <w:rFonts w:ascii="Times New Roman" w:hAnsi="Times New Roman" w:cs="Times New Roman"/>
                <w:sz w:val="22"/>
                <w:szCs w:val="22"/>
              </w:rPr>
              <w:t>-кошторисною документацією;</w:t>
            </w:r>
          </w:p>
          <w:p w:rsidR="00FE4387" w:rsidRPr="00D32097" w:rsidRDefault="00FE4387" w:rsidP="00FE4387">
            <w:pPr>
              <w:shd w:val="clear" w:color="auto" w:fill="FFFFFF"/>
              <w:ind w:firstLine="306"/>
              <w:jc w:val="both"/>
              <w:rPr>
                <w:rFonts w:ascii="Times New Roman" w:hAnsi="Times New Roman" w:cs="Times New Roman"/>
                <w:b/>
                <w:sz w:val="22"/>
                <w:szCs w:val="22"/>
                <w:u w:val="single"/>
              </w:rPr>
            </w:pPr>
            <w:r w:rsidRPr="00D32097">
              <w:rPr>
                <w:rFonts w:ascii="Times New Roman" w:hAnsi="Times New Roman" w:cs="Times New Roman"/>
                <w:sz w:val="22"/>
                <w:szCs w:val="22"/>
              </w:rPr>
              <w:t xml:space="preserve">складову плати за здійснення будівництва та/або технічного переоснащення електричних мереж інших суб’єктів господарювання, яка визначається згідно з узгодженою </w:t>
            </w:r>
            <w:proofErr w:type="spellStart"/>
            <w:r w:rsidRPr="00D32097">
              <w:rPr>
                <w:rFonts w:ascii="Times New Roman" w:hAnsi="Times New Roman" w:cs="Times New Roman"/>
                <w:sz w:val="22"/>
                <w:szCs w:val="22"/>
              </w:rPr>
              <w:t>проєктно</w:t>
            </w:r>
            <w:proofErr w:type="spellEnd"/>
            <w:r w:rsidRPr="00D32097">
              <w:rPr>
                <w:rFonts w:ascii="Times New Roman" w:hAnsi="Times New Roman" w:cs="Times New Roman"/>
                <w:sz w:val="22"/>
                <w:szCs w:val="22"/>
              </w:rPr>
              <w:t>-кошторисною документацією.</w:t>
            </w:r>
          </w:p>
        </w:tc>
        <w:tc>
          <w:tcPr>
            <w:tcW w:w="3899" w:type="dxa"/>
          </w:tcPr>
          <w:p w:rsidR="00FE4387" w:rsidRPr="00D32097" w:rsidRDefault="00FE4387" w:rsidP="00FE4387">
            <w:pPr>
              <w:pStyle w:val="rvps2"/>
              <w:shd w:val="clear" w:color="auto" w:fill="FFFFFF"/>
              <w:spacing w:before="0" w:beforeAutospacing="0" w:after="0" w:afterAutospacing="0"/>
              <w:ind w:firstLine="454"/>
              <w:jc w:val="both"/>
              <w:rPr>
                <w:rFonts w:ascii="Times New Roman" w:hAnsi="Times New Roman" w:cs="Times New Roman"/>
                <w:sz w:val="22"/>
              </w:rPr>
            </w:pPr>
            <w:r w:rsidRPr="00D32097">
              <w:rPr>
                <w:rFonts w:ascii="Times New Roman" w:hAnsi="Times New Roman" w:cs="Times New Roman"/>
                <w:sz w:val="22"/>
              </w:rPr>
              <w:lastRenderedPageBreak/>
              <w:t xml:space="preserve">У багатосторонньому договорі плата може включати заходи в мережах ОСР, ОСП та інших суб’єктів. Складова ОСР має визначатися за тією самою логікою, що й у пунктах 4.1, 4.7, </w:t>
            </w:r>
            <w:r w:rsidRPr="00D32097">
              <w:rPr>
                <w:rFonts w:ascii="Times New Roman" w:hAnsi="Times New Roman" w:cs="Times New Roman"/>
                <w:sz w:val="22"/>
              </w:rPr>
              <w:lastRenderedPageBreak/>
              <w:t>4.8 і 5.1: базою є потужність відбору та/або відпуску, що створюється, а не повна величина замовленої потужності.</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val="restart"/>
          </w:tcPr>
          <w:p w:rsidR="00FE4387" w:rsidRPr="00D32097" w:rsidRDefault="00FE4387" w:rsidP="00FE4387">
            <w:pPr>
              <w:shd w:val="clear" w:color="auto" w:fill="FFFFFF"/>
              <w:ind w:firstLine="314"/>
              <w:rPr>
                <w:rFonts w:ascii="Times New Roman" w:hAnsi="Times New Roman" w:cs="Times New Roman"/>
                <w:b/>
                <w:sz w:val="22"/>
                <w:szCs w:val="22"/>
                <w:lang w:eastAsia="uk-UA"/>
              </w:rPr>
            </w:pPr>
          </w:p>
          <w:p w:rsidR="00FE4387" w:rsidRPr="00D32097" w:rsidRDefault="00FE4387" w:rsidP="00FE4387">
            <w:pPr>
              <w:shd w:val="clear" w:color="auto" w:fill="FFFFFF"/>
              <w:ind w:firstLine="314"/>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5.11. Плата за гнучке приєднання розраховується за формулою:</w:t>
            </w:r>
          </w:p>
          <w:p w:rsidR="00FE4387" w:rsidRPr="00D32097" w:rsidRDefault="00FE4387" w:rsidP="00FE4387">
            <w:pPr>
              <w:shd w:val="clear" w:color="auto" w:fill="FFFFFF"/>
              <w:ind w:firstLine="314"/>
              <w:rPr>
                <w:rFonts w:ascii="Times New Roman" w:hAnsi="Times New Roman" w:cs="Times New Roman"/>
                <w:b/>
                <w:sz w:val="22"/>
                <w:szCs w:val="22"/>
                <w:lang w:eastAsia="uk-UA"/>
              </w:rPr>
            </w:pPr>
          </w:p>
          <w:p w:rsidR="00FE4387" w:rsidRPr="00D32097" w:rsidRDefault="00FE4387" w:rsidP="00FE4387">
            <w:pPr>
              <w:shd w:val="clear" w:color="auto" w:fill="FFFFFF"/>
              <w:ind w:firstLine="314"/>
              <w:rPr>
                <w:rFonts w:ascii="Times New Roman" w:hAnsi="Times New Roman" w:cs="Times New Roman"/>
                <w:sz w:val="22"/>
                <w:szCs w:val="22"/>
              </w:rPr>
            </w:pPr>
            <w:r w:rsidRPr="00D32097">
              <w:rPr>
                <w:rFonts w:ascii="Times New Roman" w:hAnsi="Times New Roman" w:cs="Times New Roman"/>
                <w:b/>
                <w:sz w:val="22"/>
                <w:szCs w:val="22"/>
                <w:lang w:eastAsia="uk-UA"/>
              </w:rPr>
              <w:t xml:space="preserve"> </w:t>
            </w:r>
            <m:oMath>
              <m:sSubSup>
                <m:sSubSupPr>
                  <m:ctrlPr>
                    <w:rPr>
                      <w:rFonts w:ascii="Cambria Math" w:hAnsi="Cambria Math" w:cs="Times New Roman"/>
                      <w:sz w:val="22"/>
                      <w:szCs w:val="22"/>
                    </w:rPr>
                  </m:ctrlPr>
                </m:sSubSupPr>
                <m:e>
                  <m:r>
                    <w:rPr>
                      <w:rFonts w:ascii="Cambria Math" w:hAnsi="Cambria Math" w:cs="Times New Roman"/>
                      <w:sz w:val="22"/>
                      <w:szCs w:val="22"/>
                    </w:rPr>
                    <m:t>П</m:t>
                  </m:r>
                </m:e>
                <m:sub>
                  <m:r>
                    <w:rPr>
                      <w:rFonts w:ascii="Cambria Math" w:hAnsi="Cambria Math" w:cs="Times New Roman"/>
                      <w:sz w:val="22"/>
                      <w:szCs w:val="22"/>
                    </w:rPr>
                    <m:t>нст</m:t>
                  </m:r>
                </m:sub>
                <m:sup>
                  <m:r>
                    <w:rPr>
                      <w:rFonts w:ascii="Cambria Math" w:hAnsi="Cambria Math" w:cs="Times New Roman"/>
                      <w:sz w:val="22"/>
                      <w:szCs w:val="22"/>
                    </w:rPr>
                    <m:t>гнучке</m:t>
                  </m:r>
                </m:sup>
              </m:sSubSup>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l</m:t>
                  </m:r>
                </m:e>
                <m:sub>
                  <m:r>
                    <w:rPr>
                      <w:rFonts w:ascii="Cambria Math" w:hAnsi="Cambria Math" w:cs="Times New Roman"/>
                      <w:sz w:val="22"/>
                      <w:szCs w:val="22"/>
                    </w:rPr>
                    <m:t>м</m:t>
                  </m:r>
                </m:sub>
              </m:sSub>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w:p>
          <w:p w:rsidR="00FE4387" w:rsidRPr="00D32097" w:rsidRDefault="00FE4387" w:rsidP="00FE4387">
            <w:pPr>
              <w:shd w:val="clear" w:color="auto" w:fill="FFFFFF"/>
              <w:ind w:firstLine="314"/>
              <w:rPr>
                <w:rFonts w:ascii="Times New Roman" w:hAnsi="Times New Roman" w:cs="Times New Roman"/>
                <w:sz w:val="22"/>
                <w:szCs w:val="22"/>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3"/>
            </w:tblGrid>
            <w:tr w:rsidR="00FE4387" w:rsidRPr="00D32097" w:rsidTr="006574FC">
              <w:tc>
                <w:tcPr>
                  <w:tcW w:w="370"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гарантована потужність відбору, замовлена до приєднання </w:t>
                  </w:r>
                </w:p>
              </w:tc>
            </w:tr>
            <w:tr w:rsidR="00FE4387" w:rsidRPr="00D32097" w:rsidTr="006574FC">
              <w:tc>
                <w:tcPr>
                  <w:tcW w:w="37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не гарантована потужність відбору, замовлена до приєднання </w:t>
                  </w:r>
                </w:p>
              </w:tc>
            </w:tr>
            <w:tr w:rsidR="00FE4387" w:rsidRPr="00D32097" w:rsidTr="006574FC">
              <w:tc>
                <w:tcPr>
                  <w:tcW w:w="37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гарантована потужність відпуску, замовлена до приєднання </w:t>
                  </w:r>
                </w:p>
              </w:tc>
            </w:tr>
            <w:tr w:rsidR="00FE4387" w:rsidRPr="00D32097" w:rsidTr="006574FC">
              <w:tc>
                <w:tcPr>
                  <w:tcW w:w="37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не гарантована потужність відпуску, замовлена до приєднання </w:t>
                  </w:r>
                </w:p>
              </w:tc>
            </w:tr>
            <w:tr w:rsidR="00FE4387" w:rsidRPr="00D32097" w:rsidTr="006574FC">
              <w:tc>
                <w:tcPr>
                  <w:tcW w:w="370"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
                        <m:sSubPr>
                          <m:ctrlPr>
                            <w:rPr>
                              <w:rFonts w:ascii="Cambria Math" w:eastAsiaTheme="minorHAnsi" w:hAnsi="Cambria Math"/>
                              <w:i/>
                              <w:sz w:val="22"/>
                              <w:szCs w:val="22"/>
                              <w:lang w:eastAsia="en-US"/>
                            </w:rPr>
                          </m:ctrlPr>
                        </m:sSubPr>
                        <m:e>
                          <m:r>
                            <w:rPr>
                              <w:rFonts w:ascii="Cambria Math" w:hAnsi="Cambria Math"/>
                              <w:sz w:val="22"/>
                              <w:szCs w:val="22"/>
                            </w:rPr>
                            <m:t>К</m:t>
                          </m:r>
                        </m:e>
                        <m:sub>
                          <m:r>
                            <w:rPr>
                              <w:rFonts w:ascii="Cambria Math" w:hAnsi="Cambria Math"/>
                              <w:sz w:val="22"/>
                              <w:szCs w:val="22"/>
                            </w:rPr>
                            <m:t>гнучке</m:t>
                          </m:r>
                        </m:sub>
                      </m:sSub>
                    </m:oMath>
                  </m:oMathPara>
                </w:p>
              </w:tc>
              <w:tc>
                <w:tcPr>
                  <w:tcW w:w="242"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коефіцієнт вартості гнучкого приєднання, який становить 0,3</w:t>
                  </w:r>
                </w:p>
              </w:tc>
            </w:tr>
          </w:tbl>
          <w:p w:rsidR="00FE4387" w:rsidRPr="00D32097" w:rsidRDefault="00FE4387" w:rsidP="00FE4387">
            <w:pPr>
              <w:pStyle w:val="rvps2"/>
              <w:shd w:val="clear" w:color="auto" w:fill="FFFFFF"/>
              <w:spacing w:before="0" w:beforeAutospacing="0" w:after="0" w:afterAutospacing="0"/>
              <w:ind w:firstLine="314"/>
              <w:jc w:val="both"/>
              <w:rPr>
                <w:sz w:val="22"/>
                <w:szCs w:val="22"/>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ТОВ «НЕСС ЕНЕРДЖІ»</w:t>
            </w:r>
          </w:p>
          <w:p w:rsidR="00FE4387" w:rsidRPr="00D32097" w:rsidRDefault="00FE4387" w:rsidP="00FE4387">
            <w:pPr>
              <w:ind w:firstLine="233"/>
              <w:jc w:val="both"/>
              <w:rPr>
                <w:rFonts w:ascii="Times New Roman" w:hAnsi="Times New Roman" w:cs="Times New Roman"/>
                <w:sz w:val="22"/>
                <w:szCs w:val="22"/>
              </w:rPr>
            </w:pPr>
            <w:r w:rsidRPr="00D32097">
              <w:rPr>
                <w:rFonts w:ascii="Times New Roman" w:hAnsi="Times New Roman" w:cs="Times New Roman"/>
                <w:sz w:val="22"/>
                <w:szCs w:val="22"/>
              </w:rPr>
              <w:t>5.11. Плата за гнучке приєднання розраховується з урахуванням складової плати за гарантовану дозволену потужність, складової плати за не гарантовану дозволену потужність та складової плати за створення електричних мереж лінійної частини приєднання.</w:t>
            </w:r>
          </w:p>
          <w:p w:rsidR="00FE4387" w:rsidRPr="00D32097" w:rsidRDefault="00FE4387" w:rsidP="00FE4387">
            <w:pPr>
              <w:ind w:firstLine="233"/>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lastRenderedPageBreak/>
              <w:t>Складові плати за гарантовану та не гарантовану дозволену потужність визначаються з урахуванням потужності відбору та/або відпуску, що створюється, відповідно до пункту 5.1 цієї Методики.</w:t>
            </w:r>
          </w:p>
          <w:p w:rsidR="00FE4387" w:rsidRPr="00D32097" w:rsidRDefault="00FE4387" w:rsidP="00FE4387">
            <w:pPr>
              <w:ind w:firstLine="233"/>
              <w:jc w:val="both"/>
              <w:rPr>
                <w:rFonts w:ascii="Times New Roman" w:hAnsi="Times New Roman" w:cs="Times New Roman"/>
                <w:color w:val="0070C0"/>
                <w:sz w:val="22"/>
                <w:szCs w:val="22"/>
              </w:rPr>
            </w:pPr>
            <w:r w:rsidRPr="00D32097">
              <w:rPr>
                <w:rFonts w:ascii="Times New Roman" w:hAnsi="Times New Roman" w:cs="Times New Roman"/>
                <w:b/>
                <w:color w:val="0070C0"/>
                <w:sz w:val="22"/>
                <w:szCs w:val="22"/>
              </w:rPr>
              <w:t xml:space="preserve">До складової плати за не гарантовану дозволену потужність застосовується коефіцієнт вартості гнучкого приєднання </w:t>
            </w:r>
            <w:proofErr w:type="spellStart"/>
            <w:r w:rsidRPr="00D32097">
              <w:rPr>
                <w:rFonts w:ascii="Times New Roman" w:hAnsi="Times New Roman" w:cs="Times New Roman"/>
                <w:b/>
                <w:color w:val="0070C0"/>
                <w:sz w:val="22"/>
                <w:szCs w:val="22"/>
              </w:rPr>
              <w:t>Kгнучке</w:t>
            </w:r>
            <w:proofErr w:type="spellEnd"/>
            <w:r w:rsidRPr="00D32097">
              <w:rPr>
                <w:rFonts w:ascii="Times New Roman" w:hAnsi="Times New Roman" w:cs="Times New Roman"/>
                <w:b/>
                <w:color w:val="0070C0"/>
                <w:sz w:val="22"/>
                <w:szCs w:val="22"/>
              </w:rPr>
              <w:t xml:space="preserve"> = 0,3.</w:t>
            </w:r>
          </w:p>
          <w:p w:rsidR="00FE4387" w:rsidRPr="00D32097" w:rsidRDefault="00FE4387" w:rsidP="00FE4387">
            <w:pPr>
              <w:pStyle w:val="rvps2"/>
              <w:shd w:val="clear" w:color="auto" w:fill="FFFFFF"/>
              <w:spacing w:before="0" w:beforeAutospacing="0" w:after="0" w:afterAutospacing="0"/>
              <w:ind w:firstLine="233"/>
              <w:jc w:val="both"/>
              <w:rPr>
                <w:b/>
                <w:sz w:val="22"/>
                <w:szCs w:val="22"/>
                <w:u w:val="single"/>
              </w:rPr>
            </w:pPr>
            <w:r w:rsidRPr="00D32097">
              <w:rPr>
                <w:rFonts w:ascii="Times New Roman" w:hAnsi="Times New Roman" w:cs="Times New Roman"/>
                <w:b/>
                <w:color w:val="0070C0"/>
                <w:sz w:val="22"/>
                <w:szCs w:val="22"/>
              </w:rPr>
              <w:t>Не гарантована дозволена потужність для цілей цієї Методики враховується лише в межах гнучкого резерву потужності, визначеного відповідно до Кодексу систем розподілу у відповідному напрямку.</w:t>
            </w:r>
          </w:p>
        </w:tc>
        <w:tc>
          <w:tcPr>
            <w:tcW w:w="3899" w:type="dxa"/>
          </w:tcPr>
          <w:p w:rsidR="00FE4387" w:rsidRPr="00D32097" w:rsidRDefault="00FE4387" w:rsidP="00FE4387">
            <w:pPr>
              <w:pStyle w:val="rvps2"/>
              <w:shd w:val="clear" w:color="auto" w:fill="FFFFFF"/>
              <w:ind w:firstLine="454"/>
              <w:jc w:val="both"/>
              <w:rPr>
                <w:rFonts w:ascii="Times New Roman" w:hAnsi="Times New Roman" w:cs="Times New Roman"/>
                <w:sz w:val="22"/>
              </w:rPr>
            </w:pPr>
            <w:r w:rsidRPr="00D32097">
              <w:rPr>
                <w:rFonts w:ascii="Times New Roman" w:hAnsi="Times New Roman" w:cs="Times New Roman"/>
                <w:sz w:val="22"/>
              </w:rPr>
              <w:lastRenderedPageBreak/>
              <w:t>Коефіцієнт 0,3 має економічний зміст лише тоді, коли не гарантована потужність є визначеною та закріпленою за замовником величиною в межах гнучкого резерву, а не випадковою поточною доступністю мережі.</w:t>
            </w:r>
          </w:p>
          <w:p w:rsidR="00FE4387" w:rsidRPr="00D32097" w:rsidRDefault="00FE4387" w:rsidP="00FE4387">
            <w:pPr>
              <w:pStyle w:val="rvps2"/>
              <w:shd w:val="clear" w:color="auto" w:fill="FFFFFF"/>
              <w:spacing w:before="0" w:beforeAutospacing="0" w:after="0" w:afterAutospacing="0"/>
              <w:ind w:firstLine="454"/>
              <w:jc w:val="both"/>
              <w:rPr>
                <w:rFonts w:ascii="Times New Roman" w:hAnsi="Times New Roman" w:cs="Times New Roman"/>
                <w:sz w:val="22"/>
              </w:rPr>
            </w:pPr>
            <w:r w:rsidRPr="00D32097">
              <w:rPr>
                <w:rFonts w:ascii="Times New Roman" w:hAnsi="Times New Roman" w:cs="Times New Roman"/>
                <w:sz w:val="22"/>
              </w:rPr>
              <w:t xml:space="preserve">Для гнучкого приєднання також має застосовуватися принцип плати за </w:t>
            </w:r>
            <w:r w:rsidRPr="00D32097">
              <w:rPr>
                <w:rFonts w:ascii="Times New Roman" w:hAnsi="Times New Roman" w:cs="Times New Roman"/>
                <w:sz w:val="22"/>
              </w:rPr>
              <w:lastRenderedPageBreak/>
              <w:t>потужність, що створюється, а не за повну заявлену величину відбору та/або відпуску.</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w:t>
            </w:r>
            <w:r w:rsidRPr="00D32097">
              <w:rPr>
                <w:rFonts w:ascii="Times New Roman" w:hAnsi="Times New Roman" w:cs="Times New Roman"/>
                <w:sz w:val="22"/>
                <w:szCs w:val="22"/>
                <w:lang w:eastAsia="uk-UA"/>
              </w:rPr>
              <w:lastRenderedPageBreak/>
              <w:t>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tcPr>
          <w:p w:rsidR="00FE4387" w:rsidRPr="00D32097" w:rsidRDefault="00FE4387" w:rsidP="00FE4387">
            <w:pPr>
              <w:shd w:val="clear" w:color="auto" w:fill="FFFFFF"/>
              <w:ind w:firstLine="314"/>
              <w:rPr>
                <w:b/>
                <w:sz w:val="22"/>
                <w:szCs w:val="22"/>
                <w:lang w:eastAsia="uk-UA"/>
              </w:rPr>
            </w:pPr>
          </w:p>
        </w:tc>
        <w:tc>
          <w:tcPr>
            <w:tcW w:w="3900" w:type="dxa"/>
            <w:gridSpan w:val="2"/>
          </w:tcPr>
          <w:p w:rsidR="00FE4387" w:rsidRPr="00D32097" w:rsidRDefault="00FE4387" w:rsidP="00FE4387">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 xml:space="preserve">ТОВ «ВС Енерджі </w:t>
            </w:r>
            <w:proofErr w:type="spellStart"/>
            <w:r w:rsidRPr="00D32097">
              <w:rPr>
                <w:rFonts w:ascii="Times New Roman" w:hAnsi="Times New Roman" w:cs="Times New Roman"/>
                <w:b/>
                <w:color w:val="000000"/>
                <w:sz w:val="22"/>
                <w:szCs w:val="22"/>
                <w:u w:val="single"/>
              </w:rPr>
              <w:t>Інтернейшнл</w:t>
            </w:r>
            <w:proofErr w:type="spellEnd"/>
            <w:r w:rsidRPr="00D32097">
              <w:rPr>
                <w:rFonts w:ascii="Times New Roman" w:hAnsi="Times New Roman" w:cs="Times New Roman"/>
                <w:b/>
                <w:color w:val="000000"/>
                <w:sz w:val="22"/>
                <w:szCs w:val="22"/>
                <w:u w:val="single"/>
              </w:rPr>
              <w:t xml:space="preserve"> Україна»</w:t>
            </w:r>
          </w:p>
          <w:p w:rsidR="00FE4387" w:rsidRPr="00D32097" w:rsidRDefault="00FE4387" w:rsidP="00FE4387">
            <w:pPr>
              <w:shd w:val="clear" w:color="auto" w:fill="FFFFFF"/>
              <w:ind w:firstLine="235"/>
              <w:jc w:val="both"/>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5.11. Плата за гнучке приєднання розраховується за формулою:</w:t>
            </w:r>
          </w:p>
          <w:p w:rsidR="00FE4387" w:rsidRPr="00D32097" w:rsidRDefault="00FE4387" w:rsidP="00FE4387">
            <w:pPr>
              <w:shd w:val="clear" w:color="auto" w:fill="FFFFFF"/>
              <w:ind w:firstLine="235"/>
              <w:jc w:val="both"/>
              <w:rPr>
                <w:rFonts w:ascii="Times New Roman" w:hAnsi="Times New Roman" w:cs="Times New Roman"/>
                <w:b/>
                <w:sz w:val="22"/>
                <w:szCs w:val="22"/>
                <w:lang w:eastAsia="uk-UA"/>
              </w:rPr>
            </w:pPr>
          </w:p>
          <w:p w:rsidR="00FE4387" w:rsidRPr="00D32097" w:rsidRDefault="00FE4387" w:rsidP="00FE4387">
            <w:pPr>
              <w:shd w:val="clear" w:color="auto" w:fill="FFFFFF"/>
              <w:ind w:firstLine="235"/>
              <w:jc w:val="both"/>
              <w:rPr>
                <w:rFonts w:ascii="Times New Roman" w:hAnsi="Times New Roman" w:cs="Times New Roman"/>
                <w:sz w:val="22"/>
                <w:szCs w:val="22"/>
              </w:rPr>
            </w:pPr>
            <w:r w:rsidRPr="00D32097">
              <w:rPr>
                <w:rFonts w:ascii="Times New Roman" w:hAnsi="Times New Roman" w:cs="Times New Roman"/>
                <w:b/>
                <w:sz w:val="22"/>
                <w:szCs w:val="22"/>
                <w:lang w:eastAsia="uk-UA"/>
              </w:rPr>
              <w:t xml:space="preserve"> </w:t>
            </w:r>
            <m:oMath>
              <m:sSubSup>
                <m:sSubSupPr>
                  <m:ctrlPr>
                    <w:rPr>
                      <w:rFonts w:ascii="Cambria Math" w:hAnsi="Cambria Math" w:cs="Times New Roman"/>
                      <w:sz w:val="22"/>
                      <w:szCs w:val="22"/>
                    </w:rPr>
                  </m:ctrlPr>
                </m:sSubSupPr>
                <m:e>
                  <m:r>
                    <w:rPr>
                      <w:rFonts w:ascii="Cambria Math" w:hAnsi="Cambria Math" w:cs="Times New Roman"/>
                      <w:sz w:val="22"/>
                      <w:szCs w:val="22"/>
                    </w:rPr>
                    <m:t>П</m:t>
                  </m:r>
                </m:e>
                <m:sub>
                  <m:r>
                    <w:rPr>
                      <w:rFonts w:ascii="Cambria Math" w:hAnsi="Cambria Math" w:cs="Times New Roman"/>
                      <w:sz w:val="22"/>
                      <w:szCs w:val="22"/>
                    </w:rPr>
                    <m:t>нст</m:t>
                  </m:r>
                </m:sub>
                <m:sup>
                  <m:r>
                    <w:rPr>
                      <w:rFonts w:ascii="Cambria Math" w:hAnsi="Cambria Math" w:cs="Times New Roman"/>
                      <w:sz w:val="22"/>
                      <w:szCs w:val="22"/>
                    </w:rPr>
                    <m:t>гнучке</m:t>
                  </m:r>
                </m:sup>
              </m:sSubSup>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l</m:t>
                  </m:r>
                </m:e>
                <m:sub>
                  <m:r>
                    <w:rPr>
                      <w:rFonts w:ascii="Cambria Math" w:hAnsi="Cambria Math" w:cs="Times New Roman"/>
                      <w:sz w:val="22"/>
                      <w:szCs w:val="22"/>
                    </w:rPr>
                    <m:t>м</m:t>
                  </m:r>
                </m:sub>
              </m:sSub>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грн/кВт,</m:t>
              </m:r>
            </m:oMath>
          </w:p>
          <w:p w:rsidR="00FE4387" w:rsidRPr="00D32097" w:rsidRDefault="00FE4387" w:rsidP="00FE4387">
            <w:pPr>
              <w:shd w:val="clear" w:color="auto" w:fill="FFFFFF"/>
              <w:ind w:firstLine="235"/>
              <w:jc w:val="both"/>
              <w:rPr>
                <w:rFonts w:ascii="Times New Roman" w:hAnsi="Times New Roman" w:cs="Times New Roman"/>
                <w:sz w:val="22"/>
                <w:szCs w:val="22"/>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25"/>
              <w:gridCol w:w="1343"/>
              <w:gridCol w:w="124"/>
              <w:gridCol w:w="1986"/>
            </w:tblGrid>
            <w:tr w:rsidR="00FE4387" w:rsidRPr="00D32097" w:rsidTr="006574FC">
              <w:tc>
                <w:tcPr>
                  <w:tcW w:w="29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r w:rsidRPr="00D32097">
                    <w:rPr>
                      <w:sz w:val="22"/>
                      <w:szCs w:val="22"/>
                    </w:rPr>
                    <w:t>де</w:t>
                  </w:r>
                </w:p>
              </w:tc>
              <w:tc>
                <w:tcPr>
                  <w:tcW w:w="1843"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відбір</m:t>
                          </m:r>
                        </m:sup>
                      </m:sSubSup>
                    </m:oMath>
                  </m:oMathPara>
                </w:p>
              </w:tc>
              <w:tc>
                <w:tcPr>
                  <w:tcW w:w="152"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 xml:space="preserve"> гарантована потужність відбору, замовлена до приєднання </w:t>
                  </w:r>
                </w:p>
              </w:tc>
            </w:tr>
            <w:tr w:rsidR="00FE4387" w:rsidRPr="00D32097" w:rsidTr="006574FC">
              <w:tc>
                <w:tcPr>
                  <w:tcW w:w="29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p>
              </w:tc>
              <w:tc>
                <w:tcPr>
                  <w:tcW w:w="1843"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відбір</m:t>
                          </m:r>
                        </m:sup>
                      </m:sSubSup>
                    </m:oMath>
                  </m:oMathPara>
                </w:p>
              </w:tc>
              <w:tc>
                <w:tcPr>
                  <w:tcW w:w="15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 xml:space="preserve"> не гарантована потужність </w:t>
                  </w:r>
                  <w:r w:rsidRPr="00D32097">
                    <w:rPr>
                      <w:b/>
                      <w:sz w:val="22"/>
                      <w:szCs w:val="22"/>
                    </w:rPr>
                    <w:lastRenderedPageBreak/>
                    <w:t xml:space="preserve">відбору, замовлена до приєднання </w:t>
                  </w:r>
                </w:p>
              </w:tc>
            </w:tr>
            <w:tr w:rsidR="00FE4387" w:rsidRPr="00D32097" w:rsidTr="006574FC">
              <w:tc>
                <w:tcPr>
                  <w:tcW w:w="29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p>
              </w:tc>
              <w:tc>
                <w:tcPr>
                  <w:tcW w:w="1843"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відпуск</m:t>
                          </m:r>
                        </m:sup>
                      </m:sSubSup>
                    </m:oMath>
                  </m:oMathPara>
                </w:p>
              </w:tc>
              <w:tc>
                <w:tcPr>
                  <w:tcW w:w="15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 xml:space="preserve"> гарантована потужність відпуску, замовлена до приєднання </w:t>
                  </w:r>
                </w:p>
              </w:tc>
            </w:tr>
            <w:tr w:rsidR="00FE4387" w:rsidRPr="00D32097" w:rsidTr="006574FC">
              <w:tc>
                <w:tcPr>
                  <w:tcW w:w="29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p>
              </w:tc>
              <w:tc>
                <w:tcPr>
                  <w:tcW w:w="1843"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відпуск</m:t>
                          </m:r>
                        </m:sup>
                      </m:sSubSup>
                    </m:oMath>
                  </m:oMathPara>
                </w:p>
              </w:tc>
              <w:tc>
                <w:tcPr>
                  <w:tcW w:w="15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 xml:space="preserve"> не гарантована потужність відпуску, замовлена до приєднання </w:t>
                  </w:r>
                </w:p>
              </w:tc>
            </w:tr>
            <w:tr w:rsidR="00FE4387" w:rsidRPr="00D32097" w:rsidTr="006574FC">
              <w:tc>
                <w:tcPr>
                  <w:tcW w:w="29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p>
              </w:tc>
              <w:tc>
                <w:tcPr>
                  <w:tcW w:w="1843"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rPr>
                  </w:pPr>
                  <m:oMathPara>
                    <m:oMath>
                      <m:sSub>
                        <m:sSubPr>
                          <m:ctrlPr>
                            <w:rPr>
                              <w:rFonts w:ascii="Cambria Math" w:eastAsiaTheme="minorHAnsi" w:hAnsi="Cambria Math"/>
                              <w:i/>
                              <w:sz w:val="22"/>
                              <w:szCs w:val="22"/>
                              <w:lang w:eastAsia="en-US"/>
                            </w:rPr>
                          </m:ctrlPr>
                        </m:sSubPr>
                        <m:e>
                          <m:r>
                            <w:rPr>
                              <w:rFonts w:ascii="Cambria Math" w:hAnsi="Cambria Math"/>
                              <w:sz w:val="22"/>
                              <w:szCs w:val="22"/>
                            </w:rPr>
                            <m:t>К</m:t>
                          </m:r>
                        </m:e>
                        <m:sub>
                          <m:r>
                            <w:rPr>
                              <w:rFonts w:ascii="Cambria Math" w:hAnsi="Cambria Math"/>
                              <w:sz w:val="22"/>
                              <w:szCs w:val="22"/>
                            </w:rPr>
                            <m:t xml:space="preserve">гнучке </m:t>
                          </m:r>
                          <m:r>
                            <w:rPr>
                              <w:rFonts w:ascii="Cambria Math" w:hAnsi="Cambria Math"/>
                              <w:color w:val="FF0000"/>
                              <w:sz w:val="22"/>
                              <w:szCs w:val="22"/>
                            </w:rPr>
                            <m:t>тимчасов</m:t>
                          </m:r>
                          <m:r>
                            <w:rPr>
                              <w:rFonts w:ascii="Cambria Math" w:hAnsi="Cambria Math"/>
                              <w:sz w:val="22"/>
                              <w:szCs w:val="22"/>
                            </w:rPr>
                            <m:t>е</m:t>
                          </m:r>
                        </m:sub>
                      </m:sSub>
                    </m:oMath>
                  </m:oMathPara>
                </w:p>
              </w:tc>
              <w:tc>
                <w:tcPr>
                  <w:tcW w:w="152"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 xml:space="preserve">коефіцієнт вартості гнучкого приєднання, </w:t>
                  </w:r>
                  <w:r w:rsidRPr="00D32097">
                    <w:rPr>
                      <w:b/>
                      <w:color w:val="0070C0"/>
                      <w:sz w:val="22"/>
                      <w:szCs w:val="22"/>
                    </w:rPr>
                    <w:t>який становить 1</w:t>
                  </w:r>
                </w:p>
              </w:tc>
            </w:tr>
            <w:tr w:rsidR="00FE4387" w:rsidRPr="00D32097" w:rsidTr="006574FC">
              <w:tc>
                <w:tcPr>
                  <w:tcW w:w="29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sz w:val="22"/>
                      <w:szCs w:val="22"/>
                    </w:rPr>
                  </w:pPr>
                </w:p>
              </w:tc>
              <w:tc>
                <w:tcPr>
                  <w:tcW w:w="1843"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235"/>
                    <w:jc w:val="both"/>
                    <w:rPr>
                      <w:sz w:val="22"/>
                      <w:szCs w:val="22"/>
                      <w:lang w:eastAsia="en-US"/>
                    </w:rPr>
                  </w:pPr>
                  <m:oMathPara>
                    <m:oMath>
                      <m:sSub>
                        <m:sSubPr>
                          <m:ctrlPr>
                            <w:rPr>
                              <w:rFonts w:ascii="Cambria Math" w:eastAsiaTheme="minorHAnsi" w:hAnsi="Cambria Math"/>
                              <w:i/>
                              <w:sz w:val="22"/>
                              <w:szCs w:val="22"/>
                              <w:lang w:eastAsia="en-US"/>
                            </w:rPr>
                          </m:ctrlPr>
                        </m:sSubPr>
                        <m:e>
                          <m:r>
                            <w:rPr>
                              <w:rFonts w:ascii="Cambria Math" w:hAnsi="Cambria Math"/>
                              <w:sz w:val="22"/>
                              <w:szCs w:val="22"/>
                            </w:rPr>
                            <m:t>К</m:t>
                          </m:r>
                        </m:e>
                        <m:sub>
                          <m:r>
                            <w:rPr>
                              <w:rFonts w:ascii="Cambria Math" w:hAnsi="Cambria Math"/>
                              <w:sz w:val="22"/>
                              <w:szCs w:val="22"/>
                            </w:rPr>
                            <m:t xml:space="preserve">гнучке </m:t>
                          </m:r>
                          <m:r>
                            <w:rPr>
                              <w:rFonts w:ascii="Cambria Math" w:hAnsi="Cambria Math"/>
                              <w:color w:val="FF0000"/>
                              <w:sz w:val="22"/>
                              <w:szCs w:val="22"/>
                            </w:rPr>
                            <m:t>постійн</m:t>
                          </m:r>
                          <m:r>
                            <w:rPr>
                              <w:rFonts w:ascii="Cambria Math" w:hAnsi="Cambria Math"/>
                              <w:sz w:val="22"/>
                              <w:szCs w:val="22"/>
                            </w:rPr>
                            <m:t>е</m:t>
                          </m:r>
                        </m:sub>
                      </m:sSub>
                    </m:oMath>
                  </m:oMathPara>
                </w:p>
              </w:tc>
              <w:tc>
                <w:tcPr>
                  <w:tcW w:w="152"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235"/>
                    <w:jc w:val="both"/>
                    <w:rPr>
                      <w:sz w:val="22"/>
                      <w:szCs w:val="22"/>
                    </w:rPr>
                  </w:pPr>
                  <w:r w:rsidRPr="00D32097">
                    <w:rPr>
                      <w:sz w:val="22"/>
                      <w:szCs w:val="22"/>
                    </w:rPr>
                    <w:t>-</w:t>
                  </w:r>
                </w:p>
              </w:tc>
              <w:tc>
                <w:tcPr>
                  <w:tcW w:w="2734"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235"/>
                    <w:jc w:val="both"/>
                    <w:rPr>
                      <w:b/>
                      <w:sz w:val="22"/>
                      <w:szCs w:val="22"/>
                    </w:rPr>
                  </w:pPr>
                  <w:r w:rsidRPr="00D32097">
                    <w:rPr>
                      <w:b/>
                      <w:sz w:val="22"/>
                      <w:szCs w:val="22"/>
                    </w:rPr>
                    <w:t>коефіцієнт вартості гнучкого приєднання, який становить 0,3</w:t>
                  </w:r>
                </w:p>
              </w:tc>
            </w:tr>
          </w:tbl>
          <w:p w:rsidR="00FE4387" w:rsidRPr="00D32097" w:rsidRDefault="00FE4387" w:rsidP="00FE4387">
            <w:pPr>
              <w:pStyle w:val="rvps2"/>
              <w:shd w:val="clear" w:color="auto" w:fill="FFFFFF"/>
              <w:spacing w:before="0" w:beforeAutospacing="0" w:after="0" w:afterAutospacing="0"/>
              <w:ind w:firstLine="306"/>
              <w:jc w:val="both"/>
              <w:rPr>
                <w:b/>
                <w:sz w:val="22"/>
                <w:szCs w:val="22"/>
                <w:u w:val="single"/>
              </w:rPr>
            </w:pPr>
          </w:p>
        </w:tc>
        <w:tc>
          <w:tcPr>
            <w:tcW w:w="3899" w:type="dxa"/>
          </w:tcPr>
          <w:p w:rsidR="00FE4387" w:rsidRPr="00D32097" w:rsidRDefault="00FE4387" w:rsidP="00FE4387">
            <w:pPr>
              <w:pStyle w:val="rvps2"/>
              <w:shd w:val="clear" w:color="auto" w:fill="FFFFFF"/>
              <w:ind w:firstLine="454"/>
              <w:jc w:val="both"/>
              <w:rPr>
                <w:rFonts w:ascii="Times New Roman" w:hAnsi="Times New Roman" w:cs="Times New Roman"/>
                <w:sz w:val="22"/>
              </w:rPr>
            </w:pPr>
            <w:r w:rsidRPr="00D32097">
              <w:rPr>
                <w:rFonts w:ascii="Times New Roman" w:hAnsi="Times New Roman" w:cs="Times New Roman"/>
                <w:sz w:val="22"/>
              </w:rPr>
              <w:lastRenderedPageBreak/>
              <w:t>Плата за створення резерву потужності є складовою фінансування інвестиційної програми по створенню резерву потужності. Як варіант, до моменту року, виконання в ПРСР сплачується 30%, залишок в рік виконання.</w:t>
            </w:r>
          </w:p>
        </w:tc>
        <w:tc>
          <w:tcPr>
            <w:tcW w:w="3900" w:type="dxa"/>
            <w:gridSpan w:val="2"/>
          </w:tcPr>
          <w:p w:rsidR="00120B3E" w:rsidRDefault="00120B3E" w:rsidP="00120B3E">
            <w:pPr>
              <w:ind w:firstLine="174"/>
              <w:rPr>
                <w:rFonts w:ascii="Times New Roman" w:hAnsi="Times New Roman" w:cs="Times New Roman"/>
                <w:b/>
                <w:sz w:val="22"/>
                <w:szCs w:val="24"/>
                <w:lang w:eastAsia="uk-UA"/>
              </w:rPr>
            </w:pPr>
            <w:r>
              <w:rPr>
                <w:rFonts w:ascii="Times New Roman" w:hAnsi="Times New Roman" w:cs="Times New Roman"/>
                <w:b/>
                <w:sz w:val="22"/>
                <w:szCs w:val="22"/>
                <w:lang w:eastAsia="uk-UA"/>
              </w:rPr>
              <w:t xml:space="preserve">Пропонується </w:t>
            </w:r>
            <w:r>
              <w:rPr>
                <w:rFonts w:ascii="Times New Roman" w:hAnsi="Times New Roman" w:cs="Times New Roman"/>
                <w:b/>
                <w:sz w:val="22"/>
                <w:szCs w:val="24"/>
                <w:lang w:eastAsia="uk-UA"/>
              </w:rPr>
              <w:t>врахувати частково в редакції:</w:t>
            </w:r>
          </w:p>
          <w:p w:rsidR="00120B3E" w:rsidRPr="00D32097" w:rsidRDefault="00120B3E" w:rsidP="00120B3E">
            <w:pPr>
              <w:shd w:val="clear" w:color="auto" w:fill="FFFFFF"/>
              <w:ind w:firstLine="314"/>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5.11. Плата за гнучке приєднання розраховується за формулою:</w:t>
            </w:r>
          </w:p>
          <w:p w:rsidR="00120B3E" w:rsidRPr="00D32097" w:rsidRDefault="00120B3E" w:rsidP="00120B3E">
            <w:pPr>
              <w:shd w:val="clear" w:color="auto" w:fill="FFFFFF"/>
              <w:ind w:firstLine="314"/>
              <w:rPr>
                <w:rFonts w:ascii="Times New Roman" w:hAnsi="Times New Roman" w:cs="Times New Roman"/>
                <w:b/>
                <w:sz w:val="22"/>
                <w:szCs w:val="22"/>
                <w:lang w:eastAsia="uk-UA"/>
              </w:rPr>
            </w:pPr>
          </w:p>
          <w:p w:rsidR="00120B3E" w:rsidRPr="00D32097" w:rsidRDefault="00120B3E" w:rsidP="00120B3E">
            <w:pPr>
              <w:shd w:val="clear" w:color="auto" w:fill="FFFFFF"/>
              <w:ind w:firstLine="314"/>
              <w:rPr>
                <w:rFonts w:ascii="Times New Roman" w:hAnsi="Times New Roman" w:cs="Times New Roman"/>
                <w:sz w:val="22"/>
                <w:szCs w:val="22"/>
              </w:rPr>
            </w:pPr>
            <w:r w:rsidRPr="00D32097">
              <w:rPr>
                <w:rFonts w:ascii="Times New Roman" w:hAnsi="Times New Roman" w:cs="Times New Roman"/>
                <w:b/>
                <w:sz w:val="22"/>
                <w:szCs w:val="22"/>
                <w:lang w:eastAsia="uk-UA"/>
              </w:rPr>
              <w:t xml:space="preserve"> </w:t>
            </w:r>
            <m:oMath>
              <m:sSubSup>
                <m:sSubSupPr>
                  <m:ctrlPr>
                    <w:rPr>
                      <w:rFonts w:ascii="Cambria Math" w:hAnsi="Cambria Math" w:cs="Times New Roman"/>
                      <w:sz w:val="22"/>
                      <w:szCs w:val="22"/>
                    </w:rPr>
                  </m:ctrlPr>
                </m:sSubSupPr>
                <m:e>
                  <m:r>
                    <w:rPr>
                      <w:rFonts w:ascii="Cambria Math" w:hAnsi="Cambria Math" w:cs="Times New Roman"/>
                      <w:sz w:val="22"/>
                      <w:szCs w:val="22"/>
                    </w:rPr>
                    <m:t>П</m:t>
                  </m:r>
                </m:e>
                <m:sub>
                  <m:r>
                    <w:rPr>
                      <w:rFonts w:ascii="Cambria Math" w:hAnsi="Cambria Math" w:cs="Times New Roman"/>
                      <w:sz w:val="22"/>
                      <w:szCs w:val="22"/>
                    </w:rPr>
                    <m:t>нст</m:t>
                  </m:r>
                </m:sub>
                <m:sup>
                  <m:r>
                    <w:rPr>
                      <w:rFonts w:ascii="Cambria Math" w:hAnsi="Cambria Math" w:cs="Times New Roman"/>
                      <w:sz w:val="22"/>
                      <w:szCs w:val="22"/>
                    </w:rPr>
                    <m:t>гнучке</m:t>
                  </m:r>
                </m:sup>
              </m:sSubSup>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e>
              </m:d>
              <m:r>
                <w:rPr>
                  <w:rFonts w:ascii="Cambria Math" w:hAnsi="Cambria Math" w:cs="Times New Roman"/>
                  <w:sz w:val="22"/>
                  <w:szCs w:val="22"/>
                </w:rPr>
                <m:t>+</m:t>
              </m:r>
              <m:sSub>
                <m:sSubPr>
                  <m:ctrlPr>
                    <w:rPr>
                      <w:rFonts w:ascii="Cambria Math" w:eastAsiaTheme="minorHAnsi" w:hAnsi="Cambria Math" w:cs="Times New Roman"/>
                      <w:i/>
                      <w:sz w:val="22"/>
                      <w:szCs w:val="22"/>
                      <w:lang w:eastAsia="en-US"/>
                    </w:rPr>
                  </m:ctrlPr>
                </m:sSubPr>
                <m:e>
                  <m:r>
                    <w:rPr>
                      <w:rFonts w:ascii="Cambria Math" w:eastAsiaTheme="minorHAnsi" w:hAnsi="Cambria Math" w:cs="Times New Roman"/>
                      <w:sz w:val="22"/>
                      <w:szCs w:val="22"/>
                      <w:lang w:eastAsia="en-US"/>
                    </w:rPr>
                    <m:t>l</m:t>
                  </m:r>
                </m:e>
                <m:sub>
                  <m:r>
                    <w:rPr>
                      <w:rFonts w:ascii="Cambria Math" w:eastAsiaTheme="minorHAnsi" w:hAnsi="Cambria Math" w:cs="Times New Roman"/>
                      <w:sz w:val="22"/>
                      <w:szCs w:val="22"/>
                      <w:lang w:eastAsia="en-US"/>
                    </w:rPr>
                    <m:t>м</m:t>
                  </m:r>
                </m:sub>
              </m:sSub>
              <m:r>
                <w:rPr>
                  <w:rFonts w:ascii="Cambria Math" w:hAnsi="Cambria Math" w:cs="Times New Roman"/>
                  <w:sz w:val="22"/>
                  <w:szCs w:val="22"/>
                </w:rPr>
                <m:t>×</m:t>
              </m:r>
              <m:sSubSup>
                <m:sSubSupPr>
                  <m:ctrlPr>
                    <w:rPr>
                      <w:rFonts w:ascii="Cambria Math" w:eastAsiaTheme="minorHAnsi" w:hAnsi="Cambria Math" w:cs="Times New Roman"/>
                      <w:sz w:val="22"/>
                      <w:szCs w:val="22"/>
                      <w:lang w:eastAsia="en-US"/>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w:rPr>
                  <w:rFonts w:ascii="Cambria Math" w:hAnsi="Cambria Math" w:cs="Times New Roman"/>
                  <w:sz w:val="22"/>
                  <w:szCs w:val="22"/>
                </w:rPr>
                <m:t>, тис. грн,</m:t>
              </m:r>
            </m:oMath>
          </w:p>
          <w:p w:rsidR="00120B3E" w:rsidRPr="00D32097" w:rsidRDefault="00120B3E" w:rsidP="00120B3E">
            <w:pPr>
              <w:shd w:val="clear" w:color="auto" w:fill="FFFFFF"/>
              <w:ind w:firstLine="314"/>
              <w:rPr>
                <w:rFonts w:ascii="Times New Roman" w:hAnsi="Times New Roman" w:cs="Times New Roman"/>
                <w:sz w:val="22"/>
                <w:szCs w:val="22"/>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98"/>
              <w:gridCol w:w="707"/>
              <w:gridCol w:w="139"/>
              <w:gridCol w:w="2634"/>
            </w:tblGrid>
            <w:tr w:rsidR="00120B3E" w:rsidRPr="00D32097" w:rsidTr="00CC4EE4">
              <w:tc>
                <w:tcPr>
                  <w:tcW w:w="370"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4"/>
                    <w:framePr w:hSpace="180" w:wrap="around" w:vAnchor="text" w:hAnchor="margin" w:y="416"/>
                    <w:spacing w:before="150" w:beforeAutospacing="0" w:after="150" w:afterAutospacing="0"/>
                    <w:ind w:firstLine="314"/>
                    <w:rPr>
                      <w:sz w:val="22"/>
                      <w:szCs w:val="22"/>
                    </w:rPr>
                  </w:pPr>
                  <w:r w:rsidRPr="00D32097">
                    <w:rPr>
                      <w:sz w:val="22"/>
                      <w:szCs w:val="22"/>
                    </w:rPr>
                    <w:t>де</w:t>
                  </w:r>
                </w:p>
              </w:tc>
              <w:tc>
                <w:tcPr>
                  <w:tcW w:w="1471" w:type="dxa"/>
                  <w:tcBorders>
                    <w:top w:val="single" w:sz="2" w:space="0" w:color="auto"/>
                    <w:left w:val="single" w:sz="2" w:space="0" w:color="auto"/>
                    <w:bottom w:val="single" w:sz="2" w:space="0" w:color="auto"/>
                    <w:right w:val="single" w:sz="2" w:space="0" w:color="auto"/>
                  </w:tcBorders>
                  <w:hideMark/>
                </w:tcPr>
                <w:p w:rsidR="00120B3E"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гарантована потужність відбору, замовлена до приєднання </w:t>
                  </w:r>
                </w:p>
              </w:tc>
            </w:tr>
            <w:tr w:rsidR="00120B3E" w:rsidRPr="00D32097" w:rsidTr="00CC4EE4">
              <w:tc>
                <w:tcPr>
                  <w:tcW w:w="370"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120B3E"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відбір</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не гарантована потужність відбору, замовлена до приєднання </w:t>
                  </w:r>
                </w:p>
              </w:tc>
            </w:tr>
            <w:tr w:rsidR="00120B3E" w:rsidRPr="00D32097" w:rsidTr="00CC4EE4">
              <w:tc>
                <w:tcPr>
                  <w:tcW w:w="370"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120B3E"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гарантована потужність відпуску, замовлена до приєднання </w:t>
                  </w:r>
                </w:p>
              </w:tc>
            </w:tr>
            <w:tr w:rsidR="00120B3E" w:rsidRPr="00D32097" w:rsidTr="00CC4EE4">
              <w:tc>
                <w:tcPr>
                  <w:tcW w:w="370"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tcPr>
                <w:p w:rsidR="00120B3E"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відпуск</m:t>
                          </m:r>
                        </m:sup>
                      </m:sSubSup>
                    </m:oMath>
                  </m:oMathPara>
                </w:p>
              </w:tc>
              <w:tc>
                <w:tcPr>
                  <w:tcW w:w="242"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tcPr>
                <w:p w:rsidR="00120B3E" w:rsidRPr="00D32097" w:rsidRDefault="00120B3E"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 xml:space="preserve"> не гарантована потужність відпуску, замовлена до приєднання </w:t>
                  </w:r>
                </w:p>
              </w:tc>
            </w:tr>
            <w:tr w:rsidR="00120B3E" w:rsidRPr="00D32097" w:rsidTr="00CC4EE4">
              <w:tc>
                <w:tcPr>
                  <w:tcW w:w="370"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4"/>
                    <w:framePr w:hSpace="180" w:wrap="around" w:vAnchor="text" w:hAnchor="margin" w:y="416"/>
                    <w:spacing w:before="150" w:beforeAutospacing="0" w:after="150" w:afterAutospacing="0"/>
                    <w:ind w:firstLine="314"/>
                    <w:rPr>
                      <w:sz w:val="22"/>
                      <w:szCs w:val="22"/>
                    </w:rPr>
                  </w:pPr>
                </w:p>
              </w:tc>
              <w:tc>
                <w:tcPr>
                  <w:tcW w:w="1471" w:type="dxa"/>
                  <w:tcBorders>
                    <w:top w:val="single" w:sz="2" w:space="0" w:color="auto"/>
                    <w:left w:val="single" w:sz="2" w:space="0" w:color="auto"/>
                    <w:bottom w:val="single" w:sz="2" w:space="0" w:color="auto"/>
                    <w:right w:val="single" w:sz="2" w:space="0" w:color="auto"/>
                  </w:tcBorders>
                  <w:hideMark/>
                </w:tcPr>
                <w:p w:rsidR="00120B3E" w:rsidRPr="00D32097" w:rsidRDefault="002D57C8" w:rsidP="002D57C8">
                  <w:pPr>
                    <w:pStyle w:val="rvps14"/>
                    <w:framePr w:hSpace="180" w:wrap="around" w:vAnchor="text" w:hAnchor="margin" w:y="416"/>
                    <w:spacing w:before="150" w:beforeAutospacing="0" w:after="150" w:afterAutospacing="0"/>
                    <w:ind w:firstLine="314"/>
                    <w:rPr>
                      <w:sz w:val="22"/>
                      <w:szCs w:val="22"/>
                    </w:rPr>
                  </w:pPr>
                  <m:oMathPara>
                    <m:oMath>
                      <m:sSub>
                        <m:sSubPr>
                          <m:ctrlPr>
                            <w:rPr>
                              <w:rFonts w:ascii="Cambria Math" w:eastAsiaTheme="minorHAnsi" w:hAnsi="Cambria Math"/>
                              <w:i/>
                              <w:sz w:val="22"/>
                              <w:szCs w:val="22"/>
                              <w:lang w:eastAsia="en-US"/>
                            </w:rPr>
                          </m:ctrlPr>
                        </m:sSubPr>
                        <m:e>
                          <m:r>
                            <w:rPr>
                              <w:rFonts w:ascii="Cambria Math" w:hAnsi="Cambria Math"/>
                              <w:sz w:val="22"/>
                              <w:szCs w:val="22"/>
                            </w:rPr>
                            <m:t>К</m:t>
                          </m:r>
                        </m:e>
                        <m:sub>
                          <m:r>
                            <w:rPr>
                              <w:rFonts w:ascii="Cambria Math" w:hAnsi="Cambria Math"/>
                              <w:sz w:val="22"/>
                              <w:szCs w:val="22"/>
                            </w:rPr>
                            <m:t>гнучке</m:t>
                          </m:r>
                        </m:sub>
                      </m:sSub>
                    </m:oMath>
                  </m:oMathPara>
                </w:p>
              </w:tc>
              <w:tc>
                <w:tcPr>
                  <w:tcW w:w="242"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2"/>
                    <w:framePr w:hSpace="180" w:wrap="around" w:vAnchor="text" w:hAnchor="margin" w:y="416"/>
                    <w:spacing w:before="150" w:beforeAutospacing="0" w:after="150" w:afterAutospacing="0"/>
                    <w:ind w:firstLine="314"/>
                    <w:rPr>
                      <w:sz w:val="22"/>
                      <w:szCs w:val="22"/>
                    </w:rPr>
                  </w:pPr>
                  <w:r w:rsidRPr="00D32097">
                    <w:rPr>
                      <w:sz w:val="22"/>
                      <w:szCs w:val="22"/>
                    </w:rPr>
                    <w:t>-</w:t>
                  </w:r>
                </w:p>
              </w:tc>
              <w:tc>
                <w:tcPr>
                  <w:tcW w:w="5634" w:type="dxa"/>
                  <w:tcBorders>
                    <w:top w:val="single" w:sz="2" w:space="0" w:color="auto"/>
                    <w:left w:val="single" w:sz="2" w:space="0" w:color="auto"/>
                    <w:bottom w:val="single" w:sz="2" w:space="0" w:color="auto"/>
                    <w:right w:val="single" w:sz="2" w:space="0" w:color="auto"/>
                  </w:tcBorders>
                  <w:hideMark/>
                </w:tcPr>
                <w:p w:rsidR="00120B3E" w:rsidRPr="00D32097" w:rsidRDefault="00120B3E" w:rsidP="002D57C8">
                  <w:pPr>
                    <w:pStyle w:val="rvps14"/>
                    <w:framePr w:hSpace="180" w:wrap="around" w:vAnchor="text" w:hAnchor="margin" w:y="416"/>
                    <w:spacing w:before="150" w:beforeAutospacing="0" w:after="150" w:afterAutospacing="0"/>
                    <w:ind w:firstLine="314"/>
                    <w:rPr>
                      <w:b/>
                      <w:sz w:val="22"/>
                      <w:szCs w:val="22"/>
                    </w:rPr>
                  </w:pPr>
                  <w:r w:rsidRPr="00D32097">
                    <w:rPr>
                      <w:b/>
                      <w:sz w:val="22"/>
                      <w:szCs w:val="22"/>
                    </w:rPr>
                    <w:t>коефіцієнт вартості гнучкого приєднання, який становить 0,3</w:t>
                  </w:r>
                </w:p>
              </w:tc>
            </w:tr>
          </w:tbl>
          <w:p w:rsidR="00FE4387" w:rsidRDefault="00FE4387" w:rsidP="00FE4387">
            <w:pPr>
              <w:ind w:firstLine="174"/>
              <w:jc w:val="center"/>
              <w:rPr>
                <w:rFonts w:ascii="Times New Roman" w:hAnsi="Times New Roman" w:cs="Times New Roman"/>
                <w:b/>
                <w:sz w:val="22"/>
                <w:szCs w:val="22"/>
                <w:lang w:eastAsia="uk-UA"/>
              </w:rPr>
            </w:pPr>
          </w:p>
          <w:p w:rsidR="00120B3E" w:rsidRDefault="00120B3E" w:rsidP="00120B3E">
            <w:pPr>
              <w:shd w:val="clear" w:color="auto" w:fill="FFFFFF"/>
              <w:jc w:val="both"/>
              <w:rPr>
                <w:rFonts w:ascii="Times New Roman" w:hAnsi="Times New Roman" w:cs="Times New Roman"/>
                <w:b/>
                <w:sz w:val="24"/>
                <w:szCs w:val="24"/>
                <w:lang w:eastAsia="uk-UA"/>
              </w:rPr>
            </w:pPr>
          </w:p>
          <w:p w:rsidR="00120B3E" w:rsidRPr="00D32097" w:rsidRDefault="00120B3E" w:rsidP="00120B3E">
            <w:pPr>
              <w:ind w:firstLine="174"/>
              <w:jc w:val="both"/>
              <w:rPr>
                <w:rFonts w:ascii="Times New Roman" w:hAnsi="Times New Roman" w:cs="Times New Roman"/>
                <w:b/>
                <w:sz w:val="22"/>
                <w:szCs w:val="22"/>
                <w:lang w:eastAsia="uk-UA"/>
              </w:rPr>
            </w:pPr>
            <w:r w:rsidRPr="00120B3E">
              <w:rPr>
                <w:rFonts w:ascii="Times New Roman" w:hAnsi="Times New Roman" w:cs="Times New Roman"/>
                <w:b/>
                <w:color w:val="00B050"/>
                <w:sz w:val="24"/>
                <w:szCs w:val="24"/>
                <w:lang w:eastAsia="uk-UA"/>
              </w:rPr>
              <w:t xml:space="preserve">У разі якщо гнучке приєднання здійснюється на тимчасовій основі </w:t>
            </w:r>
            <w:r w:rsidRPr="00120B3E">
              <w:rPr>
                <w:rFonts w:ascii="Times New Roman" w:hAnsi="Times New Roman" w:cs="Times New Roman"/>
                <w:b/>
                <w:color w:val="00B050"/>
                <w:sz w:val="24"/>
                <w:szCs w:val="24"/>
              </w:rPr>
              <w:t>(до виконання відповідних технічних заходів) розрахунок плати за таке приєднання здійснюється відповідно до пункту 5.1 цієї Методики.</w:t>
            </w:r>
          </w:p>
        </w:tc>
      </w:tr>
      <w:tr w:rsidR="00FE4387" w:rsidRPr="00D32097" w:rsidTr="002E4622">
        <w:trPr>
          <w:trHeight w:val="218"/>
        </w:trPr>
        <w:tc>
          <w:tcPr>
            <w:tcW w:w="3899" w:type="dxa"/>
            <w:gridSpan w:val="2"/>
            <w:vMerge/>
          </w:tcPr>
          <w:p w:rsidR="00FE4387" w:rsidRPr="00D32097" w:rsidRDefault="00FE4387" w:rsidP="00FE4387">
            <w:pPr>
              <w:shd w:val="clear" w:color="auto" w:fill="FFFFFF"/>
              <w:ind w:firstLine="314"/>
              <w:rPr>
                <w:b/>
                <w:sz w:val="22"/>
                <w:szCs w:val="22"/>
                <w:lang w:eastAsia="uk-UA"/>
              </w:rPr>
            </w:pPr>
          </w:p>
        </w:tc>
        <w:tc>
          <w:tcPr>
            <w:tcW w:w="3900" w:type="dxa"/>
            <w:gridSpan w:val="2"/>
          </w:tcPr>
          <w:p w:rsidR="00FE4387" w:rsidRPr="00D32097" w:rsidRDefault="00FE4387" w:rsidP="00FE4387">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ТОВ «</w:t>
            </w:r>
            <w:proofErr w:type="spellStart"/>
            <w:r w:rsidRPr="00D32097">
              <w:rPr>
                <w:rFonts w:ascii="Times New Roman" w:hAnsi="Times New Roman" w:cs="Times New Roman"/>
                <w:b/>
                <w:color w:val="000000"/>
                <w:sz w:val="22"/>
                <w:szCs w:val="22"/>
                <w:u w:val="single"/>
              </w:rPr>
              <w:t>Енергоінвест</w:t>
            </w:r>
            <w:proofErr w:type="spellEnd"/>
            <w:r w:rsidRPr="00D32097">
              <w:rPr>
                <w:rFonts w:ascii="Times New Roman" w:hAnsi="Times New Roman" w:cs="Times New Roman"/>
                <w:b/>
                <w:color w:val="000000"/>
                <w:sz w:val="22"/>
                <w:szCs w:val="22"/>
                <w:u w:val="single"/>
              </w:rPr>
              <w:t>»</w:t>
            </w:r>
          </w:p>
          <w:p w:rsidR="00FE4387" w:rsidRPr="00D32097" w:rsidRDefault="00FE4387" w:rsidP="00FE4387">
            <w:pPr>
              <w:shd w:val="clear" w:color="auto" w:fill="FFFFFF"/>
              <w:ind w:firstLine="235"/>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5.11. Плата за гнучке приєднання розраховується за формулою:</w:t>
            </w:r>
          </w:p>
          <w:p w:rsidR="00FE4387" w:rsidRPr="00D32097" w:rsidRDefault="00FE4387" w:rsidP="00FE4387">
            <w:pPr>
              <w:shd w:val="clear" w:color="auto" w:fill="FFFFFF"/>
              <w:ind w:firstLine="235"/>
              <w:jc w:val="both"/>
              <w:rPr>
                <w:rFonts w:ascii="Times New Roman" w:hAnsi="Times New Roman" w:cs="Times New Roman"/>
                <w:b/>
                <w:sz w:val="22"/>
                <w:szCs w:val="24"/>
                <w:lang w:eastAsia="uk-UA"/>
              </w:rPr>
            </w:pPr>
          </w:p>
          <w:p w:rsidR="00FE4387" w:rsidRPr="00D32097" w:rsidRDefault="002D57C8" w:rsidP="00FE4387">
            <w:pPr>
              <w:shd w:val="clear" w:color="auto" w:fill="FFFFFF"/>
              <w:ind w:firstLine="235"/>
              <w:jc w:val="both"/>
              <w:rPr>
                <w:sz w:val="24"/>
                <w:szCs w:val="24"/>
                <w:lang w:eastAsia="uk-UA"/>
              </w:rPr>
            </w:pPr>
            <m:oMathPara>
              <m:oMath>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П</m:t>
                    </m:r>
                  </m:e>
                  <m:sub>
                    <m:r>
                      <w:rPr>
                        <w:rFonts w:ascii="Cambria Math" w:hAnsi="Cambria Math" w:cs="Times New Roman"/>
                        <w:sz w:val="22"/>
                        <w:szCs w:val="24"/>
                        <w:lang w:eastAsia="uk-UA"/>
                      </w:rPr>
                      <m:t>нст</m:t>
                    </m:r>
                  </m:sub>
                  <m:sup>
                    <m:r>
                      <w:rPr>
                        <w:rFonts w:ascii="Cambria Math" w:hAnsi="Cambria Math" w:cs="Times New Roman"/>
                        <w:sz w:val="22"/>
                        <w:szCs w:val="24"/>
                        <w:lang w:eastAsia="uk-UA"/>
                      </w:rPr>
                      <m:t>гнучке</m:t>
                    </m:r>
                  </m:sup>
                </m:sSubSup>
                <m:r>
                  <w:rPr>
                    <w:rFonts w:ascii="Cambria Math" w:hAnsi="Cambria Math" w:cs="Times New Roman"/>
                    <w:sz w:val="22"/>
                    <w:szCs w:val="24"/>
                    <w:lang w:eastAsia="uk-UA"/>
                  </w:rPr>
                  <m:t>=</m:t>
                </m:r>
                <m:r>
                  <m:rPr>
                    <m:nor/>
                  </m:rPr>
                  <w:rPr>
                    <w:rFonts w:ascii="Times New Roman" w:hAnsi="Times New Roman" w:cs="Times New Roman"/>
                    <w:b/>
                    <w:sz w:val="22"/>
                    <w:szCs w:val="24"/>
                    <w:lang w:eastAsia="uk-UA"/>
                  </w:rPr>
                  <m:t>"Найбіл</m:t>
                </m:r>
                <w:proofErr w:type="spellStart"/>
                <m:r>
                  <m:rPr>
                    <m:nor/>
                  </m:rPr>
                  <w:rPr>
                    <w:rFonts w:ascii="Cambria Math" w:hAnsi="Times New Roman" w:cs="Times New Roman"/>
                    <w:b/>
                    <w:sz w:val="22"/>
                    <w:szCs w:val="24"/>
                    <w:lang w:eastAsia="uk-UA"/>
                  </w:rPr>
                  <m:t>ь</m:t>
                </m:r>
                <m:r>
                  <m:rPr>
                    <m:nor/>
                  </m:rPr>
                  <w:rPr>
                    <w:rFonts w:ascii="Times New Roman" w:hAnsi="Times New Roman" w:cs="Times New Roman"/>
                    <w:b/>
                    <w:sz w:val="22"/>
                    <w:szCs w:val="24"/>
                    <w:lang w:eastAsia="uk-UA"/>
                  </w:rPr>
                  <m:t>ше</m:t>
                </m:r>
                <w:proofErr w:type="spellEnd"/>
                <m:r>
                  <m:rPr>
                    <m:nor/>
                  </m:rPr>
                  <w:rPr>
                    <w:rFonts w:ascii="Times New Roman" w:hAnsi="Times New Roman" w:cs="Times New Roman"/>
                    <w:b/>
                    <w:sz w:val="22"/>
                    <w:szCs w:val="24"/>
                    <w:lang w:eastAsia="uk-UA"/>
                  </w:rPr>
                  <m:t xml:space="preserve"> з</m:t>
                </m:r>
                <m:r>
                  <m:rPr>
                    <m:sty m:val="b"/>
                  </m:rPr>
                  <w:rPr>
                    <w:rFonts w:ascii="Cambria Math" w:hAnsi="Cambria Math" w:cs="Times New Roman"/>
                    <w:sz w:val="22"/>
                    <w:szCs w:val="24"/>
                    <w:lang w:eastAsia="uk-UA"/>
                  </w:rPr>
                  <m:t xml:space="preserve">" або </m:t>
                </m:r>
                <m:r>
                  <m:rPr>
                    <m:sty m:val="bi"/>
                  </m:rPr>
                  <w:rPr>
                    <w:rFonts w:ascii="Cambria Math" w:hAnsi="Cambria Math" w:cs="Times New Roman"/>
                    <w:sz w:val="22"/>
                    <w:szCs w:val="24"/>
                    <w:lang w:eastAsia="uk-UA"/>
                  </w:rPr>
                  <m:t xml:space="preserve">"max" </m:t>
                </m:r>
                <m:d>
                  <m:dPr>
                    <m:ctrlPr>
                      <w:rPr>
                        <w:rFonts w:ascii="Cambria Math" w:hAnsi="Cambria Math" w:cs="Times New Roman"/>
                        <w:i/>
                        <w:sz w:val="22"/>
                        <w:szCs w:val="24"/>
                        <w:lang w:eastAsia="uk-UA"/>
                      </w:rPr>
                    </m:ctrlPr>
                  </m:dPr>
                  <m:e>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(Р</m:t>
                        </m:r>
                      </m:e>
                      <m:sub>
                        <m:r>
                          <w:rPr>
                            <w:rFonts w:ascii="Cambria Math" w:hAnsi="Cambria Math" w:cs="Times New Roman"/>
                            <w:sz w:val="22"/>
                            <w:szCs w:val="24"/>
                            <w:lang w:eastAsia="uk-UA"/>
                          </w:rPr>
                          <m:t>гарант</m:t>
                        </m:r>
                      </m:sub>
                      <m:sup>
                        <m:r>
                          <w:rPr>
                            <w:rFonts w:ascii="Cambria Math" w:hAnsi="Cambria Math" w:cs="Times New Roman"/>
                            <w:sz w:val="22"/>
                            <w:szCs w:val="24"/>
                            <w:lang w:eastAsia="uk-UA"/>
                          </w:rPr>
                          <m:t>відбір</m:t>
                        </m:r>
                      </m:sup>
                    </m:sSubSup>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Р</m:t>
                        </m:r>
                      </m:e>
                      <m:sub>
                        <m:r>
                          <w:rPr>
                            <w:rFonts w:ascii="Cambria Math" w:hAnsi="Cambria Math" w:cs="Times New Roman"/>
                            <w:sz w:val="22"/>
                            <w:szCs w:val="24"/>
                            <w:lang w:eastAsia="uk-UA"/>
                          </w:rPr>
                          <m:t>негарант</m:t>
                        </m:r>
                      </m:sub>
                      <m:sup>
                        <m:r>
                          <w:rPr>
                            <w:rFonts w:ascii="Cambria Math" w:hAnsi="Cambria Math" w:cs="Times New Roman"/>
                            <w:sz w:val="22"/>
                            <w:szCs w:val="24"/>
                            <w:lang w:eastAsia="uk-UA"/>
                          </w:rPr>
                          <m:t>відбір</m:t>
                        </m:r>
                      </m:sup>
                    </m:sSubSup>
                    <m:r>
                      <w:rPr>
                        <w:rFonts w:ascii="Cambria Math" w:hAnsi="Cambria Math" w:cs="Times New Roman"/>
                        <w:sz w:val="22"/>
                        <w:szCs w:val="24"/>
                        <w:lang w:eastAsia="uk-UA"/>
                      </w:rPr>
                      <m:t>×</m:t>
                    </m:r>
                    <m:sSub>
                      <m:sSubPr>
                        <m:ctrlPr>
                          <w:rPr>
                            <w:rFonts w:ascii="Cambria Math" w:hAnsi="Cambria Math" w:cs="Times New Roman"/>
                            <w:i/>
                            <w:sz w:val="22"/>
                            <w:szCs w:val="24"/>
                            <w:lang w:eastAsia="uk-UA"/>
                          </w:rPr>
                        </m:ctrlPr>
                      </m:sSubPr>
                      <m:e>
                        <m:r>
                          <w:rPr>
                            <w:rFonts w:ascii="Cambria Math" w:hAnsi="Cambria Math" w:cs="Times New Roman"/>
                            <w:sz w:val="22"/>
                            <w:szCs w:val="24"/>
                            <w:lang w:eastAsia="uk-UA"/>
                          </w:rPr>
                          <m:t>К</m:t>
                        </m:r>
                      </m:e>
                      <m:sub>
                        <m:r>
                          <w:rPr>
                            <w:rFonts w:ascii="Cambria Math" w:hAnsi="Cambria Math" w:cs="Times New Roman"/>
                            <w:sz w:val="22"/>
                            <w:szCs w:val="24"/>
                            <w:lang w:eastAsia="uk-UA"/>
                          </w:rPr>
                          <m:t>гнучке</m:t>
                        </m:r>
                      </m:sub>
                    </m:sSub>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С</m:t>
                        </m:r>
                      </m:e>
                      <m:sub>
                        <m:r>
                          <w:rPr>
                            <w:rFonts w:ascii="Cambria Math" w:hAnsi="Cambria Math" w:cs="Times New Roman"/>
                            <w:sz w:val="22"/>
                            <w:szCs w:val="24"/>
                            <w:lang w:eastAsia="uk-UA"/>
                          </w:rPr>
                          <m:t>нст</m:t>
                        </m:r>
                      </m:sub>
                      <m:sup>
                        <m:r>
                          <w:rPr>
                            <w:rFonts w:ascii="Cambria Math" w:hAnsi="Cambria Math" w:cs="Times New Roman"/>
                            <w:sz w:val="22"/>
                            <w:szCs w:val="24"/>
                            <w:lang w:eastAsia="uk-UA"/>
                          </w:rPr>
                          <m:t>к,н,зтт,місц,с</m:t>
                        </m:r>
                      </m:sup>
                    </m:sSubSup>
                  </m:e>
                </m:d>
                <m:r>
                  <w:rPr>
                    <w:rFonts w:ascii="Cambria Math" w:hAnsi="Cambria Math" w:cs="Times New Roman"/>
                    <w:sz w:val="22"/>
                    <w:szCs w:val="24"/>
                    <w:lang w:eastAsia="uk-UA"/>
                  </w:rPr>
                  <m:t xml:space="preserve"> ;</m:t>
                </m:r>
                <m:d>
                  <m:dPr>
                    <m:ctrlPr>
                      <w:rPr>
                        <w:rFonts w:ascii="Cambria Math" w:hAnsi="Cambria Math" w:cs="Times New Roman"/>
                        <w:i/>
                        <w:sz w:val="22"/>
                        <w:szCs w:val="24"/>
                        <w:lang w:eastAsia="uk-UA"/>
                      </w:rPr>
                    </m:ctrlPr>
                  </m:dPr>
                  <m:e>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(Р</m:t>
                        </m:r>
                      </m:e>
                      <m:sub>
                        <m:r>
                          <w:rPr>
                            <w:rFonts w:ascii="Cambria Math" w:hAnsi="Cambria Math" w:cs="Times New Roman"/>
                            <w:sz w:val="22"/>
                            <w:szCs w:val="24"/>
                            <w:lang w:eastAsia="uk-UA"/>
                          </w:rPr>
                          <m:t>гарант</m:t>
                        </m:r>
                      </m:sub>
                      <m:sup>
                        <m:r>
                          <w:rPr>
                            <w:rFonts w:ascii="Cambria Math" w:hAnsi="Cambria Math" w:cs="Times New Roman"/>
                            <w:sz w:val="22"/>
                            <w:szCs w:val="24"/>
                            <w:lang w:eastAsia="uk-UA"/>
                          </w:rPr>
                          <m:t>відпуск</m:t>
                        </m:r>
                      </m:sup>
                    </m:sSubSup>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Р</m:t>
                        </m:r>
                      </m:e>
                      <m:sub>
                        <m:r>
                          <w:rPr>
                            <w:rFonts w:ascii="Cambria Math" w:hAnsi="Cambria Math" w:cs="Times New Roman"/>
                            <w:sz w:val="22"/>
                            <w:szCs w:val="24"/>
                            <w:lang w:eastAsia="uk-UA"/>
                          </w:rPr>
                          <m:t>негарант</m:t>
                        </m:r>
                      </m:sub>
                      <m:sup>
                        <m:r>
                          <w:rPr>
                            <w:rFonts w:ascii="Cambria Math" w:hAnsi="Cambria Math" w:cs="Times New Roman"/>
                            <w:sz w:val="22"/>
                            <w:szCs w:val="24"/>
                            <w:lang w:eastAsia="uk-UA"/>
                          </w:rPr>
                          <m:t>відпуск</m:t>
                        </m:r>
                      </m:sup>
                    </m:sSubSup>
                    <m:r>
                      <w:rPr>
                        <w:rFonts w:ascii="Cambria Math" w:hAnsi="Cambria Math" w:cs="Times New Roman"/>
                        <w:sz w:val="22"/>
                        <w:szCs w:val="24"/>
                        <w:lang w:eastAsia="uk-UA"/>
                      </w:rPr>
                      <m:t>×</m:t>
                    </m:r>
                    <m:sSub>
                      <m:sSubPr>
                        <m:ctrlPr>
                          <w:rPr>
                            <w:rFonts w:ascii="Cambria Math" w:hAnsi="Cambria Math" w:cs="Times New Roman"/>
                            <w:i/>
                            <w:sz w:val="22"/>
                            <w:szCs w:val="24"/>
                            <w:lang w:eastAsia="uk-UA"/>
                          </w:rPr>
                        </m:ctrlPr>
                      </m:sSubPr>
                      <m:e>
                        <m:r>
                          <w:rPr>
                            <w:rFonts w:ascii="Cambria Math" w:hAnsi="Cambria Math" w:cs="Times New Roman"/>
                            <w:sz w:val="22"/>
                            <w:szCs w:val="24"/>
                            <w:lang w:eastAsia="uk-UA"/>
                          </w:rPr>
                          <m:t>К</m:t>
                        </m:r>
                      </m:e>
                      <m:sub>
                        <m:r>
                          <w:rPr>
                            <w:rFonts w:ascii="Cambria Math" w:hAnsi="Cambria Math" w:cs="Times New Roman"/>
                            <w:sz w:val="22"/>
                            <w:szCs w:val="24"/>
                            <w:lang w:eastAsia="uk-UA"/>
                          </w:rPr>
                          <m:t xml:space="preserve">гнучке </m:t>
                        </m:r>
                      </m:sub>
                    </m:sSub>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С</m:t>
                        </m:r>
                      </m:e>
                      <m:sub>
                        <m:r>
                          <w:rPr>
                            <w:rFonts w:ascii="Cambria Math" w:hAnsi="Cambria Math" w:cs="Times New Roman"/>
                            <w:sz w:val="22"/>
                            <w:szCs w:val="24"/>
                            <w:lang w:eastAsia="uk-UA"/>
                          </w:rPr>
                          <m:t>нст</m:t>
                        </m:r>
                      </m:sub>
                      <m:sup>
                        <m:r>
                          <w:rPr>
                            <w:rFonts w:ascii="Cambria Math" w:hAnsi="Cambria Math" w:cs="Times New Roman"/>
                            <w:sz w:val="22"/>
                            <w:szCs w:val="24"/>
                            <w:lang w:eastAsia="uk-UA"/>
                          </w:rPr>
                          <m:t>к,н,зтт,місц,в</m:t>
                        </m:r>
                      </m:sup>
                    </m:sSubSup>
                  </m:e>
                </m:d>
                <m:r>
                  <w:rPr>
                    <w:rFonts w:ascii="Cambria Math" w:hAnsi="Cambria Math" w:cs="Times New Roman"/>
                    <w:sz w:val="22"/>
                    <w:szCs w:val="24"/>
                    <w:lang w:eastAsia="uk-UA"/>
                  </w:rPr>
                  <m:t xml:space="preserve"> +</m:t>
                </m:r>
                <m:sSub>
                  <m:sSubPr>
                    <m:ctrlPr>
                      <w:rPr>
                        <w:rFonts w:ascii="Cambria Math" w:hAnsi="Cambria Math" w:cs="Times New Roman"/>
                        <w:i/>
                        <w:sz w:val="22"/>
                        <w:szCs w:val="24"/>
                        <w:lang w:eastAsia="uk-UA"/>
                      </w:rPr>
                    </m:ctrlPr>
                  </m:sSubPr>
                  <m:e>
                    <m:r>
                      <w:rPr>
                        <w:rFonts w:ascii="Cambria Math" w:hAnsi="Cambria Math" w:cs="Times New Roman"/>
                        <w:sz w:val="22"/>
                        <w:szCs w:val="24"/>
                        <w:lang w:eastAsia="uk-UA"/>
                      </w:rPr>
                      <m:t>l</m:t>
                    </m:r>
                  </m:e>
                  <m:sub>
                    <m:r>
                      <w:rPr>
                        <w:rFonts w:ascii="Cambria Math" w:hAnsi="Cambria Math" w:cs="Times New Roman"/>
                        <w:sz w:val="22"/>
                        <w:szCs w:val="24"/>
                        <w:lang w:eastAsia="uk-UA"/>
                      </w:rPr>
                      <m:t>м</m:t>
                    </m:r>
                  </m:sub>
                </m:sSub>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С</m:t>
                    </m:r>
                  </m:e>
                  <m:sub>
                    <m:r>
                      <w:rPr>
                        <w:rFonts w:ascii="Cambria Math" w:hAnsi="Cambria Math" w:cs="Times New Roman"/>
                        <w:sz w:val="22"/>
                        <w:szCs w:val="24"/>
                        <w:lang w:eastAsia="uk-UA"/>
                      </w:rPr>
                      <m:t>лін</m:t>
                    </m:r>
                  </m:sub>
                  <m:sup>
                    <m:r>
                      <w:rPr>
                        <w:rFonts w:ascii="Cambria Math" w:hAnsi="Cambria Math" w:cs="Times New Roman"/>
                        <w:sz w:val="22"/>
                        <w:szCs w:val="24"/>
                        <w:lang w:eastAsia="uk-UA"/>
                      </w:rPr>
                      <m:t>л,н,зем</m:t>
                    </m:r>
                  </m:sup>
                </m:sSubSup>
                <m:r>
                  <w:rPr>
                    <w:rFonts w:ascii="Cambria Math" w:hAnsi="Cambria Math" w:cs="Times New Roman"/>
                    <w:sz w:val="22"/>
                    <w:szCs w:val="24"/>
                    <w:lang w:eastAsia="uk-UA"/>
                  </w:rPr>
                  <m:t>, тис. грн.</m:t>
                </m:r>
              </m:oMath>
            </m:oMathPara>
          </w:p>
        </w:tc>
        <w:tc>
          <w:tcPr>
            <w:tcW w:w="3899" w:type="dxa"/>
          </w:tcPr>
          <w:p w:rsidR="00FE4387" w:rsidRPr="00D32097" w:rsidRDefault="00FE4387" w:rsidP="00FE4387">
            <w:pPr>
              <w:jc w:val="center"/>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Пропонуємо розглянути наш варіант.</w:t>
            </w:r>
          </w:p>
          <w:p w:rsidR="00FE4387" w:rsidRPr="00D32097" w:rsidRDefault="00FE4387" w:rsidP="00FE4387">
            <w:pPr>
              <w:jc w:val="both"/>
              <w:rPr>
                <w:rFonts w:ascii="Times New Roman" w:hAnsi="Times New Roman" w:cs="Times New Roman"/>
                <w:b/>
                <w:sz w:val="22"/>
                <w:szCs w:val="24"/>
                <w:lang w:eastAsia="uk-UA"/>
              </w:rPr>
            </w:pPr>
            <w:r w:rsidRPr="00D32097">
              <w:rPr>
                <w:rFonts w:ascii="Times New Roman" w:hAnsi="Times New Roman" w:cs="Times New Roman"/>
                <w:b/>
                <w:sz w:val="22"/>
                <w:szCs w:val="24"/>
                <w:lang w:eastAsia="uk-UA"/>
              </w:rPr>
              <w:t>В запропонованій НКРЕКП формулі замовник знову платить і за споживання і за видачу одночасно.</w:t>
            </w:r>
          </w:p>
          <w:p w:rsidR="00FE4387" w:rsidRPr="00D32097" w:rsidRDefault="00FE4387" w:rsidP="00FE4387">
            <w:pPr>
              <w:jc w:val="both"/>
              <w:rPr>
                <w:rFonts w:ascii="Times New Roman" w:hAnsi="Times New Roman" w:cs="Times New Roman"/>
                <w:sz w:val="22"/>
                <w:szCs w:val="24"/>
                <w:lang w:eastAsia="uk-UA"/>
              </w:rPr>
            </w:pPr>
          </w:p>
          <w:p w:rsidR="00FE4387" w:rsidRPr="00D32097" w:rsidRDefault="00FE4387" w:rsidP="00FE4387">
            <w:pPr>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   Щоб об'єднати логіку єдиного обладнання (максимум) та концепцію гнучкого приєднання (знижка на негарантовану потужність), формула має порівнювати </w:t>
            </w:r>
            <w:r w:rsidRPr="00D32097">
              <w:rPr>
                <w:rFonts w:ascii="Times New Roman" w:hAnsi="Times New Roman" w:cs="Times New Roman"/>
                <w:iCs/>
                <w:sz w:val="22"/>
                <w:szCs w:val="24"/>
                <w:lang w:eastAsia="uk-UA"/>
              </w:rPr>
              <w:t xml:space="preserve">повну вартість </w:t>
            </w:r>
            <w:r w:rsidRPr="00D32097">
              <w:rPr>
                <w:rFonts w:ascii="Times New Roman" w:hAnsi="Times New Roman" w:cs="Times New Roman"/>
                <w:iCs/>
                <w:sz w:val="22"/>
                <w:szCs w:val="24"/>
                <w:lang w:eastAsia="uk-UA"/>
              </w:rPr>
              <w:lastRenderedPageBreak/>
              <w:t>відбору</w:t>
            </w:r>
            <w:r w:rsidRPr="00D32097">
              <w:rPr>
                <w:rFonts w:ascii="Times New Roman" w:hAnsi="Times New Roman" w:cs="Times New Roman"/>
                <w:i/>
                <w:sz w:val="22"/>
                <w:szCs w:val="24"/>
                <w:lang w:eastAsia="uk-UA"/>
              </w:rPr>
              <w:t xml:space="preserve"> </w:t>
            </w:r>
            <w:r w:rsidRPr="00D32097">
              <w:rPr>
                <w:rFonts w:ascii="Times New Roman" w:hAnsi="Times New Roman" w:cs="Times New Roman"/>
                <w:sz w:val="22"/>
                <w:szCs w:val="24"/>
                <w:lang w:eastAsia="uk-UA"/>
              </w:rPr>
              <w:t>та</w:t>
            </w:r>
            <w:r w:rsidRPr="00D32097">
              <w:rPr>
                <w:rFonts w:ascii="Times New Roman" w:hAnsi="Times New Roman" w:cs="Times New Roman"/>
                <w:i/>
                <w:sz w:val="22"/>
                <w:szCs w:val="24"/>
                <w:lang w:eastAsia="uk-UA"/>
              </w:rPr>
              <w:t xml:space="preserve"> </w:t>
            </w:r>
            <w:r w:rsidRPr="00D32097">
              <w:rPr>
                <w:rFonts w:ascii="Times New Roman" w:hAnsi="Times New Roman" w:cs="Times New Roman"/>
                <w:iCs/>
                <w:sz w:val="22"/>
                <w:szCs w:val="24"/>
                <w:lang w:eastAsia="uk-UA"/>
              </w:rPr>
              <w:t>повну вартість відпуску</w:t>
            </w:r>
            <w:r w:rsidRPr="00D32097">
              <w:rPr>
                <w:rFonts w:ascii="Times New Roman" w:hAnsi="Times New Roman" w:cs="Times New Roman"/>
                <w:sz w:val="22"/>
                <w:szCs w:val="24"/>
                <w:lang w:eastAsia="uk-UA"/>
              </w:rPr>
              <w:t xml:space="preserve"> і обирати більшу з них.</w:t>
            </w:r>
          </w:p>
          <w:p w:rsidR="00FE4387" w:rsidRPr="00D32097" w:rsidRDefault="00FE4387" w:rsidP="00FE4387">
            <w:pPr>
              <w:jc w:val="both"/>
              <w:rPr>
                <w:rFonts w:ascii="Times New Roman" w:hAnsi="Times New Roman" w:cs="Times New Roman"/>
                <w:sz w:val="22"/>
                <w:szCs w:val="24"/>
                <w:lang w:eastAsia="uk-UA"/>
              </w:rPr>
            </w:pPr>
          </w:p>
          <w:p w:rsidR="00FE4387" w:rsidRPr="00D32097" w:rsidRDefault="00FE4387" w:rsidP="00FE4387">
            <w:pPr>
              <w:jc w:val="both"/>
              <w:rPr>
                <w:rFonts w:ascii="Times New Roman" w:hAnsi="Times New Roman" w:cs="Times New Roman"/>
                <w:b/>
                <w:bCs/>
                <w:sz w:val="22"/>
                <w:szCs w:val="24"/>
                <w:lang w:eastAsia="uk-UA"/>
              </w:rPr>
            </w:pPr>
            <w:r w:rsidRPr="00D32097">
              <w:rPr>
                <w:rFonts w:ascii="Times New Roman" w:hAnsi="Times New Roman" w:cs="Times New Roman"/>
                <w:b/>
                <w:bCs/>
                <w:sz w:val="22"/>
                <w:szCs w:val="24"/>
                <w:lang w:eastAsia="uk-UA"/>
              </w:rPr>
              <w:t>Чому ми пропонуємо такий варіант :</w:t>
            </w:r>
          </w:p>
          <w:p w:rsidR="00FE4387" w:rsidRPr="00D32097" w:rsidRDefault="00FE4387" w:rsidP="00FE4387">
            <w:pPr>
              <w:numPr>
                <w:ilvl w:val="0"/>
                <w:numId w:val="11"/>
              </w:numPr>
              <w:ind w:left="0"/>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1. Всередині першої частини:</w:t>
            </w:r>
            <w:r w:rsidRPr="00D32097">
              <w:rPr>
                <w:rFonts w:ascii="Times New Roman" w:hAnsi="Times New Roman" w:cs="Times New Roman"/>
                <w:sz w:val="22"/>
                <w:szCs w:val="24"/>
                <w:lang w:eastAsia="uk-UA"/>
              </w:rPr>
              <w:t xml:space="preserve"> Розраховується еквівалент вартості споживання. Наприклад, якщо вам треба 5 МВт гарантованих і 5 МВт гнучких (при K = 0.3), плата візьметься як за (5 + (5 х 0.3) = 6,5 МВт. замість 10 МВт.</w:t>
            </w:r>
          </w:p>
          <w:p w:rsidR="00FE4387" w:rsidRPr="00D32097" w:rsidRDefault="00FE4387" w:rsidP="00FE4387">
            <w:pPr>
              <w:numPr>
                <w:ilvl w:val="0"/>
                <w:numId w:val="11"/>
              </w:numPr>
              <w:ind w:left="0"/>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2. Функція (« Найбільше з» або «</w:t>
            </w:r>
            <w:proofErr w:type="spellStart"/>
            <w:r w:rsidRPr="00D32097">
              <w:rPr>
                <w:rFonts w:ascii="Times New Roman" w:hAnsi="Times New Roman" w:cs="Times New Roman"/>
                <w:b/>
                <w:bCs/>
                <w:sz w:val="22"/>
                <w:szCs w:val="24"/>
                <w:lang w:eastAsia="uk-UA"/>
              </w:rPr>
              <w:t>max</w:t>
            </w:r>
            <w:proofErr w:type="spellEnd"/>
            <w:r w:rsidRPr="00D32097">
              <w:rPr>
                <w:rFonts w:ascii="Times New Roman" w:hAnsi="Times New Roman" w:cs="Times New Roman"/>
                <w:b/>
                <w:bCs/>
                <w:sz w:val="22"/>
                <w:szCs w:val="24"/>
                <w:lang w:eastAsia="uk-UA"/>
              </w:rPr>
              <w:t>.»):</w:t>
            </w:r>
            <w:r w:rsidRPr="00D32097">
              <w:rPr>
                <w:rFonts w:ascii="Times New Roman" w:hAnsi="Times New Roman" w:cs="Times New Roman"/>
                <w:sz w:val="22"/>
                <w:szCs w:val="24"/>
                <w:lang w:eastAsia="uk-UA"/>
              </w:rPr>
              <w:t xml:space="preserve"> Порівнює отримані скориговані вартості для відбору та відпуску і обирає найбільшу, захищаючи від подвійної оплати за одне й те саме обладнання.</w:t>
            </w:r>
          </w:p>
          <w:p w:rsidR="00FE4387" w:rsidRPr="00D32097" w:rsidRDefault="00FE4387" w:rsidP="00FE4387">
            <w:pPr>
              <w:numPr>
                <w:ilvl w:val="0"/>
                <w:numId w:val="11"/>
              </w:numPr>
              <w:ind w:left="0"/>
              <w:jc w:val="both"/>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3. Лінійна частина :</w:t>
            </w:r>
            <w:r w:rsidRPr="00D32097">
              <w:rPr>
                <w:rFonts w:ascii="Times New Roman" w:hAnsi="Times New Roman" w:cs="Times New Roman"/>
                <w:sz w:val="22"/>
                <w:szCs w:val="24"/>
                <w:lang w:eastAsia="uk-UA"/>
              </w:rPr>
              <w:t xml:space="preserve"> Додається в кінці окремо, оскільки кабель чи повітряну лінію все одно доведеться фізично прокласти від точки А до точки Б (хоча для гнучкого приєднання і лінійна частина іноді може зменшуватися, якщо точка приєднання обирається ближче).</w:t>
            </w:r>
          </w:p>
          <w:p w:rsidR="00FE4387" w:rsidRPr="00D32097" w:rsidRDefault="00FE4387" w:rsidP="00FE4387">
            <w:pPr>
              <w:numPr>
                <w:ilvl w:val="0"/>
                <w:numId w:val="11"/>
              </w:numPr>
              <w:ind w:left="0"/>
              <w:jc w:val="both"/>
              <w:rPr>
                <w:rFonts w:ascii="Times New Roman" w:hAnsi="Times New Roman" w:cs="Times New Roman"/>
                <w:sz w:val="22"/>
                <w:szCs w:val="24"/>
                <w:lang w:eastAsia="uk-UA"/>
              </w:rPr>
            </w:pPr>
          </w:p>
          <w:p w:rsidR="00FE4387" w:rsidRPr="00D32097" w:rsidRDefault="00FE4387" w:rsidP="00FE4387">
            <w:pPr>
              <w:jc w:val="center"/>
              <w:rPr>
                <w:rFonts w:ascii="Times New Roman" w:hAnsi="Times New Roman" w:cs="Times New Roman"/>
                <w:b/>
                <w:bCs/>
                <w:sz w:val="22"/>
                <w:szCs w:val="24"/>
                <w:lang w:eastAsia="uk-UA"/>
              </w:rPr>
            </w:pPr>
            <w:r w:rsidRPr="00D32097">
              <w:rPr>
                <w:rFonts w:ascii="Times New Roman" w:hAnsi="Times New Roman" w:cs="Times New Roman"/>
                <w:b/>
                <w:bCs/>
                <w:sz w:val="22"/>
                <w:szCs w:val="24"/>
                <w:lang w:eastAsia="uk-UA"/>
              </w:rPr>
              <w:t>Щодо коефіцієнту гнучкості, ЧОМУ 0,3?</w:t>
            </w:r>
          </w:p>
          <w:p w:rsidR="00FE4387" w:rsidRPr="00D32097" w:rsidRDefault="00FE4387" w:rsidP="00FE4387">
            <w:pPr>
              <w:jc w:val="both"/>
              <w:rPr>
                <w:rFonts w:ascii="Times New Roman" w:hAnsi="Times New Roman" w:cs="Times New Roman"/>
                <w:b/>
                <w:bCs/>
                <w:sz w:val="22"/>
                <w:szCs w:val="24"/>
                <w:lang w:eastAsia="uk-UA"/>
              </w:rPr>
            </w:pPr>
            <w:r w:rsidRPr="00D32097">
              <w:rPr>
                <w:rFonts w:ascii="Times New Roman" w:hAnsi="Times New Roman" w:cs="Times New Roman"/>
                <w:b/>
                <w:bCs/>
                <w:sz w:val="22"/>
                <w:szCs w:val="24"/>
                <w:lang w:eastAsia="uk-UA"/>
              </w:rPr>
              <w:t>На нашу думку він має бути розрахунковим.</w:t>
            </w:r>
          </w:p>
          <w:p w:rsidR="00FE4387" w:rsidRPr="00D32097" w:rsidRDefault="00FE4387" w:rsidP="00FE4387">
            <w:pPr>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    Оскільки завдання коефіцієнта — знизити плату за ту частку потужності, яку ОСР може обмежувати , формула коефіцієнта має враховувати «вагу» негарантованої частки у загальному обсязі.</w:t>
            </w:r>
          </w:p>
          <w:p w:rsidR="00FE4387" w:rsidRPr="00D32097" w:rsidRDefault="00FE4387" w:rsidP="00FE4387">
            <w:pPr>
              <w:jc w:val="both"/>
              <w:rPr>
                <w:rFonts w:ascii="Times New Roman" w:hAnsi="Times New Roman" w:cs="Times New Roman"/>
                <w:b/>
                <w:sz w:val="22"/>
                <w:szCs w:val="24"/>
                <w:lang w:eastAsia="uk-UA"/>
              </w:rPr>
            </w:pPr>
            <w:r w:rsidRPr="00D32097">
              <w:rPr>
                <w:rFonts w:ascii="Times New Roman" w:hAnsi="Times New Roman" w:cs="Times New Roman"/>
                <w:sz w:val="22"/>
                <w:szCs w:val="24"/>
                <w:lang w:eastAsia="uk-UA"/>
              </w:rPr>
              <w:t xml:space="preserve">    </w:t>
            </w:r>
            <w:r w:rsidRPr="00D32097">
              <w:rPr>
                <w:rFonts w:ascii="Times New Roman" w:hAnsi="Times New Roman" w:cs="Times New Roman"/>
                <w:b/>
                <w:sz w:val="22"/>
                <w:szCs w:val="24"/>
                <w:lang w:eastAsia="uk-UA"/>
              </w:rPr>
              <w:t>Є варіант математичної залежності:</w:t>
            </w:r>
          </w:p>
          <w:p w:rsidR="00FE4387" w:rsidRPr="00D32097" w:rsidRDefault="00FE4387" w:rsidP="00FE4387">
            <w:pPr>
              <w:jc w:val="both"/>
              <w:rPr>
                <w:rFonts w:ascii="Times New Roman" w:hAnsi="Times New Roman" w:cs="Times New Roman"/>
                <w:bCs/>
                <w:sz w:val="22"/>
                <w:szCs w:val="24"/>
                <w:lang w:eastAsia="uk-UA"/>
              </w:rPr>
            </w:pPr>
            <w:r w:rsidRPr="00D32097">
              <w:rPr>
                <w:rFonts w:ascii="Times New Roman" w:hAnsi="Times New Roman" w:cs="Times New Roman"/>
                <w:b/>
                <w:bCs/>
                <w:sz w:val="22"/>
                <w:szCs w:val="24"/>
                <w:lang w:eastAsia="uk-UA"/>
              </w:rPr>
              <w:lastRenderedPageBreak/>
              <w:t xml:space="preserve">  </w:t>
            </w:r>
            <w:r w:rsidRPr="00D32097">
              <w:rPr>
                <w:rFonts w:ascii="Times New Roman" w:hAnsi="Times New Roman" w:cs="Times New Roman"/>
                <w:bCs/>
                <w:sz w:val="22"/>
                <w:szCs w:val="24"/>
                <w:lang w:eastAsia="uk-UA"/>
              </w:rPr>
              <w:t>Пряме пропорційне відношення (Лінійний коефіцієнт).</w:t>
            </w:r>
          </w:p>
          <w:p w:rsidR="00FE4387" w:rsidRPr="00D32097" w:rsidRDefault="00FE4387" w:rsidP="00FE4387">
            <w:pPr>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  </w:t>
            </w:r>
            <w:r w:rsidRPr="00D32097">
              <w:rPr>
                <w:rFonts w:ascii="Times New Roman" w:hAnsi="Times New Roman" w:cs="Times New Roman"/>
                <w:b/>
                <w:sz w:val="22"/>
                <w:szCs w:val="24"/>
                <w:lang w:eastAsia="uk-UA"/>
              </w:rPr>
              <w:t>Коефіцієнт розраховується як частка гарантованої потужності від загальної :</w:t>
            </w:r>
            <w:r w:rsidRPr="00D32097">
              <w:rPr>
                <w:rFonts w:ascii="Times New Roman" w:hAnsi="Times New Roman" w:cs="Times New Roman"/>
                <w:sz w:val="22"/>
                <w:szCs w:val="24"/>
                <w:lang w:eastAsia="uk-UA"/>
              </w:rPr>
              <w:br/>
              <w:t xml:space="preserve">K гнучке = P гарант * (P гарант + P </w:t>
            </w:r>
            <w:proofErr w:type="spellStart"/>
            <w:r w:rsidRPr="00D32097">
              <w:rPr>
                <w:rFonts w:ascii="Times New Roman" w:hAnsi="Times New Roman" w:cs="Times New Roman"/>
                <w:sz w:val="22"/>
                <w:szCs w:val="24"/>
                <w:lang w:eastAsia="uk-UA"/>
              </w:rPr>
              <w:t>негарант</w:t>
            </w:r>
            <w:proofErr w:type="spellEnd"/>
            <w:r w:rsidRPr="00D32097">
              <w:rPr>
                <w:rFonts w:ascii="Times New Roman" w:hAnsi="Times New Roman" w:cs="Times New Roman"/>
                <w:sz w:val="22"/>
                <w:szCs w:val="24"/>
                <w:lang w:eastAsia="uk-UA"/>
              </w:rPr>
              <w:t>)</w:t>
            </w:r>
          </w:p>
          <w:p w:rsidR="00FE4387" w:rsidRPr="00D32097" w:rsidRDefault="00FE4387" w:rsidP="00FE4387">
            <w:pPr>
              <w:numPr>
                <w:ilvl w:val="0"/>
                <w:numId w:val="12"/>
              </w:numPr>
              <w:ind w:left="0"/>
              <w:rPr>
                <w:rFonts w:ascii="Times New Roman" w:hAnsi="Times New Roman" w:cs="Times New Roman"/>
                <w:sz w:val="22"/>
                <w:szCs w:val="24"/>
                <w:lang w:eastAsia="uk-UA"/>
              </w:rPr>
            </w:pPr>
            <w:r w:rsidRPr="00D32097">
              <w:rPr>
                <w:rFonts w:ascii="Times New Roman" w:hAnsi="Times New Roman" w:cs="Times New Roman"/>
                <w:b/>
                <w:bCs/>
                <w:sz w:val="22"/>
                <w:szCs w:val="24"/>
                <w:lang w:eastAsia="uk-UA"/>
              </w:rPr>
              <w:t>Як це працює:</w:t>
            </w:r>
            <w:r w:rsidRPr="00D32097">
              <w:rPr>
                <w:rFonts w:ascii="Times New Roman" w:hAnsi="Times New Roman" w:cs="Times New Roman"/>
                <w:sz w:val="22"/>
                <w:szCs w:val="24"/>
                <w:lang w:eastAsia="uk-UA"/>
              </w:rPr>
              <w:t xml:space="preserve"> Якщо замовнику потрібно 10 МВт загальної потужності, з яких 8 МВт — гарантовані, а 2 МВт — гнучкі:</w:t>
            </w:r>
            <w:r w:rsidRPr="00D32097">
              <w:rPr>
                <w:rFonts w:ascii="Times New Roman" w:hAnsi="Times New Roman" w:cs="Times New Roman"/>
                <w:sz w:val="22"/>
                <w:szCs w:val="24"/>
                <w:lang w:eastAsia="uk-UA"/>
              </w:rPr>
              <w:br/>
              <w:t>K гнучке = 8/(8+2)=0,8</w:t>
            </w:r>
            <w:r w:rsidRPr="00D32097">
              <w:rPr>
                <w:rFonts w:ascii="Times New Roman" w:hAnsi="Times New Roman" w:cs="Times New Roman"/>
                <w:sz w:val="22"/>
                <w:szCs w:val="24"/>
                <w:lang w:eastAsia="uk-UA"/>
              </w:rPr>
              <w:br/>
              <w:t xml:space="preserve">  У такому разі за негарантовану частину замовник сплатить із коефіцієнтом 0,8 (отримає знижку 20% на цей блок). </w:t>
            </w:r>
          </w:p>
          <w:p w:rsidR="00FE4387" w:rsidRPr="00D32097" w:rsidRDefault="00FE4387" w:rsidP="00FE4387">
            <w:pPr>
              <w:numPr>
                <w:ilvl w:val="0"/>
                <w:numId w:val="12"/>
              </w:numPr>
              <w:ind w:left="0"/>
              <w:rPr>
                <w:sz w:val="24"/>
                <w:szCs w:val="24"/>
                <w:lang w:eastAsia="uk-UA"/>
              </w:rPr>
            </w:pPr>
            <w:r w:rsidRPr="00D32097">
              <w:rPr>
                <w:rFonts w:ascii="Times New Roman" w:hAnsi="Times New Roman" w:cs="Times New Roman"/>
                <w:b/>
                <w:bCs/>
                <w:sz w:val="22"/>
                <w:szCs w:val="24"/>
                <w:lang w:eastAsia="uk-UA"/>
              </w:rPr>
              <w:t xml:space="preserve">  </w:t>
            </w:r>
            <w:r w:rsidRPr="00D32097">
              <w:rPr>
                <w:rFonts w:ascii="Times New Roman" w:hAnsi="Times New Roman" w:cs="Times New Roman"/>
                <w:sz w:val="22"/>
                <w:szCs w:val="24"/>
                <w:lang w:eastAsia="uk-UA"/>
              </w:rPr>
              <w:t xml:space="preserve">Якщо ж гарантованої потужності взагалі немає P гарант = 0, то </w:t>
            </w:r>
            <w:proofErr w:type="spellStart"/>
            <w:r w:rsidRPr="00D32097">
              <w:rPr>
                <w:rFonts w:ascii="Times New Roman" w:hAnsi="Times New Roman" w:cs="Times New Roman"/>
                <w:sz w:val="22"/>
                <w:szCs w:val="24"/>
                <w:lang w:eastAsia="uk-UA"/>
              </w:rPr>
              <w:t>Kгнучке</w:t>
            </w:r>
            <w:proofErr w:type="spellEnd"/>
            <w:r w:rsidRPr="00D32097">
              <w:rPr>
                <w:rFonts w:ascii="Times New Roman" w:hAnsi="Times New Roman" w:cs="Times New Roman"/>
                <w:sz w:val="22"/>
                <w:szCs w:val="24"/>
                <w:lang w:eastAsia="uk-UA"/>
              </w:rPr>
              <w:t xml:space="preserve"> = 0, і плата за нестанційну складову для повністю негарантованого приєднання стане нульовою (замовник платить лише за лінію (l</w:t>
            </w:r>
            <m:oMath>
              <m:sSub>
                <m:sSubPr>
                  <m:ctrlPr>
                    <w:rPr>
                      <w:rFonts w:ascii="Cambria Math" w:hAnsi="Cambria Math" w:cs="Times New Roman"/>
                      <w:i/>
                      <w:sz w:val="22"/>
                      <w:szCs w:val="24"/>
                      <w:lang w:eastAsia="uk-UA"/>
                    </w:rPr>
                  </m:ctrlPr>
                </m:sSubPr>
                <m:e>
                  <m:r>
                    <w:rPr>
                      <w:rFonts w:ascii="Cambria Math" w:hAnsi="Cambria Math" w:cs="Times New Roman"/>
                      <w:sz w:val="22"/>
                      <w:szCs w:val="24"/>
                      <w:lang w:eastAsia="uk-UA"/>
                    </w:rPr>
                    <m:t>l</m:t>
                  </m:r>
                </m:e>
                <m:sub>
                  <m:r>
                    <w:rPr>
                      <w:rFonts w:ascii="Cambria Math" w:hAnsi="Cambria Math" w:cs="Times New Roman"/>
                      <w:sz w:val="22"/>
                      <w:szCs w:val="24"/>
                      <w:lang w:eastAsia="uk-UA"/>
                    </w:rPr>
                    <m:t>м</m:t>
                  </m:r>
                </m:sub>
              </m:sSub>
              <m:r>
                <w:rPr>
                  <w:rFonts w:ascii="Cambria Math" w:hAnsi="Cambria Math" w:cs="Times New Roman"/>
                  <w:sz w:val="22"/>
                  <w:szCs w:val="24"/>
                  <w:lang w:eastAsia="uk-UA"/>
                </w:rPr>
                <m:t>×</m:t>
              </m:r>
              <m:sSubSup>
                <m:sSubSupPr>
                  <m:ctrlPr>
                    <w:rPr>
                      <w:rFonts w:ascii="Cambria Math" w:hAnsi="Cambria Math" w:cs="Times New Roman"/>
                      <w:sz w:val="22"/>
                      <w:szCs w:val="24"/>
                      <w:lang w:eastAsia="uk-UA"/>
                    </w:rPr>
                  </m:ctrlPr>
                </m:sSubSupPr>
                <m:e>
                  <m:r>
                    <w:rPr>
                      <w:rFonts w:ascii="Cambria Math" w:hAnsi="Cambria Math" w:cs="Times New Roman"/>
                      <w:sz w:val="22"/>
                      <w:szCs w:val="24"/>
                      <w:lang w:eastAsia="uk-UA"/>
                    </w:rPr>
                    <m:t>С</m:t>
                  </m:r>
                </m:e>
                <m:sub>
                  <m:r>
                    <w:rPr>
                      <w:rFonts w:ascii="Cambria Math" w:hAnsi="Cambria Math" w:cs="Times New Roman"/>
                      <w:sz w:val="22"/>
                      <w:szCs w:val="24"/>
                      <w:lang w:eastAsia="uk-UA"/>
                    </w:rPr>
                    <m:t>лін</m:t>
                  </m:r>
                </m:sub>
                <m:sup>
                  <m:r>
                    <w:rPr>
                      <w:rFonts w:ascii="Cambria Math" w:hAnsi="Cambria Math" w:cs="Times New Roman"/>
                      <w:sz w:val="22"/>
                      <w:szCs w:val="24"/>
                      <w:lang w:eastAsia="uk-UA"/>
                    </w:rPr>
                    <m:t>л,н,зем</m:t>
                  </m:r>
                </m:sup>
              </m:sSubSup>
            </m:oMath>
            <w:r w:rsidRPr="00D32097">
              <w:rPr>
                <w:rFonts w:ascii="Times New Roman" w:hAnsi="Times New Roman" w:cs="Times New Roman"/>
                <w:sz w:val="22"/>
                <w:szCs w:val="24"/>
                <w:lang w:eastAsia="uk-UA"/>
              </w:rPr>
              <w:t>), бо ОСР не реконструює підстанцію.</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відбору та/або відпуску, що створюється), яка визначається як </w:t>
            </w:r>
            <w:r w:rsidRPr="00D32097">
              <w:rPr>
                <w:rFonts w:ascii="Times New Roman" w:hAnsi="Times New Roman" w:cs="Times New Roman"/>
                <w:sz w:val="22"/>
                <w:szCs w:val="22"/>
                <w:lang w:eastAsia="uk-UA"/>
              </w:rPr>
              <w:lastRenderedPageBreak/>
              <w:t>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p w:rsidR="002D57C8" w:rsidRPr="00D32097" w:rsidRDefault="002D57C8" w:rsidP="002D57C8">
            <w:pPr>
              <w:ind w:firstLine="174"/>
              <w:jc w:val="both"/>
              <w:rPr>
                <w:rFonts w:ascii="Times New Roman" w:hAnsi="Times New Roman" w:cs="Times New Roman"/>
                <w:sz w:val="22"/>
                <w:szCs w:val="22"/>
                <w:lang w:eastAsia="uk-UA"/>
              </w:rPr>
            </w:pPr>
            <w:r w:rsidRPr="002D57C8">
              <w:rPr>
                <w:rFonts w:ascii="Times New Roman" w:hAnsi="Times New Roman" w:cs="Times New Roman"/>
                <w:sz w:val="22"/>
                <w:szCs w:val="22"/>
                <w:lang w:eastAsia="uk-UA"/>
              </w:rPr>
              <w:t>К</w:t>
            </w:r>
            <w:r>
              <w:rPr>
                <w:rFonts w:ascii="Times New Roman" w:hAnsi="Times New Roman" w:cs="Times New Roman"/>
                <w:sz w:val="22"/>
                <w:szCs w:val="22"/>
                <w:lang w:eastAsia="uk-UA"/>
              </w:rPr>
              <w:t xml:space="preserve"> </w:t>
            </w:r>
            <w:r w:rsidRPr="002D57C8">
              <w:rPr>
                <w:rFonts w:ascii="Times New Roman" w:hAnsi="Times New Roman" w:cs="Times New Roman"/>
                <w:sz w:val="24"/>
                <w:szCs w:val="22"/>
                <w:vertAlign w:val="subscript"/>
                <w:lang w:eastAsia="uk-UA"/>
              </w:rPr>
              <w:t>гнучке</w:t>
            </w:r>
            <w:r w:rsidRPr="002D57C8">
              <w:rPr>
                <w:rFonts w:ascii="Times New Roman" w:hAnsi="Times New Roman" w:cs="Times New Roman"/>
                <w:sz w:val="22"/>
                <w:szCs w:val="22"/>
                <w:lang w:eastAsia="uk-UA"/>
              </w:rPr>
              <w:t xml:space="preserve"> на рівні 0,3 запроваджено відповідно до розміру авансового платежу при нестандартному приєднанні з </w:t>
            </w:r>
            <w:proofErr w:type="spellStart"/>
            <w:r w:rsidRPr="002D57C8">
              <w:rPr>
                <w:rFonts w:ascii="Times New Roman" w:hAnsi="Times New Roman" w:cs="Times New Roman"/>
                <w:sz w:val="22"/>
                <w:szCs w:val="22"/>
                <w:lang w:eastAsia="uk-UA"/>
              </w:rPr>
              <w:t>проєктуванням</w:t>
            </w:r>
            <w:proofErr w:type="spellEnd"/>
            <w:r>
              <w:rPr>
                <w:rFonts w:ascii="Times New Roman" w:hAnsi="Times New Roman" w:cs="Times New Roman"/>
                <w:sz w:val="22"/>
                <w:szCs w:val="22"/>
                <w:lang w:eastAsia="uk-UA"/>
              </w:rPr>
              <w:t xml:space="preserve"> </w:t>
            </w:r>
            <w:r w:rsidRPr="002D57C8">
              <w:rPr>
                <w:rFonts w:ascii="Times New Roman" w:hAnsi="Times New Roman" w:cs="Times New Roman"/>
                <w:sz w:val="22"/>
                <w:szCs w:val="22"/>
                <w:lang w:eastAsia="uk-UA"/>
              </w:rPr>
              <w:t xml:space="preserve">замовником лінійної частини </w:t>
            </w:r>
            <w:proofErr w:type="spellStart"/>
            <w:r w:rsidRPr="002D57C8">
              <w:rPr>
                <w:rFonts w:ascii="Times New Roman" w:hAnsi="Times New Roman" w:cs="Times New Roman"/>
                <w:sz w:val="22"/>
                <w:szCs w:val="22"/>
                <w:lang w:eastAsia="uk-UA"/>
              </w:rPr>
              <w:t>приєнання</w:t>
            </w:r>
            <w:proofErr w:type="spellEnd"/>
            <w:r w:rsidRPr="002D57C8">
              <w:rPr>
                <w:rFonts w:ascii="Times New Roman" w:hAnsi="Times New Roman" w:cs="Times New Roman"/>
                <w:sz w:val="22"/>
                <w:szCs w:val="22"/>
                <w:lang w:eastAsia="uk-UA"/>
              </w:rPr>
              <w:t>, яким і є на початку гнучке приєднання.</w:t>
            </w:r>
          </w:p>
        </w:tc>
      </w:tr>
      <w:tr w:rsidR="00FE4387" w:rsidRPr="00D32097" w:rsidTr="002E4622">
        <w:trPr>
          <w:trHeight w:val="218"/>
        </w:trPr>
        <w:tc>
          <w:tcPr>
            <w:tcW w:w="3899" w:type="dxa"/>
            <w:gridSpan w:val="2"/>
            <w:vMerge/>
          </w:tcPr>
          <w:p w:rsidR="00FE4387" w:rsidRPr="00D32097" w:rsidRDefault="00FE4387" w:rsidP="00FE4387">
            <w:pPr>
              <w:shd w:val="clear" w:color="auto" w:fill="FFFFFF"/>
              <w:ind w:firstLine="314"/>
              <w:rPr>
                <w:b/>
                <w:sz w:val="22"/>
                <w:szCs w:val="22"/>
                <w:lang w:eastAsia="uk-UA"/>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77"/>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УАВЕ</w:t>
            </w:r>
          </w:p>
          <w:p w:rsidR="00FE4387" w:rsidRPr="00D32097" w:rsidRDefault="00FE4387" w:rsidP="00FE4387">
            <w:pPr>
              <w:shd w:val="clear" w:color="auto" w:fill="FFFFFF"/>
              <w:ind w:firstLine="377"/>
              <w:jc w:val="both"/>
              <w:rPr>
                <w:rFonts w:ascii="Times New Roman" w:hAnsi="Times New Roman" w:cs="Times New Roman"/>
                <w:b/>
                <w:sz w:val="22"/>
                <w:szCs w:val="22"/>
              </w:rPr>
            </w:pPr>
            <w:r w:rsidRPr="00D32097">
              <w:rPr>
                <w:rFonts w:ascii="Times New Roman" w:hAnsi="Times New Roman" w:cs="Times New Roman"/>
                <w:b/>
                <w:sz w:val="22"/>
                <w:szCs w:val="22"/>
              </w:rPr>
              <w:t>5.11. Плата за гнучке приєднання розраховується за формулою:</w:t>
            </w:r>
          </w:p>
          <w:p w:rsidR="00FE4387" w:rsidRPr="00D32097" w:rsidRDefault="00FE4387" w:rsidP="00FE4387">
            <w:pPr>
              <w:shd w:val="clear" w:color="auto" w:fill="FFFFFF"/>
              <w:ind w:firstLine="377"/>
              <w:jc w:val="both"/>
              <w:rPr>
                <w:rFonts w:ascii="Times New Roman" w:hAnsi="Times New Roman" w:cs="Times New Roman"/>
                <w:b/>
                <w:sz w:val="22"/>
                <w:szCs w:val="22"/>
              </w:rPr>
            </w:pPr>
          </w:p>
          <w:p w:rsidR="00FE4387" w:rsidRPr="00D32097" w:rsidRDefault="002D57C8" w:rsidP="00FE4387">
            <w:pPr>
              <w:shd w:val="clear" w:color="auto" w:fill="FFFFFF"/>
              <w:ind w:firstLine="377"/>
              <w:jc w:val="both"/>
              <w:rPr>
                <w:rFonts w:ascii="Times New Roman" w:hAnsi="Times New Roman" w:cs="Times New Roman"/>
                <w:sz w:val="22"/>
                <w:szCs w:val="22"/>
              </w:rPr>
            </w:pPr>
            <m:oMathPara>
              <m:oMath>
                <m:sSubSup>
                  <m:sSubSupPr>
                    <m:ctrlPr>
                      <w:rPr>
                        <w:rFonts w:ascii="Cambria Math" w:hAnsi="Cambria Math" w:cs="Times New Roman"/>
                        <w:sz w:val="22"/>
                        <w:szCs w:val="22"/>
                      </w:rPr>
                    </m:ctrlPr>
                  </m:sSubSupPr>
                  <m:e>
                    <m:r>
                      <w:rPr>
                        <w:rFonts w:ascii="Cambria Math" w:hAnsi="Cambria Math" w:cs="Times New Roman"/>
                        <w:sz w:val="22"/>
                        <w:szCs w:val="22"/>
                      </w:rPr>
                      <m:t>П</m:t>
                    </m:r>
                  </m:e>
                  <m:sub>
                    <m:r>
                      <w:rPr>
                        <w:rFonts w:ascii="Cambria Math" w:hAnsi="Cambria Math" w:cs="Times New Roman"/>
                        <w:sz w:val="22"/>
                        <w:szCs w:val="22"/>
                      </w:rPr>
                      <m:t>нст</m:t>
                    </m:r>
                  </m:sub>
                  <m:sup>
                    <m:r>
                      <w:rPr>
                        <w:rFonts w:ascii="Cambria Math" w:hAnsi="Cambria Math" w:cs="Times New Roman"/>
                        <w:sz w:val="22"/>
                        <w:szCs w:val="22"/>
                      </w:rPr>
                      <m:t>гнучке</m:t>
                    </m:r>
                  </m:sup>
                </m:sSubSup>
                <m:r>
                  <w:rPr>
                    <w:rFonts w:ascii="Cambria Math" w:hAnsi="Cambria Math" w:cs="Times New Roman"/>
                    <w:sz w:val="22"/>
                    <w:szCs w:val="22"/>
                  </w:rPr>
                  <m:t>=Максимальне із значень</m:t>
                </m:r>
                <m:r>
                  <m:rPr>
                    <m:sty m:val="bi"/>
                  </m:rPr>
                  <w:rPr>
                    <w:rFonts w:ascii="Cambria Math" w:hAnsi="Cambria Math" w:cs="Times New Roman"/>
                    <w:sz w:val="22"/>
                    <w:szCs w:val="22"/>
                  </w:rPr>
                  <m:t xml:space="preserve"> </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відбір</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відбір</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гнучке</m:t>
                        </m:r>
                      </m:sub>
                    </m:sSub>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к,н,зтт,місц,с</m:t>
                        </m:r>
                      </m:sup>
                    </m:sSubSup>
                  </m:e>
                </m:d>
                <m:r>
                  <w:rPr>
                    <w:rFonts w:ascii="Cambria Math" w:hAnsi="Cambria Math" w:cs="Times New Roman"/>
                    <w:sz w:val="22"/>
                    <w:szCs w:val="22"/>
                  </w:rPr>
                  <m:t xml:space="preserve"> або</m:t>
                </m:r>
                <m:d>
                  <m:dPr>
                    <m:ctrlPr>
                      <w:rPr>
                        <w:rFonts w:ascii="Cambria Math" w:hAnsi="Cambria Math" w:cs="Times New Roman"/>
                        <w:i/>
                        <w:sz w:val="22"/>
                        <w:szCs w:val="22"/>
                      </w:rPr>
                    </m:ctrlPr>
                  </m:dPr>
                  <m:e>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Р</m:t>
                        </m:r>
                      </m:e>
                      <m:sub>
                        <m:r>
                          <w:rPr>
                            <w:rFonts w:ascii="Cambria Math" w:hAnsi="Cambria Math" w:cs="Times New Roman"/>
                            <w:sz w:val="22"/>
                            <w:szCs w:val="22"/>
                          </w:rPr>
                          <m:t>негарант</m:t>
                        </m:r>
                      </m:sub>
                      <m:sup>
                        <m:r>
                          <w:rPr>
                            <w:rFonts w:ascii="Cambria Math" w:hAnsi="Cambria Math" w:cs="Times New Roman"/>
                            <w:sz w:val="22"/>
                            <w:szCs w:val="22"/>
                          </w:rPr>
                          <m:t>відпуск</m:t>
                        </m:r>
                      </m:sup>
                    </m:sSubSup>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К</m:t>
                        </m:r>
                      </m:e>
                      <m:sub>
                        <m:r>
                          <w:rPr>
                            <w:rFonts w:ascii="Cambria Math" w:hAnsi="Cambria Math" w:cs="Times New Roman"/>
                            <w:sz w:val="22"/>
                            <w:szCs w:val="22"/>
                          </w:rPr>
                          <m:t xml:space="preserve">гнучке </m:t>
                        </m:r>
                      </m:sub>
                    </m:sSub>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нст</m:t>
                        </m:r>
                      </m:sub>
                      <m:sup>
                        <m:r>
                          <w:rPr>
                            <w:rFonts w:ascii="Cambria Math" w:hAnsi="Cambria Math" w:cs="Times New Roman"/>
                            <w:sz w:val="22"/>
                            <w:szCs w:val="22"/>
                          </w:rPr>
                          <m:t>к,н,зтт,місц,в</m:t>
                        </m:r>
                      </m:sup>
                    </m:sSubSup>
                  </m:e>
                </m:d>
                <m:r>
                  <w:rPr>
                    <w:rFonts w:ascii="Cambria Math" w:hAnsi="Cambria Math" w:cs="Times New Roman"/>
                    <w:sz w:val="22"/>
                    <w:szCs w:val="22"/>
                  </w:rPr>
                  <m:t xml:space="preserve"> +</m:t>
                </m:r>
                <m:sSub>
                  <m:sSubPr>
                    <m:ctrlPr>
                      <w:rPr>
                        <w:rFonts w:ascii="Cambria Math" w:hAnsi="Cambria Math" w:cs="Times New Roman"/>
                        <w:i/>
                        <w:sz w:val="22"/>
                        <w:szCs w:val="22"/>
                      </w:rPr>
                    </m:ctrlPr>
                  </m:sSubPr>
                  <m:e>
                    <m:r>
                      <w:rPr>
                        <w:rFonts w:ascii="Cambria Math" w:hAnsi="Cambria Math" w:cs="Times New Roman"/>
                        <w:sz w:val="22"/>
                        <w:szCs w:val="22"/>
                      </w:rPr>
                      <m:t>l</m:t>
                    </m:r>
                  </m:e>
                  <m:sub>
                    <m:r>
                      <w:rPr>
                        <w:rFonts w:ascii="Cambria Math" w:hAnsi="Cambria Math" w:cs="Times New Roman"/>
                        <w:sz w:val="22"/>
                        <w:szCs w:val="22"/>
                      </w:rPr>
                      <m:t>м</m:t>
                    </m:r>
                  </m:sub>
                </m:sSub>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С</m:t>
                    </m:r>
                  </m:e>
                  <m:sub>
                    <m:r>
                      <w:rPr>
                        <w:rFonts w:ascii="Cambria Math" w:hAnsi="Cambria Math" w:cs="Times New Roman"/>
                        <w:sz w:val="22"/>
                        <w:szCs w:val="22"/>
                      </w:rPr>
                      <m:t>лін</m:t>
                    </m:r>
                  </m:sub>
                  <m:sup>
                    <m:r>
                      <w:rPr>
                        <w:rFonts w:ascii="Cambria Math" w:hAnsi="Cambria Math" w:cs="Times New Roman"/>
                        <w:sz w:val="22"/>
                        <w:szCs w:val="22"/>
                      </w:rPr>
                      <m:t>л,н,зем</m:t>
                    </m:r>
                  </m:sup>
                </m:sSubSup>
                <m:r>
                  <m:rPr>
                    <m:sty m:val="bi"/>
                  </m:rPr>
                  <w:rPr>
                    <w:rFonts w:ascii="Cambria Math" w:hAnsi="Cambria Math" w:cs="Times New Roman"/>
                    <w:sz w:val="22"/>
                    <w:szCs w:val="22"/>
                  </w:rPr>
                  <m:t>, тис. грн.</m:t>
                </m:r>
              </m:oMath>
            </m:oMathPara>
          </w:p>
          <w:p w:rsidR="00FE4387" w:rsidRPr="00D32097" w:rsidRDefault="00FE4387" w:rsidP="00FE4387">
            <w:pPr>
              <w:shd w:val="clear" w:color="auto" w:fill="FFFFFF"/>
              <w:ind w:firstLine="377"/>
              <w:jc w:val="both"/>
              <w:rPr>
                <w:rFonts w:ascii="Times New Roman" w:hAnsi="Times New Roman" w:cs="Times New Roman"/>
                <w:sz w:val="22"/>
                <w:szCs w:val="22"/>
              </w:rPr>
            </w:pP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747"/>
              <w:gridCol w:w="144"/>
              <w:gridCol w:w="2787"/>
            </w:tblGrid>
            <w:tr w:rsidR="00FE4387" w:rsidRPr="00D32097" w:rsidTr="00D02502">
              <w:tc>
                <w:tcPr>
                  <w:tcW w:w="1376"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377"/>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відбір</m:t>
                          </m:r>
                        </m:sup>
                      </m:sSubSup>
                    </m:oMath>
                  </m:oMathPara>
                </w:p>
              </w:tc>
              <w:tc>
                <w:tcPr>
                  <w:tcW w:w="229"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377"/>
                    <w:jc w:val="center"/>
                    <w:rPr>
                      <w:sz w:val="22"/>
                      <w:szCs w:val="22"/>
                    </w:rPr>
                  </w:pPr>
                  <w:r w:rsidRPr="00D32097">
                    <w:rPr>
                      <w:sz w:val="22"/>
                      <w:szCs w:val="22"/>
                    </w:rPr>
                    <w:t>-</w:t>
                  </w:r>
                </w:p>
              </w:tc>
              <w:tc>
                <w:tcPr>
                  <w:tcW w:w="5260"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4"/>
                    <w:framePr w:hSpace="180" w:wrap="around" w:vAnchor="text" w:hAnchor="margin" w:y="416"/>
                    <w:spacing w:before="150" w:beforeAutospacing="0" w:after="150" w:afterAutospacing="0"/>
                    <w:ind w:firstLine="377"/>
                    <w:rPr>
                      <w:bCs/>
                      <w:sz w:val="22"/>
                      <w:szCs w:val="22"/>
                    </w:rPr>
                  </w:pPr>
                  <w:r w:rsidRPr="00D32097">
                    <w:rPr>
                      <w:bCs/>
                      <w:sz w:val="22"/>
                      <w:szCs w:val="22"/>
                    </w:rPr>
                    <w:t xml:space="preserve"> гарантована потужність відбору, замовлена до приєднання </w:t>
                  </w:r>
                </w:p>
              </w:tc>
            </w:tr>
            <w:tr w:rsidR="00FE4387" w:rsidRPr="00D32097" w:rsidTr="00D02502">
              <w:tc>
                <w:tcPr>
                  <w:tcW w:w="1376"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77"/>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відбір</m:t>
                          </m:r>
                        </m:sup>
                      </m:sSubSup>
                    </m:oMath>
                  </m:oMathPara>
                </w:p>
              </w:tc>
              <w:tc>
                <w:tcPr>
                  <w:tcW w:w="229"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77"/>
                    <w:jc w:val="center"/>
                    <w:rPr>
                      <w:sz w:val="22"/>
                      <w:szCs w:val="22"/>
                    </w:rPr>
                  </w:pPr>
                  <w:r w:rsidRPr="00D32097">
                    <w:rPr>
                      <w:sz w:val="22"/>
                      <w:szCs w:val="22"/>
                    </w:rPr>
                    <w:t>-</w:t>
                  </w:r>
                </w:p>
              </w:tc>
              <w:tc>
                <w:tcPr>
                  <w:tcW w:w="526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77"/>
                    <w:rPr>
                      <w:bCs/>
                      <w:sz w:val="22"/>
                      <w:szCs w:val="22"/>
                    </w:rPr>
                  </w:pPr>
                  <w:r w:rsidRPr="00D32097">
                    <w:rPr>
                      <w:bCs/>
                      <w:sz w:val="22"/>
                      <w:szCs w:val="22"/>
                    </w:rPr>
                    <w:t xml:space="preserve"> не гарантована потужність відбору, замовлена до приєднання </w:t>
                  </w:r>
                </w:p>
              </w:tc>
            </w:tr>
            <w:tr w:rsidR="00FE4387" w:rsidRPr="00D32097" w:rsidTr="00D02502">
              <w:tc>
                <w:tcPr>
                  <w:tcW w:w="1376"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77"/>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гарант</m:t>
                          </m:r>
                        </m:sub>
                        <m:sup>
                          <m:r>
                            <w:rPr>
                              <w:rFonts w:ascii="Cambria Math" w:eastAsiaTheme="minorHAnsi" w:hAnsi="Cambria Math"/>
                              <w:sz w:val="22"/>
                              <w:szCs w:val="22"/>
                              <w:lang w:eastAsia="en-US"/>
                            </w:rPr>
                            <m:t>відпуск</m:t>
                          </m:r>
                        </m:sup>
                      </m:sSubSup>
                    </m:oMath>
                  </m:oMathPara>
                </w:p>
              </w:tc>
              <w:tc>
                <w:tcPr>
                  <w:tcW w:w="229"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77"/>
                    <w:jc w:val="center"/>
                    <w:rPr>
                      <w:sz w:val="22"/>
                      <w:szCs w:val="22"/>
                    </w:rPr>
                  </w:pPr>
                  <w:r w:rsidRPr="00D32097">
                    <w:rPr>
                      <w:sz w:val="22"/>
                      <w:szCs w:val="22"/>
                    </w:rPr>
                    <w:t>-</w:t>
                  </w:r>
                </w:p>
              </w:tc>
              <w:tc>
                <w:tcPr>
                  <w:tcW w:w="526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77"/>
                    <w:rPr>
                      <w:bCs/>
                      <w:sz w:val="22"/>
                      <w:szCs w:val="22"/>
                    </w:rPr>
                  </w:pPr>
                  <w:r w:rsidRPr="00D32097">
                    <w:rPr>
                      <w:bCs/>
                      <w:sz w:val="22"/>
                      <w:szCs w:val="22"/>
                    </w:rPr>
                    <w:t xml:space="preserve"> гарантована потужність відпуску, замовлена до приєднання </w:t>
                  </w:r>
                </w:p>
              </w:tc>
            </w:tr>
            <w:tr w:rsidR="00FE4387" w:rsidRPr="00D32097" w:rsidTr="00D02502">
              <w:tc>
                <w:tcPr>
                  <w:tcW w:w="1376"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77"/>
                    <w:rPr>
                      <w:sz w:val="22"/>
                      <w:szCs w:val="22"/>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w:rPr>
                              <w:rFonts w:ascii="Cambria Math" w:hAnsi="Cambria Math"/>
                              <w:sz w:val="22"/>
                              <w:szCs w:val="22"/>
                            </w:rPr>
                            <m:t>негарант</m:t>
                          </m:r>
                        </m:sub>
                        <m:sup>
                          <m:r>
                            <w:rPr>
                              <w:rFonts w:ascii="Cambria Math" w:eastAsiaTheme="minorHAnsi" w:hAnsi="Cambria Math"/>
                              <w:sz w:val="22"/>
                              <w:szCs w:val="22"/>
                              <w:lang w:eastAsia="en-US"/>
                            </w:rPr>
                            <m:t>відпуск</m:t>
                          </m:r>
                        </m:sup>
                      </m:sSubSup>
                    </m:oMath>
                  </m:oMathPara>
                </w:p>
              </w:tc>
              <w:tc>
                <w:tcPr>
                  <w:tcW w:w="229"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77"/>
                    <w:jc w:val="center"/>
                    <w:rPr>
                      <w:sz w:val="22"/>
                      <w:szCs w:val="22"/>
                    </w:rPr>
                  </w:pPr>
                  <w:r w:rsidRPr="00D32097">
                    <w:rPr>
                      <w:sz w:val="22"/>
                      <w:szCs w:val="22"/>
                    </w:rPr>
                    <w:t>-</w:t>
                  </w:r>
                </w:p>
              </w:tc>
              <w:tc>
                <w:tcPr>
                  <w:tcW w:w="526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4"/>
                    <w:framePr w:hSpace="180" w:wrap="around" w:vAnchor="text" w:hAnchor="margin" w:y="416"/>
                    <w:spacing w:before="150" w:beforeAutospacing="0" w:after="150" w:afterAutospacing="0"/>
                    <w:ind w:firstLine="377"/>
                    <w:rPr>
                      <w:bCs/>
                      <w:sz w:val="22"/>
                      <w:szCs w:val="22"/>
                    </w:rPr>
                  </w:pPr>
                  <w:r w:rsidRPr="00D32097">
                    <w:rPr>
                      <w:bCs/>
                      <w:sz w:val="22"/>
                      <w:szCs w:val="22"/>
                    </w:rPr>
                    <w:t xml:space="preserve"> не гарантована потужність відпуску, замовлена до приєднання </w:t>
                  </w:r>
                </w:p>
              </w:tc>
            </w:tr>
            <w:tr w:rsidR="00FE4387" w:rsidRPr="00D32097" w:rsidTr="00D02502">
              <w:tc>
                <w:tcPr>
                  <w:tcW w:w="1376" w:type="dxa"/>
                  <w:tcBorders>
                    <w:top w:val="single" w:sz="2" w:space="0" w:color="auto"/>
                    <w:left w:val="single" w:sz="2" w:space="0" w:color="auto"/>
                    <w:bottom w:val="single" w:sz="2" w:space="0" w:color="auto"/>
                    <w:right w:val="single" w:sz="2" w:space="0" w:color="auto"/>
                  </w:tcBorders>
                  <w:hideMark/>
                </w:tcPr>
                <w:p w:rsidR="00FE4387" w:rsidRPr="00D32097" w:rsidRDefault="002D57C8" w:rsidP="002D57C8">
                  <w:pPr>
                    <w:pStyle w:val="rvps14"/>
                    <w:framePr w:hSpace="180" w:wrap="around" w:vAnchor="text" w:hAnchor="margin" w:y="416"/>
                    <w:spacing w:before="150" w:beforeAutospacing="0" w:after="150" w:afterAutospacing="0"/>
                    <w:ind w:firstLine="377"/>
                    <w:rPr>
                      <w:b/>
                      <w:bCs/>
                      <w:sz w:val="22"/>
                      <w:szCs w:val="22"/>
                    </w:rPr>
                  </w:pPr>
                  <m:oMathPara>
                    <m:oMath>
                      <m:sSub>
                        <m:sSubPr>
                          <m:ctrlPr>
                            <w:rPr>
                              <w:rFonts w:ascii="Cambria Math" w:eastAsiaTheme="minorHAnsi" w:hAnsi="Cambria Math"/>
                              <w:b/>
                              <w:bCs/>
                              <w:i/>
                              <w:sz w:val="22"/>
                              <w:szCs w:val="22"/>
                              <w:lang w:eastAsia="en-US"/>
                            </w:rPr>
                          </m:ctrlPr>
                        </m:sSubPr>
                        <m:e>
                          <m:r>
                            <m:rPr>
                              <m:sty m:val="bi"/>
                            </m:rPr>
                            <w:rPr>
                              <w:rFonts w:ascii="Cambria Math" w:hAnsi="Cambria Math"/>
                              <w:sz w:val="22"/>
                              <w:szCs w:val="22"/>
                            </w:rPr>
                            <m:t>К</m:t>
                          </m:r>
                        </m:e>
                        <m:sub>
                          <m:r>
                            <m:rPr>
                              <m:sty m:val="bi"/>
                            </m:rPr>
                            <w:rPr>
                              <w:rFonts w:ascii="Cambria Math" w:hAnsi="Cambria Math"/>
                              <w:sz w:val="22"/>
                              <w:szCs w:val="22"/>
                            </w:rPr>
                            <m:t>гнучке</m:t>
                          </m:r>
                        </m:sub>
                      </m:sSub>
                    </m:oMath>
                  </m:oMathPara>
                </w:p>
              </w:tc>
              <w:tc>
                <w:tcPr>
                  <w:tcW w:w="229"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pStyle w:val="rvps12"/>
                    <w:framePr w:hSpace="180" w:wrap="around" w:vAnchor="text" w:hAnchor="margin" w:y="416"/>
                    <w:spacing w:before="150" w:beforeAutospacing="0" w:after="150" w:afterAutospacing="0"/>
                    <w:ind w:firstLine="377"/>
                    <w:jc w:val="center"/>
                    <w:rPr>
                      <w:b/>
                      <w:bCs/>
                      <w:sz w:val="22"/>
                      <w:szCs w:val="22"/>
                    </w:rPr>
                  </w:pPr>
                  <w:r w:rsidRPr="00D32097">
                    <w:rPr>
                      <w:b/>
                      <w:bCs/>
                      <w:sz w:val="22"/>
                      <w:szCs w:val="22"/>
                    </w:rPr>
                    <w:t>-</w:t>
                  </w:r>
                </w:p>
              </w:tc>
              <w:tc>
                <w:tcPr>
                  <w:tcW w:w="5260" w:type="dxa"/>
                  <w:tcBorders>
                    <w:top w:val="single" w:sz="2" w:space="0" w:color="auto"/>
                    <w:left w:val="single" w:sz="2" w:space="0" w:color="auto"/>
                    <w:bottom w:val="single" w:sz="2" w:space="0" w:color="auto"/>
                    <w:right w:val="single" w:sz="2" w:space="0" w:color="auto"/>
                  </w:tcBorders>
                  <w:hideMark/>
                </w:tcPr>
                <w:p w:rsidR="00FE4387" w:rsidRPr="00D32097" w:rsidRDefault="00FE4387" w:rsidP="002D57C8">
                  <w:pPr>
                    <w:framePr w:hSpace="180" w:wrap="around" w:vAnchor="text" w:hAnchor="margin" w:y="416"/>
                    <w:ind w:firstLine="377"/>
                    <w:rPr>
                      <w:b/>
                      <w:bCs/>
                      <w:sz w:val="22"/>
                      <w:szCs w:val="22"/>
                      <w:lang w:eastAsia="en-US"/>
                    </w:rPr>
                  </w:pPr>
                  <w:proofErr w:type="spellStart"/>
                  <w:r w:rsidRPr="00D32097">
                    <w:rPr>
                      <w:b/>
                      <w:bCs/>
                      <w:sz w:val="22"/>
                      <w:szCs w:val="22"/>
                      <w:lang w:eastAsia="en-US"/>
                    </w:rPr>
                    <w:t>Кгнучке</w:t>
                  </w:r>
                  <w:proofErr w:type="spellEnd"/>
                  <w:r w:rsidRPr="00D32097">
                    <w:rPr>
                      <w:b/>
                      <w:bCs/>
                      <w:sz w:val="22"/>
                      <w:szCs w:val="22"/>
                      <w:lang w:eastAsia="en-US"/>
                    </w:rPr>
                    <w:t>=</w:t>
                  </w:r>
                  <m:oMath>
                    <m:sSubSup>
                      <m:sSubSupPr>
                        <m:ctrlPr>
                          <w:rPr>
                            <w:rFonts w:ascii="Cambria Math" w:eastAsiaTheme="minorHAnsi" w:hAnsi="Cambria Math"/>
                            <w:b/>
                            <w:bCs/>
                            <w:sz w:val="22"/>
                            <w:szCs w:val="22"/>
                            <w:lang w:eastAsia="en-US"/>
                          </w:rPr>
                        </m:ctrlPr>
                      </m:sSubSupPr>
                      <m:e>
                        <m:r>
                          <m:rPr>
                            <m:sty m:val="bi"/>
                          </m:rPr>
                          <w:rPr>
                            <w:rFonts w:ascii="Cambria Math" w:hAnsi="Cambria Math"/>
                            <w:sz w:val="22"/>
                            <w:szCs w:val="22"/>
                          </w:rPr>
                          <m:t>Р</m:t>
                        </m:r>
                      </m:e>
                      <m:sub>
                        <m:r>
                          <m:rPr>
                            <m:sty m:val="bi"/>
                          </m:rPr>
                          <w:rPr>
                            <w:rFonts w:ascii="Cambria Math" w:hAnsi="Cambria Math"/>
                            <w:sz w:val="22"/>
                            <w:szCs w:val="22"/>
                          </w:rPr>
                          <m:t>гарант</m:t>
                        </m:r>
                      </m:sub>
                      <m:sup>
                        <m:r>
                          <m:rPr>
                            <m:sty m:val="bi"/>
                          </m:rPr>
                          <w:rPr>
                            <w:rFonts w:ascii="Cambria Math" w:eastAsiaTheme="minorHAnsi" w:hAnsi="Cambria Math"/>
                            <w:sz w:val="22"/>
                            <w:szCs w:val="22"/>
                            <w:lang w:eastAsia="en-US"/>
                          </w:rPr>
                          <m:t>відпуск</m:t>
                        </m:r>
                      </m:sup>
                    </m:sSubSup>
                    <m:sSubSup>
                      <m:sSubSupPr>
                        <m:ctrlPr>
                          <w:rPr>
                            <w:rFonts w:ascii="Cambria Math" w:eastAsiaTheme="minorHAnsi" w:hAnsi="Cambria Math"/>
                            <w:b/>
                            <w:bCs/>
                            <w:sz w:val="22"/>
                            <w:szCs w:val="22"/>
                            <w:lang w:eastAsia="en-US"/>
                          </w:rPr>
                        </m:ctrlPr>
                      </m:sSubSupPr>
                      <m:e>
                        <m:r>
                          <m:rPr>
                            <m:sty m:val="bi"/>
                          </m:rPr>
                          <w:rPr>
                            <w:rFonts w:ascii="Cambria Math" w:hAnsi="Cambria Math"/>
                            <w:sz w:val="22"/>
                            <w:szCs w:val="22"/>
                          </w:rPr>
                          <m:t>/Р</m:t>
                        </m:r>
                      </m:e>
                      <m:sub>
                        <m:r>
                          <m:rPr>
                            <m:sty m:val="b"/>
                          </m:rPr>
                          <w:rPr>
                            <w:rFonts w:ascii="Cambria Math" w:eastAsiaTheme="minorHAnsi" w:hAnsi="Cambria Math"/>
                            <w:sz w:val="22"/>
                            <w:szCs w:val="22"/>
                            <w:lang w:eastAsia="en-US"/>
                          </w:rPr>
                          <m:t>загальна замовлена потужність</m:t>
                        </m:r>
                      </m:sub>
                      <m:sup>
                        <m:r>
                          <m:rPr>
                            <m:sty m:val="bi"/>
                          </m:rPr>
                          <w:rPr>
                            <w:rFonts w:ascii="Cambria Math" w:eastAsiaTheme="minorHAnsi" w:hAnsi="Cambria Math"/>
                            <w:sz w:val="22"/>
                            <w:szCs w:val="22"/>
                            <w:lang w:eastAsia="en-US"/>
                          </w:rPr>
                          <m:t>відпуск</m:t>
                        </m:r>
                      </m:sup>
                    </m:sSubSup>
                  </m:oMath>
                </w:p>
                <w:p w:rsidR="00FE4387" w:rsidRPr="00D32097" w:rsidRDefault="00FE4387" w:rsidP="002D57C8">
                  <w:pPr>
                    <w:framePr w:hSpace="180" w:wrap="around" w:vAnchor="text" w:hAnchor="margin" w:y="416"/>
                    <w:ind w:firstLine="377"/>
                    <w:rPr>
                      <w:b/>
                      <w:bCs/>
                      <w:sz w:val="22"/>
                      <w:szCs w:val="22"/>
                    </w:rPr>
                  </w:pPr>
                </w:p>
              </w:tc>
            </w:tr>
            <w:tr w:rsidR="00FE4387" w:rsidRPr="00D32097" w:rsidTr="00D02502">
              <w:tc>
                <w:tcPr>
                  <w:tcW w:w="1376" w:type="dxa"/>
                  <w:tcBorders>
                    <w:top w:val="single" w:sz="2" w:space="0" w:color="auto"/>
                    <w:left w:val="single" w:sz="2" w:space="0" w:color="auto"/>
                    <w:bottom w:val="single" w:sz="2" w:space="0" w:color="auto"/>
                    <w:right w:val="single" w:sz="2" w:space="0" w:color="auto"/>
                  </w:tcBorders>
                </w:tcPr>
                <w:p w:rsidR="00FE4387" w:rsidRPr="00D32097" w:rsidRDefault="002D57C8" w:rsidP="002D57C8">
                  <w:pPr>
                    <w:pStyle w:val="rvps14"/>
                    <w:framePr w:hSpace="180" w:wrap="around" w:vAnchor="text" w:hAnchor="margin" w:y="416"/>
                    <w:spacing w:before="150" w:beforeAutospacing="0" w:after="150" w:afterAutospacing="0"/>
                    <w:ind w:firstLine="377"/>
                    <w:rPr>
                      <w:sz w:val="22"/>
                      <w:szCs w:val="22"/>
                      <w:lang w:eastAsia="en-US"/>
                    </w:rPr>
                  </w:pPr>
                  <m:oMathPara>
                    <m:oMath>
                      <m:sSubSup>
                        <m:sSubSupPr>
                          <m:ctrlPr>
                            <w:rPr>
                              <w:rFonts w:ascii="Cambria Math" w:eastAsiaTheme="minorHAnsi" w:hAnsi="Cambria Math"/>
                              <w:sz w:val="22"/>
                              <w:szCs w:val="22"/>
                              <w:lang w:eastAsia="en-US"/>
                            </w:rPr>
                          </m:ctrlPr>
                        </m:sSubSupPr>
                        <m:e>
                          <m:r>
                            <w:rPr>
                              <w:rFonts w:ascii="Cambria Math" w:hAnsi="Cambria Math"/>
                              <w:sz w:val="22"/>
                              <w:szCs w:val="22"/>
                            </w:rPr>
                            <m:t>Р</m:t>
                          </m:r>
                        </m:e>
                        <m:sub>
                          <m:r>
                            <m:rPr>
                              <m:sty m:val="p"/>
                            </m:rPr>
                            <w:rPr>
                              <w:rFonts w:ascii="Cambria Math" w:eastAsiaTheme="minorHAnsi" w:hAnsi="Cambria Math"/>
                              <w:sz w:val="22"/>
                              <w:szCs w:val="22"/>
                              <w:lang w:eastAsia="en-US"/>
                            </w:rPr>
                            <m:t>загальна замовлена потужність</m:t>
                          </m:r>
                        </m:sub>
                        <m:sup>
                          <m:r>
                            <w:rPr>
                              <w:rFonts w:ascii="Cambria Math" w:eastAsiaTheme="minorHAnsi" w:hAnsi="Cambria Math"/>
                              <w:sz w:val="22"/>
                              <w:szCs w:val="22"/>
                              <w:lang w:eastAsia="en-US"/>
                            </w:rPr>
                            <m:t>відпуск</m:t>
                          </m:r>
                        </m:sup>
                      </m:sSubSup>
                    </m:oMath>
                  </m:oMathPara>
                </w:p>
              </w:tc>
              <w:tc>
                <w:tcPr>
                  <w:tcW w:w="229"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pStyle w:val="rvps12"/>
                    <w:framePr w:hSpace="180" w:wrap="around" w:vAnchor="text" w:hAnchor="margin" w:y="416"/>
                    <w:spacing w:before="150" w:beforeAutospacing="0" w:after="150" w:afterAutospacing="0"/>
                    <w:ind w:firstLine="377"/>
                    <w:jc w:val="center"/>
                    <w:rPr>
                      <w:sz w:val="22"/>
                      <w:szCs w:val="22"/>
                    </w:rPr>
                  </w:pPr>
                </w:p>
              </w:tc>
              <w:tc>
                <w:tcPr>
                  <w:tcW w:w="5260" w:type="dxa"/>
                  <w:tcBorders>
                    <w:top w:val="single" w:sz="2" w:space="0" w:color="auto"/>
                    <w:left w:val="single" w:sz="2" w:space="0" w:color="auto"/>
                    <w:bottom w:val="single" w:sz="2" w:space="0" w:color="auto"/>
                    <w:right w:val="single" w:sz="2" w:space="0" w:color="auto"/>
                  </w:tcBorders>
                </w:tcPr>
                <w:p w:rsidR="00FE4387" w:rsidRPr="00D32097" w:rsidRDefault="00FE4387" w:rsidP="002D57C8">
                  <w:pPr>
                    <w:framePr w:hSpace="180" w:wrap="around" w:vAnchor="text" w:hAnchor="margin" w:y="416"/>
                    <w:ind w:firstLine="377"/>
                    <w:rPr>
                      <w:sz w:val="22"/>
                      <w:szCs w:val="22"/>
                      <w:lang w:eastAsia="en-US"/>
                    </w:rPr>
                  </w:pPr>
                </w:p>
                <w:p w:rsidR="00FE4387" w:rsidRPr="00D32097" w:rsidRDefault="002D57C8" w:rsidP="002D57C8">
                  <w:pPr>
                    <w:framePr w:hSpace="180" w:wrap="around" w:vAnchor="text" w:hAnchor="margin" w:y="416"/>
                    <w:ind w:firstLine="377"/>
                    <w:rPr>
                      <w:sz w:val="22"/>
                      <w:szCs w:val="22"/>
                      <w:lang w:eastAsia="en-US"/>
                    </w:rPr>
                  </w:pPr>
                  <m:oMathPara>
                    <m:oMath>
                      <m:sSubSup>
                        <m:sSubSupPr>
                          <m:ctrlPr>
                            <w:rPr>
                              <w:rFonts w:ascii="Cambria Math" w:hAnsi="Cambria Math"/>
                              <w:sz w:val="22"/>
                              <w:szCs w:val="22"/>
                              <w:lang w:eastAsia="en-US"/>
                            </w:rPr>
                          </m:ctrlPr>
                        </m:sSubSupPr>
                        <m:e>
                          <m:r>
                            <w:rPr>
                              <w:rFonts w:ascii="Cambria Math" w:hAnsi="Cambria Math"/>
                              <w:sz w:val="22"/>
                              <w:szCs w:val="22"/>
                              <w:lang w:eastAsia="en-US"/>
                            </w:rPr>
                            <m:t>Р</m:t>
                          </m:r>
                        </m:e>
                        <m:sub>
                          <m:r>
                            <m:rPr>
                              <m:sty m:val="p"/>
                            </m:rPr>
                            <w:rPr>
                              <w:rFonts w:ascii="Cambria Math" w:hAnsi="Cambria Math"/>
                              <w:sz w:val="22"/>
                              <w:szCs w:val="22"/>
                              <w:lang w:eastAsia="en-US"/>
                            </w:rPr>
                            <m:t>загальна замовлена потужність</m:t>
                          </m:r>
                        </m:sub>
                        <m:sup>
                          <m:r>
                            <w:rPr>
                              <w:rFonts w:ascii="Cambria Math" w:hAnsi="Cambria Math"/>
                              <w:sz w:val="22"/>
                              <w:szCs w:val="22"/>
                              <w:lang w:eastAsia="en-US"/>
                            </w:rPr>
                            <m:t>відпуск</m:t>
                          </m:r>
                        </m:sup>
                      </m:sSubSup>
                      <m:r>
                        <m:rPr>
                          <m:sty m:val="p"/>
                        </m:rPr>
                        <w:rPr>
                          <w:rFonts w:ascii="Cambria Math" w:hAnsi="Cambria Math"/>
                          <w:sz w:val="22"/>
                          <w:szCs w:val="22"/>
                          <w:lang w:eastAsia="en-US"/>
                        </w:rPr>
                        <m:t>=</m:t>
                      </m:r>
                      <m:sSubSup>
                        <m:sSubSupPr>
                          <m:ctrlPr>
                            <w:rPr>
                              <w:rFonts w:ascii="Cambria Math" w:hAnsi="Cambria Math"/>
                              <w:sz w:val="22"/>
                              <w:szCs w:val="22"/>
                              <w:lang w:eastAsia="en-US"/>
                            </w:rPr>
                          </m:ctrlPr>
                        </m:sSubSupPr>
                        <m:e>
                          <m:r>
                            <w:rPr>
                              <w:rFonts w:ascii="Cambria Math" w:hAnsi="Cambria Math"/>
                              <w:sz w:val="22"/>
                              <w:szCs w:val="22"/>
                              <w:lang w:eastAsia="en-US"/>
                            </w:rPr>
                            <m:t>Р</m:t>
                          </m:r>
                        </m:e>
                        <m:sub>
                          <m:r>
                            <w:rPr>
                              <w:rFonts w:ascii="Cambria Math" w:hAnsi="Cambria Math"/>
                              <w:sz w:val="22"/>
                              <w:szCs w:val="22"/>
                              <w:lang w:eastAsia="en-US"/>
                            </w:rPr>
                            <m:t>гарант</m:t>
                          </m:r>
                        </m:sub>
                        <m:sup>
                          <m:r>
                            <w:rPr>
                              <w:rFonts w:ascii="Cambria Math" w:hAnsi="Cambria Math"/>
                              <w:sz w:val="22"/>
                              <w:szCs w:val="22"/>
                              <w:lang w:eastAsia="en-US"/>
                            </w:rPr>
                            <m:t>відпуск</m:t>
                          </m:r>
                        </m:sup>
                      </m:sSubSup>
                      <m:r>
                        <m:rPr>
                          <m:sty m:val="p"/>
                        </m:rPr>
                        <w:rPr>
                          <w:rFonts w:ascii="Cambria Math" w:hAnsi="Cambria Math"/>
                          <w:sz w:val="22"/>
                          <w:szCs w:val="22"/>
                          <w:lang w:eastAsia="en-US"/>
                        </w:rPr>
                        <m:t>+</m:t>
                      </m:r>
                      <m:sSubSup>
                        <m:sSubSupPr>
                          <m:ctrlPr>
                            <w:rPr>
                              <w:rFonts w:ascii="Cambria Math" w:hAnsi="Cambria Math"/>
                              <w:sz w:val="22"/>
                              <w:szCs w:val="22"/>
                              <w:lang w:eastAsia="en-US"/>
                            </w:rPr>
                          </m:ctrlPr>
                        </m:sSubSupPr>
                        <m:e>
                          <m:r>
                            <w:rPr>
                              <w:rFonts w:ascii="Cambria Math" w:hAnsi="Cambria Math"/>
                              <w:sz w:val="22"/>
                              <w:szCs w:val="22"/>
                              <w:lang w:eastAsia="en-US"/>
                            </w:rPr>
                            <m:t>Р</m:t>
                          </m:r>
                        </m:e>
                        <m:sub>
                          <m:r>
                            <w:rPr>
                              <w:rFonts w:ascii="Cambria Math" w:hAnsi="Cambria Math"/>
                              <w:sz w:val="22"/>
                              <w:szCs w:val="22"/>
                              <w:lang w:eastAsia="en-US"/>
                            </w:rPr>
                            <m:t>негарант</m:t>
                          </m:r>
                        </m:sub>
                        <m:sup>
                          <m:r>
                            <w:rPr>
                              <w:rFonts w:ascii="Cambria Math" w:hAnsi="Cambria Math"/>
                              <w:sz w:val="22"/>
                              <w:szCs w:val="22"/>
                              <w:lang w:eastAsia="en-US"/>
                            </w:rPr>
                            <m:t>відпуск</m:t>
                          </m:r>
                        </m:sup>
                      </m:sSubSup>
                    </m:oMath>
                  </m:oMathPara>
                </w:p>
                <w:p w:rsidR="00FE4387" w:rsidRPr="00D32097" w:rsidRDefault="00FE4387" w:rsidP="002D57C8">
                  <w:pPr>
                    <w:framePr w:hSpace="180" w:wrap="around" w:vAnchor="text" w:hAnchor="margin" w:y="416"/>
                    <w:ind w:firstLine="377"/>
                    <w:rPr>
                      <w:sz w:val="22"/>
                      <w:szCs w:val="22"/>
                      <w:lang w:eastAsia="en-US"/>
                    </w:rPr>
                  </w:pPr>
                </w:p>
              </w:tc>
            </w:tr>
          </w:tbl>
          <w:p w:rsidR="00FE4387" w:rsidRPr="00D32097" w:rsidRDefault="00FE4387" w:rsidP="00FE4387">
            <w:pPr>
              <w:ind w:firstLine="235"/>
              <w:contextualSpacing/>
              <w:jc w:val="both"/>
              <w:rPr>
                <w:b/>
                <w:color w:val="000000"/>
                <w:sz w:val="22"/>
                <w:szCs w:val="22"/>
                <w:u w:val="single"/>
              </w:rPr>
            </w:pPr>
          </w:p>
        </w:tc>
        <w:tc>
          <w:tcPr>
            <w:tcW w:w="3899" w:type="dxa"/>
          </w:tcPr>
          <w:p w:rsidR="00FE4387" w:rsidRPr="00D32097" w:rsidRDefault="00FE4387" w:rsidP="00FE4387">
            <w:pPr>
              <w:shd w:val="clear" w:color="auto" w:fill="FFFFFF"/>
              <w:ind w:firstLine="450"/>
              <w:jc w:val="both"/>
              <w:rPr>
                <w:rFonts w:ascii="Times New Roman" w:hAnsi="Times New Roman" w:cs="Times New Roman"/>
                <w:sz w:val="22"/>
                <w:szCs w:val="22"/>
              </w:rPr>
            </w:pPr>
            <w:r w:rsidRPr="00D32097">
              <w:rPr>
                <w:rFonts w:ascii="Times New Roman" w:hAnsi="Times New Roman" w:cs="Times New Roman"/>
                <w:sz w:val="22"/>
                <w:szCs w:val="22"/>
              </w:rPr>
              <w:lastRenderedPageBreak/>
              <w:t>Вважаємо, що запропонована формула найбільше відповідає Закону України «Про ринок електричної енергії», а саме абзацу третій частини п'ятнадцятої статті 21 в редакції Закону </w:t>
            </w:r>
            <w:hyperlink r:id="rId26" w:anchor="n164" w:tgtFrame="_blank" w:history="1">
              <w:r w:rsidRPr="00D32097">
                <w:rPr>
                  <w:rFonts w:ascii="Times New Roman" w:hAnsi="Times New Roman" w:cs="Times New Roman"/>
                  <w:sz w:val="22"/>
                  <w:szCs w:val="22"/>
                </w:rPr>
                <w:t>№ 4777-IX від 10.02.2026</w:t>
              </w:r>
            </w:hyperlink>
            <w:r w:rsidRPr="00D32097">
              <w:rPr>
                <w:rFonts w:ascii="Times New Roman" w:hAnsi="Times New Roman" w:cs="Times New Roman"/>
                <w:sz w:val="22"/>
                <w:szCs w:val="22"/>
              </w:rPr>
              <w:t>: «Розрахунок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shd w:val="clear" w:color="auto" w:fill="FFFFFF"/>
              <w:ind w:firstLine="450"/>
              <w:jc w:val="both"/>
              <w:rPr>
                <w:rFonts w:ascii="Times New Roman" w:hAnsi="Times New Roman" w:cs="Times New Roman"/>
                <w:sz w:val="22"/>
                <w:szCs w:val="22"/>
              </w:rPr>
            </w:pPr>
            <w:r w:rsidRPr="00D32097">
              <w:rPr>
                <w:rFonts w:ascii="Times New Roman" w:hAnsi="Times New Roman" w:cs="Times New Roman"/>
                <w:sz w:val="22"/>
                <w:szCs w:val="22"/>
              </w:rPr>
              <w:t>складову плати за приєднання потужності (враховуючи потужність відбору та/або відпуску, що створюється), яка визначається як </w:t>
            </w:r>
            <w:hyperlink r:id="rId27" w:anchor="w1_3" w:history="1">
              <w:r w:rsidRPr="00D32097">
                <w:rPr>
                  <w:rFonts w:ascii="Times New Roman" w:hAnsi="Times New Roman" w:cs="Times New Roman"/>
                  <w:sz w:val="22"/>
                  <w:szCs w:val="22"/>
                </w:rPr>
                <w:t>добуток</w:t>
              </w:r>
            </w:hyperlink>
            <w:r w:rsidRPr="00D32097">
              <w:rPr>
                <w:rFonts w:ascii="Times New Roman" w:hAnsi="Times New Roman" w:cs="Times New Roman"/>
                <w:sz w:val="22"/>
                <w:szCs w:val="22"/>
              </w:rPr>
              <w:t> </w:t>
            </w:r>
            <w:r w:rsidRPr="00D32097">
              <w:rPr>
                <w:rFonts w:ascii="Times New Roman" w:hAnsi="Times New Roman" w:cs="Times New Roman"/>
                <w:b/>
                <w:bCs/>
                <w:i/>
                <w:iCs/>
                <w:sz w:val="22"/>
                <w:szCs w:val="22"/>
              </w:rPr>
              <w:t xml:space="preserve">величини додатково замовленої до приєднання </w:t>
            </w:r>
            <w:r w:rsidRPr="00D32097">
              <w:rPr>
                <w:rFonts w:ascii="Times New Roman" w:hAnsi="Times New Roman" w:cs="Times New Roman"/>
                <w:b/>
                <w:bCs/>
                <w:i/>
                <w:iCs/>
                <w:sz w:val="22"/>
                <w:szCs w:val="22"/>
              </w:rPr>
              <w:lastRenderedPageBreak/>
              <w:t>потужності відбору та/або відпуску</w:t>
            </w:r>
            <w:r w:rsidRPr="00D32097">
              <w:rPr>
                <w:rFonts w:ascii="Times New Roman" w:hAnsi="Times New Roman" w:cs="Times New Roman"/>
                <w:sz w:val="22"/>
                <w:szCs w:val="22"/>
              </w:rPr>
              <w:t xml:space="preserve"> та ставки плати за нестандартне приєднання потужності». Додаткова замовлена до приєднання потужність буде врахована при застосуванні максимальної величини потужності. Не виникає зайвих переплат у інвесторів за ненадані послуги з приєднання оператора системи розподілу.</w:t>
            </w:r>
          </w:p>
          <w:p w:rsidR="00FE4387" w:rsidRPr="00D32097" w:rsidRDefault="00FE4387" w:rsidP="00FE4387">
            <w:pPr>
              <w:rPr>
                <w:rFonts w:ascii="Times New Roman" w:hAnsi="Times New Roman" w:cs="Times New Roman"/>
                <w:sz w:val="22"/>
                <w:szCs w:val="22"/>
              </w:rPr>
            </w:pPr>
            <w:r w:rsidRPr="00D32097">
              <w:rPr>
                <w:rStyle w:val="a8"/>
                <w:rFonts w:ascii="Times New Roman" w:hAnsi="Times New Roman" w:cs="Times New Roman"/>
                <w:sz w:val="22"/>
                <w:szCs w:val="22"/>
              </w:rPr>
              <w:t>Також не зрозуміла природа виникнення коефіцієнта гнучкості</w:t>
            </w:r>
            <w:r w:rsidRPr="00D32097">
              <w:rPr>
                <w:rFonts w:ascii="Times New Roman" w:eastAsiaTheme="minorHAnsi" w:hAnsi="Times New Roman" w:cs="Times New Roman"/>
                <w:i/>
                <w:sz w:val="22"/>
                <w:szCs w:val="22"/>
                <w:lang w:eastAsia="en-US"/>
              </w:rPr>
              <w:br/>
            </w:r>
            <m:oMath>
              <m:sSub>
                <m:sSubPr>
                  <m:ctrlPr>
                    <w:rPr>
                      <w:rFonts w:ascii="Cambria Math" w:eastAsiaTheme="minorHAnsi" w:hAnsi="Cambria Math" w:cs="Times New Roman"/>
                      <w:i/>
                      <w:sz w:val="22"/>
                      <w:szCs w:val="22"/>
                      <w:lang w:eastAsia="en-US"/>
                    </w:rPr>
                  </m:ctrlPr>
                </m:sSubPr>
                <m:e>
                  <m:r>
                    <w:rPr>
                      <w:rFonts w:ascii="Cambria Math" w:hAnsi="Cambria Math" w:cs="Times New Roman"/>
                      <w:sz w:val="22"/>
                      <w:szCs w:val="22"/>
                    </w:rPr>
                    <m:t>К</m:t>
                  </m:r>
                </m:e>
                <m:sub>
                  <m:r>
                    <w:rPr>
                      <w:rFonts w:ascii="Cambria Math" w:hAnsi="Cambria Math" w:cs="Times New Roman"/>
                      <w:sz w:val="22"/>
                      <w:szCs w:val="22"/>
                    </w:rPr>
                    <m:t>гнучке</m:t>
                  </m:r>
                </m:sub>
              </m:sSub>
            </m:oMath>
            <w:r w:rsidRPr="00D32097">
              <w:rPr>
                <w:rStyle w:val="a8"/>
                <w:rFonts w:ascii="Times New Roman" w:hAnsi="Times New Roman" w:cs="Times New Roman"/>
                <w:sz w:val="22"/>
                <w:szCs w:val="22"/>
              </w:rPr>
              <w:t xml:space="preserve">  у розмірі 0,3. Вважаємо, що ця величина має бути гнучкою та залежати від впливу гнучкості на загальну потужність електроустановки в залежності від пропорції потужності: </w:t>
            </w:r>
            <w:r w:rsidRPr="00D32097">
              <w:rPr>
                <w:rStyle w:val="t286pc"/>
                <w:rFonts w:ascii="Times New Roman" w:eastAsiaTheme="minorEastAsia" w:hAnsi="Times New Roman" w:cs="Times New Roman"/>
                <w:b/>
                <w:bCs/>
                <w:sz w:val="22"/>
                <w:szCs w:val="22"/>
              </w:rPr>
              <w:t xml:space="preserve"> K гнучке = </w:t>
            </w:r>
            <w:r w:rsidRPr="00D32097">
              <w:rPr>
                <w:rFonts w:ascii="Times New Roman" w:eastAsiaTheme="minorHAnsi" w:hAnsi="Times New Roman" w:cs="Times New Roman"/>
                <w:b/>
                <w:bCs/>
                <w:sz w:val="22"/>
                <w:szCs w:val="22"/>
                <w:lang w:eastAsia="en-US"/>
              </w:rPr>
              <w:br/>
            </w:r>
            <m:oMathPara>
              <m:oMath>
                <m:sSubSup>
                  <m:sSubSupPr>
                    <m:ctrlPr>
                      <w:rPr>
                        <w:rFonts w:ascii="Cambria Math" w:eastAsiaTheme="minorHAnsi" w:hAnsi="Cambria Math" w:cs="Times New Roman"/>
                        <w:b/>
                        <w:bCs/>
                        <w:sz w:val="22"/>
                        <w:szCs w:val="22"/>
                        <w:lang w:eastAsia="en-US"/>
                      </w:rPr>
                    </m:ctrlPr>
                  </m:sSubSupPr>
                  <m:e>
                    <m:r>
                      <m:rPr>
                        <m:sty m:val="bi"/>
                      </m:rPr>
                      <w:rPr>
                        <w:rFonts w:ascii="Cambria Math" w:hAnsi="Cambria Math" w:cs="Times New Roman"/>
                        <w:sz w:val="22"/>
                        <w:szCs w:val="22"/>
                      </w:rPr>
                      <m:t>Р</m:t>
                    </m:r>
                  </m:e>
                  <m:sub>
                    <m:r>
                      <m:rPr>
                        <m:sty m:val="bi"/>
                      </m:rPr>
                      <w:rPr>
                        <w:rFonts w:ascii="Cambria Math" w:hAnsi="Cambria Math" w:cs="Times New Roman"/>
                        <w:sz w:val="22"/>
                        <w:szCs w:val="22"/>
                      </w:rPr>
                      <m:t>гарант</m:t>
                    </m:r>
                  </m:sub>
                  <m:sup>
                    <m:r>
                      <m:rPr>
                        <m:sty m:val="bi"/>
                      </m:rPr>
                      <w:rPr>
                        <w:rFonts w:ascii="Cambria Math" w:eastAsiaTheme="minorHAnsi" w:hAnsi="Cambria Math" w:cs="Times New Roman"/>
                        <w:sz w:val="22"/>
                        <w:szCs w:val="22"/>
                        <w:lang w:eastAsia="en-US"/>
                      </w:rPr>
                      <m:t>відпуск</m:t>
                    </m:r>
                  </m:sup>
                </m:sSubSup>
                <m:sSubSup>
                  <m:sSubSupPr>
                    <m:ctrlPr>
                      <w:rPr>
                        <w:rFonts w:ascii="Cambria Math" w:eastAsiaTheme="minorHAnsi" w:hAnsi="Cambria Math" w:cs="Times New Roman"/>
                        <w:b/>
                        <w:bCs/>
                        <w:sz w:val="22"/>
                        <w:szCs w:val="22"/>
                        <w:lang w:eastAsia="en-US"/>
                      </w:rPr>
                    </m:ctrlPr>
                  </m:sSubSupPr>
                  <m:e>
                    <m:r>
                      <m:rPr>
                        <m:sty m:val="bi"/>
                      </m:rPr>
                      <w:rPr>
                        <w:rFonts w:ascii="Cambria Math" w:hAnsi="Cambria Math" w:cs="Times New Roman"/>
                        <w:sz w:val="22"/>
                        <w:szCs w:val="22"/>
                      </w:rPr>
                      <m:t>/Р</m:t>
                    </m:r>
                  </m:e>
                  <m:sub>
                    <m:r>
                      <m:rPr>
                        <m:sty m:val="b"/>
                      </m:rPr>
                      <w:rPr>
                        <w:rFonts w:ascii="Cambria Math" w:eastAsiaTheme="minorHAnsi" w:hAnsi="Cambria Math" w:cs="Times New Roman"/>
                        <w:sz w:val="22"/>
                        <w:szCs w:val="22"/>
                        <w:lang w:eastAsia="en-US"/>
                      </w:rPr>
                      <m:t>загальна замовлена потужність</m:t>
                    </m:r>
                  </m:sub>
                  <m:sup>
                    <m:r>
                      <m:rPr>
                        <m:sty m:val="bi"/>
                      </m:rPr>
                      <w:rPr>
                        <w:rFonts w:ascii="Cambria Math" w:eastAsiaTheme="minorHAnsi" w:hAnsi="Cambria Math" w:cs="Times New Roman"/>
                        <w:sz w:val="22"/>
                        <w:szCs w:val="22"/>
                        <w:lang w:eastAsia="en-US"/>
                      </w:rPr>
                      <m:t>відпуск</m:t>
                    </m:r>
                  </m:sup>
                </m:sSubSup>
                <m:r>
                  <m:rPr>
                    <m:sty m:val="bi"/>
                  </m:rPr>
                  <w:rPr>
                    <w:rFonts w:ascii="Cambria Math" w:eastAsiaTheme="minorHAnsi" w:hAnsi="Cambria Math" w:cs="Times New Roman"/>
                    <w:sz w:val="22"/>
                    <w:szCs w:val="22"/>
                    <w:lang w:eastAsia="en-US"/>
                  </w:rPr>
                  <m:t xml:space="preserve"> </m:t>
                </m:r>
                <m:r>
                  <m:rPr>
                    <m:sty m:val="p"/>
                  </m:rPr>
                  <w:rPr>
                    <w:rFonts w:ascii="Cambria Math" w:hAnsi="Cambria Math" w:cs="Times New Roman"/>
                    <w:sz w:val="22"/>
                    <w:szCs w:val="22"/>
                  </w:rPr>
                  <w:br/>
                </m:r>
              </m:oMath>
            </m:oMathPara>
          </w:p>
          <w:p w:rsidR="00FE4387" w:rsidRPr="00D32097" w:rsidRDefault="002D57C8" w:rsidP="00FE4387">
            <w:pPr>
              <w:rPr>
                <w:rFonts w:ascii="Times New Roman" w:hAnsi="Times New Roman" w:cs="Times New Roman"/>
                <w:b/>
                <w:bCs/>
                <w:sz w:val="22"/>
                <w:szCs w:val="22"/>
              </w:rPr>
            </w:pPr>
            <m:oMathPara>
              <m:oMath>
                <m:sSubSup>
                  <m:sSubSupPr>
                    <m:ctrlPr>
                      <w:rPr>
                        <w:rFonts w:ascii="Cambria Math" w:eastAsiaTheme="minorHAnsi" w:hAnsi="Cambria Math" w:cs="Times New Roman"/>
                        <w:b/>
                        <w:bCs/>
                        <w:sz w:val="22"/>
                        <w:szCs w:val="22"/>
                        <w:lang w:eastAsia="en-US"/>
                      </w:rPr>
                    </m:ctrlPr>
                  </m:sSubSupPr>
                  <m:e>
                    <m:r>
                      <m:rPr>
                        <m:sty m:val="bi"/>
                      </m:rPr>
                      <w:rPr>
                        <w:rFonts w:ascii="Cambria Math" w:hAnsi="Cambria Math" w:cs="Times New Roman"/>
                        <w:sz w:val="22"/>
                        <w:szCs w:val="22"/>
                      </w:rPr>
                      <m:t>Р</m:t>
                    </m:r>
                  </m:e>
                  <m:sub>
                    <m:r>
                      <m:rPr>
                        <m:sty m:val="b"/>
                      </m:rPr>
                      <w:rPr>
                        <w:rFonts w:ascii="Cambria Math" w:eastAsiaTheme="minorHAnsi" w:hAnsi="Cambria Math" w:cs="Times New Roman"/>
                        <w:sz w:val="22"/>
                        <w:szCs w:val="22"/>
                        <w:lang w:eastAsia="en-US"/>
                      </w:rPr>
                      <m:t>загальна замовлена потужність</m:t>
                    </m:r>
                  </m:sub>
                  <m:sup>
                    <m:r>
                      <m:rPr>
                        <m:sty m:val="bi"/>
                      </m:rPr>
                      <w:rPr>
                        <w:rFonts w:ascii="Cambria Math" w:eastAsiaTheme="minorHAnsi" w:hAnsi="Cambria Math" w:cs="Times New Roman"/>
                        <w:sz w:val="22"/>
                        <w:szCs w:val="22"/>
                        <w:lang w:eastAsia="en-US"/>
                      </w:rPr>
                      <m:t>відпуск</m:t>
                    </m:r>
                  </m:sup>
                </m:sSubSup>
                <m:r>
                  <m:rPr>
                    <m:sty m:val="b"/>
                  </m:rPr>
                  <w:rPr>
                    <w:rFonts w:ascii="Cambria Math" w:eastAsiaTheme="minorHAnsi" w:hAnsi="Cambria Math" w:cs="Times New Roman"/>
                    <w:sz w:val="22"/>
                    <w:szCs w:val="22"/>
                    <w:lang w:eastAsia="en-US"/>
                  </w:rPr>
                  <m:t>=</m:t>
                </m:r>
                <m:sSubSup>
                  <m:sSubSupPr>
                    <m:ctrlPr>
                      <w:rPr>
                        <w:rFonts w:ascii="Cambria Math" w:eastAsiaTheme="minorHAnsi" w:hAnsi="Cambria Math" w:cs="Times New Roman"/>
                        <w:b/>
                        <w:bCs/>
                        <w:sz w:val="22"/>
                        <w:szCs w:val="22"/>
                        <w:lang w:eastAsia="en-US"/>
                      </w:rPr>
                    </m:ctrlPr>
                  </m:sSubSupPr>
                  <m:e>
                    <m:r>
                      <m:rPr>
                        <m:sty m:val="bi"/>
                      </m:rPr>
                      <w:rPr>
                        <w:rFonts w:ascii="Cambria Math" w:hAnsi="Cambria Math" w:cs="Times New Roman"/>
                        <w:sz w:val="22"/>
                        <w:szCs w:val="22"/>
                      </w:rPr>
                      <m:t>Р</m:t>
                    </m:r>
                  </m:e>
                  <m:sub>
                    <m:r>
                      <m:rPr>
                        <m:sty m:val="bi"/>
                      </m:rPr>
                      <w:rPr>
                        <w:rFonts w:ascii="Cambria Math" w:hAnsi="Cambria Math" w:cs="Times New Roman"/>
                        <w:sz w:val="22"/>
                        <w:szCs w:val="22"/>
                      </w:rPr>
                      <m:t>гарант</m:t>
                    </m:r>
                  </m:sub>
                  <m:sup>
                    <m:r>
                      <m:rPr>
                        <m:sty m:val="bi"/>
                      </m:rPr>
                      <w:rPr>
                        <w:rFonts w:ascii="Cambria Math" w:eastAsiaTheme="minorHAnsi" w:hAnsi="Cambria Math" w:cs="Times New Roman"/>
                        <w:sz w:val="22"/>
                        <w:szCs w:val="22"/>
                        <w:lang w:eastAsia="en-US"/>
                      </w:rPr>
                      <m:t>відпуск</m:t>
                    </m:r>
                  </m:sup>
                </m:sSubSup>
                <m:r>
                  <m:rPr>
                    <m:sty m:val="b"/>
                  </m:rPr>
                  <w:rPr>
                    <w:rFonts w:ascii="Cambria Math" w:eastAsiaTheme="minorHAnsi" w:hAnsi="Cambria Math" w:cs="Times New Roman"/>
                    <w:sz w:val="22"/>
                    <w:szCs w:val="22"/>
                    <w:lang w:eastAsia="en-US"/>
                  </w:rPr>
                  <m:t>+</m:t>
                </m:r>
                <m:sSubSup>
                  <m:sSubSupPr>
                    <m:ctrlPr>
                      <w:rPr>
                        <w:rFonts w:ascii="Cambria Math" w:eastAsiaTheme="minorHAnsi" w:hAnsi="Cambria Math" w:cs="Times New Roman"/>
                        <w:b/>
                        <w:bCs/>
                        <w:sz w:val="22"/>
                        <w:szCs w:val="22"/>
                        <w:lang w:eastAsia="en-US"/>
                      </w:rPr>
                    </m:ctrlPr>
                  </m:sSubSupPr>
                  <m:e>
                    <m:r>
                      <m:rPr>
                        <m:sty m:val="bi"/>
                      </m:rPr>
                      <w:rPr>
                        <w:rFonts w:ascii="Cambria Math" w:hAnsi="Cambria Math" w:cs="Times New Roman"/>
                        <w:sz w:val="22"/>
                        <w:szCs w:val="22"/>
                      </w:rPr>
                      <m:t>Р</m:t>
                    </m:r>
                  </m:e>
                  <m:sub>
                    <m:r>
                      <m:rPr>
                        <m:sty m:val="bi"/>
                      </m:rPr>
                      <w:rPr>
                        <w:rFonts w:ascii="Cambria Math" w:hAnsi="Cambria Math" w:cs="Times New Roman"/>
                        <w:sz w:val="22"/>
                        <w:szCs w:val="22"/>
                      </w:rPr>
                      <m:t>негарант</m:t>
                    </m:r>
                  </m:sub>
                  <m:sup>
                    <m:r>
                      <m:rPr>
                        <m:sty m:val="bi"/>
                      </m:rPr>
                      <w:rPr>
                        <w:rFonts w:ascii="Cambria Math" w:eastAsiaTheme="minorHAnsi" w:hAnsi="Cambria Math" w:cs="Times New Roman"/>
                        <w:sz w:val="22"/>
                        <w:szCs w:val="22"/>
                        <w:lang w:eastAsia="en-US"/>
                      </w:rPr>
                      <m:t>відпуск</m:t>
                    </m:r>
                  </m:sup>
                </m:sSubSup>
              </m:oMath>
            </m:oMathPara>
          </w:p>
          <w:p w:rsidR="00FE4387" w:rsidRPr="00D32097" w:rsidRDefault="00FE4387" w:rsidP="00FE4387">
            <w:pPr>
              <w:jc w:val="both"/>
              <w:rPr>
                <w:rFonts w:ascii="Times New Roman" w:hAnsi="Times New Roman" w:cs="Times New Roman"/>
                <w:sz w:val="22"/>
                <w:szCs w:val="22"/>
              </w:rPr>
            </w:pPr>
            <w:r w:rsidRPr="00D32097">
              <w:rPr>
                <w:rFonts w:ascii="Times New Roman" w:hAnsi="Times New Roman" w:cs="Times New Roman"/>
                <w:sz w:val="22"/>
                <w:szCs w:val="22"/>
              </w:rPr>
              <w:t>Усунути технічні помилки у формулі:</w:t>
            </w:r>
          </w:p>
          <w:p w:rsidR="00FE4387" w:rsidRPr="00D32097" w:rsidRDefault="00FE4387" w:rsidP="00FE4387">
            <w:pPr>
              <w:numPr>
                <w:ilvl w:val="0"/>
                <w:numId w:val="10"/>
              </w:numPr>
              <w:ind w:left="0"/>
              <w:jc w:val="both"/>
              <w:rPr>
                <w:rFonts w:ascii="Times New Roman" w:hAnsi="Times New Roman" w:cs="Times New Roman"/>
                <w:sz w:val="22"/>
                <w:szCs w:val="22"/>
              </w:rPr>
            </w:pPr>
            <w:r w:rsidRPr="00D32097">
              <w:rPr>
                <w:rFonts w:ascii="Times New Roman" w:hAnsi="Times New Roman" w:cs="Times New Roman"/>
                <w:sz w:val="22"/>
                <w:szCs w:val="22"/>
              </w:rPr>
              <w:t>1.</w:t>
            </w:r>
            <w:r w:rsidRPr="00D32097">
              <w:rPr>
                <w:rStyle w:val="rvts9"/>
                <w:rFonts w:ascii="Times New Roman" w:hAnsi="Times New Roman" w:cs="Times New Roman"/>
                <w:b/>
                <w:bCs/>
                <w:sz w:val="22"/>
                <w:szCs w:val="22"/>
              </w:rPr>
              <w:t xml:space="preserve"> </w:t>
            </w:r>
            <m:oMath>
              <m:sSubSup>
                <m:sSubSupPr>
                  <m:ctrlPr>
                    <w:rPr>
                      <w:rFonts w:ascii="Cambria Math" w:hAnsi="Cambria Math" w:cs="Times New Roman"/>
                      <w:sz w:val="22"/>
                      <w:szCs w:val="22"/>
                    </w:rPr>
                  </m:ctrlPr>
                </m:sSubSupPr>
                <m:e>
                  <m:r>
                    <w:rPr>
                      <w:rFonts w:ascii="Cambria Math" w:hAnsi="Cambria Math" w:cs="Times New Roman"/>
                      <w:sz w:val="22"/>
                      <w:szCs w:val="22"/>
                    </w:rPr>
                    <m:t>П</m:t>
                  </m:r>
                </m:e>
                <m:sub>
                  <m:r>
                    <w:rPr>
                      <w:rFonts w:ascii="Cambria Math" w:hAnsi="Cambria Math" w:cs="Times New Roman"/>
                      <w:sz w:val="22"/>
                      <w:szCs w:val="22"/>
                    </w:rPr>
                    <m:t>нст</m:t>
                  </m:r>
                </m:sub>
                <m:sup>
                  <m:r>
                    <w:rPr>
                      <w:rFonts w:ascii="Cambria Math" w:hAnsi="Cambria Math" w:cs="Times New Roman"/>
                      <w:sz w:val="22"/>
                      <w:szCs w:val="22"/>
                    </w:rPr>
                    <m:t>гнучке</m:t>
                  </m:r>
                </m:sup>
              </m:sSubSup>
            </m:oMath>
            <w:r w:rsidRPr="00D32097">
              <w:rPr>
                <w:rFonts w:ascii="Times New Roman" w:hAnsi="Times New Roman" w:cs="Times New Roman"/>
                <w:sz w:val="22"/>
                <w:szCs w:val="22"/>
              </w:rPr>
              <w:t> вимірюється в тисячах гривень (у формулі -  тис.грн./кВт);</w:t>
            </w:r>
          </w:p>
          <w:p w:rsidR="00FE4387" w:rsidRPr="00D32097" w:rsidRDefault="00FE4387" w:rsidP="00FE4387">
            <w:pPr>
              <w:numPr>
                <w:ilvl w:val="0"/>
                <w:numId w:val="10"/>
              </w:numPr>
              <w:ind w:left="0"/>
              <w:jc w:val="both"/>
              <w:rPr>
                <w:rFonts w:ascii="Times New Roman" w:hAnsi="Times New Roman" w:cs="Times New Roman"/>
                <w:sz w:val="22"/>
                <w:szCs w:val="22"/>
              </w:rPr>
            </w:pPr>
            <w:r w:rsidRPr="00D32097">
              <w:rPr>
                <w:rFonts w:ascii="Times New Roman" w:hAnsi="Times New Roman" w:cs="Times New Roman"/>
                <w:sz w:val="22"/>
                <w:szCs w:val="22"/>
              </w:rPr>
              <w:t>2. Усюди у формулі визначити величини вимірювання потужності кВт</w:t>
            </w:r>
          </w:p>
          <w:p w:rsidR="00FE4387" w:rsidRPr="00D32097" w:rsidRDefault="00FE4387" w:rsidP="00FE4387">
            <w:pPr>
              <w:jc w:val="center"/>
              <w:rPr>
                <w:b/>
                <w:sz w:val="22"/>
                <w:szCs w:val="24"/>
                <w:lang w:eastAsia="uk-UA"/>
              </w:rPr>
            </w:pPr>
          </w:p>
        </w:tc>
        <w:tc>
          <w:tcPr>
            <w:tcW w:w="3900" w:type="dxa"/>
            <w:gridSpan w:val="2"/>
          </w:tcPr>
          <w:p w:rsidR="002D57C8" w:rsidRPr="00D32097" w:rsidRDefault="002D57C8" w:rsidP="002D57C8">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2D57C8" w:rsidRPr="00D32097" w:rsidRDefault="002D57C8" w:rsidP="002D57C8">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2D57C8" w:rsidRPr="00D32097" w:rsidRDefault="002D57C8" w:rsidP="002D57C8">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2D57C8" w:rsidRDefault="002D57C8" w:rsidP="002D57C8">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w:t>
            </w:r>
            <w:r w:rsidRPr="00D32097">
              <w:rPr>
                <w:rFonts w:ascii="Times New Roman" w:hAnsi="Times New Roman" w:cs="Times New Roman"/>
                <w:sz w:val="22"/>
                <w:szCs w:val="22"/>
                <w:lang w:eastAsia="uk-UA"/>
              </w:rPr>
              <w:lastRenderedPageBreak/>
              <w:t>за нестандартне приєднання потужності;</w:t>
            </w:r>
          </w:p>
          <w:p w:rsidR="00FE4387" w:rsidRDefault="002D57C8" w:rsidP="002D57C8">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p w:rsidR="002D57C8" w:rsidRPr="002D57C8" w:rsidRDefault="002D57C8" w:rsidP="002D57C8">
            <w:pPr>
              <w:ind w:firstLine="174"/>
              <w:jc w:val="both"/>
              <w:rPr>
                <w:rFonts w:ascii="Times New Roman" w:hAnsi="Times New Roman" w:cs="Times New Roman"/>
                <w:sz w:val="22"/>
                <w:szCs w:val="22"/>
                <w:lang w:eastAsia="uk-UA"/>
              </w:rPr>
            </w:pPr>
            <w:r w:rsidRPr="002D57C8">
              <w:rPr>
                <w:rFonts w:ascii="Times New Roman" w:hAnsi="Times New Roman" w:cs="Times New Roman"/>
                <w:sz w:val="22"/>
                <w:szCs w:val="22"/>
                <w:lang w:eastAsia="uk-UA"/>
              </w:rPr>
              <w:t>К</w:t>
            </w:r>
            <w:r>
              <w:rPr>
                <w:rFonts w:ascii="Times New Roman" w:hAnsi="Times New Roman" w:cs="Times New Roman"/>
                <w:sz w:val="22"/>
                <w:szCs w:val="22"/>
                <w:lang w:eastAsia="uk-UA"/>
              </w:rPr>
              <w:t xml:space="preserve"> </w:t>
            </w:r>
            <w:r w:rsidRPr="002D57C8">
              <w:rPr>
                <w:rFonts w:ascii="Times New Roman" w:hAnsi="Times New Roman" w:cs="Times New Roman"/>
                <w:sz w:val="24"/>
                <w:szCs w:val="22"/>
                <w:vertAlign w:val="subscript"/>
                <w:lang w:eastAsia="uk-UA"/>
              </w:rPr>
              <w:t>гнучке</w:t>
            </w:r>
            <w:r w:rsidRPr="002D57C8">
              <w:rPr>
                <w:rFonts w:ascii="Times New Roman" w:hAnsi="Times New Roman" w:cs="Times New Roman"/>
                <w:sz w:val="22"/>
                <w:szCs w:val="22"/>
                <w:lang w:eastAsia="uk-UA"/>
              </w:rPr>
              <w:t xml:space="preserve"> на рівні 0,3 запроваджено відповідно до розміру авансового платежу при нестандартному приєднанні з </w:t>
            </w:r>
            <w:proofErr w:type="spellStart"/>
            <w:r w:rsidRPr="002D57C8">
              <w:rPr>
                <w:rFonts w:ascii="Times New Roman" w:hAnsi="Times New Roman" w:cs="Times New Roman"/>
                <w:sz w:val="22"/>
                <w:szCs w:val="22"/>
                <w:lang w:eastAsia="uk-UA"/>
              </w:rPr>
              <w:t>проєктуванням</w:t>
            </w:r>
            <w:proofErr w:type="spellEnd"/>
            <w:r>
              <w:rPr>
                <w:rFonts w:ascii="Times New Roman" w:hAnsi="Times New Roman" w:cs="Times New Roman"/>
                <w:sz w:val="22"/>
                <w:szCs w:val="22"/>
                <w:lang w:eastAsia="uk-UA"/>
              </w:rPr>
              <w:t xml:space="preserve"> </w:t>
            </w:r>
            <w:r w:rsidRPr="002D57C8">
              <w:rPr>
                <w:rFonts w:ascii="Times New Roman" w:hAnsi="Times New Roman" w:cs="Times New Roman"/>
                <w:sz w:val="22"/>
                <w:szCs w:val="22"/>
                <w:lang w:eastAsia="uk-UA"/>
              </w:rPr>
              <w:t xml:space="preserve">замовником лінійної частини </w:t>
            </w:r>
            <w:proofErr w:type="spellStart"/>
            <w:r w:rsidRPr="002D57C8">
              <w:rPr>
                <w:rFonts w:ascii="Times New Roman" w:hAnsi="Times New Roman" w:cs="Times New Roman"/>
                <w:sz w:val="22"/>
                <w:szCs w:val="22"/>
                <w:lang w:eastAsia="uk-UA"/>
              </w:rPr>
              <w:t>приєнання</w:t>
            </w:r>
            <w:proofErr w:type="spellEnd"/>
            <w:r w:rsidRPr="002D57C8">
              <w:rPr>
                <w:rFonts w:ascii="Times New Roman" w:hAnsi="Times New Roman" w:cs="Times New Roman"/>
                <w:sz w:val="22"/>
                <w:szCs w:val="22"/>
                <w:lang w:eastAsia="uk-UA"/>
              </w:rPr>
              <w:t>, яким і є на початку гнучке приєднання.</w:t>
            </w:r>
          </w:p>
        </w:tc>
      </w:tr>
      <w:tr w:rsidR="00FE4387" w:rsidRPr="00D32097" w:rsidTr="002E4622">
        <w:trPr>
          <w:trHeight w:val="218"/>
        </w:trPr>
        <w:tc>
          <w:tcPr>
            <w:tcW w:w="3899" w:type="dxa"/>
            <w:gridSpan w:val="2"/>
            <w:vMerge/>
          </w:tcPr>
          <w:p w:rsidR="00FE4387" w:rsidRPr="00D32097" w:rsidRDefault="00FE4387" w:rsidP="00FE4387">
            <w:pPr>
              <w:shd w:val="clear" w:color="auto" w:fill="FFFFFF"/>
              <w:ind w:firstLine="314"/>
              <w:rPr>
                <w:b/>
                <w:sz w:val="22"/>
                <w:szCs w:val="22"/>
                <w:lang w:eastAsia="uk-UA"/>
              </w:rPr>
            </w:pPr>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Гр. </w:t>
            </w:r>
            <w:proofErr w:type="spellStart"/>
            <w:r w:rsidRPr="00D32097">
              <w:rPr>
                <w:rFonts w:ascii="Times New Roman" w:hAnsi="Times New Roman" w:cs="Times New Roman"/>
                <w:b/>
                <w:sz w:val="22"/>
                <w:szCs w:val="22"/>
                <w:u w:val="single"/>
              </w:rPr>
              <w:t>Зоркін</w:t>
            </w:r>
            <w:proofErr w:type="spellEnd"/>
            <w:r w:rsidRPr="00D32097">
              <w:rPr>
                <w:rFonts w:ascii="Times New Roman" w:hAnsi="Times New Roman" w:cs="Times New Roman"/>
                <w:b/>
                <w:sz w:val="22"/>
                <w:szCs w:val="22"/>
                <w:u w:val="single"/>
              </w:rPr>
              <w:t xml:space="preserve"> А. В.</w:t>
            </w:r>
          </w:p>
          <w:p w:rsidR="00FE4387" w:rsidRPr="00D32097" w:rsidRDefault="00FE4387" w:rsidP="00FE4387">
            <w:pPr>
              <w:pStyle w:val="a9"/>
              <w:spacing w:before="0" w:beforeAutospacing="0" w:after="0" w:afterAutospacing="0"/>
              <w:ind w:firstLine="377"/>
              <w:jc w:val="both"/>
              <w:rPr>
                <w:rFonts w:ascii="Times New Roman" w:hAnsi="Times New Roman" w:cs="Times New Roman"/>
                <w:sz w:val="22"/>
              </w:rPr>
            </w:pPr>
            <w:r w:rsidRPr="00D32097">
              <w:rPr>
                <w:rFonts w:ascii="Times New Roman" w:hAnsi="Times New Roman" w:cs="Times New Roman"/>
                <w:sz w:val="22"/>
              </w:rPr>
              <w:t>- у формулі визначено одиницю виміру результату як «тис. грн/кВт», проте, одиницею виміру має бути «тис. грн».</w:t>
            </w:r>
          </w:p>
          <w:p w:rsidR="00FE4387" w:rsidRPr="00D32097" w:rsidRDefault="00FE4387" w:rsidP="00FE4387">
            <w:pPr>
              <w:ind w:firstLine="377"/>
              <w:jc w:val="both"/>
              <w:rPr>
                <w:rFonts w:ascii="Times New Roman" w:hAnsi="Times New Roman" w:cs="Times New Roman"/>
                <w:sz w:val="22"/>
                <w:szCs w:val="24"/>
              </w:rPr>
            </w:pPr>
            <w:r w:rsidRPr="00D32097">
              <w:rPr>
                <w:rFonts w:ascii="Times New Roman" w:hAnsi="Times New Roman" w:cs="Times New Roman"/>
                <w:sz w:val="22"/>
                <w:szCs w:val="24"/>
              </w:rPr>
              <w:t xml:space="preserve">- доцільно узгодити формулу плати за гнучке приєднання з категоріями потужності, які передбачаються Кодексом систем розподілу та Кодексом системи передачі. Методика </w:t>
            </w:r>
            <w:r w:rsidRPr="00D32097">
              <w:rPr>
                <w:rFonts w:ascii="Times New Roman" w:hAnsi="Times New Roman" w:cs="Times New Roman"/>
                <w:sz w:val="22"/>
                <w:szCs w:val="24"/>
              </w:rPr>
              <w:lastRenderedPageBreak/>
              <w:t>має визначати, чи впливає постійний або тимчасовий статус гарантованої / не гарантованої потужності на розмір плати, порядок оплати та подальше фінансове врегулювання.</w:t>
            </w:r>
          </w:p>
          <w:p w:rsidR="00FE4387" w:rsidRPr="00D32097" w:rsidRDefault="00FE4387" w:rsidP="00FE4387">
            <w:pPr>
              <w:ind w:firstLine="377"/>
              <w:jc w:val="both"/>
              <w:rPr>
                <w:rFonts w:ascii="Times New Roman" w:hAnsi="Times New Roman" w:cs="Times New Roman"/>
                <w:sz w:val="24"/>
                <w:szCs w:val="24"/>
              </w:rPr>
            </w:pPr>
            <w:r w:rsidRPr="00D32097">
              <w:rPr>
                <w:rFonts w:ascii="Times New Roman" w:hAnsi="Times New Roman" w:cs="Times New Roman"/>
                <w:sz w:val="22"/>
                <w:szCs w:val="24"/>
              </w:rPr>
              <w:t>- у п. 5.1 для активного споживача є спеціальна логіка: потужність відпуску враховується понад 50% дозволеної договірної потужності споживання. В формулі гнучкого приєднання такої логіки нема. Отже доцільно доопрацювати формулу або пояснити різний підхід до формування плати.</w:t>
            </w:r>
          </w:p>
        </w:tc>
        <w:tc>
          <w:tcPr>
            <w:tcW w:w="3899" w:type="dxa"/>
          </w:tcPr>
          <w:p w:rsidR="00FE4387" w:rsidRPr="00D32097" w:rsidRDefault="00FE4387" w:rsidP="00FE4387">
            <w:pPr>
              <w:shd w:val="clear" w:color="auto" w:fill="FFFFFF"/>
              <w:ind w:firstLine="450"/>
              <w:jc w:val="both"/>
              <w:rPr>
                <w:sz w:val="22"/>
                <w:szCs w:val="22"/>
              </w:rPr>
            </w:pPr>
          </w:p>
        </w:tc>
        <w:tc>
          <w:tcPr>
            <w:tcW w:w="3900" w:type="dxa"/>
            <w:gridSpan w:val="2"/>
          </w:tcPr>
          <w:p w:rsidR="00FE4387" w:rsidRPr="00D32097" w:rsidRDefault="00663627" w:rsidP="00FE4387">
            <w:pPr>
              <w:ind w:firstLine="174"/>
              <w:jc w:val="center"/>
              <w:rPr>
                <w:rFonts w:ascii="Times New Roman" w:hAnsi="Times New Roman" w:cs="Times New Roman"/>
                <w:sz w:val="22"/>
                <w:szCs w:val="22"/>
                <w:lang w:eastAsia="uk-UA"/>
              </w:rPr>
            </w:pPr>
            <w:r>
              <w:rPr>
                <w:rFonts w:ascii="Times New Roman" w:hAnsi="Times New Roman" w:cs="Times New Roman"/>
                <w:b/>
                <w:sz w:val="22"/>
                <w:szCs w:val="22"/>
                <w:lang w:eastAsia="uk-UA"/>
              </w:rPr>
              <w:t>Пропонується врахувати частково у вищенаведеній редакції.</w:t>
            </w:r>
          </w:p>
        </w:tc>
      </w:tr>
      <w:tr w:rsidR="00FE4387" w:rsidRPr="00D32097" w:rsidTr="002E4622">
        <w:trPr>
          <w:trHeight w:val="218"/>
        </w:trPr>
        <w:tc>
          <w:tcPr>
            <w:tcW w:w="3899" w:type="dxa"/>
            <w:gridSpan w:val="2"/>
            <w:vMerge/>
          </w:tcPr>
          <w:p w:rsidR="00FE4387" w:rsidRPr="00D32097" w:rsidRDefault="00FE4387" w:rsidP="00FE4387">
            <w:pPr>
              <w:shd w:val="clear" w:color="auto" w:fill="FFFFFF"/>
              <w:ind w:firstLine="314"/>
              <w:rPr>
                <w:b/>
                <w:sz w:val="22"/>
                <w:szCs w:val="22"/>
                <w:lang w:eastAsia="uk-UA"/>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77"/>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АТ «Харківобленерго»</w:t>
            </w:r>
          </w:p>
        </w:tc>
        <w:tc>
          <w:tcPr>
            <w:tcW w:w="3899" w:type="dxa"/>
          </w:tcPr>
          <w:p w:rsidR="00FE4387" w:rsidRPr="00D32097" w:rsidRDefault="00FE4387" w:rsidP="00FE4387">
            <w:pPr>
              <w:shd w:val="clear" w:color="auto" w:fill="FFFFFF"/>
              <w:ind w:firstLine="450"/>
              <w:jc w:val="both"/>
              <w:rPr>
                <w:rFonts w:ascii="Times New Roman" w:hAnsi="Times New Roman" w:cs="Times New Roman"/>
                <w:sz w:val="22"/>
                <w:szCs w:val="22"/>
              </w:rPr>
            </w:pPr>
            <w:r w:rsidRPr="00D32097">
              <w:rPr>
                <w:rFonts w:ascii="Times New Roman" w:hAnsi="Times New Roman" w:cs="Times New Roman"/>
                <w:sz w:val="22"/>
                <w:lang w:eastAsia="uk-UA"/>
              </w:rPr>
              <w:t xml:space="preserve">Потребує уточнення, чи </w:t>
            </w:r>
            <w:r w:rsidRPr="00D32097">
              <w:rPr>
                <w:rFonts w:ascii="Times New Roman" w:hAnsi="Times New Roman" w:cs="Times New Roman"/>
                <w:bCs/>
                <w:i/>
                <w:sz w:val="22"/>
              </w:rPr>
              <w:br/>
            </w:r>
            <m:oMath>
              <m:sSub>
                <m:sSubPr>
                  <m:ctrlPr>
                    <w:rPr>
                      <w:rFonts w:ascii="Cambria Math" w:hAnsi="Cambria Math" w:cs="Times New Roman"/>
                      <w:bCs/>
                      <w:i/>
                      <w:sz w:val="22"/>
                    </w:rPr>
                  </m:ctrlPr>
                </m:sSubPr>
                <m:e>
                  <m:r>
                    <w:rPr>
                      <w:rFonts w:ascii="Cambria Math" w:hAnsi="Cambria Math" w:cs="Times New Roman"/>
                      <w:sz w:val="22"/>
                    </w:rPr>
                    <m:t>К</m:t>
                  </m:r>
                </m:e>
                <m:sub>
                  <m:r>
                    <w:rPr>
                      <w:rFonts w:ascii="Cambria Math" w:hAnsi="Cambria Math" w:cs="Times New Roman"/>
                      <w:sz w:val="22"/>
                    </w:rPr>
                    <m:t>гнучке</m:t>
                  </m:r>
                </m:sub>
              </m:sSub>
            </m:oMath>
            <w:r w:rsidRPr="00D32097">
              <w:rPr>
                <w:rFonts w:ascii="Times New Roman" w:eastAsiaTheme="minorEastAsia" w:hAnsi="Times New Roman" w:cs="Times New Roman"/>
                <w:bCs/>
                <w:i/>
                <w:sz w:val="22"/>
              </w:rPr>
              <w:t xml:space="preserve"> (</w:t>
            </w:r>
            <w:r w:rsidRPr="00D32097">
              <w:rPr>
                <w:rFonts w:ascii="Times New Roman" w:hAnsi="Times New Roman" w:cs="Times New Roman"/>
                <w:bCs/>
                <w:sz w:val="22"/>
              </w:rPr>
              <w:t>коефіцієнт вартості гнучкого приєднання, який становить 0,3) застос</w:t>
            </w:r>
            <w:r w:rsidR="00DE07BA">
              <w:rPr>
                <w:rFonts w:ascii="Times New Roman" w:hAnsi="Times New Roman" w:cs="Times New Roman"/>
                <w:bCs/>
                <w:sz w:val="22"/>
              </w:rPr>
              <w:t>о</w:t>
            </w:r>
            <w:r w:rsidRPr="00D32097">
              <w:rPr>
                <w:rFonts w:ascii="Times New Roman" w:hAnsi="Times New Roman" w:cs="Times New Roman"/>
                <w:bCs/>
                <w:sz w:val="22"/>
              </w:rPr>
              <w:t>вується однаковий, незалежно від того, на постійні чи тимчасовій основі здійснюється гнучке приєднання?</w:t>
            </w:r>
          </w:p>
        </w:tc>
        <w:tc>
          <w:tcPr>
            <w:tcW w:w="3900" w:type="dxa"/>
            <w:gridSpan w:val="2"/>
          </w:tcPr>
          <w:p w:rsidR="00FE4387" w:rsidRPr="00D32097" w:rsidRDefault="00DE07BA" w:rsidP="00FE4387">
            <w:pPr>
              <w:ind w:firstLine="174"/>
              <w:jc w:val="center"/>
              <w:rPr>
                <w:rFonts w:ascii="Times New Roman" w:hAnsi="Times New Roman" w:cs="Times New Roman"/>
                <w:sz w:val="22"/>
                <w:szCs w:val="22"/>
                <w:lang w:eastAsia="uk-UA"/>
              </w:rPr>
            </w:pPr>
            <w:r>
              <w:rPr>
                <w:rFonts w:ascii="Times New Roman" w:hAnsi="Times New Roman" w:cs="Times New Roman"/>
                <w:b/>
                <w:sz w:val="22"/>
                <w:szCs w:val="22"/>
                <w:lang w:eastAsia="uk-UA"/>
              </w:rPr>
              <w:t>Пропонується врахувати частково у вищенаведеній редакції.</w:t>
            </w:r>
          </w:p>
        </w:tc>
      </w:tr>
      <w:tr w:rsidR="00FE4387" w:rsidRPr="00D32097" w:rsidTr="002E4622">
        <w:trPr>
          <w:trHeight w:val="218"/>
        </w:trPr>
        <w:tc>
          <w:tcPr>
            <w:tcW w:w="3899" w:type="dxa"/>
            <w:gridSpan w:val="2"/>
            <w:vMerge w:val="restart"/>
          </w:tcPr>
          <w:p w:rsidR="00FE4387" w:rsidRPr="00D32097" w:rsidRDefault="00FE4387" w:rsidP="00FE4387">
            <w:pPr>
              <w:tabs>
                <w:tab w:val="left" w:pos="993"/>
              </w:tabs>
              <w:ind w:firstLine="326"/>
              <w:jc w:val="both"/>
              <w:rPr>
                <w:rFonts w:ascii="Times New Roman" w:hAnsi="Times New Roman" w:cs="Times New Roman"/>
                <w:strike/>
                <w:sz w:val="22"/>
              </w:rPr>
            </w:pPr>
          </w:p>
          <w:p w:rsidR="00FE4387" w:rsidRPr="00D32097" w:rsidRDefault="00FE4387" w:rsidP="00FE4387">
            <w:pPr>
              <w:tabs>
                <w:tab w:val="left" w:pos="993"/>
              </w:tabs>
              <w:ind w:firstLine="326"/>
              <w:jc w:val="both"/>
              <w:rPr>
                <w:rFonts w:ascii="Times New Roman" w:hAnsi="Times New Roman" w:cs="Times New Roman"/>
                <w:b/>
                <w:color w:val="000000"/>
                <w:sz w:val="22"/>
                <w:szCs w:val="22"/>
              </w:rPr>
            </w:pPr>
            <w:r w:rsidRPr="00D32097">
              <w:rPr>
                <w:rFonts w:ascii="Times New Roman" w:hAnsi="Times New Roman" w:cs="Times New Roman"/>
                <w:strike/>
                <w:sz w:val="22"/>
              </w:rPr>
              <w:t xml:space="preserve">5.12. У разі отримання виробником електричної енергії послуги з приєднання у зв’язку з необхідністю здійснення відбору електричної енергії з мереж оператора системи розподілу понад величину дозволеної (договірної) потужності споживання електричної енергії електроустановок такого виробника на межі балансової належності згідно з договором споживача про надання послуг з розподілу (передачі) електричної енергії вартість послуги з приєднання визначається як вартість обладнання та/або робіт, необхідних для забезпечення відбору електричної енергії з мереж оператора системи </w:t>
            </w:r>
            <w:r w:rsidRPr="00D32097">
              <w:rPr>
                <w:rFonts w:ascii="Times New Roman" w:hAnsi="Times New Roman" w:cs="Times New Roman"/>
                <w:strike/>
                <w:sz w:val="22"/>
              </w:rPr>
              <w:lastRenderedPageBreak/>
              <w:t xml:space="preserve">розподілу, та розраховується на підставі </w:t>
            </w:r>
            <w:proofErr w:type="spellStart"/>
            <w:r w:rsidRPr="00D32097">
              <w:rPr>
                <w:rFonts w:ascii="Times New Roman" w:hAnsi="Times New Roman" w:cs="Times New Roman"/>
                <w:strike/>
                <w:sz w:val="22"/>
              </w:rPr>
              <w:t>проєктно</w:t>
            </w:r>
            <w:proofErr w:type="spellEnd"/>
            <w:r w:rsidRPr="00D32097">
              <w:rPr>
                <w:rFonts w:ascii="Times New Roman" w:hAnsi="Times New Roman" w:cs="Times New Roman"/>
                <w:strike/>
                <w:sz w:val="22"/>
              </w:rPr>
              <w:t>-кошторисної документації, розробленої згідно з вимогами Кодексу систем розподілу, і сплачується замовником оператору системи розподілу.</w:t>
            </w:r>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УВЕА, ЄУЕА</w:t>
            </w:r>
          </w:p>
          <w:p w:rsidR="00FE4387" w:rsidRPr="00D32097" w:rsidRDefault="00FE4387" w:rsidP="00FE4387">
            <w:pPr>
              <w:pStyle w:val="rvps2"/>
              <w:shd w:val="clear" w:color="auto" w:fill="FFFFFF"/>
              <w:spacing w:before="0" w:beforeAutospacing="0" w:after="0" w:afterAutospacing="0"/>
              <w:ind w:firstLine="233"/>
              <w:jc w:val="both"/>
              <w:rPr>
                <w:rFonts w:ascii="Times New Roman" w:hAnsi="Times New Roman" w:cs="Times New Roman"/>
                <w:b/>
                <w:bCs/>
                <w:color w:val="0070C0"/>
                <w:sz w:val="22"/>
                <w:szCs w:val="22"/>
              </w:rPr>
            </w:pPr>
            <w:r w:rsidRPr="00D32097">
              <w:rPr>
                <w:rFonts w:ascii="Times New Roman" w:hAnsi="Times New Roman" w:cs="Times New Roman"/>
                <w:b/>
                <w:bCs/>
                <w:color w:val="0070C0"/>
                <w:sz w:val="22"/>
                <w:szCs w:val="22"/>
              </w:rPr>
              <w:t xml:space="preserve">5.12. У разі отримання виробником електричної енергії послуги з приєднання у зв’язку з необхідністю здійснення відбору електричної енергії з мереж оператора системи розподілу понад величину дозволеної (договірної) потужності споживання електричної енергії електроустановок такого виробника на межі балансової належності згідно з договором споживача про надання послуг з розподілу (передачі) електричної енергії, а також  у разі збільшення виробником дозволеної (договірної)  потужності відбору для встановлення установки зберігання </w:t>
            </w:r>
            <w:r w:rsidRPr="00D32097">
              <w:rPr>
                <w:rFonts w:ascii="Times New Roman" w:hAnsi="Times New Roman" w:cs="Times New Roman"/>
                <w:b/>
                <w:bCs/>
                <w:color w:val="0070C0"/>
                <w:sz w:val="22"/>
                <w:szCs w:val="22"/>
              </w:rPr>
              <w:lastRenderedPageBreak/>
              <w:t xml:space="preserve">енергії у внутрішніх технологічних мережах виробника в межах існуючої точки приєднання вартість послуги з приєднання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D32097">
              <w:rPr>
                <w:rFonts w:ascii="Times New Roman" w:hAnsi="Times New Roman" w:cs="Times New Roman"/>
                <w:b/>
                <w:bCs/>
                <w:color w:val="0070C0"/>
                <w:sz w:val="22"/>
                <w:szCs w:val="22"/>
              </w:rPr>
              <w:t>проєктно</w:t>
            </w:r>
            <w:proofErr w:type="spellEnd"/>
            <w:r w:rsidRPr="00D32097">
              <w:rPr>
                <w:rFonts w:ascii="Times New Roman" w:hAnsi="Times New Roman" w:cs="Times New Roman"/>
                <w:b/>
                <w:bCs/>
                <w:color w:val="0070C0"/>
                <w:sz w:val="22"/>
                <w:szCs w:val="22"/>
              </w:rPr>
              <w:t>-кошторисної документації, розробленої згідно з вимогами Кодексу систем розподілу, і сплачується замовником оператору системи розподілу.</w:t>
            </w:r>
          </w:p>
          <w:p w:rsidR="00FE4387" w:rsidRPr="00D32097" w:rsidRDefault="00FE4387" w:rsidP="00FE4387">
            <w:pPr>
              <w:pStyle w:val="rvps2"/>
              <w:shd w:val="clear" w:color="auto" w:fill="FFFFFF"/>
              <w:spacing w:before="0" w:beforeAutospacing="0" w:after="0" w:afterAutospacing="0"/>
              <w:ind w:firstLine="233"/>
              <w:jc w:val="both"/>
              <w:rPr>
                <w:rFonts w:ascii="Times New Roman" w:hAnsi="Times New Roman" w:cs="Times New Roman"/>
                <w:b/>
                <w:bCs/>
                <w:color w:val="0070C0"/>
                <w:sz w:val="22"/>
                <w:szCs w:val="22"/>
              </w:rPr>
            </w:pPr>
            <w:r w:rsidRPr="00D32097">
              <w:rPr>
                <w:rFonts w:ascii="Times New Roman" w:hAnsi="Times New Roman" w:cs="Times New Roman"/>
                <w:b/>
                <w:bCs/>
                <w:color w:val="0070C0"/>
                <w:sz w:val="22"/>
                <w:szCs w:val="22"/>
              </w:rPr>
              <w:t xml:space="preserve">Вартість послуги з приєднання у випадках, передбачених цим пунктом, визначається виключно згідно з цим пунктом. Складова плати за приєднання потужності, передбачена пунктами 4.1, 4.7, 4.8 та формулами 5, 13 та 14  у </w:t>
            </w:r>
            <w:proofErr w:type="spellStart"/>
            <w:r w:rsidRPr="00D32097">
              <w:rPr>
                <w:rFonts w:ascii="Times New Roman" w:hAnsi="Times New Roman" w:cs="Times New Roman"/>
                <w:b/>
                <w:bCs/>
                <w:color w:val="0070C0"/>
                <w:sz w:val="22"/>
                <w:szCs w:val="22"/>
              </w:rPr>
              <w:t>пп</w:t>
            </w:r>
            <w:proofErr w:type="spellEnd"/>
            <w:r w:rsidRPr="00D32097">
              <w:rPr>
                <w:rFonts w:ascii="Times New Roman" w:hAnsi="Times New Roman" w:cs="Times New Roman"/>
                <w:b/>
                <w:bCs/>
                <w:color w:val="0070C0"/>
                <w:sz w:val="22"/>
                <w:szCs w:val="22"/>
              </w:rPr>
              <w:t>. 5.1, 5.8 цієї Методики, у таких випадках не застосовуються.</w:t>
            </w:r>
          </w:p>
          <w:p w:rsidR="00FE4387" w:rsidRPr="00D32097" w:rsidRDefault="00FE4387" w:rsidP="00FE4387">
            <w:pPr>
              <w:ind w:firstLine="233"/>
              <w:contextualSpacing/>
              <w:jc w:val="both"/>
              <w:rPr>
                <w:rFonts w:ascii="Times New Roman" w:hAnsi="Times New Roman" w:cs="Times New Roman"/>
                <w:b/>
                <w:color w:val="000000"/>
                <w:sz w:val="22"/>
                <w:szCs w:val="24"/>
                <w:u w:val="single"/>
              </w:rPr>
            </w:pPr>
            <w:r w:rsidRPr="00D32097">
              <w:rPr>
                <w:rFonts w:ascii="Times New Roman" w:hAnsi="Times New Roman" w:cs="Times New Roman"/>
                <w:b/>
                <w:bCs/>
                <w:color w:val="0070C0"/>
                <w:sz w:val="22"/>
                <w:szCs w:val="22"/>
              </w:rPr>
              <w:t>Якщо для збільшення дозволеної (договірної)  потужності відбору, передбаченої цим пунктом, не потребується будівництво та/або технічне переоснащення електричних мереж оператора системи розподілу, плата за приєднання не нараховується.</w:t>
            </w:r>
          </w:p>
        </w:tc>
        <w:tc>
          <w:tcPr>
            <w:tcW w:w="3899" w:type="dxa"/>
          </w:tcPr>
          <w:p w:rsidR="00FE4387" w:rsidRPr="00D32097" w:rsidRDefault="00FE4387" w:rsidP="00FE4387">
            <w:pPr>
              <w:pStyle w:val="rvps2"/>
              <w:shd w:val="clear" w:color="auto" w:fill="FFFFFF"/>
              <w:spacing w:before="0" w:beforeAutospacing="0" w:after="0" w:afterAutospacing="0"/>
              <w:ind w:firstLine="454"/>
              <w:jc w:val="both"/>
              <w:rPr>
                <w:rFonts w:ascii="Times New Roman" w:hAnsi="Times New Roman" w:cs="Times New Roman"/>
                <w:sz w:val="22"/>
              </w:rPr>
            </w:pPr>
            <w:r w:rsidRPr="00D32097">
              <w:rPr>
                <w:rFonts w:ascii="Times New Roman" w:hAnsi="Times New Roman" w:cs="Times New Roman"/>
                <w:sz w:val="22"/>
              </w:rPr>
              <w:lastRenderedPageBreak/>
              <w:t>Пропонуємо не змінювати встановлений Методикою підхід до розрахунку вартості послуги з приєднання у разі необхідності  збільшення виробником дозволеної (договірної) як вартості обладнання та/або робіт, необхідних для забезпечення відбору електричної енергії з мереж ОСР, що визначається згідно ПКД.</w:t>
            </w:r>
          </w:p>
          <w:p w:rsidR="00FE4387" w:rsidRPr="00D32097" w:rsidRDefault="00FE4387" w:rsidP="00FE4387">
            <w:pPr>
              <w:pStyle w:val="rvps2"/>
              <w:shd w:val="clear" w:color="auto" w:fill="FFFFFF"/>
              <w:spacing w:before="0" w:beforeAutospacing="0" w:after="0" w:afterAutospacing="0"/>
              <w:ind w:firstLine="454"/>
              <w:jc w:val="both"/>
              <w:rPr>
                <w:rFonts w:ascii="Times New Roman" w:hAnsi="Times New Roman" w:cs="Times New Roman"/>
                <w:sz w:val="22"/>
              </w:rPr>
            </w:pPr>
            <w:r w:rsidRPr="00D32097">
              <w:rPr>
                <w:rFonts w:ascii="Times New Roman" w:hAnsi="Times New Roman" w:cs="Times New Roman"/>
                <w:sz w:val="22"/>
              </w:rPr>
              <w:t xml:space="preserve">Такий підхід до визначення вартості послуги, наданої ОСР, вже </w:t>
            </w:r>
            <w:proofErr w:type="spellStart"/>
            <w:r w:rsidRPr="00D32097">
              <w:rPr>
                <w:rFonts w:ascii="Times New Roman" w:hAnsi="Times New Roman" w:cs="Times New Roman"/>
                <w:sz w:val="22"/>
              </w:rPr>
              <w:t>опробований</w:t>
            </w:r>
            <w:proofErr w:type="spellEnd"/>
            <w:r w:rsidRPr="00D32097">
              <w:rPr>
                <w:rFonts w:ascii="Times New Roman" w:hAnsi="Times New Roman" w:cs="Times New Roman"/>
                <w:sz w:val="22"/>
              </w:rPr>
              <w:t xml:space="preserve"> практикою застосування та прийнятний для виробників. </w:t>
            </w:r>
          </w:p>
          <w:p w:rsidR="00FE4387" w:rsidRPr="00D32097" w:rsidRDefault="00FE4387" w:rsidP="00FE4387">
            <w:pPr>
              <w:pStyle w:val="rvps2"/>
              <w:shd w:val="clear" w:color="auto" w:fill="FFFFFF"/>
              <w:spacing w:before="0" w:beforeAutospacing="0" w:after="0" w:afterAutospacing="0"/>
              <w:ind w:firstLine="454"/>
              <w:jc w:val="both"/>
              <w:rPr>
                <w:rFonts w:ascii="Times New Roman" w:hAnsi="Times New Roman" w:cs="Times New Roman"/>
                <w:sz w:val="22"/>
              </w:rPr>
            </w:pPr>
            <w:r w:rsidRPr="00D32097">
              <w:rPr>
                <w:rFonts w:ascii="Times New Roman" w:hAnsi="Times New Roman" w:cs="Times New Roman"/>
                <w:sz w:val="22"/>
              </w:rPr>
              <w:t xml:space="preserve">Перехід для даного випадку до розрахунку вартості послуги з приєднання виходячи з величини замовленої виробником до приєднання </w:t>
            </w:r>
            <w:r w:rsidRPr="00D32097">
              <w:rPr>
                <w:rFonts w:ascii="Times New Roman" w:hAnsi="Times New Roman" w:cs="Times New Roman"/>
                <w:sz w:val="22"/>
              </w:rPr>
              <w:lastRenderedPageBreak/>
              <w:t>потужності відбору (додаткової до дозволеної (договірної) потужності) та ставки плати за приєднання потужності, призначеної до споживання, може:</w:t>
            </w:r>
          </w:p>
          <w:p w:rsidR="00FE4387" w:rsidRPr="00D32097" w:rsidRDefault="00FE4387" w:rsidP="00FE4387">
            <w:pPr>
              <w:pStyle w:val="rvps2"/>
              <w:numPr>
                <w:ilvl w:val="0"/>
                <w:numId w:val="7"/>
              </w:numPr>
              <w:shd w:val="clear" w:color="auto" w:fill="FFFFFF"/>
              <w:spacing w:before="0" w:beforeAutospacing="0" w:after="0" w:afterAutospacing="0"/>
              <w:ind w:left="36" w:firstLine="454"/>
              <w:jc w:val="both"/>
              <w:rPr>
                <w:rFonts w:ascii="Times New Roman" w:hAnsi="Times New Roman" w:cs="Times New Roman"/>
                <w:sz w:val="22"/>
              </w:rPr>
            </w:pPr>
            <w:r w:rsidRPr="00D32097">
              <w:rPr>
                <w:rFonts w:ascii="Times New Roman" w:hAnsi="Times New Roman" w:cs="Times New Roman"/>
                <w:sz w:val="22"/>
              </w:rPr>
              <w:t>створити передумови для  завищення вартості приєднання, коли вже  на існуючому об’єкті електроенергетики виробника створена технічна можливість приєднання нових об’єктів електроенергетики (установок зберігання енергії) до внутрішніх технологічних мереж  такого виробника та відсутня  необхідність виконання додаткових робіт в електричних мережах ОСР;</w:t>
            </w:r>
          </w:p>
          <w:p w:rsidR="00FE4387" w:rsidRPr="00D32097" w:rsidRDefault="00FE4387" w:rsidP="00FE4387">
            <w:pPr>
              <w:pStyle w:val="rvps2"/>
              <w:numPr>
                <w:ilvl w:val="0"/>
                <w:numId w:val="7"/>
              </w:numPr>
              <w:shd w:val="clear" w:color="auto" w:fill="FFFFFF"/>
              <w:spacing w:before="0" w:beforeAutospacing="0" w:after="0" w:afterAutospacing="0"/>
              <w:ind w:left="36" w:firstLine="454"/>
              <w:jc w:val="both"/>
              <w:rPr>
                <w:rFonts w:ascii="Times New Roman" w:hAnsi="Times New Roman" w:cs="Times New Roman"/>
                <w:sz w:val="22"/>
              </w:rPr>
            </w:pPr>
            <w:r w:rsidRPr="00D32097">
              <w:rPr>
                <w:rFonts w:ascii="Times New Roman" w:hAnsi="Times New Roman" w:cs="Times New Roman"/>
                <w:sz w:val="22"/>
              </w:rPr>
              <w:t xml:space="preserve"> зміни до існуючої методології (порядку) визначення плати за приєднання не погіршувати та руйнувати  вже усталені, прозорі та зрозумілі правила поведінки та взаємодії між оператором мережі та виробником, який має намір збільшити дозволену (договірну) потужність  відбору для встановлення УЗЕ разом з власною генерацією;</w:t>
            </w:r>
          </w:p>
          <w:p w:rsidR="00FE4387" w:rsidRPr="00D32097" w:rsidRDefault="00FE4387" w:rsidP="00FE4387">
            <w:pPr>
              <w:pStyle w:val="rvps2"/>
              <w:numPr>
                <w:ilvl w:val="0"/>
                <w:numId w:val="7"/>
              </w:numPr>
              <w:shd w:val="clear" w:color="auto" w:fill="FFFFFF"/>
              <w:spacing w:before="0" w:beforeAutospacing="0" w:after="0" w:afterAutospacing="0"/>
              <w:ind w:left="36" w:firstLine="454"/>
              <w:jc w:val="both"/>
              <w:rPr>
                <w:rFonts w:ascii="Times New Roman" w:hAnsi="Times New Roman" w:cs="Times New Roman"/>
                <w:sz w:val="22"/>
              </w:rPr>
            </w:pPr>
            <w:r w:rsidRPr="00D32097">
              <w:rPr>
                <w:rFonts w:ascii="Times New Roman" w:hAnsi="Times New Roman" w:cs="Times New Roman"/>
                <w:sz w:val="22"/>
              </w:rPr>
              <w:t xml:space="preserve">Ст. 30 ЗУ «Про ринок електричної енергії» прямо передбачає право виробника здійснювати відбір УЗЕ з мереж у місці провадження ліцензованої діяльності та, у разі необхідності збільшення дозволеної потужності відбору, отримувати послугу з приєднання за статтею 21 закону. Збереження п. 5.12 забезпечує, що така послуга оплачується за фактичною вартістю необхідних робіт </w:t>
            </w:r>
            <w:r w:rsidRPr="00D32097">
              <w:rPr>
                <w:rFonts w:ascii="Times New Roman" w:hAnsi="Times New Roman" w:cs="Times New Roman"/>
                <w:sz w:val="22"/>
              </w:rPr>
              <w:lastRenderedPageBreak/>
              <w:t>у мережах оператора, а не за завищеною нормативною ставкою.</w:t>
            </w:r>
          </w:p>
          <w:p w:rsidR="00FE4387" w:rsidRPr="00D32097" w:rsidRDefault="00FE4387" w:rsidP="00FE4387">
            <w:pPr>
              <w:pStyle w:val="rvps2"/>
              <w:numPr>
                <w:ilvl w:val="0"/>
                <w:numId w:val="7"/>
              </w:numPr>
              <w:shd w:val="clear" w:color="auto" w:fill="FFFFFF"/>
              <w:spacing w:before="0" w:beforeAutospacing="0" w:after="0" w:afterAutospacing="0"/>
              <w:ind w:left="36" w:firstLine="454"/>
              <w:jc w:val="both"/>
              <w:rPr>
                <w:rFonts w:ascii="Times New Roman" w:hAnsi="Times New Roman" w:cs="Times New Roman"/>
                <w:sz w:val="22"/>
              </w:rPr>
            </w:pPr>
            <w:r w:rsidRPr="00D32097">
              <w:rPr>
                <w:rFonts w:ascii="Times New Roman" w:hAnsi="Times New Roman" w:cs="Times New Roman"/>
                <w:sz w:val="22"/>
              </w:rPr>
              <w:t xml:space="preserve">Такі зміни можуть мати негативні наслідки через  відмову окремих виробників від встановлення УЗЕ на площадках разом з генеруючими установками. Як наслідок, енергосистема втратить можливість отримати більш прогнозовану (збалансовану) генеруючу потужність. </w:t>
            </w:r>
          </w:p>
          <w:p w:rsidR="00FE4387" w:rsidRPr="00D32097" w:rsidRDefault="00FE4387" w:rsidP="00FE4387">
            <w:pPr>
              <w:pStyle w:val="rvps2"/>
              <w:numPr>
                <w:ilvl w:val="0"/>
                <w:numId w:val="7"/>
              </w:numPr>
              <w:shd w:val="clear" w:color="auto" w:fill="FFFFFF"/>
              <w:spacing w:before="0" w:beforeAutospacing="0" w:after="0" w:afterAutospacing="0"/>
              <w:ind w:left="36" w:firstLine="454"/>
              <w:jc w:val="both"/>
            </w:pPr>
            <w:r w:rsidRPr="00D32097">
              <w:rPr>
                <w:rFonts w:ascii="Times New Roman" w:hAnsi="Times New Roman" w:cs="Times New Roman"/>
                <w:sz w:val="22"/>
              </w:rPr>
              <w:t xml:space="preserve">Складова плати за приєднання потужності (потужність × ставка плати за нестандартне приєднання потужності) за своєю природою покриває витрати ОСР на створення та/або підсилення електричних мереж під нову потужність. У разі збільшення дозволеної потужності відбору в межах наявної пропускної спроможності мережі, коли будівництво чи технічне переоснащення мереж ОСР не потрібне, відповідні витрати ОСР відсутні. Нарахування складової плати за потужність за відсутності таких витрат суперечило б принципу </w:t>
            </w:r>
            <w:proofErr w:type="spellStart"/>
            <w:r w:rsidRPr="00D32097">
              <w:rPr>
                <w:rFonts w:ascii="Times New Roman" w:hAnsi="Times New Roman" w:cs="Times New Roman"/>
                <w:sz w:val="22"/>
              </w:rPr>
              <w:t>недискримінаційності</w:t>
            </w:r>
            <w:proofErr w:type="spellEnd"/>
            <w:r w:rsidRPr="00D32097">
              <w:rPr>
                <w:rFonts w:ascii="Times New Roman" w:hAnsi="Times New Roman" w:cs="Times New Roman"/>
                <w:sz w:val="22"/>
              </w:rPr>
              <w:t xml:space="preserve"> та прозорості методики (частина 14 статті 21 Закону) і призвело б до стягнення плати, не забезпеченої жодними фактичними витратами на приєднання.</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tcPr>
          <w:p w:rsidR="00FE4387" w:rsidRPr="00D32097" w:rsidRDefault="00FE4387" w:rsidP="00FE4387">
            <w:pPr>
              <w:tabs>
                <w:tab w:val="left" w:pos="993"/>
              </w:tabs>
              <w:ind w:firstLine="326"/>
              <w:jc w:val="both"/>
              <w:rPr>
                <w:strike/>
                <w:sz w:val="22"/>
              </w:rPr>
            </w:pPr>
          </w:p>
        </w:tc>
        <w:tc>
          <w:tcPr>
            <w:tcW w:w="3900" w:type="dxa"/>
            <w:gridSpan w:val="2"/>
          </w:tcPr>
          <w:p w:rsidR="00FE4387" w:rsidRPr="00D32097" w:rsidRDefault="00FE4387" w:rsidP="00FE4387">
            <w:pPr>
              <w:ind w:firstLine="235"/>
              <w:contextualSpacing/>
              <w:jc w:val="both"/>
              <w:rPr>
                <w:rFonts w:ascii="Times New Roman" w:hAnsi="Times New Roman" w:cs="Times New Roman"/>
                <w:b/>
                <w:color w:val="000000"/>
                <w:sz w:val="22"/>
                <w:szCs w:val="22"/>
                <w:u w:val="single"/>
              </w:rPr>
            </w:pPr>
            <w:r w:rsidRPr="00D32097">
              <w:rPr>
                <w:rFonts w:ascii="Times New Roman" w:hAnsi="Times New Roman" w:cs="Times New Roman"/>
                <w:b/>
                <w:color w:val="000000"/>
                <w:sz w:val="22"/>
                <w:szCs w:val="22"/>
                <w:u w:val="single"/>
              </w:rPr>
              <w:t>ТОВ «</w:t>
            </w:r>
            <w:proofErr w:type="spellStart"/>
            <w:r w:rsidRPr="00D32097">
              <w:rPr>
                <w:rFonts w:ascii="Times New Roman" w:hAnsi="Times New Roman" w:cs="Times New Roman"/>
                <w:b/>
                <w:color w:val="000000"/>
                <w:sz w:val="22"/>
                <w:szCs w:val="22"/>
                <w:u w:val="single"/>
              </w:rPr>
              <w:t>Енергоінвест</w:t>
            </w:r>
            <w:proofErr w:type="spellEnd"/>
            <w:r w:rsidRPr="00D32097">
              <w:rPr>
                <w:rFonts w:ascii="Times New Roman" w:hAnsi="Times New Roman" w:cs="Times New Roman"/>
                <w:b/>
                <w:color w:val="000000"/>
                <w:sz w:val="22"/>
                <w:szCs w:val="22"/>
                <w:u w:val="single"/>
              </w:rPr>
              <w:t>»</w:t>
            </w:r>
          </w:p>
          <w:p w:rsidR="00FE4387" w:rsidRPr="00D32097" w:rsidRDefault="00FE4387" w:rsidP="00FE4387">
            <w:pPr>
              <w:shd w:val="clear" w:color="auto" w:fill="FFFFFF"/>
              <w:ind w:firstLine="235"/>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5.12. У разі </w:t>
            </w:r>
            <w:r w:rsidRPr="00D32097">
              <w:rPr>
                <w:rFonts w:ascii="Times New Roman" w:hAnsi="Times New Roman" w:cs="Times New Roman"/>
                <w:b/>
                <w:sz w:val="22"/>
                <w:szCs w:val="24"/>
                <w:lang w:eastAsia="uk-UA"/>
              </w:rPr>
              <w:t>приєднання УЗЕ до</w:t>
            </w:r>
            <w:r w:rsidRPr="00D32097">
              <w:rPr>
                <w:rFonts w:ascii="Times New Roman" w:hAnsi="Times New Roman" w:cs="Times New Roman"/>
                <w:sz w:val="22"/>
                <w:szCs w:val="24"/>
                <w:lang w:eastAsia="uk-UA"/>
              </w:rPr>
              <w:t xml:space="preserve"> </w:t>
            </w:r>
            <w:r w:rsidRPr="00D32097">
              <w:rPr>
                <w:rFonts w:ascii="Times New Roman" w:hAnsi="Times New Roman" w:cs="Times New Roman"/>
                <w:b/>
                <w:sz w:val="22"/>
                <w:szCs w:val="24"/>
                <w:lang w:eastAsia="uk-UA"/>
              </w:rPr>
              <w:t>технологічних мережах внутрішнього електрозабезпечення Користувача</w:t>
            </w:r>
            <w:r w:rsidRPr="00D32097">
              <w:rPr>
                <w:rFonts w:ascii="Times New Roman" w:hAnsi="Times New Roman" w:cs="Times New Roman"/>
                <w:sz w:val="22"/>
                <w:szCs w:val="24"/>
                <w:lang w:eastAsia="uk-UA"/>
              </w:rPr>
              <w:t xml:space="preserve"> з необхідністю здійснення відбору електричної енергії з мереж оператора системи розподілу </w:t>
            </w:r>
            <w:r w:rsidRPr="00D32097">
              <w:rPr>
                <w:rFonts w:ascii="Times New Roman" w:hAnsi="Times New Roman" w:cs="Times New Roman"/>
                <w:sz w:val="22"/>
                <w:szCs w:val="24"/>
                <w:lang w:eastAsia="uk-UA"/>
              </w:rPr>
              <w:lastRenderedPageBreak/>
              <w:t xml:space="preserve">понад величину дозволеної (договірної) потужності споживання електричної енергії електроустановок такого </w:t>
            </w:r>
            <w:r w:rsidRPr="00D32097">
              <w:rPr>
                <w:rFonts w:ascii="Times New Roman" w:hAnsi="Times New Roman" w:cs="Times New Roman"/>
                <w:b/>
                <w:sz w:val="22"/>
                <w:szCs w:val="24"/>
                <w:lang w:eastAsia="uk-UA"/>
              </w:rPr>
              <w:t xml:space="preserve">Користувача </w:t>
            </w:r>
            <w:r w:rsidRPr="00D32097">
              <w:rPr>
                <w:rFonts w:ascii="Times New Roman" w:hAnsi="Times New Roman" w:cs="Times New Roman"/>
                <w:sz w:val="22"/>
                <w:szCs w:val="24"/>
                <w:lang w:eastAsia="uk-UA"/>
              </w:rPr>
              <w:t xml:space="preserve">на межі балансової належності згідно з договором споживача про надання послуг з розподілу (передачі) електричної енергії, </w:t>
            </w:r>
            <w:r w:rsidRPr="00D32097">
              <w:rPr>
                <w:rFonts w:ascii="Times New Roman" w:hAnsi="Times New Roman" w:cs="Times New Roman"/>
                <w:b/>
                <w:sz w:val="22"/>
                <w:szCs w:val="24"/>
                <w:lang w:eastAsia="uk-UA"/>
              </w:rPr>
              <w:t>але не більше дозволеної потужності на відпуск згідно договору виробника на розподіл(передачі) електричної енергії</w:t>
            </w:r>
            <w:r w:rsidRPr="00D32097">
              <w:rPr>
                <w:rFonts w:ascii="Times New Roman" w:hAnsi="Times New Roman" w:cs="Times New Roman"/>
                <w:sz w:val="22"/>
                <w:szCs w:val="24"/>
                <w:lang w:eastAsia="uk-UA"/>
              </w:rPr>
              <w:t xml:space="preserve">, вартість послуги з приєднання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D32097">
              <w:rPr>
                <w:rFonts w:ascii="Times New Roman" w:hAnsi="Times New Roman" w:cs="Times New Roman"/>
                <w:sz w:val="22"/>
                <w:szCs w:val="24"/>
                <w:lang w:eastAsia="uk-UA"/>
              </w:rPr>
              <w:t>проєктно</w:t>
            </w:r>
            <w:proofErr w:type="spellEnd"/>
            <w:r w:rsidRPr="00D32097">
              <w:rPr>
                <w:rFonts w:ascii="Times New Roman" w:hAnsi="Times New Roman" w:cs="Times New Roman"/>
                <w:sz w:val="22"/>
                <w:szCs w:val="24"/>
                <w:lang w:eastAsia="uk-UA"/>
              </w:rPr>
              <w:t xml:space="preserve">-кошторисної документації, розробленої згідно з вимогами Кодексу систем розподілу, і сплачується замовником оператору системи розподілу. </w:t>
            </w:r>
          </w:p>
          <w:p w:rsidR="00FE4387" w:rsidRPr="00D32097" w:rsidRDefault="00FE4387" w:rsidP="00FE4387">
            <w:pPr>
              <w:ind w:firstLine="235"/>
              <w:jc w:val="both"/>
              <w:rPr>
                <w:sz w:val="24"/>
                <w:szCs w:val="24"/>
                <w:lang w:eastAsia="uk-UA"/>
              </w:rPr>
            </w:pPr>
            <w:r w:rsidRPr="00D32097">
              <w:rPr>
                <w:rFonts w:ascii="Times New Roman" w:hAnsi="Times New Roman" w:cs="Times New Roman"/>
                <w:sz w:val="22"/>
                <w:szCs w:val="24"/>
                <w:lang w:eastAsia="uk-UA"/>
              </w:rPr>
              <w:t xml:space="preserve">   В разі необхідності більшої потужності на відбір ніж дозволена потужність на відпуск згідно договору Користувача на розподіл(передачі) електричної енергії, Замовник замовляє послугу</w:t>
            </w:r>
            <w:r w:rsidRPr="00D32097">
              <w:rPr>
                <w:rFonts w:ascii="Times New Roman" w:hAnsi="Times New Roman" w:cs="Times New Roman"/>
                <w:bCs/>
                <w:sz w:val="22"/>
                <w:szCs w:val="24"/>
                <w:lang w:eastAsia="uk-UA"/>
              </w:rPr>
              <w:t xml:space="preserve"> </w:t>
            </w:r>
            <w:r w:rsidRPr="00D32097">
              <w:rPr>
                <w:rFonts w:ascii="Times New Roman" w:hAnsi="Times New Roman" w:cs="Times New Roman"/>
                <w:sz w:val="22"/>
                <w:szCs w:val="24"/>
                <w:lang w:eastAsia="uk-UA"/>
              </w:rPr>
              <w:t>з приєднання на збільшення потужності на величину різниці між замовленою і існуючою.</w:t>
            </w:r>
          </w:p>
        </w:tc>
        <w:tc>
          <w:tcPr>
            <w:tcW w:w="3899" w:type="dxa"/>
          </w:tcPr>
          <w:p w:rsidR="00FE4387" w:rsidRPr="00D32097" w:rsidRDefault="00FE4387" w:rsidP="00FE4387">
            <w:pPr>
              <w:ind w:firstLine="323"/>
              <w:jc w:val="both"/>
              <w:rPr>
                <w:rFonts w:ascii="Times New Roman" w:hAnsi="Times New Roman" w:cs="Times New Roman"/>
                <w:sz w:val="22"/>
                <w:szCs w:val="24"/>
                <w:lang w:eastAsia="uk-UA"/>
              </w:rPr>
            </w:pPr>
            <w:r w:rsidRPr="00D32097">
              <w:rPr>
                <w:rFonts w:ascii="Times New Roman" w:hAnsi="Times New Roman" w:cs="Times New Roman"/>
                <w:b/>
                <w:sz w:val="22"/>
                <w:szCs w:val="24"/>
                <w:lang w:eastAsia="uk-UA"/>
              </w:rPr>
              <w:lastRenderedPageBreak/>
              <w:t>Викласти в запропонованій редакції.</w:t>
            </w:r>
            <w:r w:rsidRPr="00D32097">
              <w:rPr>
                <w:rFonts w:ascii="Times New Roman" w:hAnsi="Times New Roman" w:cs="Times New Roman"/>
                <w:sz w:val="22"/>
                <w:szCs w:val="24"/>
                <w:lang w:eastAsia="uk-UA"/>
              </w:rPr>
              <w:t xml:space="preserve"> Так як при виключені даної норми таке приєднання призведе до необґрунтованих витрат а саме, плати за приєднання при необхідності відбору з мереж ОСР. </w:t>
            </w:r>
          </w:p>
          <w:p w:rsidR="00FE4387" w:rsidRPr="00D32097" w:rsidRDefault="00FE4387" w:rsidP="00FE4387">
            <w:pPr>
              <w:ind w:firstLine="323"/>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lastRenderedPageBreak/>
              <w:t>1. В даному випадку приєднання відбувається до внутрішніх мереж Користувача а не до мереж ОСР, тому послуга з приєднання не може застосовуватись.</w:t>
            </w:r>
          </w:p>
          <w:p w:rsidR="00FE4387" w:rsidRPr="00D32097" w:rsidRDefault="00FE4387" w:rsidP="00FE4387">
            <w:pPr>
              <w:ind w:firstLine="323"/>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2. На практиці це означає, що там, де вже існує технічна можливість встановити систему накопичення на діючій електростанції без реконструкції мереж ОСР, може з'явитися простір для довільного трактування вартості приєднання, та оплачувати послугу яка не надається.</w:t>
            </w:r>
          </w:p>
          <w:p w:rsidR="00FE4387" w:rsidRPr="00D32097" w:rsidRDefault="00FE4387" w:rsidP="00FE4387">
            <w:pPr>
              <w:ind w:firstLine="323"/>
              <w:jc w:val="both"/>
              <w:rPr>
                <w:rFonts w:ascii="Times New Roman" w:hAnsi="Times New Roman" w:cs="Times New Roman"/>
                <w:sz w:val="22"/>
                <w:szCs w:val="24"/>
                <w:lang w:eastAsia="uk-UA"/>
              </w:rPr>
            </w:pPr>
            <w:r w:rsidRPr="00D32097">
              <w:rPr>
                <w:rFonts w:ascii="Times New Roman" w:hAnsi="Times New Roman" w:cs="Times New Roman"/>
                <w:sz w:val="22"/>
                <w:szCs w:val="24"/>
                <w:lang w:eastAsia="uk-UA"/>
              </w:rPr>
              <w:t xml:space="preserve">3. У цій ситуації все залежить від одного критичного </w:t>
            </w:r>
            <w:proofErr w:type="spellStart"/>
            <w:r w:rsidRPr="00D32097">
              <w:rPr>
                <w:rFonts w:ascii="Times New Roman" w:hAnsi="Times New Roman" w:cs="Times New Roman"/>
                <w:sz w:val="22"/>
                <w:szCs w:val="24"/>
                <w:lang w:eastAsia="uk-UA"/>
              </w:rPr>
              <w:t>фактора</w:t>
            </w:r>
            <w:proofErr w:type="spellEnd"/>
            <w:r w:rsidRPr="00D32097">
              <w:rPr>
                <w:rFonts w:ascii="Times New Roman" w:hAnsi="Times New Roman" w:cs="Times New Roman"/>
                <w:sz w:val="22"/>
                <w:szCs w:val="24"/>
                <w:lang w:eastAsia="uk-UA"/>
              </w:rPr>
              <w:t>:</w:t>
            </w:r>
            <w:r w:rsidRPr="00D32097">
              <w:rPr>
                <w:rFonts w:ascii="Times New Roman" w:hAnsi="Times New Roman" w:cs="Times New Roman"/>
                <w:b/>
                <w:sz w:val="22"/>
                <w:szCs w:val="24"/>
                <w:lang w:eastAsia="uk-UA"/>
              </w:rPr>
              <w:t xml:space="preserve"> </w:t>
            </w:r>
            <w:r w:rsidRPr="00D32097">
              <w:rPr>
                <w:rFonts w:ascii="Times New Roman" w:hAnsi="Times New Roman" w:cs="Times New Roman"/>
                <w:bCs/>
                <w:sz w:val="22"/>
                <w:szCs w:val="24"/>
                <w:lang w:eastAsia="uk-UA"/>
              </w:rPr>
              <w:t>чи перевищує необхідна потужність відбору (заряджання УЗЕ) вже існуючу (оплачену) потужність приєднаного об’єкту.</w:t>
            </w:r>
          </w:p>
          <w:p w:rsidR="00FE4387" w:rsidRPr="00D32097" w:rsidRDefault="00FE4387" w:rsidP="00FE4387">
            <w:pPr>
              <w:ind w:firstLine="323"/>
              <w:jc w:val="both"/>
              <w:rPr>
                <w:sz w:val="24"/>
                <w:szCs w:val="24"/>
                <w:lang w:eastAsia="uk-UA"/>
              </w:rPr>
            </w:pPr>
            <w:r w:rsidRPr="00D32097">
              <w:rPr>
                <w:rFonts w:ascii="Times New Roman" w:hAnsi="Times New Roman" w:cs="Times New Roman"/>
                <w:sz w:val="22"/>
                <w:szCs w:val="24"/>
                <w:lang w:eastAsia="uk-UA"/>
              </w:rPr>
              <w:t>Саме ця норма і врегульовувала ці питання, що при проектуванні визначався додатковий об’єм робіт який необхідно зробити щоб отримати потужність відбору вже по існуючим мережам ОСР але не більше існуючої.</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Розрахунок плати за нестандартне приєднання до електричних мереж </w:t>
            </w:r>
            <w:r w:rsidRPr="00D32097">
              <w:rPr>
                <w:rFonts w:ascii="Times New Roman" w:hAnsi="Times New Roman" w:cs="Times New Roman"/>
                <w:sz w:val="22"/>
                <w:szCs w:val="22"/>
                <w:lang w:eastAsia="uk-UA"/>
              </w:rPr>
              <w:lastRenderedPageBreak/>
              <w:t>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vMerge/>
          </w:tcPr>
          <w:p w:rsidR="00FE4387" w:rsidRPr="00D32097" w:rsidRDefault="00FE4387" w:rsidP="00FE4387">
            <w:pPr>
              <w:tabs>
                <w:tab w:val="left" w:pos="993"/>
              </w:tabs>
              <w:ind w:firstLine="326"/>
              <w:jc w:val="both"/>
              <w:rPr>
                <w:strike/>
                <w:sz w:val="22"/>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77"/>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УАВЕ</w:t>
            </w:r>
          </w:p>
          <w:p w:rsidR="00FE4387" w:rsidRPr="00D32097" w:rsidRDefault="00FE4387" w:rsidP="00FE4387">
            <w:pPr>
              <w:pStyle w:val="rvps2"/>
              <w:shd w:val="clear" w:color="auto" w:fill="FFFFFF"/>
              <w:spacing w:before="0" w:beforeAutospacing="0" w:after="0" w:afterAutospacing="0"/>
              <w:ind w:firstLine="377"/>
              <w:jc w:val="both"/>
              <w:rPr>
                <w:rFonts w:ascii="Times New Roman" w:hAnsi="Times New Roman" w:cs="Times New Roman"/>
              </w:rPr>
            </w:pPr>
            <w:r w:rsidRPr="00D32097">
              <w:rPr>
                <w:rFonts w:ascii="Times New Roman" w:hAnsi="Times New Roman" w:cs="Times New Roman"/>
                <w:sz w:val="22"/>
              </w:rPr>
              <w:t xml:space="preserve">5.12. У разі </w:t>
            </w:r>
            <w:r w:rsidRPr="00D32097">
              <w:rPr>
                <w:rFonts w:ascii="Times New Roman" w:hAnsi="Times New Roman" w:cs="Times New Roman"/>
                <w:b/>
                <w:sz w:val="22"/>
              </w:rPr>
              <w:t>приєднання УЗЕ до</w:t>
            </w:r>
            <w:r w:rsidRPr="00D32097">
              <w:rPr>
                <w:rFonts w:ascii="Times New Roman" w:hAnsi="Times New Roman" w:cs="Times New Roman"/>
                <w:sz w:val="22"/>
              </w:rPr>
              <w:t xml:space="preserve"> </w:t>
            </w:r>
            <w:r w:rsidRPr="00D32097">
              <w:rPr>
                <w:rFonts w:ascii="Times New Roman" w:hAnsi="Times New Roman" w:cs="Times New Roman"/>
                <w:b/>
                <w:sz w:val="22"/>
              </w:rPr>
              <w:t>технологічних мережах внутрішнього електрозабезпечення Користувача</w:t>
            </w:r>
            <w:r w:rsidRPr="00D32097">
              <w:rPr>
                <w:rFonts w:ascii="Times New Roman" w:hAnsi="Times New Roman" w:cs="Times New Roman"/>
                <w:sz w:val="22"/>
              </w:rPr>
              <w:t xml:space="preserve"> з необхідністю здійснення відбору електричної енергії з мереж оператора системи розподілу понад величину дозволеної (договірної) потужності споживання </w:t>
            </w:r>
            <w:r w:rsidRPr="00D32097">
              <w:rPr>
                <w:rFonts w:ascii="Times New Roman" w:hAnsi="Times New Roman" w:cs="Times New Roman"/>
                <w:sz w:val="22"/>
              </w:rPr>
              <w:lastRenderedPageBreak/>
              <w:t xml:space="preserve">електричної енергії електроустановок такого </w:t>
            </w:r>
            <w:r w:rsidRPr="00D32097">
              <w:rPr>
                <w:rFonts w:ascii="Times New Roman" w:hAnsi="Times New Roman" w:cs="Times New Roman"/>
                <w:b/>
                <w:sz w:val="22"/>
              </w:rPr>
              <w:t xml:space="preserve">Користувача </w:t>
            </w:r>
            <w:r w:rsidRPr="00D32097">
              <w:rPr>
                <w:rFonts w:ascii="Times New Roman" w:hAnsi="Times New Roman" w:cs="Times New Roman"/>
                <w:sz w:val="22"/>
              </w:rPr>
              <w:t xml:space="preserve">на межі балансової належності згідно з договором споживача про надання послуг з розподілу (передачі) електричної енергії, </w:t>
            </w:r>
            <w:r w:rsidRPr="00D32097">
              <w:rPr>
                <w:rFonts w:ascii="Times New Roman" w:hAnsi="Times New Roman" w:cs="Times New Roman"/>
                <w:b/>
                <w:sz w:val="22"/>
              </w:rPr>
              <w:t>але не більше дозволеної потужності на відпуск згідно договору виробника на розподіл(передачі) електричної енергії</w:t>
            </w:r>
            <w:r w:rsidRPr="00D32097">
              <w:rPr>
                <w:rFonts w:ascii="Times New Roman" w:hAnsi="Times New Roman" w:cs="Times New Roman"/>
                <w:sz w:val="22"/>
              </w:rPr>
              <w:t xml:space="preserve">, вартість послуги з приєднання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D32097">
              <w:rPr>
                <w:rFonts w:ascii="Times New Roman" w:hAnsi="Times New Roman" w:cs="Times New Roman"/>
                <w:sz w:val="22"/>
              </w:rPr>
              <w:t>проєктно</w:t>
            </w:r>
            <w:proofErr w:type="spellEnd"/>
            <w:r w:rsidRPr="00D32097">
              <w:rPr>
                <w:rFonts w:ascii="Times New Roman" w:hAnsi="Times New Roman" w:cs="Times New Roman"/>
                <w:sz w:val="22"/>
              </w:rPr>
              <w:t>-кошторисної документації, розробленої згідно з вимогами Кодексу систем розподілу, і сплачується замовником оператору системи розподілу.</w:t>
            </w:r>
          </w:p>
        </w:tc>
        <w:tc>
          <w:tcPr>
            <w:tcW w:w="3899" w:type="dxa"/>
          </w:tcPr>
          <w:p w:rsidR="00FE4387" w:rsidRPr="00D32097" w:rsidRDefault="00FE4387" w:rsidP="00FE4387">
            <w:pPr>
              <w:ind w:firstLine="323"/>
              <w:jc w:val="both"/>
              <w:rPr>
                <w:rFonts w:ascii="Times New Roman" w:eastAsia="Arial" w:hAnsi="Times New Roman" w:cs="Times New Roman"/>
                <w:sz w:val="22"/>
                <w:szCs w:val="22"/>
              </w:rPr>
            </w:pPr>
            <w:r w:rsidRPr="00D32097">
              <w:rPr>
                <w:rFonts w:ascii="Times New Roman" w:hAnsi="Times New Roman" w:cs="Times New Roman"/>
                <w:bCs/>
                <w:sz w:val="22"/>
                <w:szCs w:val="22"/>
              </w:rPr>
              <w:lastRenderedPageBreak/>
              <w:t>Пропонується врахувати практичний досвід, який виникає у виробників електричної енергії при встановленні ними установок зберігання енергії. Для відбору електричної енергії з мереж операторів систем розподілу   приєднання УЗЕ відбувається</w:t>
            </w:r>
            <w:r w:rsidRPr="00D32097">
              <w:rPr>
                <w:rFonts w:ascii="Times New Roman" w:hAnsi="Times New Roman" w:cs="Times New Roman"/>
                <w:sz w:val="22"/>
                <w:szCs w:val="22"/>
              </w:rPr>
              <w:t xml:space="preserve"> до внутрішніх мереж Користувача, приєднання до </w:t>
            </w:r>
            <w:r w:rsidRPr="00D32097">
              <w:rPr>
                <w:rFonts w:ascii="Times New Roman" w:hAnsi="Times New Roman" w:cs="Times New Roman"/>
                <w:sz w:val="22"/>
                <w:szCs w:val="22"/>
              </w:rPr>
              <w:lastRenderedPageBreak/>
              <w:t>електричних мереж ОСР не відбувається, ОСР не несе ніяких витрат в такому випадку. Оскільки пропонується усунути діючу норму із Кодексу систем розподілу, зокрема: «</w:t>
            </w:r>
            <w:r w:rsidRPr="00D32097">
              <w:rPr>
                <w:rFonts w:ascii="Times New Roman" w:eastAsia="Arial" w:hAnsi="Times New Roman" w:cs="Times New Roman"/>
                <w:sz w:val="22"/>
                <w:szCs w:val="22"/>
              </w:rPr>
              <w:t>4.13.1. …</w:t>
            </w:r>
          </w:p>
          <w:p w:rsidR="00FE4387" w:rsidRPr="00D32097" w:rsidRDefault="00FE4387" w:rsidP="00FE4387">
            <w:pPr>
              <w:ind w:firstLine="323"/>
              <w:jc w:val="both"/>
              <w:rPr>
                <w:rFonts w:eastAsia="Arial"/>
              </w:rPr>
            </w:pPr>
            <w:r w:rsidRPr="00D32097">
              <w:rPr>
                <w:rFonts w:ascii="Times New Roman" w:eastAsia="Arial" w:hAnsi="Times New Roman" w:cs="Times New Roman"/>
                <w:sz w:val="22"/>
                <w:szCs w:val="22"/>
              </w:rPr>
              <w:t xml:space="preserve">Вартість послуги з приєднання в такому разі визначається як вартість обладнання та/або робіт, необхідних для забезпечення відбору електричної енергії з мереж оператора системи розподілу, та розраховується на підставі </w:t>
            </w:r>
            <w:proofErr w:type="spellStart"/>
            <w:r w:rsidRPr="00D32097">
              <w:rPr>
                <w:rFonts w:ascii="Times New Roman" w:eastAsia="Arial" w:hAnsi="Times New Roman" w:cs="Times New Roman"/>
                <w:sz w:val="22"/>
                <w:szCs w:val="22"/>
              </w:rPr>
              <w:t>проєктно</w:t>
            </w:r>
            <w:proofErr w:type="spellEnd"/>
            <w:r w:rsidRPr="00D32097">
              <w:rPr>
                <w:rFonts w:ascii="Times New Roman" w:eastAsia="Arial" w:hAnsi="Times New Roman" w:cs="Times New Roman"/>
                <w:sz w:val="22"/>
                <w:szCs w:val="22"/>
              </w:rPr>
              <w:t>-кошторисної документації, розробленої згідно з вимогами Кодексу, і сплачується замовником ОСР.» виникає неоднозначність у взаємовідносинах між Користувачем та ОСР при визначення плати з приєднання, ОСР зможе неправомірно нараховувати оплату за приєднання у випадках приєднання УЗЕ до внутрішніх електричних мереж самого Користувача. З метою недопущення цього пропонується  ввести зазначену у пропозиціях норму.</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lastRenderedPageBreak/>
              <w:t>складову плати за приєднання потужності (враховуючи потужність відбору та/або відпуску, що створюється), яка визначається як добуток величини додатково замовленої до приєднання потужності відбору та/або відпуску та ставки плати за нестандартне приєднання потужності;</w:t>
            </w:r>
          </w:p>
          <w:p w:rsidR="00FE4387" w:rsidRPr="00D32097" w:rsidRDefault="00FE4387" w:rsidP="00FE4387">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lastRenderedPageBreak/>
              <w:t>Пункт відсутній</w:t>
            </w: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ТОВ «НЕСС ЕНЕРДЖІ»</w:t>
            </w:r>
          </w:p>
          <w:p w:rsidR="00FE4387" w:rsidRPr="00D32097" w:rsidRDefault="00FE4387" w:rsidP="00FE4387">
            <w:pPr>
              <w:shd w:val="clear" w:color="auto" w:fill="FFFFFF"/>
              <w:ind w:firstLine="309"/>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5.12. Для цілей цієї Методики, у випадку якщо дозволена потужність відбору та/або відпуску диференціюється згідно з Кодексом систем розподілу за характерними періодами доби, розрахунок складової плати за потужність здійснюється окремо для кожного такого періоду.</w:t>
            </w:r>
          </w:p>
          <w:p w:rsidR="00FE4387" w:rsidRPr="00D32097" w:rsidRDefault="00FE4387" w:rsidP="00FE4387">
            <w:pPr>
              <w:shd w:val="clear" w:color="auto" w:fill="FFFFFF"/>
              <w:ind w:firstLine="309"/>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 xml:space="preserve">До характерних періодів доби належать: нічний мінімум, ранковий </w:t>
            </w:r>
            <w:r w:rsidRPr="00D32097">
              <w:rPr>
                <w:rFonts w:ascii="Times New Roman" w:hAnsi="Times New Roman" w:cs="Times New Roman"/>
                <w:b/>
                <w:color w:val="0070C0"/>
                <w:sz w:val="22"/>
                <w:szCs w:val="22"/>
              </w:rPr>
              <w:lastRenderedPageBreak/>
              <w:t>максимум, денний провал, вечірній максимум.</w:t>
            </w:r>
          </w:p>
          <w:p w:rsidR="00FE4387" w:rsidRPr="00D32097" w:rsidRDefault="00FE4387" w:rsidP="00FE4387">
            <w:pPr>
              <w:shd w:val="clear" w:color="auto" w:fill="FFFFFF"/>
              <w:ind w:firstLine="309"/>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Часові межі характерних періодів доби визначаються постановою НКРЕКП один раз на шість місяців.</w:t>
            </w:r>
          </w:p>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color w:val="0070C0"/>
                <w:sz w:val="22"/>
                <w:szCs w:val="22"/>
              </w:rPr>
              <w:t>Якщо дозволена потужність диференціюється за характерними періодами доби, для цілей визначення складової плати за потужність враховується найбільший вартісний результат за такими періодами, а не арифметична сума складових за періоди, які не є одночасними.</w:t>
            </w:r>
          </w:p>
        </w:tc>
        <w:tc>
          <w:tcPr>
            <w:tcW w:w="3899" w:type="dxa"/>
          </w:tcPr>
          <w:p w:rsidR="00FE4387" w:rsidRPr="00D32097" w:rsidRDefault="00FE4387" w:rsidP="00FE4387">
            <w:pPr>
              <w:ind w:firstLine="182"/>
              <w:jc w:val="both"/>
              <w:rPr>
                <w:rFonts w:ascii="Times New Roman" w:hAnsi="Times New Roman" w:cs="Times New Roman"/>
                <w:sz w:val="22"/>
                <w:szCs w:val="22"/>
              </w:rPr>
            </w:pPr>
            <w:proofErr w:type="spellStart"/>
            <w:r w:rsidRPr="00D32097">
              <w:rPr>
                <w:rFonts w:ascii="Times New Roman" w:hAnsi="Times New Roman" w:cs="Times New Roman"/>
                <w:sz w:val="22"/>
                <w:szCs w:val="22"/>
              </w:rPr>
              <w:lastRenderedPageBreak/>
              <w:t>Числово</w:t>
            </w:r>
            <w:proofErr w:type="spellEnd"/>
            <w:r w:rsidRPr="00D32097">
              <w:rPr>
                <w:rFonts w:ascii="Times New Roman" w:hAnsi="Times New Roman" w:cs="Times New Roman"/>
                <w:sz w:val="22"/>
                <w:szCs w:val="22"/>
              </w:rPr>
              <w:t xml:space="preserve"> визначені часові межі характерних періодів доби забезпечують однакове застосування Методики всіма операторами систем та унеможливлюють довільне визначення періодів окремими ОСР.</w:t>
            </w:r>
          </w:p>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Встановлення меж НКРЕКП один раз на шість місяців дозволяє врахувати сезонну зміну режимів споживання та генерації, але не створює надмірної регуляторної мінливості.</w:t>
            </w:r>
          </w:p>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 xml:space="preserve">Якщо потужність визначається за різними періодами доби, такі періоди </w:t>
            </w:r>
            <w:r w:rsidRPr="00D32097">
              <w:rPr>
                <w:rFonts w:ascii="Times New Roman" w:hAnsi="Times New Roman" w:cs="Times New Roman"/>
                <w:sz w:val="22"/>
                <w:szCs w:val="22"/>
              </w:rPr>
              <w:lastRenderedPageBreak/>
              <w:t>не є одночасними; тому плата має визначатися за найбільшим релевантним вартісним результатом, а не шляхом сумування всіх періодів.</w:t>
            </w:r>
          </w:p>
        </w:tc>
        <w:tc>
          <w:tcPr>
            <w:tcW w:w="3900" w:type="dxa"/>
            <w:gridSpan w:val="2"/>
          </w:tcPr>
          <w:p w:rsidR="00DE07BA" w:rsidRPr="00D32097" w:rsidRDefault="00DE07BA" w:rsidP="00DE07BA">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Пропонується не враховувати.</w:t>
            </w:r>
          </w:p>
          <w:p w:rsidR="00DE07BA" w:rsidRPr="00D32097" w:rsidRDefault="00DE07BA" w:rsidP="00DE07BA">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Частиною п'ятнадцятою статті 21 ЗУ Про ринок електричної енергії передбачено:</w:t>
            </w:r>
          </w:p>
          <w:p w:rsidR="00DE07BA" w:rsidRPr="00D32097" w:rsidRDefault="00DE07BA" w:rsidP="00DE07BA">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Розрахунок плати за нестандартне приєднання до електричних мереж оператора системи розподілу передбачає:</w:t>
            </w:r>
          </w:p>
          <w:p w:rsidR="00DE07BA" w:rsidRPr="00D32097" w:rsidRDefault="00DE07BA" w:rsidP="00DE07BA">
            <w:pPr>
              <w:ind w:firstLine="174"/>
              <w:jc w:val="both"/>
              <w:rPr>
                <w:rFonts w:ascii="Times New Roman" w:hAnsi="Times New Roman" w:cs="Times New Roman"/>
                <w:sz w:val="22"/>
                <w:szCs w:val="22"/>
                <w:lang w:eastAsia="uk-UA"/>
              </w:rPr>
            </w:pPr>
            <w:r w:rsidRPr="00D32097">
              <w:rPr>
                <w:rFonts w:ascii="Times New Roman" w:hAnsi="Times New Roman" w:cs="Times New Roman"/>
                <w:sz w:val="22"/>
                <w:szCs w:val="22"/>
                <w:lang w:eastAsia="uk-UA"/>
              </w:rPr>
              <w:t xml:space="preserve">складову плати за приєднання потужності (враховуючи потужність відбору та/або відпуску, що створюється), яка визначається як добуток величини додатково </w:t>
            </w:r>
            <w:r w:rsidRPr="00D32097">
              <w:rPr>
                <w:rFonts w:ascii="Times New Roman" w:hAnsi="Times New Roman" w:cs="Times New Roman"/>
                <w:sz w:val="22"/>
                <w:szCs w:val="22"/>
                <w:lang w:eastAsia="uk-UA"/>
              </w:rPr>
              <w:lastRenderedPageBreak/>
              <w:t>замовленої до приєднання потужності відбору та/або відпуску та ставки плати за нестандартне приєднання потужності;</w:t>
            </w:r>
          </w:p>
          <w:p w:rsidR="00FE4387" w:rsidRPr="00D32097" w:rsidRDefault="00DE07BA" w:rsidP="00DE07BA">
            <w:pPr>
              <w:ind w:firstLine="174"/>
              <w:jc w:val="both"/>
              <w:rPr>
                <w:rFonts w:ascii="Times New Roman" w:hAnsi="Times New Roman" w:cs="Times New Roman"/>
                <w:b/>
                <w:sz w:val="22"/>
                <w:szCs w:val="22"/>
                <w:lang w:eastAsia="uk-UA"/>
              </w:rPr>
            </w:pPr>
            <w:r w:rsidRPr="00D32097">
              <w:rPr>
                <w:rFonts w:ascii="Times New Roman" w:hAnsi="Times New Roman" w:cs="Times New Roman"/>
                <w:sz w:val="22"/>
                <w:szCs w:val="22"/>
                <w:lang w:eastAsia="uk-UA"/>
              </w:rPr>
              <w:t>складову плати за створення електричних мереж лінійної частини приєднання.</w:t>
            </w:r>
          </w:p>
        </w:tc>
      </w:tr>
      <w:tr w:rsidR="00FE4387" w:rsidRPr="00D32097" w:rsidTr="00921461">
        <w:trPr>
          <w:trHeight w:val="218"/>
        </w:trPr>
        <w:tc>
          <w:tcPr>
            <w:tcW w:w="15598" w:type="dxa"/>
            <w:gridSpan w:val="7"/>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6. Плата за приєднання до електричних мереж системи передачі</w:t>
            </w:r>
          </w:p>
        </w:tc>
      </w:tr>
      <w:tr w:rsidR="00FE4387" w:rsidRPr="00D32097" w:rsidTr="002E4622">
        <w:trPr>
          <w:trHeight w:val="218"/>
        </w:trPr>
        <w:tc>
          <w:tcPr>
            <w:tcW w:w="3899" w:type="dxa"/>
            <w:gridSpan w:val="2"/>
            <w:vMerge w:val="restart"/>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r w:rsidRPr="00D32097">
              <w:rPr>
                <w:rFonts w:ascii="Times New Roman" w:hAnsi="Times New Roman" w:cs="Times New Roman"/>
                <w:b/>
                <w:i/>
                <w:color w:val="000000"/>
                <w:sz w:val="22"/>
                <w:szCs w:val="22"/>
              </w:rPr>
              <w:t>Зміни не вносились</w:t>
            </w:r>
          </w:p>
          <w:p w:rsidR="00FE4387" w:rsidRPr="00D32097" w:rsidRDefault="00FE4387" w:rsidP="00FE4387">
            <w:pPr>
              <w:tabs>
                <w:tab w:val="left" w:pos="993"/>
              </w:tabs>
              <w:ind w:firstLine="314"/>
              <w:jc w:val="both"/>
              <w:rPr>
                <w:rFonts w:ascii="Times New Roman" w:hAnsi="Times New Roman" w:cs="Times New Roman"/>
                <w:color w:val="000000"/>
                <w:sz w:val="22"/>
                <w:szCs w:val="22"/>
              </w:rPr>
            </w:pPr>
            <w:r w:rsidRPr="00D32097">
              <w:rPr>
                <w:rFonts w:ascii="Times New Roman" w:hAnsi="Times New Roman" w:cs="Times New Roman"/>
                <w:color w:val="000000"/>
                <w:sz w:val="22"/>
                <w:szCs w:val="22"/>
              </w:rPr>
              <w:t>6.2. Замовник має оплатити частину вартості плати за приєднання електроустановок до електричних мереж системи передачі оператору системи передачі в розмірі 10 євро за 1 кВт замовленої до приєднання потужності відповідно до офіційного курсу, встановленого Національним банком України на день виставлення йому рахунка.</w:t>
            </w:r>
          </w:p>
          <w:p w:rsidR="00FE4387" w:rsidRPr="00D32097" w:rsidRDefault="00FE4387" w:rsidP="00FE4387">
            <w:pPr>
              <w:tabs>
                <w:tab w:val="left" w:pos="993"/>
              </w:tabs>
              <w:ind w:firstLine="314"/>
              <w:jc w:val="both"/>
              <w:rPr>
                <w:rFonts w:ascii="Times New Roman" w:hAnsi="Times New Roman" w:cs="Times New Roman"/>
                <w:color w:val="000000"/>
                <w:sz w:val="22"/>
                <w:szCs w:val="22"/>
              </w:rPr>
            </w:pPr>
            <w:r w:rsidRPr="00D32097">
              <w:rPr>
                <w:rFonts w:ascii="Times New Roman" w:hAnsi="Times New Roman" w:cs="Times New Roman"/>
                <w:color w:val="000000"/>
                <w:sz w:val="22"/>
                <w:szCs w:val="22"/>
              </w:rPr>
              <w:t xml:space="preserve">Якщо замовник на підставі отриманих технічних умов на приєднання протягом 12 місяців з дня їх отримання забезпечив розроблення та узгодження з оператором системи передачі та іншими заінтересованими сторонами </w:t>
            </w:r>
            <w:proofErr w:type="spellStart"/>
            <w:r w:rsidRPr="00D32097">
              <w:rPr>
                <w:rFonts w:ascii="Times New Roman" w:hAnsi="Times New Roman" w:cs="Times New Roman"/>
                <w:color w:val="000000"/>
                <w:sz w:val="22"/>
                <w:szCs w:val="22"/>
              </w:rPr>
              <w:t>проєктної</w:t>
            </w:r>
            <w:proofErr w:type="spellEnd"/>
            <w:r w:rsidRPr="00D32097">
              <w:rPr>
                <w:rFonts w:ascii="Times New Roman" w:hAnsi="Times New Roman" w:cs="Times New Roman"/>
                <w:color w:val="000000"/>
                <w:sz w:val="22"/>
                <w:szCs w:val="22"/>
              </w:rPr>
              <w:t xml:space="preserve"> документації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w:t>
            </w:r>
            <w:r w:rsidRPr="00D32097">
              <w:rPr>
                <w:rFonts w:ascii="Times New Roman" w:hAnsi="Times New Roman" w:cs="Times New Roman"/>
                <w:color w:val="000000"/>
                <w:sz w:val="22"/>
                <w:szCs w:val="22"/>
              </w:rPr>
              <w:lastRenderedPageBreak/>
              <w:t>замовника) та передав її оператору системи передачі, частина вартості плати за приєднання, сплачена замовником, зараховується як складова плати за приєднання до електричних мереж оператора системи передачі.</w:t>
            </w:r>
          </w:p>
          <w:p w:rsidR="00FE4387" w:rsidRPr="00D32097" w:rsidRDefault="00FE4387" w:rsidP="00FE4387">
            <w:pPr>
              <w:tabs>
                <w:tab w:val="left" w:pos="993"/>
              </w:tabs>
              <w:ind w:firstLine="314"/>
              <w:jc w:val="both"/>
              <w:rPr>
                <w:b/>
                <w:i/>
                <w:color w:val="000000"/>
                <w:sz w:val="22"/>
                <w:szCs w:val="22"/>
              </w:rPr>
            </w:pPr>
            <w:r w:rsidRPr="00D32097">
              <w:rPr>
                <w:rFonts w:ascii="Times New Roman" w:hAnsi="Times New Roman" w:cs="Times New Roman"/>
                <w:color w:val="000000"/>
                <w:sz w:val="22"/>
                <w:szCs w:val="22"/>
              </w:rPr>
              <w:t xml:space="preserve">При наданні оператором системи передачі послуги з приєднання електроустановок замовника (що має намір стати </w:t>
            </w:r>
            <w:proofErr w:type="spellStart"/>
            <w:r w:rsidRPr="00D32097">
              <w:rPr>
                <w:rFonts w:ascii="Times New Roman" w:hAnsi="Times New Roman" w:cs="Times New Roman"/>
                <w:color w:val="000000"/>
                <w:sz w:val="22"/>
                <w:szCs w:val="22"/>
              </w:rPr>
              <w:t>субвиробником</w:t>
            </w:r>
            <w:proofErr w:type="spellEnd"/>
            <w:r w:rsidRPr="00D32097">
              <w:rPr>
                <w:rFonts w:ascii="Times New Roman" w:hAnsi="Times New Roman" w:cs="Times New Roman"/>
                <w:color w:val="000000"/>
                <w:sz w:val="22"/>
                <w:szCs w:val="22"/>
              </w:rPr>
              <w:t>) до технологічних мереж внутрішнього електрозабезпечення основного виробника частина вартості плати за приєднання електроустановок до електричних мереж системи передачі, передбачена абзацом першим цього пункту, не стягується</w:t>
            </w:r>
            <w:r w:rsidRPr="00D32097">
              <w:rPr>
                <w:rFonts w:ascii="Times New Roman" w:hAnsi="Times New Roman" w:cs="Times New Roman"/>
                <w:b/>
                <w:color w:val="000000"/>
                <w:sz w:val="22"/>
                <w:szCs w:val="22"/>
              </w:rPr>
              <w:t>.</w:t>
            </w:r>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lastRenderedPageBreak/>
              <w:t>НЕК «Укренерго»</w:t>
            </w:r>
          </w:p>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sz w:val="22"/>
                <w:szCs w:val="24"/>
              </w:rPr>
              <w:t xml:space="preserve">6.2. Замовник має оплатити частину вартості плати за приєднання електроустановок до електричних мереж системи передачі оператору системи передачі в розмірі 10 євро за 1 кВт замовленої до приєднання потужності </w:t>
            </w:r>
            <w:r w:rsidRPr="00D32097">
              <w:rPr>
                <w:rFonts w:ascii="Times New Roman" w:hAnsi="Times New Roman"/>
                <w:b/>
                <w:bCs/>
                <w:color w:val="0070C0"/>
                <w:sz w:val="22"/>
                <w:szCs w:val="24"/>
              </w:rPr>
              <w:t>(більша з величин відбору або відпуску)</w:t>
            </w:r>
            <w:r w:rsidRPr="00D32097">
              <w:rPr>
                <w:rFonts w:ascii="Times New Roman" w:hAnsi="Times New Roman"/>
                <w:color w:val="0070C0"/>
                <w:sz w:val="22"/>
                <w:szCs w:val="24"/>
              </w:rPr>
              <w:t xml:space="preserve"> </w:t>
            </w:r>
            <w:r w:rsidRPr="00D32097">
              <w:rPr>
                <w:rFonts w:ascii="Times New Roman" w:hAnsi="Times New Roman"/>
                <w:sz w:val="22"/>
                <w:szCs w:val="24"/>
              </w:rPr>
              <w:t>відповідно до офіційного курсу, встановленого Національним банком України на день виставлення йому рахунка.</w:t>
            </w:r>
          </w:p>
          <w:p w:rsidR="00FE4387" w:rsidRPr="00D32097" w:rsidRDefault="00FE4387" w:rsidP="00FE4387">
            <w:pPr>
              <w:shd w:val="clear" w:color="auto" w:fill="FFFFFF"/>
              <w:ind w:firstLine="391"/>
              <w:jc w:val="both"/>
              <w:rPr>
                <w:b/>
                <w:sz w:val="22"/>
                <w:szCs w:val="22"/>
                <w:u w:val="single"/>
              </w:rPr>
            </w:pPr>
            <w:r w:rsidRPr="00D32097">
              <w:rPr>
                <w:rFonts w:ascii="Times New Roman" w:hAnsi="Times New Roman"/>
                <w:sz w:val="22"/>
                <w:szCs w:val="24"/>
              </w:rPr>
              <w:t>…</w:t>
            </w:r>
          </w:p>
        </w:tc>
        <w:tc>
          <w:tcPr>
            <w:tcW w:w="3899" w:type="dxa"/>
          </w:tcPr>
          <w:p w:rsidR="00FE4387" w:rsidRPr="00D32097" w:rsidRDefault="00FE4387" w:rsidP="00FE4387">
            <w:pPr>
              <w:shd w:val="clear" w:color="auto" w:fill="FFFFFF"/>
              <w:spacing w:after="150"/>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Оскільки ЗУ 4777 змінює визначення дозволеної потужності вводячи в визначення характеристику напряму потужності, а саме відбору та/або відпуску, зазначене питання потребує врегулювання, з метою однозначно визначення плати 10 євро за  1 кВт.</w:t>
            </w:r>
          </w:p>
          <w:p w:rsidR="00FE4387" w:rsidRPr="00D32097" w:rsidRDefault="00FE4387" w:rsidP="00FE4387">
            <w:pPr>
              <w:shd w:val="clear" w:color="auto" w:fill="FFFFFF"/>
              <w:spacing w:after="150"/>
              <w:jc w:val="both"/>
              <w:rPr>
                <w:rFonts w:ascii="Times New Roman" w:hAnsi="Times New Roman" w:cs="Times New Roman"/>
                <w:bCs/>
                <w:szCs w:val="24"/>
                <w:lang w:eastAsia="uk-UA"/>
              </w:rPr>
            </w:pPr>
            <w:r w:rsidRPr="00D32097">
              <w:rPr>
                <w:rFonts w:ascii="Times New Roman" w:hAnsi="Times New Roman" w:cs="Times New Roman"/>
                <w:bCs/>
                <w:sz w:val="22"/>
                <w:szCs w:val="24"/>
                <w:lang w:eastAsia="uk-UA"/>
              </w:rPr>
              <w:t>Пропонується врахувати, що замовник послуги з приєднання сплачує 10 євро за  1 кВт потужності за більшою з величин потужність, замовлена до приєднання, що зазначені в заяві.</w:t>
            </w:r>
          </w:p>
        </w:tc>
        <w:tc>
          <w:tcPr>
            <w:tcW w:w="3900" w:type="dxa"/>
            <w:gridSpan w:val="2"/>
          </w:tcPr>
          <w:p w:rsidR="00FE4387" w:rsidRPr="00D32097" w:rsidRDefault="00FE4387" w:rsidP="002D57C8">
            <w:pPr>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w:t>
            </w:r>
            <w:bookmarkStart w:id="10" w:name="_GoBack"/>
            <w:bookmarkEnd w:id="10"/>
            <w:r w:rsidRPr="00D32097">
              <w:rPr>
                <w:rFonts w:ascii="Times New Roman" w:hAnsi="Times New Roman" w:cs="Times New Roman"/>
                <w:b/>
                <w:sz w:val="22"/>
                <w:szCs w:val="22"/>
                <w:lang w:eastAsia="uk-UA"/>
              </w:rPr>
              <w:t>ропонується врахувати</w:t>
            </w:r>
          </w:p>
        </w:tc>
      </w:tr>
      <w:tr w:rsidR="00FE4387" w:rsidRPr="00D32097" w:rsidTr="002E4622">
        <w:trPr>
          <w:trHeight w:val="218"/>
        </w:trPr>
        <w:tc>
          <w:tcPr>
            <w:tcW w:w="3899" w:type="dxa"/>
            <w:gridSpan w:val="2"/>
            <w:vMerge/>
          </w:tcPr>
          <w:p w:rsidR="00FE4387" w:rsidRPr="00D32097" w:rsidRDefault="00FE4387" w:rsidP="00FE4387">
            <w:pPr>
              <w:tabs>
                <w:tab w:val="left" w:pos="993"/>
              </w:tabs>
              <w:ind w:firstLine="314"/>
              <w:jc w:val="both"/>
              <w:rPr>
                <w:rFonts w:ascii="Times New Roman" w:hAnsi="Times New Roman" w:cs="Times New Roman"/>
                <w:b/>
                <w:color w:val="000000"/>
                <w:sz w:val="22"/>
                <w:szCs w:val="22"/>
              </w:rPr>
            </w:pPr>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УВЕА, ЄУЕА</w:t>
            </w:r>
          </w:p>
          <w:p w:rsidR="00FE4387" w:rsidRPr="00D32097" w:rsidRDefault="00FE4387" w:rsidP="00FE4387">
            <w:pPr>
              <w:shd w:val="clear" w:color="auto" w:fill="FFFFFF"/>
              <w:spacing w:after="150"/>
              <w:ind w:firstLine="375"/>
              <w:jc w:val="both"/>
              <w:rPr>
                <w:rFonts w:ascii="Times New Roman" w:hAnsi="Times New Roman" w:cs="Times New Roman"/>
                <w:b/>
                <w:sz w:val="22"/>
                <w:szCs w:val="24"/>
                <w:lang w:eastAsia="uk-UA"/>
              </w:rPr>
            </w:pPr>
            <w:r w:rsidRPr="00D32097">
              <w:rPr>
                <w:rFonts w:ascii="Times New Roman" w:hAnsi="Times New Roman" w:cs="Times New Roman"/>
                <w:bCs/>
                <w:sz w:val="22"/>
                <w:szCs w:val="24"/>
                <w:lang w:eastAsia="uk-UA"/>
              </w:rPr>
              <w:t xml:space="preserve">6.2. Замовник має оплатити частину вартості плати за приєднання електроустановок до електричних мереж системи передачі оператору системи передачі в розмірі 10 євро за 1 кВт замовленої до приєднання потужності відповідно до офіційного курсу, встановленого Національним </w:t>
            </w:r>
            <w:r w:rsidRPr="00D32097">
              <w:rPr>
                <w:rFonts w:ascii="Times New Roman" w:hAnsi="Times New Roman" w:cs="Times New Roman"/>
                <w:bCs/>
                <w:sz w:val="22"/>
                <w:szCs w:val="24"/>
                <w:lang w:eastAsia="uk-UA"/>
              </w:rPr>
              <w:lastRenderedPageBreak/>
              <w:t>банком України на день виставлення йому рахунка.</w:t>
            </w:r>
            <w:r w:rsidRPr="00D32097">
              <w:rPr>
                <w:rFonts w:ascii="Times New Roman" w:hAnsi="Times New Roman" w:cs="Times New Roman"/>
                <w:bCs/>
                <w:strike/>
                <w:sz w:val="22"/>
                <w:szCs w:val="24"/>
                <w:lang w:eastAsia="uk-UA"/>
              </w:rPr>
              <w:t xml:space="preserve"> </w:t>
            </w:r>
          </w:p>
          <w:p w:rsidR="00FE4387" w:rsidRPr="00D32097" w:rsidRDefault="00FE4387" w:rsidP="00FE4387">
            <w:pPr>
              <w:shd w:val="clear" w:color="auto" w:fill="FFFFFF"/>
              <w:spacing w:after="150"/>
              <w:ind w:firstLine="375"/>
              <w:jc w:val="both"/>
              <w:rPr>
                <w:rFonts w:ascii="Times New Roman" w:hAnsi="Times New Roman" w:cs="Times New Roman"/>
                <w:b/>
                <w:color w:val="0070C0"/>
                <w:sz w:val="22"/>
                <w:szCs w:val="24"/>
                <w:lang w:eastAsia="uk-UA"/>
              </w:rPr>
            </w:pPr>
            <w:r w:rsidRPr="00D32097">
              <w:rPr>
                <w:rFonts w:ascii="Times New Roman" w:hAnsi="Times New Roman" w:cs="Times New Roman"/>
                <w:b/>
                <w:color w:val="0070C0"/>
                <w:sz w:val="22"/>
                <w:szCs w:val="24"/>
                <w:lang w:eastAsia="uk-UA"/>
              </w:rPr>
              <w:t>Для установок зберігання енергії, а також для електроустановок, призначених для виробництва електричної енергії, які приєднуються з установками зберігання енергії в одній точці приєднання, та для установок зберігання енергії, які приєднуються з електроустановками, призначеними для виробництва електричної енергії, в одній точці приєднання, частина вартості плати за приєднання, визначена в цьому пункті, обчислюється виходячи з більшої з величин замовленої до приєднання потужності - потужності відбору або потужності відпуску.</w:t>
            </w:r>
          </w:p>
          <w:p w:rsidR="00FE4387" w:rsidRPr="00D32097" w:rsidRDefault="00FE4387" w:rsidP="00FE4387">
            <w:pPr>
              <w:shd w:val="clear" w:color="auto" w:fill="FFFFFF"/>
              <w:spacing w:after="150"/>
              <w:ind w:firstLine="375"/>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Якщо замовник на підставі отриманих технічних умов на приєднання протягом 12 місяців з дня їх отримання забезпечив розроблення та узгодження з оператором системи передачі та іншими заінтересованими сторонами </w:t>
            </w:r>
            <w:proofErr w:type="spellStart"/>
            <w:r w:rsidRPr="00D32097">
              <w:rPr>
                <w:rFonts w:ascii="Times New Roman" w:hAnsi="Times New Roman" w:cs="Times New Roman"/>
                <w:bCs/>
                <w:sz w:val="22"/>
                <w:szCs w:val="24"/>
                <w:lang w:eastAsia="uk-UA"/>
              </w:rPr>
              <w:t>проєктної</w:t>
            </w:r>
            <w:proofErr w:type="spellEnd"/>
            <w:r w:rsidRPr="00D32097">
              <w:rPr>
                <w:rFonts w:ascii="Times New Roman" w:hAnsi="Times New Roman" w:cs="Times New Roman"/>
                <w:bCs/>
                <w:sz w:val="22"/>
                <w:szCs w:val="24"/>
                <w:lang w:eastAsia="uk-UA"/>
              </w:rPr>
              <w:t xml:space="preserve"> документації на будівництво, реконструкцію та/або технічне переоснащення електричних мереж зовнішнього електрозабезпечення електроустановок замовника (до точки приєднання електроустановок замовника) та передав її оператору системи передачі, частина вартості плати за приєднання, сплачена замовником, зараховується як складова </w:t>
            </w:r>
            <w:r w:rsidRPr="00D32097">
              <w:rPr>
                <w:rFonts w:ascii="Times New Roman" w:hAnsi="Times New Roman" w:cs="Times New Roman"/>
                <w:bCs/>
                <w:sz w:val="22"/>
                <w:szCs w:val="24"/>
                <w:lang w:eastAsia="uk-UA"/>
              </w:rPr>
              <w:lastRenderedPageBreak/>
              <w:t>плати за приєднання до електричних мереж оператора системи передачі.</w:t>
            </w:r>
          </w:p>
          <w:p w:rsidR="00FE4387" w:rsidRPr="00D32097" w:rsidRDefault="00FE4387" w:rsidP="00FE4387">
            <w:pPr>
              <w:shd w:val="clear" w:color="auto" w:fill="FFFFFF"/>
              <w:spacing w:after="150"/>
              <w:ind w:firstLine="375"/>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При наданні оператором системи передачі послуги з приєднання електроустановок замовника (що має намір стати </w:t>
            </w:r>
            <w:proofErr w:type="spellStart"/>
            <w:r w:rsidRPr="00D32097">
              <w:rPr>
                <w:rFonts w:ascii="Times New Roman" w:hAnsi="Times New Roman" w:cs="Times New Roman"/>
                <w:bCs/>
                <w:sz w:val="22"/>
                <w:szCs w:val="24"/>
                <w:lang w:eastAsia="uk-UA"/>
              </w:rPr>
              <w:t>субвиробником</w:t>
            </w:r>
            <w:proofErr w:type="spellEnd"/>
            <w:r w:rsidRPr="00D32097">
              <w:rPr>
                <w:rFonts w:ascii="Times New Roman" w:hAnsi="Times New Roman" w:cs="Times New Roman"/>
                <w:bCs/>
                <w:sz w:val="22"/>
                <w:szCs w:val="24"/>
                <w:lang w:eastAsia="uk-UA"/>
              </w:rPr>
              <w:t>) до технологічних мереж внутрішнього електрозабезпечення основного виробника частина вартості плати за приєднання електроустановок до електричних мереж системи передачі, передбачена абзацом першим цього пункту, не стягується.</w:t>
            </w:r>
          </w:p>
          <w:p w:rsidR="00FE4387" w:rsidRPr="00D32097" w:rsidRDefault="00FE4387" w:rsidP="00FE4387">
            <w:pPr>
              <w:ind w:firstLine="375"/>
              <w:contextualSpacing/>
              <w:jc w:val="both"/>
              <w:rPr>
                <w:rFonts w:ascii="Times New Roman" w:hAnsi="Times New Roman" w:cs="Times New Roman"/>
                <w:b/>
                <w:color w:val="000000"/>
                <w:sz w:val="22"/>
                <w:szCs w:val="22"/>
              </w:rPr>
            </w:pPr>
            <w:r w:rsidRPr="00D32097">
              <w:rPr>
                <w:rFonts w:ascii="Times New Roman" w:eastAsia="Calibri" w:hAnsi="Times New Roman" w:cs="Times New Roman"/>
                <w:b/>
                <w:bCs/>
                <w:color w:val="0070C0"/>
                <w:sz w:val="22"/>
                <w:szCs w:val="24"/>
              </w:rPr>
              <w:t>При наданні оператором системи передачі послуги з приєднання у зв’язку із збільшенням виробником величини дозволеної потужності відбору для встановлення УЗЕ в місці провадження ліцензованої діяльності з виробництва електричної енергії в межах існуючої точки приєднання та без збільшення дозволеної потужності відпуску оплата, передбачена абзацом першим цього пункту, не стягується</w:t>
            </w:r>
            <w:r w:rsidRPr="00D32097">
              <w:rPr>
                <w:rFonts w:ascii="Times New Roman" w:eastAsia="Calibri" w:hAnsi="Times New Roman" w:cs="Times New Roman"/>
                <w:b/>
                <w:bCs/>
                <w:color w:val="4472C4" w:themeColor="accent1"/>
                <w:sz w:val="22"/>
                <w:szCs w:val="24"/>
              </w:rPr>
              <w:t>.</w:t>
            </w:r>
          </w:p>
        </w:tc>
        <w:tc>
          <w:tcPr>
            <w:tcW w:w="3899" w:type="dxa"/>
          </w:tcPr>
          <w:p w:rsidR="00FE4387" w:rsidRPr="00D32097" w:rsidRDefault="00FE4387" w:rsidP="00FE4387">
            <w:pPr>
              <w:pStyle w:val="a4"/>
              <w:numPr>
                <w:ilvl w:val="0"/>
                <w:numId w:val="8"/>
              </w:numPr>
              <w:shd w:val="clear" w:color="auto" w:fill="FFFFFF"/>
              <w:spacing w:after="150" w:line="240" w:lineRule="auto"/>
              <w:ind w:left="36"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lastRenderedPageBreak/>
              <w:t xml:space="preserve">Вимога щодо оплати частини вартості плати за приєднання у розмірі 10 євро за 1 кВт замовленої до приєднання потужності запроваджена Законом № 4213-IX від 14.01.2025. </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У поточному часі ОСП надає розрахунок частини плати за приєднання , який підлягає сплаті замовником, разом з технічними умовами на приєднання,  з </w:t>
            </w:r>
            <w:r w:rsidRPr="00D32097">
              <w:rPr>
                <w:rFonts w:ascii="Times New Roman" w:hAnsi="Times New Roman" w:cs="Times New Roman"/>
                <w:bCs/>
                <w:sz w:val="22"/>
                <w:szCs w:val="24"/>
                <w:lang w:eastAsia="uk-UA"/>
              </w:rPr>
              <w:lastRenderedPageBreak/>
              <w:t xml:space="preserve">урахуванням зазначеної замовником у заяві прогнозованої величини встановленої потужності електроустановки, що приєднується. </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У зв’язку із змінами у регулюванні питань приєднання, що стосується зміни підходів до визначення замовленої до приєднання потужності з розподілом її на замовлену потужність  відбору та/або відпуску, учасники Асоціації, обговоривши запропоновані зміни, висловили занепокоєння, що за умовами регулювання, що запроваджується, ОСП при розрахунку  частини вартості плати за приєднання буде ураховувати  замовлену замовником до приєднання потужність відпуску та потужність відбору одночасно. </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При приєднанні традиційних електроустановок, призначених для виробництва електричної енергії, додавання величини потужності відбору (для власних потреб електростанції) не буде суттєво впливати на розрахунок частини вартості плати за приєднання. Але  при приєднанні УЗЕ або гібридних електростанцій, гібридних УЗЕ, які будуть характеризуватись відповідними (</w:t>
            </w:r>
            <w:proofErr w:type="spellStart"/>
            <w:r w:rsidRPr="00D32097">
              <w:rPr>
                <w:rFonts w:ascii="Times New Roman" w:hAnsi="Times New Roman" w:cs="Times New Roman"/>
                <w:bCs/>
                <w:sz w:val="22"/>
                <w:szCs w:val="24"/>
                <w:lang w:eastAsia="uk-UA"/>
              </w:rPr>
              <w:t>проєктними</w:t>
            </w:r>
            <w:proofErr w:type="spellEnd"/>
            <w:r w:rsidRPr="00D32097">
              <w:rPr>
                <w:rFonts w:ascii="Times New Roman" w:hAnsi="Times New Roman" w:cs="Times New Roman"/>
                <w:bCs/>
                <w:sz w:val="22"/>
                <w:szCs w:val="24"/>
                <w:lang w:eastAsia="uk-UA"/>
              </w:rPr>
              <w:t xml:space="preserve">) величинами потужності  відпуску та потужності відбору одночасно, розрахунок частини вартості плати за приєднання для замовника може збільшитись </w:t>
            </w:r>
            <w:proofErr w:type="spellStart"/>
            <w:r w:rsidRPr="00D32097">
              <w:rPr>
                <w:rFonts w:ascii="Times New Roman" w:hAnsi="Times New Roman" w:cs="Times New Roman"/>
                <w:bCs/>
                <w:sz w:val="22"/>
                <w:szCs w:val="24"/>
                <w:lang w:eastAsia="uk-UA"/>
              </w:rPr>
              <w:t>кратно</w:t>
            </w:r>
            <w:proofErr w:type="spellEnd"/>
            <w:r w:rsidRPr="00D32097">
              <w:rPr>
                <w:rFonts w:ascii="Times New Roman" w:hAnsi="Times New Roman" w:cs="Times New Roman"/>
                <w:bCs/>
                <w:sz w:val="22"/>
                <w:szCs w:val="24"/>
                <w:lang w:eastAsia="uk-UA"/>
              </w:rPr>
              <w:t>.</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lastRenderedPageBreak/>
              <w:t xml:space="preserve">Частина плати за приєднання фактично є  передоплатою замовника за приєднання, що  «заморожується» ОСП на тривалий час (принаймні на рік) в залежності від виконання сторонами зобов’язань за договором про приєднання. </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 xml:space="preserve">Ураховуючи значний розмір частини плати за приєднання (10 євро за 1 кВт замовленої до приєднання потужності) збільшення для замовників розміру попередньої плати за приєднання є не припустимим та може загальмувати подальший розвиток нових </w:t>
            </w:r>
            <w:proofErr w:type="spellStart"/>
            <w:r w:rsidRPr="00D32097">
              <w:rPr>
                <w:rFonts w:ascii="Times New Roman" w:hAnsi="Times New Roman" w:cs="Times New Roman"/>
                <w:bCs/>
                <w:sz w:val="22"/>
                <w:szCs w:val="24"/>
                <w:lang w:eastAsia="uk-UA"/>
              </w:rPr>
              <w:t>проєктів</w:t>
            </w:r>
            <w:proofErr w:type="spellEnd"/>
            <w:r w:rsidRPr="00D32097">
              <w:rPr>
                <w:rFonts w:ascii="Times New Roman" w:hAnsi="Times New Roman" w:cs="Times New Roman"/>
                <w:bCs/>
                <w:sz w:val="22"/>
                <w:szCs w:val="24"/>
                <w:lang w:eastAsia="uk-UA"/>
              </w:rPr>
              <w:t xml:space="preserve"> будівництва УЗЕ та гібридних електростанцій, УЗЕ.</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Пропонуємо використовувати при розрахунку частини вартості плати за приєднання потужність відпуску або потужність відбору – в залежності від виду електроустановки, яка приєднується (електроустановка виробництва, споживання, змішаного (гібридного) типу електроустановка).</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t>При цьому, при приєднанні УЗЕ або гібридних електроустановок (генеруюча установка з УЗЕ або УЗЕ з генеруючими установками) пропонується для розрахунку частини вартості плати за приєднання використовувати більшу з величин замовленої до приєднання потужності (відбору або відпуску).</w:t>
            </w:r>
          </w:p>
          <w:p w:rsidR="00FE4387" w:rsidRPr="00D32097" w:rsidRDefault="00FE4387" w:rsidP="00FE4387">
            <w:pPr>
              <w:pStyle w:val="a4"/>
              <w:numPr>
                <w:ilvl w:val="0"/>
                <w:numId w:val="8"/>
              </w:numPr>
              <w:shd w:val="clear" w:color="auto" w:fill="FFFFFF"/>
              <w:spacing w:after="150" w:line="240" w:lineRule="auto"/>
              <w:ind w:left="36"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Учасники Асоціації - виробники електричної енергії наголошують на неприпустимості стягнення з виробників, які є </w:t>
            </w:r>
            <w:r w:rsidRPr="00D32097">
              <w:rPr>
                <w:rFonts w:ascii="Times New Roman" w:eastAsia="Times New Roman" w:hAnsi="Times New Roman" w:cs="Times New Roman"/>
                <w:bCs/>
                <w:szCs w:val="24"/>
                <w:lang w:eastAsia="uk-UA"/>
              </w:rPr>
              <w:lastRenderedPageBreak/>
              <w:t>замовниками послуги з приєднання, у зв’язку із збільшенням величини дозволеної потужності відбору (для встановленням УЗЕ в місці провадження ліцензованої діяльності з виробництва), частини вартості плати за приєднання в розмірі 10 євро у гривневому еквіваленті за 1 кВт замовленої до приєднання потужності, оскільки:</w:t>
            </w:r>
          </w:p>
          <w:p w:rsidR="00FE4387" w:rsidRPr="00D32097" w:rsidRDefault="00FE4387" w:rsidP="00FE4387">
            <w:pPr>
              <w:pStyle w:val="a4"/>
              <w:numPr>
                <w:ilvl w:val="0"/>
                <w:numId w:val="9"/>
              </w:numPr>
              <w:shd w:val="clear" w:color="auto" w:fill="FFFFFF"/>
              <w:spacing w:after="150" w:line="240" w:lineRule="auto"/>
              <w:ind w:left="462"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частиною дванадцятою статті 21 Закону передбачено стягнення частини плати за приєднання при приєднанні електроустановок замовника до мереж оператора системи передачі;</w:t>
            </w:r>
          </w:p>
          <w:p w:rsidR="00FE4387" w:rsidRPr="00D32097" w:rsidRDefault="00FE4387" w:rsidP="00FE4387">
            <w:pPr>
              <w:pStyle w:val="a4"/>
              <w:numPr>
                <w:ilvl w:val="0"/>
                <w:numId w:val="9"/>
              </w:numPr>
              <w:shd w:val="clear" w:color="auto" w:fill="FFFFFF"/>
              <w:spacing w:after="150" w:line="240" w:lineRule="auto"/>
              <w:ind w:left="462"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в даному випадку не відбувається нового фізичного приєднання електроустановок замовника до мереж оператора системи передачі, а УЗЕ приєднується до технологічних мереж внутрішнього електрозабезпечення виробника в межах вже існуючої точки приєднання;</w:t>
            </w:r>
          </w:p>
          <w:p w:rsidR="00FE4387" w:rsidRPr="00D32097" w:rsidRDefault="00FE4387" w:rsidP="00FE4387">
            <w:pPr>
              <w:pStyle w:val="a4"/>
              <w:numPr>
                <w:ilvl w:val="0"/>
                <w:numId w:val="9"/>
              </w:numPr>
              <w:shd w:val="clear" w:color="auto" w:fill="FFFFFF"/>
              <w:spacing w:after="150" w:line="240" w:lineRule="auto"/>
              <w:ind w:left="462"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виробники вже сплатили плату за приєднання своїх електроустановок, призначених для виробництва, до мереж оператора системи передачі;</w:t>
            </w:r>
          </w:p>
          <w:p w:rsidR="00FE4387" w:rsidRPr="00D32097" w:rsidRDefault="00FE4387" w:rsidP="00FE4387">
            <w:pPr>
              <w:pStyle w:val="a4"/>
              <w:numPr>
                <w:ilvl w:val="0"/>
                <w:numId w:val="9"/>
              </w:numPr>
              <w:shd w:val="clear" w:color="auto" w:fill="FFFFFF"/>
              <w:spacing w:after="150" w:line="240" w:lineRule="auto"/>
              <w:ind w:left="462" w:firstLine="276"/>
              <w:jc w:val="both"/>
              <w:rPr>
                <w:rFonts w:ascii="Times New Roman" w:eastAsia="Times New Roman" w:hAnsi="Times New Roman" w:cs="Times New Roman"/>
                <w:bCs/>
                <w:szCs w:val="24"/>
                <w:lang w:eastAsia="uk-UA"/>
              </w:rPr>
            </w:pPr>
            <w:r w:rsidRPr="00D32097">
              <w:rPr>
                <w:rFonts w:ascii="Times New Roman" w:eastAsia="Times New Roman" w:hAnsi="Times New Roman" w:cs="Times New Roman"/>
                <w:bCs/>
                <w:szCs w:val="24"/>
                <w:lang w:eastAsia="uk-UA"/>
              </w:rPr>
              <w:t xml:space="preserve">приєднання УЗЕ відбувається у внутрішніх технологічних мережах виробника. </w:t>
            </w:r>
          </w:p>
          <w:p w:rsidR="00FE4387" w:rsidRPr="00D32097" w:rsidRDefault="00FE4387" w:rsidP="00FE4387">
            <w:pPr>
              <w:shd w:val="clear" w:color="auto" w:fill="FFFFFF"/>
              <w:spacing w:after="150"/>
              <w:ind w:firstLine="276"/>
              <w:jc w:val="both"/>
              <w:rPr>
                <w:rFonts w:ascii="Times New Roman" w:hAnsi="Times New Roman" w:cs="Times New Roman"/>
                <w:bCs/>
                <w:sz w:val="22"/>
                <w:szCs w:val="24"/>
                <w:lang w:eastAsia="uk-UA"/>
              </w:rPr>
            </w:pPr>
            <w:r w:rsidRPr="00D32097">
              <w:rPr>
                <w:rFonts w:ascii="Times New Roman" w:hAnsi="Times New Roman" w:cs="Times New Roman"/>
                <w:bCs/>
                <w:sz w:val="22"/>
                <w:szCs w:val="24"/>
                <w:lang w:eastAsia="uk-UA"/>
              </w:rPr>
              <w:lastRenderedPageBreak/>
              <w:t xml:space="preserve">Для врегулювання зазначеного питання учасники Асоціації пропонують у чіткій, юридично визначеній формі визначити у пункті 6.2 Методики положення про непоширення часткової плати за приєднання на випадки збільшення виробниками дозволеної (договірної) потужності відбору. </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врахувати</w:t>
            </w:r>
            <w:r w:rsidR="00DE07BA">
              <w:rPr>
                <w:rFonts w:ascii="Times New Roman" w:hAnsi="Times New Roman" w:cs="Times New Roman"/>
                <w:b/>
                <w:sz w:val="22"/>
                <w:szCs w:val="22"/>
                <w:lang w:eastAsia="uk-UA"/>
              </w:rPr>
              <w:t xml:space="preserve"> у редакції, запропонованій НЕК «Укренерго»</w:t>
            </w: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FE4387" w:rsidP="00FE4387">
            <w:pPr>
              <w:ind w:firstLine="174"/>
              <w:jc w:val="center"/>
              <w:rPr>
                <w:rFonts w:ascii="Times New Roman" w:hAnsi="Times New Roman" w:cs="Times New Roman"/>
                <w:b/>
                <w:sz w:val="22"/>
                <w:szCs w:val="22"/>
                <w:lang w:eastAsia="uk-UA"/>
              </w:rPr>
            </w:pPr>
          </w:p>
          <w:p w:rsidR="00FE4387" w:rsidRPr="00D32097" w:rsidRDefault="00DE07BA" w:rsidP="00FE4387">
            <w:pPr>
              <w:ind w:firstLine="174"/>
              <w:jc w:val="center"/>
              <w:rPr>
                <w:rFonts w:ascii="Times New Roman" w:hAnsi="Times New Roman" w:cs="Times New Roman"/>
                <w:b/>
                <w:sz w:val="22"/>
                <w:szCs w:val="22"/>
                <w:lang w:eastAsia="uk-UA"/>
              </w:rPr>
            </w:pPr>
            <w:r>
              <w:rPr>
                <w:rFonts w:ascii="Times New Roman" w:hAnsi="Times New Roman" w:cs="Times New Roman"/>
                <w:b/>
                <w:sz w:val="22"/>
                <w:szCs w:val="22"/>
                <w:lang w:eastAsia="uk-UA"/>
              </w:rPr>
              <w:t>Пропонується відхилити</w:t>
            </w:r>
          </w:p>
        </w:tc>
      </w:tr>
      <w:tr w:rsidR="00FE4387" w:rsidRPr="00D32097" w:rsidTr="00D83895">
        <w:trPr>
          <w:trHeight w:val="218"/>
        </w:trPr>
        <w:tc>
          <w:tcPr>
            <w:tcW w:w="15598" w:type="dxa"/>
            <w:gridSpan w:val="7"/>
          </w:tcPr>
          <w:p w:rsidR="00FE4387" w:rsidRPr="00D32097" w:rsidRDefault="00FE4387" w:rsidP="00FE4387">
            <w:pPr>
              <w:ind w:firstLine="174"/>
              <w:jc w:val="right"/>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lastRenderedPageBreak/>
              <w:t>Додаток 1 до Методики</w:t>
            </w:r>
          </w:p>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ЗВІТ з моніторингу надання ОСП/ОСР послуг з приєднання в новій редакції</w:t>
            </w:r>
          </w:p>
        </w:tc>
      </w:tr>
      <w:tr w:rsidR="00FE4387" w:rsidRPr="00D32097" w:rsidTr="002E4622">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 xml:space="preserve">АТ «ДТЕК ДНІПРОВСЬКІ ЕЛЕКТРОМЕРЕЖІ», ПРАТ «ДТЕК КИЇВСЬКІ ЕЛЕКТРОМЕРЕЖІ»,   АТ «ДТЕК ОДЕСЬКІ ЕЛЕКТРОМЕРЕЖІ», ПРАТ «ДТЕК КИЇВСЬКІ РЕГІОНАЛЬНІ ЕЛЕКТРОМЕРЕЖІ», АТ «ДТЕК ДОНЕЦЬКІ ЕЛЕКТРОМЕРЕЖІ» </w:t>
            </w:r>
            <w:r w:rsidRPr="00D32097">
              <w:rPr>
                <w:rFonts w:ascii="Times New Roman" w:hAnsi="Times New Roman" w:cs="Times New Roman"/>
                <w:sz w:val="22"/>
                <w:szCs w:val="22"/>
              </w:rPr>
              <w:t xml:space="preserve"> </w:t>
            </w:r>
          </w:p>
        </w:tc>
        <w:tc>
          <w:tcPr>
            <w:tcW w:w="3899" w:type="dxa"/>
          </w:tcPr>
          <w:p w:rsidR="00FE4387" w:rsidRPr="00D32097" w:rsidRDefault="00FE4387" w:rsidP="00FE4387">
            <w:pPr>
              <w:ind w:firstLine="182"/>
              <w:jc w:val="both"/>
              <w:rPr>
                <w:rFonts w:ascii="Times New Roman" w:hAnsi="Times New Roman" w:cs="Times New Roman"/>
                <w:sz w:val="22"/>
                <w:szCs w:val="22"/>
              </w:rPr>
            </w:pPr>
          </w:p>
        </w:tc>
        <w:tc>
          <w:tcPr>
            <w:tcW w:w="3900" w:type="dxa"/>
            <w:gridSpan w:val="2"/>
          </w:tcPr>
          <w:p w:rsidR="00FE4387" w:rsidRPr="00D32097" w:rsidRDefault="00FE4387" w:rsidP="00FE4387">
            <w:pPr>
              <w:ind w:firstLine="174"/>
              <w:jc w:val="center"/>
              <w:rPr>
                <w:rFonts w:ascii="Times New Roman" w:hAnsi="Times New Roman" w:cs="Times New Roman"/>
                <w:sz w:val="22"/>
                <w:szCs w:val="22"/>
                <w:lang w:eastAsia="uk-UA"/>
              </w:rPr>
            </w:pP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pStyle w:val="rvps2"/>
              <w:spacing w:before="0" w:beforeAutospacing="0" w:after="0" w:afterAutospacing="0"/>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Передбачити можливість відображення номера ТУ при роботі з карткою на кожній вкладці, в яких знаходимось в даний час. </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D32097" w:rsidRDefault="00FE4387" w:rsidP="00FE4387">
            <w:pPr>
              <w:ind w:firstLine="174"/>
              <w:jc w:val="center"/>
              <w:rPr>
                <w:rFonts w:ascii="Times New Roman" w:hAnsi="Times New Roman" w:cs="Times New Roman"/>
                <w:b/>
                <w:sz w:val="22"/>
                <w:szCs w:val="22"/>
                <w:lang w:eastAsia="uk-UA"/>
              </w:rPr>
            </w:pPr>
            <w:r w:rsidRPr="00D32097">
              <w:rPr>
                <w:rFonts w:ascii="Times New Roman" w:hAnsi="Times New Roman" w:cs="Times New Roman"/>
                <w:b/>
                <w:sz w:val="22"/>
                <w:szCs w:val="22"/>
                <w:lang w:eastAsia="uk-UA"/>
              </w:rPr>
              <w:t>Пропонується врахувати</w:t>
            </w:r>
          </w:p>
          <w:p w:rsidR="00FE4387" w:rsidRPr="00D3209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Але залишається питання, що відображати для записів, за якими технічні умови не видано</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pStyle w:val="rvps2"/>
              <w:spacing w:before="0" w:beforeAutospacing="0" w:after="0" w:afterAutospacing="0"/>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 xml:space="preserve">Колонки 33-48: зробити доступними для внесення змін колонки «33-48» до моменту внесення дати закінчення </w:t>
            </w:r>
            <w:proofErr w:type="spellStart"/>
            <w:r w:rsidRPr="00D32097">
              <w:rPr>
                <w:rFonts w:ascii="Times New Roman" w:hAnsi="Times New Roman" w:cs="Times New Roman"/>
                <w:b/>
                <w:color w:val="0070C0"/>
                <w:sz w:val="22"/>
                <w:szCs w:val="22"/>
              </w:rPr>
              <w:t>проєктування</w:t>
            </w:r>
            <w:proofErr w:type="spellEnd"/>
            <w:r w:rsidRPr="00D32097">
              <w:rPr>
                <w:rFonts w:ascii="Times New Roman" w:hAnsi="Times New Roman" w:cs="Times New Roman"/>
                <w:b/>
                <w:color w:val="0070C0"/>
                <w:sz w:val="22"/>
                <w:szCs w:val="22"/>
              </w:rPr>
              <w:t>. </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5147AE" w:rsidRDefault="00FE4387" w:rsidP="00FE4387">
            <w:pPr>
              <w:ind w:firstLine="174"/>
              <w:jc w:val="center"/>
              <w:rPr>
                <w:rFonts w:ascii="Times New Roman" w:hAnsi="Times New Roman" w:cs="Times New Roman"/>
                <w:b/>
                <w:sz w:val="22"/>
                <w:szCs w:val="22"/>
                <w:lang w:eastAsia="uk-UA"/>
              </w:rPr>
            </w:pPr>
            <w:r w:rsidRPr="005147AE">
              <w:rPr>
                <w:rFonts w:ascii="Times New Roman" w:hAnsi="Times New Roman" w:cs="Times New Roman"/>
                <w:b/>
                <w:sz w:val="22"/>
                <w:szCs w:val="22"/>
                <w:lang w:eastAsia="uk-UA"/>
              </w:rPr>
              <w:t>Функціонал в розробці</w:t>
            </w:r>
          </w:p>
          <w:p w:rsidR="00FE4387" w:rsidRPr="00D3209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Заплановано надати можливість внесення інформації про землевідведення в статусі «в роботі»</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pStyle w:val="rvps2"/>
              <w:spacing w:before="0" w:beforeAutospacing="0" w:after="0" w:afterAutospacing="0"/>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Враховувати терміни землевідведення та будівництва при розрахунку строків надання послуги</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D3209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Наразі термін землевідведення враховується при автоматичній перевірці на «ознаки порушення»</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shd w:val="clear" w:color="auto" w:fill="FFFFFF"/>
              <w:ind w:firstLine="227"/>
              <w:contextualSpacing/>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Колонки 68-74: якщо ТУ без робіт ОСР, то в колонці "68" налаштувати можливість проставити прочерк</w:t>
            </w:r>
          </w:p>
          <w:p w:rsidR="00FE4387" w:rsidRPr="00D32097" w:rsidRDefault="00FE4387" w:rsidP="00FE4387">
            <w:pPr>
              <w:shd w:val="clear" w:color="auto" w:fill="FFFFFF"/>
              <w:ind w:firstLine="227"/>
              <w:contextualSpacing/>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Якщо по ТУ "лінійна частина приєднання" без розробки ПКД ОСР, то в колонці "68" налаштувати можливість проставити прочерк.</w:t>
            </w:r>
          </w:p>
          <w:p w:rsidR="00FE4387" w:rsidRPr="00D32097" w:rsidRDefault="00FE4387" w:rsidP="00FE4387">
            <w:pPr>
              <w:pStyle w:val="rvps2"/>
              <w:spacing w:before="0" w:beforeAutospacing="0" w:after="0" w:afterAutospacing="0"/>
              <w:ind w:firstLine="227"/>
              <w:contextualSpacing/>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lastRenderedPageBreak/>
              <w:t>Якщо по ТУ "лінійна частина приєднання" без будівництва лінійної частини, то в колонках "69-74" налаштувати можливість проставити прочерк</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Приведення у відповідність до КСР</w:t>
            </w:r>
          </w:p>
        </w:tc>
        <w:tc>
          <w:tcPr>
            <w:tcW w:w="3900" w:type="dxa"/>
            <w:gridSpan w:val="2"/>
          </w:tcPr>
          <w:p w:rsidR="00FE4387" w:rsidRPr="005147AE" w:rsidRDefault="00FE4387" w:rsidP="00FE4387">
            <w:pPr>
              <w:ind w:firstLine="174"/>
              <w:jc w:val="center"/>
              <w:rPr>
                <w:rFonts w:ascii="Times New Roman" w:hAnsi="Times New Roman" w:cs="Times New Roman"/>
                <w:b/>
                <w:sz w:val="22"/>
                <w:szCs w:val="22"/>
                <w:lang w:eastAsia="uk-UA"/>
              </w:rPr>
            </w:pPr>
            <w:r w:rsidRPr="005147AE">
              <w:rPr>
                <w:rFonts w:ascii="Times New Roman" w:hAnsi="Times New Roman" w:cs="Times New Roman"/>
                <w:b/>
                <w:sz w:val="22"/>
                <w:szCs w:val="22"/>
                <w:lang w:eastAsia="uk-UA"/>
              </w:rPr>
              <w:t>Пропонується врахувати</w:t>
            </w:r>
          </w:p>
          <w:p w:rsidR="00FE4387" w:rsidRPr="00D3209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Пропонується зробити зазначені комірки не обов’язковим до заповнення за умови відсутності робіт в мережах оператора</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shd w:val="clear" w:color="auto" w:fill="FFFFFF"/>
              <w:ind w:firstLine="227"/>
              <w:contextualSpacing/>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Колонка 134: Ідентифікатор повідомлення про надання послуги з приєднання (за договорами, укладеними до 01.05.2021, зазначається номер акту про надання послуги з приєднання)/ Видалити за договорами, укладеними до 01.05.2021, зазначається номер акту про надання послуги з приєднання), так як ми обов'язково беремо в Моніторингу номер Повідомлення. </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0F063A" w:rsidRDefault="00FE4387" w:rsidP="00FE4387">
            <w:pPr>
              <w:ind w:firstLine="174"/>
              <w:jc w:val="center"/>
              <w:rPr>
                <w:rFonts w:ascii="Times New Roman" w:hAnsi="Times New Roman" w:cs="Times New Roman"/>
                <w:b/>
                <w:sz w:val="22"/>
                <w:szCs w:val="22"/>
                <w:lang w:eastAsia="uk-UA"/>
              </w:rPr>
            </w:pPr>
            <w:proofErr w:type="spellStart"/>
            <w:r w:rsidRPr="000F063A">
              <w:rPr>
                <w:rFonts w:ascii="Times New Roman" w:hAnsi="Times New Roman" w:cs="Times New Roman"/>
                <w:b/>
                <w:sz w:val="22"/>
                <w:szCs w:val="22"/>
                <w:lang w:eastAsia="uk-UA"/>
              </w:rPr>
              <w:t>Ві</w:t>
            </w:r>
            <w:r>
              <w:rPr>
                <w:rFonts w:ascii="Times New Roman" w:hAnsi="Times New Roman" w:cs="Times New Roman"/>
                <w:b/>
                <w:sz w:val="22"/>
                <w:szCs w:val="22"/>
                <w:lang w:eastAsia="uk-UA"/>
              </w:rPr>
              <w:t>д</w:t>
            </w:r>
            <w:r w:rsidRPr="000F063A">
              <w:rPr>
                <w:rFonts w:ascii="Times New Roman" w:hAnsi="Times New Roman" w:cs="Times New Roman"/>
                <w:b/>
                <w:sz w:val="22"/>
                <w:szCs w:val="22"/>
                <w:lang w:eastAsia="uk-UA"/>
              </w:rPr>
              <w:t>хилено</w:t>
            </w:r>
            <w:proofErr w:type="spellEnd"/>
          </w:p>
          <w:p w:rsidR="00FE4387" w:rsidRPr="00D3209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 xml:space="preserve">Додаток 6 КСР визначає ідентифікатор повідомлення та </w:t>
            </w:r>
            <w:proofErr w:type="spellStart"/>
            <w:r>
              <w:rPr>
                <w:rFonts w:ascii="Times New Roman" w:hAnsi="Times New Roman" w:cs="Times New Roman"/>
                <w:sz w:val="22"/>
                <w:szCs w:val="22"/>
                <w:lang w:eastAsia="uk-UA"/>
              </w:rPr>
              <w:t>акта</w:t>
            </w:r>
            <w:proofErr w:type="spellEnd"/>
            <w:r>
              <w:rPr>
                <w:rFonts w:ascii="Times New Roman" w:hAnsi="Times New Roman" w:cs="Times New Roman"/>
                <w:sz w:val="22"/>
                <w:szCs w:val="22"/>
                <w:lang w:eastAsia="uk-UA"/>
              </w:rPr>
              <w:t xml:space="preserve"> (для старих договорів)</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shd w:val="clear" w:color="auto" w:fill="FFFFFF"/>
              <w:ind w:firstLine="227"/>
              <w:contextualSpacing/>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147-156 налаштувати зміну статусу при внесенні документів у системі  Моніторинг</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D32097" w:rsidRDefault="00FE4387" w:rsidP="00FE4387">
            <w:pPr>
              <w:ind w:firstLine="174"/>
              <w:jc w:val="center"/>
              <w:rPr>
                <w:rFonts w:ascii="Times New Roman" w:hAnsi="Times New Roman" w:cs="Times New Roman"/>
                <w:sz w:val="22"/>
                <w:szCs w:val="22"/>
                <w:lang w:eastAsia="uk-UA"/>
              </w:rPr>
            </w:pP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shd w:val="clear" w:color="auto" w:fill="FFFFFF"/>
              <w:ind w:firstLine="227"/>
              <w:contextualSpacing/>
              <w:jc w:val="both"/>
              <w:rPr>
                <w:rFonts w:ascii="Times New Roman" w:hAnsi="Times New Roman" w:cs="Times New Roman"/>
                <w:b/>
                <w:color w:val="0070C0"/>
                <w:sz w:val="22"/>
                <w:szCs w:val="22"/>
                <w:lang w:eastAsia="uk-UA"/>
              </w:rPr>
            </w:pPr>
            <w:r w:rsidRPr="00D32097">
              <w:rPr>
                <w:rFonts w:ascii="Times New Roman" w:hAnsi="Times New Roman" w:cs="Times New Roman"/>
                <w:b/>
                <w:color w:val="0070C0"/>
                <w:sz w:val="22"/>
                <w:szCs w:val="22"/>
                <w:lang w:eastAsia="uk-UA"/>
              </w:rPr>
              <w:t>Налаштувати можливість перевірки наявності документів в Системі для обов’язкових пакетів (заява, ТУ, Повідомлення)</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Приведення у відповідність до КСР</w:t>
            </w:r>
          </w:p>
        </w:tc>
        <w:tc>
          <w:tcPr>
            <w:tcW w:w="3900" w:type="dxa"/>
            <w:gridSpan w:val="2"/>
          </w:tcPr>
          <w:p w:rsidR="00FE4387" w:rsidRPr="003A292A" w:rsidRDefault="00FE4387" w:rsidP="00FE4387">
            <w:pPr>
              <w:ind w:firstLine="174"/>
              <w:jc w:val="center"/>
              <w:rPr>
                <w:rFonts w:ascii="Times New Roman" w:hAnsi="Times New Roman" w:cs="Times New Roman"/>
                <w:b/>
                <w:sz w:val="22"/>
                <w:szCs w:val="22"/>
                <w:lang w:eastAsia="uk-UA"/>
              </w:rPr>
            </w:pPr>
            <w:r w:rsidRPr="003A292A">
              <w:rPr>
                <w:rFonts w:ascii="Times New Roman" w:hAnsi="Times New Roman" w:cs="Times New Roman"/>
                <w:b/>
                <w:sz w:val="22"/>
                <w:szCs w:val="22"/>
                <w:lang w:eastAsia="uk-UA"/>
              </w:rPr>
              <w:t>Функціонал в розробці</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ТОВ «НЕСС ЕНЕРДЖІ»</w:t>
            </w:r>
          </w:p>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color w:val="0070C0"/>
                <w:sz w:val="22"/>
                <w:szCs w:val="22"/>
              </w:rPr>
            </w:pPr>
            <w:r w:rsidRPr="00D32097">
              <w:rPr>
                <w:rFonts w:ascii="Times New Roman" w:hAnsi="Times New Roman" w:cs="Times New Roman"/>
                <w:b/>
                <w:color w:val="0070C0"/>
                <w:sz w:val="22"/>
                <w:szCs w:val="22"/>
              </w:rPr>
              <w:t xml:space="preserve">У новій редакції додатка 1 слід передбачити відображення окремо замовленої потужності відбору, замовленої потужності відпуску, гарантованої та не гарантованої складових таких </w:t>
            </w:r>
            <w:proofErr w:type="spellStart"/>
            <w:r w:rsidRPr="00D32097">
              <w:rPr>
                <w:rFonts w:ascii="Times New Roman" w:hAnsi="Times New Roman" w:cs="Times New Roman"/>
                <w:b/>
                <w:color w:val="0070C0"/>
                <w:sz w:val="22"/>
                <w:szCs w:val="22"/>
              </w:rPr>
              <w:t>потужностей</w:t>
            </w:r>
            <w:proofErr w:type="spellEnd"/>
            <w:r w:rsidRPr="00D32097">
              <w:rPr>
                <w:rFonts w:ascii="Times New Roman" w:hAnsi="Times New Roman" w:cs="Times New Roman"/>
                <w:b/>
                <w:color w:val="0070C0"/>
                <w:sz w:val="22"/>
                <w:szCs w:val="22"/>
              </w:rPr>
              <w:t>, а також величини приросту максимального використання трансформаторної потужності у напрямку відбору та у напрямку відпуску, на яку нараховується складова плати за потужність.</w:t>
            </w:r>
          </w:p>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b/>
                <w:color w:val="0070C0"/>
                <w:sz w:val="22"/>
                <w:szCs w:val="22"/>
              </w:rPr>
              <w:t xml:space="preserve">У разі впровадження диференціації за характерними </w:t>
            </w:r>
            <w:r w:rsidRPr="00D32097">
              <w:rPr>
                <w:rFonts w:ascii="Times New Roman" w:hAnsi="Times New Roman" w:cs="Times New Roman"/>
                <w:b/>
                <w:color w:val="0070C0"/>
                <w:sz w:val="22"/>
                <w:szCs w:val="22"/>
              </w:rPr>
              <w:lastRenderedPageBreak/>
              <w:t>періодами доби відповідні показники мають відображатися окремо за такими періодами.</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lastRenderedPageBreak/>
              <w:t>Форма моніторингу має давати НКРЕКП можливість перевірити, чи плата нарахована саме на приріст максимального використання трансформаторної потужності, а не на повну суму замовлених величин відбору та відпуску.</w:t>
            </w:r>
          </w:p>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Також форма має відображати, яка частина потужності є гарантованою, а яка не гарантованою і оплачується з коефіцієнтом 0,3.</w:t>
            </w:r>
          </w:p>
        </w:tc>
        <w:tc>
          <w:tcPr>
            <w:tcW w:w="3900" w:type="dxa"/>
            <w:gridSpan w:val="2"/>
          </w:tcPr>
          <w:p w:rsidR="00FE4387" w:rsidRPr="00AA59BF" w:rsidRDefault="00FE4387" w:rsidP="00FE4387">
            <w:pPr>
              <w:ind w:firstLine="174"/>
              <w:jc w:val="center"/>
              <w:rPr>
                <w:rFonts w:ascii="Times New Roman" w:hAnsi="Times New Roman" w:cs="Times New Roman"/>
                <w:b/>
                <w:sz w:val="22"/>
                <w:szCs w:val="22"/>
                <w:lang w:eastAsia="uk-UA"/>
              </w:rPr>
            </w:pPr>
            <w:proofErr w:type="spellStart"/>
            <w:r w:rsidRPr="00AA59BF">
              <w:rPr>
                <w:rFonts w:ascii="Times New Roman" w:hAnsi="Times New Roman" w:cs="Times New Roman"/>
                <w:b/>
                <w:sz w:val="22"/>
                <w:szCs w:val="22"/>
                <w:lang w:eastAsia="uk-UA"/>
              </w:rPr>
              <w:t>Відхилено</w:t>
            </w:r>
            <w:proofErr w:type="spellEnd"/>
          </w:p>
          <w:p w:rsidR="00FE4387" w:rsidRDefault="00FE4387" w:rsidP="00FE4387">
            <w:pPr>
              <w:ind w:firstLine="174"/>
              <w:jc w:val="center"/>
              <w:rPr>
                <w:rFonts w:ascii="Times New Roman" w:hAnsi="Times New Roman" w:cs="Times New Roman"/>
                <w:sz w:val="22"/>
                <w:szCs w:val="22"/>
                <w:lang w:eastAsia="uk-UA"/>
              </w:rPr>
            </w:pPr>
            <w:r>
              <w:rPr>
                <w:rFonts w:ascii="Times New Roman" w:hAnsi="Times New Roman" w:cs="Times New Roman"/>
                <w:sz w:val="22"/>
                <w:szCs w:val="22"/>
                <w:lang w:eastAsia="uk-UA"/>
              </w:rPr>
              <w:t>Наразі формою передбачається потужність існуючу/замовлену та відбору/відпуску. Крім того додатково передбачається вид приєднання (постійне/гнучке), яке вказує на характер потужності (гарантована/ не гарантована).</w:t>
            </w:r>
          </w:p>
          <w:p w:rsidR="00FE4387" w:rsidRPr="00D32097" w:rsidRDefault="00FE4387" w:rsidP="00FE4387">
            <w:pPr>
              <w:ind w:firstLine="174"/>
              <w:jc w:val="center"/>
              <w:rPr>
                <w:rFonts w:ascii="Times New Roman" w:hAnsi="Times New Roman" w:cs="Times New Roman"/>
                <w:sz w:val="22"/>
                <w:szCs w:val="22"/>
                <w:lang w:eastAsia="uk-UA"/>
              </w:rPr>
            </w:pP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rFonts w:ascii="Times New Roman" w:hAnsi="Times New Roman" w:cs="Times New Roman"/>
                <w:b/>
                <w:i/>
                <w:color w:val="000000"/>
                <w:sz w:val="22"/>
                <w:szCs w:val="22"/>
              </w:rPr>
            </w:pPr>
          </w:p>
        </w:tc>
        <w:tc>
          <w:tcPr>
            <w:tcW w:w="3900" w:type="dxa"/>
            <w:gridSpan w:val="2"/>
          </w:tcPr>
          <w:p w:rsidR="00FE4387" w:rsidRPr="00D32097" w:rsidRDefault="00FE4387" w:rsidP="00FE4387">
            <w:pPr>
              <w:ind w:firstLine="235"/>
              <w:jc w:val="both"/>
              <w:rPr>
                <w:rFonts w:ascii="Times New Roman" w:hAnsi="Times New Roman" w:cs="Times New Roman"/>
                <w:b/>
                <w:bCs/>
                <w:sz w:val="22"/>
                <w:u w:val="single"/>
                <w:lang w:eastAsia="uk-UA"/>
              </w:rPr>
            </w:pPr>
            <w:r w:rsidRPr="00D32097">
              <w:rPr>
                <w:rFonts w:ascii="Times New Roman" w:hAnsi="Times New Roman" w:cs="Times New Roman"/>
                <w:b/>
                <w:bCs/>
                <w:sz w:val="22"/>
                <w:u w:val="single"/>
                <w:lang w:eastAsia="uk-UA"/>
              </w:rPr>
              <w:t>АТ «Харківобленерго»</w:t>
            </w:r>
          </w:p>
          <w:p w:rsidR="00FE4387" w:rsidRPr="00D32097" w:rsidRDefault="00FE4387" w:rsidP="00FE4387">
            <w:pPr>
              <w:jc w:val="both"/>
              <w:rPr>
                <w:rFonts w:ascii="Times New Roman" w:hAnsi="Times New Roman" w:cs="Times New Roman"/>
                <w:bCs/>
                <w:lang w:eastAsia="uk-UA"/>
              </w:rPr>
            </w:pPr>
            <w:r w:rsidRPr="00D32097">
              <w:rPr>
                <w:rFonts w:ascii="Times New Roman" w:hAnsi="Times New Roman" w:cs="Times New Roman"/>
                <w:bCs/>
                <w:lang w:eastAsia="uk-UA"/>
              </w:rPr>
              <w:t>назва п. 63:</w:t>
            </w:r>
          </w:p>
          <w:p w:rsidR="00FE4387" w:rsidRPr="00D32097" w:rsidRDefault="00FE4387" w:rsidP="00FE4387">
            <w:pPr>
              <w:pStyle w:val="rvps2"/>
              <w:shd w:val="clear" w:color="auto" w:fill="FFFFFF"/>
              <w:spacing w:before="0" w:beforeAutospacing="0" w:after="0" w:afterAutospacing="0"/>
              <w:ind w:firstLine="306"/>
              <w:jc w:val="both"/>
              <w:rPr>
                <w:rFonts w:ascii="Times New Roman" w:hAnsi="Times New Roman" w:cs="Times New Roman"/>
                <w:b/>
                <w:sz w:val="22"/>
                <w:szCs w:val="22"/>
                <w:u w:val="single"/>
              </w:rPr>
            </w:pPr>
            <w:r w:rsidRPr="00D32097">
              <w:rPr>
                <w:rFonts w:ascii="Times New Roman" w:hAnsi="Times New Roman" w:cs="Times New Roman"/>
                <w:sz w:val="20"/>
                <w:szCs w:val="20"/>
              </w:rPr>
              <w:t>«Дат</w:t>
            </w:r>
            <w:r w:rsidRPr="00D32097">
              <w:rPr>
                <w:rFonts w:ascii="Times New Roman" w:hAnsi="Times New Roman" w:cs="Times New Roman"/>
                <w:b/>
                <w:bCs/>
                <w:color w:val="0070C0"/>
                <w:sz w:val="20"/>
                <w:szCs w:val="20"/>
              </w:rPr>
              <w:t>а</w:t>
            </w:r>
            <w:r w:rsidRPr="00D32097">
              <w:rPr>
                <w:rFonts w:ascii="Times New Roman" w:hAnsi="Times New Roman" w:cs="Times New Roman"/>
                <w:b/>
                <w:bCs/>
                <w:sz w:val="20"/>
                <w:szCs w:val="20"/>
              </w:rPr>
              <w:t xml:space="preserve"> </w:t>
            </w:r>
            <w:r w:rsidRPr="00D32097">
              <w:rPr>
                <w:rFonts w:ascii="Times New Roman" w:hAnsi="Times New Roman" w:cs="Times New Roman"/>
                <w:sz w:val="20"/>
                <w:szCs w:val="20"/>
              </w:rPr>
              <w:t xml:space="preserve">сплати коштів за наступними </w:t>
            </w:r>
            <w:proofErr w:type="spellStart"/>
            <w:r w:rsidRPr="00D32097">
              <w:rPr>
                <w:rFonts w:ascii="Times New Roman" w:hAnsi="Times New Roman" w:cs="Times New Roman"/>
                <w:sz w:val="20"/>
                <w:szCs w:val="20"/>
              </w:rPr>
              <w:t>платежами</w:t>
            </w:r>
            <w:proofErr w:type="spellEnd"/>
            <w:r w:rsidRPr="00D32097">
              <w:rPr>
                <w:rFonts w:ascii="Times New Roman" w:hAnsi="Times New Roman" w:cs="Times New Roman"/>
                <w:sz w:val="20"/>
                <w:szCs w:val="20"/>
              </w:rPr>
              <w:t>»</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Уточнення</w:t>
            </w:r>
          </w:p>
        </w:tc>
        <w:tc>
          <w:tcPr>
            <w:tcW w:w="3900" w:type="dxa"/>
            <w:gridSpan w:val="2"/>
          </w:tcPr>
          <w:p w:rsidR="00FE4387" w:rsidRPr="0064128C" w:rsidRDefault="00FE4387" w:rsidP="00FE4387">
            <w:pPr>
              <w:ind w:firstLine="174"/>
              <w:jc w:val="center"/>
              <w:rPr>
                <w:rFonts w:ascii="Times New Roman" w:hAnsi="Times New Roman" w:cs="Times New Roman"/>
                <w:b/>
                <w:sz w:val="22"/>
                <w:szCs w:val="22"/>
                <w:lang w:eastAsia="uk-UA"/>
              </w:rPr>
            </w:pPr>
            <w:r w:rsidRPr="0064128C">
              <w:rPr>
                <w:rFonts w:ascii="Times New Roman" w:hAnsi="Times New Roman" w:cs="Times New Roman"/>
                <w:b/>
                <w:sz w:val="22"/>
                <w:szCs w:val="22"/>
                <w:lang w:eastAsia="uk-UA"/>
              </w:rPr>
              <w:t>Враховано</w:t>
            </w:r>
          </w:p>
        </w:tc>
      </w:tr>
      <w:tr w:rsidR="00FE4387" w:rsidRPr="00D32097" w:rsidTr="008E5F78">
        <w:trPr>
          <w:trHeight w:val="218"/>
        </w:trPr>
        <w:tc>
          <w:tcPr>
            <w:tcW w:w="3899" w:type="dxa"/>
            <w:gridSpan w:val="2"/>
          </w:tcPr>
          <w:p w:rsidR="00FE4387" w:rsidRPr="00D32097" w:rsidRDefault="00FE4387" w:rsidP="00FE4387">
            <w:pPr>
              <w:tabs>
                <w:tab w:val="left" w:pos="993"/>
              </w:tabs>
              <w:ind w:firstLine="326"/>
              <w:jc w:val="both"/>
              <w:rPr>
                <w:b/>
                <w:i/>
                <w:color w:val="000000"/>
                <w:sz w:val="22"/>
                <w:szCs w:val="22"/>
              </w:rPr>
            </w:pPr>
          </w:p>
        </w:tc>
        <w:tc>
          <w:tcPr>
            <w:tcW w:w="3900" w:type="dxa"/>
            <w:gridSpan w:val="2"/>
          </w:tcPr>
          <w:p w:rsidR="00FE4387" w:rsidRPr="00D32097" w:rsidRDefault="00FE4387" w:rsidP="00FE4387">
            <w:pPr>
              <w:shd w:val="clear" w:color="auto" w:fill="FFFFFF"/>
              <w:ind w:firstLine="309"/>
              <w:jc w:val="both"/>
              <w:rPr>
                <w:rFonts w:ascii="Times New Roman" w:hAnsi="Times New Roman" w:cs="Times New Roman"/>
                <w:b/>
                <w:sz w:val="22"/>
                <w:szCs w:val="22"/>
                <w:u w:val="single"/>
              </w:rPr>
            </w:pPr>
            <w:r w:rsidRPr="00D32097">
              <w:rPr>
                <w:rFonts w:ascii="Times New Roman" w:hAnsi="Times New Roman" w:cs="Times New Roman"/>
                <w:b/>
                <w:sz w:val="22"/>
                <w:szCs w:val="22"/>
                <w:u w:val="single"/>
              </w:rPr>
              <w:t>НЕК «Укренерго»</w:t>
            </w:r>
          </w:p>
          <w:p w:rsidR="00FE4387" w:rsidRPr="00D32097" w:rsidRDefault="00FE4387" w:rsidP="00FE4387">
            <w:pPr>
              <w:ind w:firstLine="235"/>
              <w:jc w:val="both"/>
              <w:rPr>
                <w:rFonts w:ascii="Times New Roman" w:hAnsi="Times New Roman" w:cs="Times New Roman"/>
                <w:b/>
                <w:bCs/>
                <w:sz w:val="22"/>
                <w:lang w:eastAsia="uk-UA"/>
              </w:rPr>
            </w:pPr>
            <w:r w:rsidRPr="00D32097">
              <w:rPr>
                <w:rFonts w:ascii="Times New Roman" w:hAnsi="Times New Roman" w:cs="Times New Roman"/>
                <w:b/>
                <w:bCs/>
                <w:sz w:val="22"/>
                <w:lang w:eastAsia="uk-UA"/>
              </w:rPr>
              <w:t>Потребує роз’яснення заповнення інформації по чергах</w:t>
            </w:r>
          </w:p>
        </w:tc>
        <w:tc>
          <w:tcPr>
            <w:tcW w:w="3899" w:type="dxa"/>
          </w:tcPr>
          <w:p w:rsidR="00FE4387" w:rsidRPr="00D32097" w:rsidRDefault="00FE4387" w:rsidP="00FE4387">
            <w:pPr>
              <w:ind w:firstLine="182"/>
              <w:jc w:val="both"/>
              <w:rPr>
                <w:rFonts w:ascii="Times New Roman" w:hAnsi="Times New Roman" w:cs="Times New Roman"/>
                <w:sz w:val="22"/>
                <w:szCs w:val="22"/>
              </w:rPr>
            </w:pPr>
            <w:r w:rsidRPr="00D32097">
              <w:rPr>
                <w:rFonts w:ascii="Times New Roman" w:hAnsi="Times New Roman" w:cs="Times New Roman"/>
                <w:sz w:val="22"/>
                <w:szCs w:val="22"/>
              </w:rPr>
              <w:t>Необхідне роз’яснення щодо заповнення форми звітності з урахуванням введення граф 22.2 -22.3 , оскільки замовник має право змінювати в рамках замовленої потужності об’єкту потужність окремої черги, також може змінювати кількість черг чи розбивати на черги будівництва. Зазначене можливе лише за умови надання можливості оператору системи коригування черг і пов’язаних з цим інших граф в Системі моніторингу.</w:t>
            </w:r>
          </w:p>
        </w:tc>
        <w:tc>
          <w:tcPr>
            <w:tcW w:w="3900" w:type="dxa"/>
            <w:gridSpan w:val="2"/>
          </w:tcPr>
          <w:p w:rsidR="00FE4387" w:rsidRDefault="00FE4387" w:rsidP="00FE4387">
            <w:pPr>
              <w:ind w:firstLine="174"/>
              <w:jc w:val="center"/>
              <w:rPr>
                <w:rFonts w:ascii="Times New Roman" w:hAnsi="Times New Roman" w:cs="Times New Roman"/>
                <w:b/>
                <w:sz w:val="22"/>
                <w:szCs w:val="22"/>
                <w:lang w:eastAsia="uk-UA"/>
              </w:rPr>
            </w:pPr>
            <w:r w:rsidRPr="003A292A">
              <w:rPr>
                <w:rFonts w:ascii="Times New Roman" w:hAnsi="Times New Roman" w:cs="Times New Roman"/>
                <w:b/>
                <w:sz w:val="22"/>
                <w:szCs w:val="22"/>
                <w:lang w:eastAsia="uk-UA"/>
              </w:rPr>
              <w:t>Функціонал в розробці</w:t>
            </w:r>
          </w:p>
          <w:p w:rsidR="00FE4387" w:rsidRPr="0064128C" w:rsidRDefault="00FE4387" w:rsidP="00FE4387">
            <w:pPr>
              <w:ind w:firstLine="174"/>
              <w:jc w:val="center"/>
              <w:rPr>
                <w:sz w:val="22"/>
                <w:szCs w:val="22"/>
                <w:lang w:eastAsia="uk-UA"/>
              </w:rPr>
            </w:pPr>
          </w:p>
        </w:tc>
      </w:tr>
    </w:tbl>
    <w:p w:rsidR="000A6B3F" w:rsidRPr="00D32097" w:rsidRDefault="000A6B3F"/>
    <w:sectPr w:rsidR="000A6B3F" w:rsidRPr="00D32097" w:rsidSect="00670C19">
      <w:footerReference w:type="default" r:id="rId28"/>
      <w:pgSz w:w="16838" w:h="11906" w:orient="landscape"/>
      <w:pgMar w:top="720" w:right="720" w:bottom="720" w:left="72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EE4" w:rsidRDefault="00CC4EE4" w:rsidP="003466BB">
      <w:r>
        <w:separator/>
      </w:r>
    </w:p>
  </w:endnote>
  <w:endnote w:type="continuationSeparator" w:id="0">
    <w:p w:rsidR="00CC4EE4" w:rsidRDefault="00CC4EE4" w:rsidP="0034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9236947"/>
      <w:docPartObj>
        <w:docPartGallery w:val="Page Numbers (Bottom of Page)"/>
        <w:docPartUnique/>
      </w:docPartObj>
    </w:sdtPr>
    <w:sdtEndPr/>
    <w:sdtContent>
      <w:p w:rsidR="00CC4EE4" w:rsidRDefault="00CC4EE4">
        <w:pPr>
          <w:pStyle w:val="aa"/>
          <w:jc w:val="center"/>
        </w:pPr>
        <w:r>
          <w:fldChar w:fldCharType="begin"/>
        </w:r>
        <w:r>
          <w:instrText>PAGE   \* MERGEFORMAT</w:instrText>
        </w:r>
        <w:r>
          <w:fldChar w:fldCharType="separate"/>
        </w:r>
        <w:r>
          <w:rPr>
            <w:noProof/>
          </w:rPr>
          <w:t>54</w:t>
        </w:r>
        <w:r>
          <w:fldChar w:fldCharType="end"/>
        </w:r>
      </w:p>
    </w:sdtContent>
  </w:sdt>
  <w:p w:rsidR="00CC4EE4" w:rsidRDefault="00CC4E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EE4" w:rsidRDefault="00CC4EE4" w:rsidP="003466BB">
      <w:r>
        <w:separator/>
      </w:r>
    </w:p>
  </w:footnote>
  <w:footnote w:type="continuationSeparator" w:id="0">
    <w:p w:rsidR="00CC4EE4" w:rsidRDefault="00CC4EE4" w:rsidP="00346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937F5"/>
    <w:multiLevelType w:val="multilevel"/>
    <w:tmpl w:val="6E923E26"/>
    <w:lvl w:ilvl="0">
      <w:start w:val="1"/>
      <w:numFmt w:val="decimal"/>
      <w:lvlText w:val="%1."/>
      <w:lvlJc w:val="left"/>
      <w:pPr>
        <w:ind w:left="928"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abstractNum w:abstractNumId="1" w15:restartNumberingAfterBreak="0">
    <w:nsid w:val="358158E6"/>
    <w:multiLevelType w:val="hybridMultilevel"/>
    <w:tmpl w:val="232CA72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2F5B1E"/>
    <w:multiLevelType w:val="hybridMultilevel"/>
    <w:tmpl w:val="E99E1418"/>
    <w:lvl w:ilvl="0" w:tplc="F95858EC">
      <w:start w:val="1"/>
      <w:numFmt w:val="decimal"/>
      <w:lvlText w:val="%1)"/>
      <w:lvlJc w:val="left"/>
      <w:pPr>
        <w:ind w:left="966" w:hanging="360"/>
      </w:pPr>
      <w:rPr>
        <w:rFonts w:hint="default"/>
      </w:rPr>
    </w:lvl>
    <w:lvl w:ilvl="1" w:tplc="20000019" w:tentative="1">
      <w:start w:val="1"/>
      <w:numFmt w:val="lowerLetter"/>
      <w:lvlText w:val="%2."/>
      <w:lvlJc w:val="left"/>
      <w:pPr>
        <w:ind w:left="1686" w:hanging="360"/>
      </w:pPr>
    </w:lvl>
    <w:lvl w:ilvl="2" w:tplc="2000001B" w:tentative="1">
      <w:start w:val="1"/>
      <w:numFmt w:val="lowerRoman"/>
      <w:lvlText w:val="%3."/>
      <w:lvlJc w:val="right"/>
      <w:pPr>
        <w:ind w:left="2406" w:hanging="180"/>
      </w:pPr>
    </w:lvl>
    <w:lvl w:ilvl="3" w:tplc="2000000F" w:tentative="1">
      <w:start w:val="1"/>
      <w:numFmt w:val="decimal"/>
      <w:lvlText w:val="%4."/>
      <w:lvlJc w:val="left"/>
      <w:pPr>
        <w:ind w:left="3126" w:hanging="360"/>
      </w:pPr>
    </w:lvl>
    <w:lvl w:ilvl="4" w:tplc="20000019" w:tentative="1">
      <w:start w:val="1"/>
      <w:numFmt w:val="lowerLetter"/>
      <w:lvlText w:val="%5."/>
      <w:lvlJc w:val="left"/>
      <w:pPr>
        <w:ind w:left="3846" w:hanging="360"/>
      </w:pPr>
    </w:lvl>
    <w:lvl w:ilvl="5" w:tplc="2000001B" w:tentative="1">
      <w:start w:val="1"/>
      <w:numFmt w:val="lowerRoman"/>
      <w:lvlText w:val="%6."/>
      <w:lvlJc w:val="right"/>
      <w:pPr>
        <w:ind w:left="4566" w:hanging="180"/>
      </w:pPr>
    </w:lvl>
    <w:lvl w:ilvl="6" w:tplc="2000000F" w:tentative="1">
      <w:start w:val="1"/>
      <w:numFmt w:val="decimal"/>
      <w:lvlText w:val="%7."/>
      <w:lvlJc w:val="left"/>
      <w:pPr>
        <w:ind w:left="5286" w:hanging="360"/>
      </w:pPr>
    </w:lvl>
    <w:lvl w:ilvl="7" w:tplc="20000019" w:tentative="1">
      <w:start w:val="1"/>
      <w:numFmt w:val="lowerLetter"/>
      <w:lvlText w:val="%8."/>
      <w:lvlJc w:val="left"/>
      <w:pPr>
        <w:ind w:left="6006" w:hanging="360"/>
      </w:pPr>
    </w:lvl>
    <w:lvl w:ilvl="8" w:tplc="2000001B" w:tentative="1">
      <w:start w:val="1"/>
      <w:numFmt w:val="lowerRoman"/>
      <w:lvlText w:val="%9."/>
      <w:lvlJc w:val="right"/>
      <w:pPr>
        <w:ind w:left="6726" w:hanging="180"/>
      </w:pPr>
    </w:lvl>
  </w:abstractNum>
  <w:abstractNum w:abstractNumId="3" w15:restartNumberingAfterBreak="0">
    <w:nsid w:val="3BDA6C82"/>
    <w:multiLevelType w:val="multilevel"/>
    <w:tmpl w:val="F8242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644FE1"/>
    <w:multiLevelType w:val="hybridMultilevel"/>
    <w:tmpl w:val="99167794"/>
    <w:lvl w:ilvl="0" w:tplc="800CED7E">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5" w15:restartNumberingAfterBreak="0">
    <w:nsid w:val="4B9A0B7F"/>
    <w:multiLevelType w:val="hybridMultilevel"/>
    <w:tmpl w:val="9702A520"/>
    <w:lvl w:ilvl="0" w:tplc="D3108E9C">
      <w:start w:val="1"/>
      <w:numFmt w:val="decimal"/>
      <w:lvlText w:val="%1)"/>
      <w:lvlJc w:val="left"/>
      <w:pPr>
        <w:ind w:left="970" w:hanging="360"/>
      </w:pPr>
      <w:rPr>
        <w:rFonts w:hint="default"/>
      </w:rPr>
    </w:lvl>
    <w:lvl w:ilvl="1" w:tplc="20000019" w:tentative="1">
      <w:start w:val="1"/>
      <w:numFmt w:val="lowerLetter"/>
      <w:lvlText w:val="%2."/>
      <w:lvlJc w:val="left"/>
      <w:pPr>
        <w:ind w:left="1690" w:hanging="360"/>
      </w:pPr>
    </w:lvl>
    <w:lvl w:ilvl="2" w:tplc="2000001B" w:tentative="1">
      <w:start w:val="1"/>
      <w:numFmt w:val="lowerRoman"/>
      <w:lvlText w:val="%3."/>
      <w:lvlJc w:val="right"/>
      <w:pPr>
        <w:ind w:left="2410" w:hanging="180"/>
      </w:pPr>
    </w:lvl>
    <w:lvl w:ilvl="3" w:tplc="2000000F" w:tentative="1">
      <w:start w:val="1"/>
      <w:numFmt w:val="decimal"/>
      <w:lvlText w:val="%4."/>
      <w:lvlJc w:val="left"/>
      <w:pPr>
        <w:ind w:left="3130" w:hanging="360"/>
      </w:pPr>
    </w:lvl>
    <w:lvl w:ilvl="4" w:tplc="20000019" w:tentative="1">
      <w:start w:val="1"/>
      <w:numFmt w:val="lowerLetter"/>
      <w:lvlText w:val="%5."/>
      <w:lvlJc w:val="left"/>
      <w:pPr>
        <w:ind w:left="3850" w:hanging="360"/>
      </w:pPr>
    </w:lvl>
    <w:lvl w:ilvl="5" w:tplc="2000001B" w:tentative="1">
      <w:start w:val="1"/>
      <w:numFmt w:val="lowerRoman"/>
      <w:lvlText w:val="%6."/>
      <w:lvlJc w:val="right"/>
      <w:pPr>
        <w:ind w:left="4570" w:hanging="180"/>
      </w:pPr>
    </w:lvl>
    <w:lvl w:ilvl="6" w:tplc="2000000F" w:tentative="1">
      <w:start w:val="1"/>
      <w:numFmt w:val="decimal"/>
      <w:lvlText w:val="%7."/>
      <w:lvlJc w:val="left"/>
      <w:pPr>
        <w:ind w:left="5290" w:hanging="360"/>
      </w:pPr>
    </w:lvl>
    <w:lvl w:ilvl="7" w:tplc="20000019" w:tentative="1">
      <w:start w:val="1"/>
      <w:numFmt w:val="lowerLetter"/>
      <w:lvlText w:val="%8."/>
      <w:lvlJc w:val="left"/>
      <w:pPr>
        <w:ind w:left="6010" w:hanging="360"/>
      </w:pPr>
    </w:lvl>
    <w:lvl w:ilvl="8" w:tplc="2000001B" w:tentative="1">
      <w:start w:val="1"/>
      <w:numFmt w:val="lowerRoman"/>
      <w:lvlText w:val="%9."/>
      <w:lvlJc w:val="right"/>
      <w:pPr>
        <w:ind w:left="6730" w:hanging="180"/>
      </w:pPr>
    </w:lvl>
  </w:abstractNum>
  <w:abstractNum w:abstractNumId="6" w15:restartNumberingAfterBreak="0">
    <w:nsid w:val="4DB00DDF"/>
    <w:multiLevelType w:val="multilevel"/>
    <w:tmpl w:val="A6F0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8457F1"/>
    <w:multiLevelType w:val="hybridMultilevel"/>
    <w:tmpl w:val="F3E8D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1B658D7"/>
    <w:multiLevelType w:val="hybridMultilevel"/>
    <w:tmpl w:val="050E4090"/>
    <w:lvl w:ilvl="0" w:tplc="240A01CE">
      <w:start w:val="13"/>
      <w:numFmt w:val="bullet"/>
      <w:lvlText w:val="-"/>
      <w:lvlJc w:val="left"/>
      <w:pPr>
        <w:ind w:left="1330" w:hanging="360"/>
      </w:pPr>
      <w:rPr>
        <w:rFonts w:ascii="Times New Roman" w:eastAsia="Times New Roman" w:hAnsi="Times New Roman" w:cs="Times New Roman" w:hint="default"/>
      </w:rPr>
    </w:lvl>
    <w:lvl w:ilvl="1" w:tplc="04090003" w:tentative="1">
      <w:start w:val="1"/>
      <w:numFmt w:val="bullet"/>
      <w:lvlText w:val="o"/>
      <w:lvlJc w:val="left"/>
      <w:pPr>
        <w:ind w:left="2050" w:hanging="360"/>
      </w:pPr>
      <w:rPr>
        <w:rFonts w:ascii="Courier New" w:hAnsi="Courier New" w:cs="Courier New" w:hint="default"/>
      </w:rPr>
    </w:lvl>
    <w:lvl w:ilvl="2" w:tplc="04090005" w:tentative="1">
      <w:start w:val="1"/>
      <w:numFmt w:val="bullet"/>
      <w:lvlText w:val=""/>
      <w:lvlJc w:val="left"/>
      <w:pPr>
        <w:ind w:left="2770" w:hanging="360"/>
      </w:pPr>
      <w:rPr>
        <w:rFonts w:ascii="Wingdings" w:hAnsi="Wingdings" w:hint="default"/>
      </w:rPr>
    </w:lvl>
    <w:lvl w:ilvl="3" w:tplc="04090001" w:tentative="1">
      <w:start w:val="1"/>
      <w:numFmt w:val="bullet"/>
      <w:lvlText w:val=""/>
      <w:lvlJc w:val="left"/>
      <w:pPr>
        <w:ind w:left="3490" w:hanging="360"/>
      </w:pPr>
      <w:rPr>
        <w:rFonts w:ascii="Symbol" w:hAnsi="Symbol" w:hint="default"/>
      </w:rPr>
    </w:lvl>
    <w:lvl w:ilvl="4" w:tplc="04090003" w:tentative="1">
      <w:start w:val="1"/>
      <w:numFmt w:val="bullet"/>
      <w:lvlText w:val="o"/>
      <w:lvlJc w:val="left"/>
      <w:pPr>
        <w:ind w:left="4210" w:hanging="360"/>
      </w:pPr>
      <w:rPr>
        <w:rFonts w:ascii="Courier New" w:hAnsi="Courier New" w:cs="Courier New" w:hint="default"/>
      </w:rPr>
    </w:lvl>
    <w:lvl w:ilvl="5" w:tplc="04090005" w:tentative="1">
      <w:start w:val="1"/>
      <w:numFmt w:val="bullet"/>
      <w:lvlText w:val=""/>
      <w:lvlJc w:val="left"/>
      <w:pPr>
        <w:ind w:left="4930" w:hanging="360"/>
      </w:pPr>
      <w:rPr>
        <w:rFonts w:ascii="Wingdings" w:hAnsi="Wingdings" w:hint="default"/>
      </w:rPr>
    </w:lvl>
    <w:lvl w:ilvl="6" w:tplc="04090001" w:tentative="1">
      <w:start w:val="1"/>
      <w:numFmt w:val="bullet"/>
      <w:lvlText w:val=""/>
      <w:lvlJc w:val="left"/>
      <w:pPr>
        <w:ind w:left="5650" w:hanging="360"/>
      </w:pPr>
      <w:rPr>
        <w:rFonts w:ascii="Symbol" w:hAnsi="Symbol" w:hint="default"/>
      </w:rPr>
    </w:lvl>
    <w:lvl w:ilvl="7" w:tplc="04090003" w:tentative="1">
      <w:start w:val="1"/>
      <w:numFmt w:val="bullet"/>
      <w:lvlText w:val="o"/>
      <w:lvlJc w:val="left"/>
      <w:pPr>
        <w:ind w:left="6370" w:hanging="360"/>
      </w:pPr>
      <w:rPr>
        <w:rFonts w:ascii="Courier New" w:hAnsi="Courier New" w:cs="Courier New" w:hint="default"/>
      </w:rPr>
    </w:lvl>
    <w:lvl w:ilvl="8" w:tplc="04090005" w:tentative="1">
      <w:start w:val="1"/>
      <w:numFmt w:val="bullet"/>
      <w:lvlText w:val=""/>
      <w:lvlJc w:val="left"/>
      <w:pPr>
        <w:ind w:left="7090" w:hanging="360"/>
      </w:pPr>
      <w:rPr>
        <w:rFonts w:ascii="Wingdings" w:hAnsi="Wingdings" w:hint="default"/>
      </w:rPr>
    </w:lvl>
  </w:abstractNum>
  <w:abstractNum w:abstractNumId="9" w15:restartNumberingAfterBreak="0">
    <w:nsid w:val="6310346A"/>
    <w:multiLevelType w:val="hybridMultilevel"/>
    <w:tmpl w:val="E604E20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6430D5"/>
    <w:multiLevelType w:val="multilevel"/>
    <w:tmpl w:val="1FE6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737B1B"/>
    <w:multiLevelType w:val="hybridMultilevel"/>
    <w:tmpl w:val="F1D64A9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11"/>
  </w:num>
  <w:num w:numId="5">
    <w:abstractNumId w:val="1"/>
  </w:num>
  <w:num w:numId="6">
    <w:abstractNumId w:val="9"/>
  </w:num>
  <w:num w:numId="7">
    <w:abstractNumId w:val="2"/>
  </w:num>
  <w:num w:numId="8">
    <w:abstractNumId w:val="4"/>
  </w:num>
  <w:num w:numId="9">
    <w:abstractNumId w:val="7"/>
  </w:num>
  <w:num w:numId="10">
    <w:abstractNumId w:val="10"/>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5D7"/>
    <w:rsid w:val="00004E58"/>
    <w:rsid w:val="000115FE"/>
    <w:rsid w:val="00050D1C"/>
    <w:rsid w:val="00065885"/>
    <w:rsid w:val="00065EED"/>
    <w:rsid w:val="00074BF7"/>
    <w:rsid w:val="00085A15"/>
    <w:rsid w:val="000A3E74"/>
    <w:rsid w:val="000A6B3F"/>
    <w:rsid w:val="000B32E1"/>
    <w:rsid w:val="000B4834"/>
    <w:rsid w:val="000F063A"/>
    <w:rsid w:val="00100DE4"/>
    <w:rsid w:val="00110E24"/>
    <w:rsid w:val="00120B3E"/>
    <w:rsid w:val="00147F33"/>
    <w:rsid w:val="001514FB"/>
    <w:rsid w:val="00171606"/>
    <w:rsid w:val="00172821"/>
    <w:rsid w:val="0019179A"/>
    <w:rsid w:val="001A5727"/>
    <w:rsid w:val="001C19F8"/>
    <w:rsid w:val="001C1B95"/>
    <w:rsid w:val="001C4CDB"/>
    <w:rsid w:val="001D03A9"/>
    <w:rsid w:val="001D1760"/>
    <w:rsid w:val="001D5C91"/>
    <w:rsid w:val="001E442B"/>
    <w:rsid w:val="00202D6D"/>
    <w:rsid w:val="00234339"/>
    <w:rsid w:val="0023573F"/>
    <w:rsid w:val="00236A11"/>
    <w:rsid w:val="002675D7"/>
    <w:rsid w:val="002C6791"/>
    <w:rsid w:val="002D3C3D"/>
    <w:rsid w:val="002D57C8"/>
    <w:rsid w:val="002E08B6"/>
    <w:rsid w:val="002E4622"/>
    <w:rsid w:val="002F1F78"/>
    <w:rsid w:val="002F3441"/>
    <w:rsid w:val="0031062C"/>
    <w:rsid w:val="00311161"/>
    <w:rsid w:val="00315B1E"/>
    <w:rsid w:val="00334DA7"/>
    <w:rsid w:val="003466BB"/>
    <w:rsid w:val="003610E5"/>
    <w:rsid w:val="00371477"/>
    <w:rsid w:val="003A292A"/>
    <w:rsid w:val="003C5842"/>
    <w:rsid w:val="003E03C0"/>
    <w:rsid w:val="003F717A"/>
    <w:rsid w:val="00401C6D"/>
    <w:rsid w:val="0040327F"/>
    <w:rsid w:val="0041284C"/>
    <w:rsid w:val="00424503"/>
    <w:rsid w:val="004737C0"/>
    <w:rsid w:val="00477248"/>
    <w:rsid w:val="004A5BBB"/>
    <w:rsid w:val="004A7754"/>
    <w:rsid w:val="004C0891"/>
    <w:rsid w:val="004D1D0D"/>
    <w:rsid w:val="004D27A8"/>
    <w:rsid w:val="004E30E1"/>
    <w:rsid w:val="005037BD"/>
    <w:rsid w:val="005064D7"/>
    <w:rsid w:val="00513DD0"/>
    <w:rsid w:val="005147AE"/>
    <w:rsid w:val="00531983"/>
    <w:rsid w:val="00533376"/>
    <w:rsid w:val="005C13B4"/>
    <w:rsid w:val="005C4958"/>
    <w:rsid w:val="005E29C6"/>
    <w:rsid w:val="00615821"/>
    <w:rsid w:val="0064128C"/>
    <w:rsid w:val="006574FC"/>
    <w:rsid w:val="00663627"/>
    <w:rsid w:val="00670C19"/>
    <w:rsid w:val="00681AEB"/>
    <w:rsid w:val="0068553E"/>
    <w:rsid w:val="006C240E"/>
    <w:rsid w:val="006D09B2"/>
    <w:rsid w:val="006E2DB2"/>
    <w:rsid w:val="006E6C72"/>
    <w:rsid w:val="00700481"/>
    <w:rsid w:val="00731361"/>
    <w:rsid w:val="00755A8C"/>
    <w:rsid w:val="00756FEC"/>
    <w:rsid w:val="00762982"/>
    <w:rsid w:val="007722D1"/>
    <w:rsid w:val="00785B57"/>
    <w:rsid w:val="00787E9C"/>
    <w:rsid w:val="00794818"/>
    <w:rsid w:val="007B2810"/>
    <w:rsid w:val="008020F6"/>
    <w:rsid w:val="00814A43"/>
    <w:rsid w:val="0085586B"/>
    <w:rsid w:val="00882482"/>
    <w:rsid w:val="0088517B"/>
    <w:rsid w:val="008A0281"/>
    <w:rsid w:val="008A78C1"/>
    <w:rsid w:val="008B312D"/>
    <w:rsid w:val="008C0D8A"/>
    <w:rsid w:val="008C708F"/>
    <w:rsid w:val="008D50AE"/>
    <w:rsid w:val="008E5F78"/>
    <w:rsid w:val="008F2112"/>
    <w:rsid w:val="00911709"/>
    <w:rsid w:val="00921461"/>
    <w:rsid w:val="009218B4"/>
    <w:rsid w:val="00941AA8"/>
    <w:rsid w:val="00947C63"/>
    <w:rsid w:val="00954116"/>
    <w:rsid w:val="00960922"/>
    <w:rsid w:val="009610CD"/>
    <w:rsid w:val="0099411B"/>
    <w:rsid w:val="009A2509"/>
    <w:rsid w:val="009A3E19"/>
    <w:rsid w:val="009A6175"/>
    <w:rsid w:val="009B08FF"/>
    <w:rsid w:val="009B4C15"/>
    <w:rsid w:val="009D6118"/>
    <w:rsid w:val="009F65D4"/>
    <w:rsid w:val="00A103DC"/>
    <w:rsid w:val="00A517A3"/>
    <w:rsid w:val="00A5227E"/>
    <w:rsid w:val="00A5558F"/>
    <w:rsid w:val="00A93CA6"/>
    <w:rsid w:val="00AA32E1"/>
    <w:rsid w:val="00AA59BF"/>
    <w:rsid w:val="00AC338B"/>
    <w:rsid w:val="00AC5360"/>
    <w:rsid w:val="00AE0466"/>
    <w:rsid w:val="00AE22EF"/>
    <w:rsid w:val="00B12478"/>
    <w:rsid w:val="00B360C9"/>
    <w:rsid w:val="00B3695D"/>
    <w:rsid w:val="00B3757F"/>
    <w:rsid w:val="00B42E5B"/>
    <w:rsid w:val="00B742B7"/>
    <w:rsid w:val="00BB1D41"/>
    <w:rsid w:val="00BB615C"/>
    <w:rsid w:val="00BD6D7E"/>
    <w:rsid w:val="00BE0B11"/>
    <w:rsid w:val="00BE1654"/>
    <w:rsid w:val="00C0067F"/>
    <w:rsid w:val="00C306F9"/>
    <w:rsid w:val="00C3599A"/>
    <w:rsid w:val="00C55715"/>
    <w:rsid w:val="00C61B7E"/>
    <w:rsid w:val="00C730B8"/>
    <w:rsid w:val="00C76601"/>
    <w:rsid w:val="00C97C1B"/>
    <w:rsid w:val="00CB724E"/>
    <w:rsid w:val="00CC4EE4"/>
    <w:rsid w:val="00CE1725"/>
    <w:rsid w:val="00CE536C"/>
    <w:rsid w:val="00CE733E"/>
    <w:rsid w:val="00CF4B9B"/>
    <w:rsid w:val="00D02502"/>
    <w:rsid w:val="00D20388"/>
    <w:rsid w:val="00D25376"/>
    <w:rsid w:val="00D32097"/>
    <w:rsid w:val="00D336E9"/>
    <w:rsid w:val="00D4286D"/>
    <w:rsid w:val="00D81D55"/>
    <w:rsid w:val="00D83895"/>
    <w:rsid w:val="00D92D1F"/>
    <w:rsid w:val="00DA2C89"/>
    <w:rsid w:val="00DA3D32"/>
    <w:rsid w:val="00DE07BA"/>
    <w:rsid w:val="00DE2C6A"/>
    <w:rsid w:val="00E13C33"/>
    <w:rsid w:val="00E65CE9"/>
    <w:rsid w:val="00E6703D"/>
    <w:rsid w:val="00E82EAE"/>
    <w:rsid w:val="00EB4180"/>
    <w:rsid w:val="00EB6232"/>
    <w:rsid w:val="00EC2A1D"/>
    <w:rsid w:val="00ED755D"/>
    <w:rsid w:val="00ED7976"/>
    <w:rsid w:val="00EE0B9D"/>
    <w:rsid w:val="00EF7532"/>
    <w:rsid w:val="00F05442"/>
    <w:rsid w:val="00F20224"/>
    <w:rsid w:val="00F4133C"/>
    <w:rsid w:val="00F82326"/>
    <w:rsid w:val="00F8616C"/>
    <w:rsid w:val="00F96E98"/>
    <w:rsid w:val="00F97D34"/>
    <w:rsid w:val="00FC23B9"/>
    <w:rsid w:val="00FE4387"/>
    <w:rsid w:val="00FF6EC3"/>
    <w:rsid w:val="00FF74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38B75"/>
  <w15:chartTrackingRefBased/>
  <w15:docId w15:val="{E6494D39-3694-4BEA-B7C8-40AA8EEA9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75D7"/>
    <w:pPr>
      <w:spacing w:after="0" w:line="240" w:lineRule="auto"/>
    </w:pPr>
    <w:rPr>
      <w:rFonts w:eastAsia="Times New Roman"/>
      <w:sz w:val="20"/>
      <w:szCs w:val="20"/>
      <w:lang w:eastAsia="ru-RU"/>
    </w:rPr>
  </w:style>
  <w:style w:type="paragraph" w:styleId="3">
    <w:name w:val="heading 3"/>
    <w:basedOn w:val="a"/>
    <w:link w:val="30"/>
    <w:uiPriority w:val="9"/>
    <w:qFormat/>
    <w:rsid w:val="009D6118"/>
    <w:pPr>
      <w:spacing w:before="100" w:beforeAutospacing="1" w:after="100" w:afterAutospacing="1"/>
      <w:outlineLvl w:val="2"/>
    </w:pPr>
    <w:rPr>
      <w:rFonts w:eastAsiaTheme="minorEastAsia"/>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675D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link w:val="rvps2Char"/>
    <w:qFormat/>
    <w:rsid w:val="002C6791"/>
    <w:pPr>
      <w:spacing w:before="100" w:beforeAutospacing="1" w:after="100" w:afterAutospacing="1"/>
    </w:pPr>
    <w:rPr>
      <w:sz w:val="24"/>
      <w:szCs w:val="24"/>
      <w:lang w:eastAsia="uk-UA"/>
    </w:rPr>
  </w:style>
  <w:style w:type="character" w:customStyle="1" w:styleId="rvps2Char">
    <w:name w:val="rvps2 Char"/>
    <w:link w:val="rvps2"/>
    <w:rsid w:val="002C6791"/>
    <w:rPr>
      <w:rFonts w:eastAsia="Times New Roman"/>
      <w:sz w:val="24"/>
      <w:szCs w:val="24"/>
      <w:lang w:eastAsia="uk-UA"/>
    </w:rPr>
  </w:style>
  <w:style w:type="paragraph" w:customStyle="1" w:styleId="rvps12">
    <w:name w:val="rvps12"/>
    <w:basedOn w:val="a"/>
    <w:rsid w:val="00AA32E1"/>
    <w:pPr>
      <w:spacing w:before="100" w:beforeAutospacing="1" w:after="100" w:afterAutospacing="1"/>
    </w:pPr>
    <w:rPr>
      <w:sz w:val="24"/>
      <w:szCs w:val="24"/>
      <w:lang w:eastAsia="uk-UA"/>
    </w:rPr>
  </w:style>
  <w:style w:type="paragraph" w:customStyle="1" w:styleId="rvps14">
    <w:name w:val="rvps14"/>
    <w:basedOn w:val="a"/>
    <w:rsid w:val="00AA32E1"/>
    <w:pPr>
      <w:spacing w:before="100" w:beforeAutospacing="1" w:after="100" w:afterAutospacing="1"/>
    </w:pPr>
    <w:rPr>
      <w:sz w:val="24"/>
      <w:szCs w:val="24"/>
      <w:lang w:eastAsia="uk-UA"/>
    </w:rPr>
  </w:style>
  <w:style w:type="paragraph" w:styleId="a4">
    <w:name w:val="List Paragraph"/>
    <w:basedOn w:val="a"/>
    <w:uiPriority w:val="34"/>
    <w:qFormat/>
    <w:rsid w:val="00DA3D3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rvts0">
    <w:name w:val="rvts0"/>
    <w:basedOn w:val="a0"/>
    <w:rsid w:val="00D4286D"/>
  </w:style>
  <w:style w:type="paragraph" w:customStyle="1" w:styleId="a5">
    <w:name w:val="Знак Знак Знак Знак Знак Знак Знак"/>
    <w:basedOn w:val="a"/>
    <w:rsid w:val="00172821"/>
    <w:rPr>
      <w:rFonts w:ascii="Verdana" w:hAnsi="Verdana" w:cs="Verdana"/>
      <w:lang w:val="en-US" w:eastAsia="en-US"/>
    </w:rPr>
  </w:style>
  <w:style w:type="character" w:customStyle="1" w:styleId="rvts9">
    <w:name w:val="rvts9"/>
    <w:basedOn w:val="a0"/>
    <w:rsid w:val="008E5F78"/>
  </w:style>
  <w:style w:type="character" w:customStyle="1" w:styleId="rvts40">
    <w:name w:val="rvts40"/>
    <w:basedOn w:val="a0"/>
    <w:rsid w:val="008E5F78"/>
  </w:style>
  <w:style w:type="paragraph" w:styleId="a6">
    <w:name w:val="header"/>
    <w:basedOn w:val="a"/>
    <w:link w:val="a7"/>
    <w:uiPriority w:val="99"/>
    <w:unhideWhenUsed/>
    <w:rsid w:val="00AC338B"/>
    <w:pPr>
      <w:tabs>
        <w:tab w:val="center" w:pos="4680"/>
        <w:tab w:val="right" w:pos="9360"/>
      </w:tabs>
    </w:pPr>
    <w:rPr>
      <w:rFonts w:cstheme="minorBidi"/>
      <w:sz w:val="22"/>
      <w:szCs w:val="22"/>
      <w:lang w:val="en-US" w:eastAsia="en-US"/>
    </w:rPr>
  </w:style>
  <w:style w:type="character" w:customStyle="1" w:styleId="a7">
    <w:name w:val="Верхній колонтитул Знак"/>
    <w:basedOn w:val="a0"/>
    <w:link w:val="a6"/>
    <w:uiPriority w:val="99"/>
    <w:rsid w:val="00AC338B"/>
    <w:rPr>
      <w:rFonts w:eastAsia="Times New Roman" w:cstheme="minorBidi"/>
      <w:sz w:val="22"/>
      <w:szCs w:val="22"/>
      <w:lang w:val="en-US"/>
    </w:rPr>
  </w:style>
  <w:style w:type="character" w:styleId="a8">
    <w:name w:val="Strong"/>
    <w:basedOn w:val="a0"/>
    <w:uiPriority w:val="22"/>
    <w:qFormat/>
    <w:rsid w:val="00941AA8"/>
    <w:rPr>
      <w:b/>
      <w:bCs/>
    </w:rPr>
  </w:style>
  <w:style w:type="character" w:customStyle="1" w:styleId="t286pc">
    <w:name w:val="t286pc"/>
    <w:basedOn w:val="a0"/>
    <w:rsid w:val="00941AA8"/>
  </w:style>
  <w:style w:type="paragraph" w:styleId="a9">
    <w:name w:val="Normal (Web)"/>
    <w:basedOn w:val="a"/>
    <w:uiPriority w:val="99"/>
    <w:unhideWhenUsed/>
    <w:rsid w:val="008020F6"/>
    <w:pPr>
      <w:spacing w:before="100" w:beforeAutospacing="1" w:after="100" w:afterAutospacing="1"/>
    </w:pPr>
    <w:rPr>
      <w:sz w:val="24"/>
      <w:szCs w:val="24"/>
      <w:lang w:eastAsia="uk-UA"/>
      <w14:ligatures w14:val="standardContextual"/>
    </w:rPr>
  </w:style>
  <w:style w:type="paragraph" w:styleId="aa">
    <w:name w:val="footer"/>
    <w:basedOn w:val="a"/>
    <w:link w:val="ab"/>
    <w:uiPriority w:val="99"/>
    <w:unhideWhenUsed/>
    <w:rsid w:val="003466BB"/>
    <w:pPr>
      <w:tabs>
        <w:tab w:val="center" w:pos="4819"/>
        <w:tab w:val="right" w:pos="9639"/>
      </w:tabs>
    </w:pPr>
  </w:style>
  <w:style w:type="character" w:customStyle="1" w:styleId="ab">
    <w:name w:val="Нижній колонтитул Знак"/>
    <w:basedOn w:val="a0"/>
    <w:link w:val="aa"/>
    <w:uiPriority w:val="99"/>
    <w:rsid w:val="003466BB"/>
    <w:rPr>
      <w:rFonts w:eastAsia="Times New Roman"/>
      <w:sz w:val="20"/>
      <w:szCs w:val="20"/>
      <w:lang w:eastAsia="ru-RU"/>
    </w:rPr>
  </w:style>
  <w:style w:type="character" w:styleId="ac">
    <w:name w:val="Hyperlink"/>
    <w:basedOn w:val="a0"/>
    <w:uiPriority w:val="99"/>
    <w:unhideWhenUsed/>
    <w:rsid w:val="009D6118"/>
    <w:rPr>
      <w:color w:val="0000FF"/>
      <w:u w:val="single"/>
    </w:rPr>
  </w:style>
  <w:style w:type="character" w:customStyle="1" w:styleId="rvts46">
    <w:name w:val="rvts46"/>
    <w:basedOn w:val="a0"/>
    <w:rsid w:val="009D6118"/>
  </w:style>
  <w:style w:type="character" w:customStyle="1" w:styleId="30">
    <w:name w:val="Заголовок 3 Знак"/>
    <w:basedOn w:val="a0"/>
    <w:link w:val="3"/>
    <w:uiPriority w:val="9"/>
    <w:rsid w:val="009D6118"/>
    <w:rPr>
      <w:rFonts w:eastAsiaTheme="minorEastAsia"/>
      <w:b/>
      <w:bCs/>
      <w:sz w:val="27"/>
      <w:szCs w:val="27"/>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61">
      <w:bodyDiv w:val="1"/>
      <w:marLeft w:val="0"/>
      <w:marRight w:val="0"/>
      <w:marTop w:val="0"/>
      <w:marBottom w:val="0"/>
      <w:divBdr>
        <w:top w:val="none" w:sz="0" w:space="0" w:color="auto"/>
        <w:left w:val="none" w:sz="0" w:space="0" w:color="auto"/>
        <w:bottom w:val="none" w:sz="0" w:space="0" w:color="auto"/>
        <w:right w:val="none" w:sz="0" w:space="0" w:color="auto"/>
      </w:divBdr>
    </w:div>
    <w:div w:id="185102330">
      <w:bodyDiv w:val="1"/>
      <w:marLeft w:val="0"/>
      <w:marRight w:val="0"/>
      <w:marTop w:val="0"/>
      <w:marBottom w:val="0"/>
      <w:divBdr>
        <w:top w:val="none" w:sz="0" w:space="0" w:color="auto"/>
        <w:left w:val="none" w:sz="0" w:space="0" w:color="auto"/>
        <w:bottom w:val="none" w:sz="0" w:space="0" w:color="auto"/>
        <w:right w:val="none" w:sz="0" w:space="0" w:color="auto"/>
      </w:divBdr>
    </w:div>
    <w:div w:id="886180602">
      <w:bodyDiv w:val="1"/>
      <w:marLeft w:val="0"/>
      <w:marRight w:val="0"/>
      <w:marTop w:val="0"/>
      <w:marBottom w:val="0"/>
      <w:divBdr>
        <w:top w:val="none" w:sz="0" w:space="0" w:color="auto"/>
        <w:left w:val="none" w:sz="0" w:space="0" w:color="auto"/>
        <w:bottom w:val="none" w:sz="0" w:space="0" w:color="auto"/>
        <w:right w:val="none" w:sz="0" w:space="0" w:color="auto"/>
      </w:divBdr>
    </w:div>
    <w:div w:id="987322427">
      <w:bodyDiv w:val="1"/>
      <w:marLeft w:val="0"/>
      <w:marRight w:val="0"/>
      <w:marTop w:val="0"/>
      <w:marBottom w:val="0"/>
      <w:divBdr>
        <w:top w:val="none" w:sz="0" w:space="0" w:color="auto"/>
        <w:left w:val="none" w:sz="0" w:space="0" w:color="auto"/>
        <w:bottom w:val="none" w:sz="0" w:space="0" w:color="auto"/>
        <w:right w:val="none" w:sz="0" w:space="0" w:color="auto"/>
      </w:divBdr>
    </w:div>
    <w:div w:id="1179003511">
      <w:bodyDiv w:val="1"/>
      <w:marLeft w:val="0"/>
      <w:marRight w:val="0"/>
      <w:marTop w:val="0"/>
      <w:marBottom w:val="0"/>
      <w:divBdr>
        <w:top w:val="none" w:sz="0" w:space="0" w:color="auto"/>
        <w:left w:val="none" w:sz="0" w:space="0" w:color="auto"/>
        <w:bottom w:val="none" w:sz="0" w:space="0" w:color="auto"/>
        <w:right w:val="none" w:sz="0" w:space="0" w:color="auto"/>
      </w:divBdr>
    </w:div>
    <w:div w:id="1456942341">
      <w:bodyDiv w:val="1"/>
      <w:marLeft w:val="0"/>
      <w:marRight w:val="0"/>
      <w:marTop w:val="0"/>
      <w:marBottom w:val="0"/>
      <w:divBdr>
        <w:top w:val="none" w:sz="0" w:space="0" w:color="auto"/>
        <w:left w:val="none" w:sz="0" w:space="0" w:color="auto"/>
        <w:bottom w:val="none" w:sz="0" w:space="0" w:color="auto"/>
        <w:right w:val="none" w:sz="0" w:space="0" w:color="auto"/>
      </w:divBdr>
    </w:div>
    <w:div w:id="1838302714">
      <w:bodyDiv w:val="1"/>
      <w:marLeft w:val="0"/>
      <w:marRight w:val="0"/>
      <w:marTop w:val="0"/>
      <w:marBottom w:val="0"/>
      <w:divBdr>
        <w:top w:val="none" w:sz="0" w:space="0" w:color="auto"/>
        <w:left w:val="none" w:sz="0" w:space="0" w:color="auto"/>
        <w:bottom w:val="none" w:sz="0" w:space="0" w:color="auto"/>
        <w:right w:val="none" w:sz="0" w:space="0" w:color="auto"/>
      </w:divBdr>
    </w:div>
    <w:div w:id="1960791963">
      <w:bodyDiv w:val="1"/>
      <w:marLeft w:val="0"/>
      <w:marRight w:val="0"/>
      <w:marTop w:val="0"/>
      <w:marBottom w:val="0"/>
      <w:divBdr>
        <w:top w:val="none" w:sz="0" w:space="0" w:color="auto"/>
        <w:left w:val="none" w:sz="0" w:space="0" w:color="auto"/>
        <w:bottom w:val="none" w:sz="0" w:space="0" w:color="auto"/>
        <w:right w:val="none" w:sz="0" w:space="0" w:color="auto"/>
      </w:divBdr>
    </w:div>
    <w:div w:id="2019426507">
      <w:bodyDiv w:val="1"/>
      <w:marLeft w:val="0"/>
      <w:marRight w:val="0"/>
      <w:marTop w:val="0"/>
      <w:marBottom w:val="0"/>
      <w:divBdr>
        <w:top w:val="none" w:sz="0" w:space="0" w:color="auto"/>
        <w:left w:val="none" w:sz="0" w:space="0" w:color="auto"/>
        <w:bottom w:val="none" w:sz="0" w:space="0" w:color="auto"/>
        <w:right w:val="none" w:sz="0" w:space="0" w:color="auto"/>
      </w:divBdr>
    </w:div>
    <w:div w:id="2095592162">
      <w:bodyDiv w:val="1"/>
      <w:marLeft w:val="0"/>
      <w:marRight w:val="0"/>
      <w:marTop w:val="0"/>
      <w:marBottom w:val="0"/>
      <w:divBdr>
        <w:top w:val="none" w:sz="0" w:space="0" w:color="auto"/>
        <w:left w:val="none" w:sz="0" w:space="0" w:color="auto"/>
        <w:bottom w:val="none" w:sz="0" w:space="0" w:color="auto"/>
        <w:right w:val="none" w:sz="0" w:space="0" w:color="auto"/>
      </w:divBdr>
    </w:div>
    <w:div w:id="214473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v0281914-21" TargetMode="External"/><Relationship Id="rId13" Type="http://schemas.openxmlformats.org/officeDocument/2006/relationships/image" Target="media/image1.gif"/><Relationship Id="rId18" Type="http://schemas.openxmlformats.org/officeDocument/2006/relationships/hyperlink" Target="https://zakon.rada.gov.ua/laws/file/imgs/128/p480243n271v1-16.bmp" TargetMode="External"/><Relationship Id="rId26" Type="http://schemas.openxmlformats.org/officeDocument/2006/relationships/hyperlink" Target="https://zakon.rada.gov.ua/laws/show/4777-20" TargetMode="External"/><Relationship Id="rId3" Type="http://schemas.openxmlformats.org/officeDocument/2006/relationships/styles" Target="styles.xml"/><Relationship Id="rId21" Type="http://schemas.openxmlformats.org/officeDocument/2006/relationships/image" Target="media/image4.gif"/><Relationship Id="rId7" Type="http://schemas.openxmlformats.org/officeDocument/2006/relationships/endnotes" Target="endnotes.xml"/><Relationship Id="rId12" Type="http://schemas.openxmlformats.org/officeDocument/2006/relationships/hyperlink" Target="https://zakon.rada.gov.ua/laws/file/imgs/128/p480243n248v1-12.bmp" TargetMode="External"/><Relationship Id="rId17" Type="http://schemas.openxmlformats.org/officeDocument/2006/relationships/hyperlink" Target="https://zakon.rada.gov.ua/laws/show/4777-20" TargetMode="External"/><Relationship Id="rId25"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hyperlink" Target="https://zakon.rada.gov.ua/laws/file/imgs/128/p480243n459-18.bm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z1469-16" TargetMode="External"/><Relationship Id="rId24" Type="http://schemas.openxmlformats.org/officeDocument/2006/relationships/hyperlink" Target="https://zakon.rada.gov.ua/laws/file/imgs/128/p480243n393v1-36.bmp" TargetMode="External"/><Relationship Id="rId5" Type="http://schemas.openxmlformats.org/officeDocument/2006/relationships/webSettings" Target="webSettings.xml"/><Relationship Id="rId15" Type="http://schemas.openxmlformats.org/officeDocument/2006/relationships/hyperlink" Target="https://zakon.rada.gov.ua/laws/file/imgs/117/p480243n270v1-15.emf" TargetMode="External"/><Relationship Id="rId23" Type="http://schemas.openxmlformats.org/officeDocument/2006/relationships/image" Target="media/image5.gif"/><Relationship Id="rId28" Type="http://schemas.openxmlformats.org/officeDocument/2006/relationships/footer" Target="footer1.xml"/><Relationship Id="rId10" Type="http://schemas.openxmlformats.org/officeDocument/2006/relationships/hyperlink" Target="https://zakon.rada.gov.ua/laws/show/v0281914-21" TargetMode="External"/><Relationship Id="rId19"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s://zakon.rada.gov.ua/laws/show/z1469-16" TargetMode="External"/><Relationship Id="rId14" Type="http://schemas.openxmlformats.org/officeDocument/2006/relationships/hyperlink" Target="https://zakon.rada.gov.ua/laws/show/v1965874-18" TargetMode="External"/><Relationship Id="rId22" Type="http://schemas.openxmlformats.org/officeDocument/2006/relationships/hyperlink" Target="https://zakon.rada.gov.ua/laws/file/imgs/117/p480243n459-19.bmp" TargetMode="External"/><Relationship Id="rId27" Type="http://schemas.openxmlformats.org/officeDocument/2006/relationships/hyperlink" Target="https://zakon.rada.gov.ua/laws/show/2019-19?find=1&amp;text=%D0%B4%D0%BE%D0%B1%D1%83%D1%82%D0%BE%D0%B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0C5C8-B463-470D-9CA6-4D5147A4D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76</Pages>
  <Words>100647</Words>
  <Characters>57370</Characters>
  <Application>Microsoft Office Word</Application>
  <DocSecurity>0</DocSecurity>
  <Lines>478</Lines>
  <Paragraphs>315</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157702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Кічковський</dc:creator>
  <cp:keywords/>
  <dc:description/>
  <cp:lastModifiedBy>Максим Кічковський</cp:lastModifiedBy>
  <cp:revision>147</cp:revision>
  <dcterms:created xsi:type="dcterms:W3CDTF">2025-06-12T08:36:00Z</dcterms:created>
  <dcterms:modified xsi:type="dcterms:W3CDTF">2026-07-17T06:35:00Z</dcterms:modified>
</cp:coreProperties>
</file>