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6F4EC" w14:textId="66C8BC4F" w:rsidR="0088383A" w:rsidRPr="007D7538" w:rsidRDefault="0088383A" w:rsidP="007D7538">
      <w:pPr>
        <w:spacing w:after="0" w:line="240" w:lineRule="auto"/>
        <w:jc w:val="center"/>
        <w:rPr>
          <w:rStyle w:val="rvts15"/>
          <w:b/>
          <w:bCs/>
          <w:shd w:val="clear" w:color="auto" w:fill="FFFFFF"/>
        </w:rPr>
      </w:pPr>
      <w:r w:rsidRPr="007D7538">
        <w:rPr>
          <w:b/>
          <w:bCs/>
          <w:shd w:val="clear" w:color="auto" w:fill="FFFFFF"/>
        </w:rPr>
        <w:t>УЗАГАЛЬНЕНІ</w:t>
      </w:r>
      <w:r w:rsidR="007D7538" w:rsidRPr="007D7538">
        <w:rPr>
          <w:b/>
          <w:bCs/>
          <w:shd w:val="clear" w:color="auto" w:fill="FFFFFF"/>
        </w:rPr>
        <w:t xml:space="preserve"> </w:t>
      </w:r>
      <w:r w:rsidRPr="007D7538">
        <w:rPr>
          <w:b/>
          <w:bCs/>
          <w:shd w:val="clear" w:color="auto" w:fill="FFFFFF"/>
        </w:rPr>
        <w:t>ЗАУВАЖЕННЯ</w:t>
      </w:r>
      <w:r w:rsidRPr="007D7538">
        <w:rPr>
          <w:b/>
        </w:rPr>
        <w:br/>
      </w:r>
      <w:r w:rsidRPr="007D7538">
        <w:rPr>
          <w:rStyle w:val="rvts15"/>
          <w:b/>
          <w:bCs/>
          <w:shd w:val="clear" w:color="auto" w:fill="FFFFFF"/>
        </w:rPr>
        <w:t>та пропозиції до проекту рішення НКРЕКП, що має ознаки регуляторного акта –</w:t>
      </w:r>
    </w:p>
    <w:p w14:paraId="5A1EDEDE" w14:textId="13B58045" w:rsidR="0088383A" w:rsidRPr="007D7538" w:rsidRDefault="0088383A" w:rsidP="007D7538">
      <w:pPr>
        <w:jc w:val="center"/>
        <w:rPr>
          <w:b/>
        </w:rPr>
      </w:pPr>
      <w:r w:rsidRPr="007D7538">
        <w:rPr>
          <w:rStyle w:val="rvts15"/>
          <w:b/>
          <w:bCs/>
          <w:shd w:val="clear" w:color="auto" w:fill="FFFFFF"/>
        </w:rPr>
        <w:t>«</w:t>
      </w:r>
      <w:r w:rsidR="007D7538" w:rsidRPr="007D7538">
        <w:rPr>
          <w:b/>
        </w:rPr>
        <w:t xml:space="preserve">Про затвердження Змін </w:t>
      </w:r>
      <w:bookmarkStart w:id="0" w:name="_Hlk196231044"/>
      <w:r w:rsidR="007D7538" w:rsidRPr="007D7538">
        <w:rPr>
          <w:b/>
        </w:rPr>
        <w:t>до деяких постанов НКРЕКП</w:t>
      </w:r>
      <w:bookmarkEnd w:id="0"/>
      <w:r w:rsidRPr="007D7538">
        <w:rPr>
          <w:b/>
          <w:bCs/>
          <w:shd w:val="clear" w:color="auto" w:fill="FFFFFF"/>
        </w:rPr>
        <w:t>»</w:t>
      </w:r>
    </w:p>
    <w:tbl>
      <w:tblPr>
        <w:tblStyle w:val="a3"/>
        <w:tblW w:w="15253" w:type="dxa"/>
        <w:tblLook w:val="04A0" w:firstRow="1" w:lastRow="0" w:firstColumn="1" w:lastColumn="0" w:noHBand="0" w:noVBand="1"/>
      </w:tblPr>
      <w:tblGrid>
        <w:gridCol w:w="5202"/>
        <w:gridCol w:w="5141"/>
        <w:gridCol w:w="4910"/>
      </w:tblGrid>
      <w:tr w:rsidR="000E14E8" w:rsidRPr="00E8145A" w14:paraId="65F119DE" w14:textId="77777777" w:rsidTr="008768E0">
        <w:trPr>
          <w:trHeight w:val="847"/>
        </w:trPr>
        <w:tc>
          <w:tcPr>
            <w:tcW w:w="5202" w:type="dxa"/>
          </w:tcPr>
          <w:p w14:paraId="6D58E262" w14:textId="3DED0109" w:rsidR="0088383A" w:rsidRPr="00E8145A" w:rsidRDefault="0088383A" w:rsidP="007D7538">
            <w:pPr>
              <w:spacing w:after="0" w:line="240" w:lineRule="auto"/>
              <w:jc w:val="center"/>
              <w:rPr>
                <w:b/>
                <w:bCs/>
                <w:sz w:val="24"/>
                <w:szCs w:val="24"/>
                <w:shd w:val="clear" w:color="auto" w:fill="FFFFFF"/>
              </w:rPr>
            </w:pPr>
            <w:r w:rsidRPr="00E8145A">
              <w:rPr>
                <w:b/>
                <w:sz w:val="24"/>
                <w:szCs w:val="24"/>
                <w:shd w:val="clear" w:color="auto" w:fill="FFFFFF"/>
              </w:rPr>
              <w:t>Редакція проекту рішення НКРЕКП</w:t>
            </w:r>
          </w:p>
          <w:p w14:paraId="05F1AD7C" w14:textId="77777777" w:rsidR="0088383A" w:rsidRPr="00E8145A" w:rsidRDefault="0088383A" w:rsidP="007D7538">
            <w:pPr>
              <w:spacing w:after="0" w:line="240" w:lineRule="auto"/>
              <w:jc w:val="center"/>
              <w:rPr>
                <w:b/>
                <w:sz w:val="24"/>
                <w:szCs w:val="24"/>
              </w:rPr>
            </w:pPr>
          </w:p>
        </w:tc>
        <w:tc>
          <w:tcPr>
            <w:tcW w:w="5141" w:type="dxa"/>
          </w:tcPr>
          <w:p w14:paraId="23992678" w14:textId="484D840B" w:rsidR="0088383A" w:rsidRPr="00E8145A" w:rsidRDefault="0088383A" w:rsidP="007D7538">
            <w:pPr>
              <w:spacing w:after="0" w:line="240" w:lineRule="auto"/>
              <w:jc w:val="center"/>
              <w:rPr>
                <w:b/>
                <w:bCs/>
                <w:sz w:val="24"/>
                <w:szCs w:val="24"/>
                <w:shd w:val="clear" w:color="auto" w:fill="FFFFFF"/>
              </w:rPr>
            </w:pPr>
            <w:r w:rsidRPr="00E8145A">
              <w:rPr>
                <w:b/>
                <w:sz w:val="24"/>
                <w:szCs w:val="24"/>
                <w:shd w:val="clear" w:color="auto" w:fill="FFFFFF"/>
              </w:rPr>
              <w:t>Зауваження та пропозиції до проекту рішення НКРЕКП</w:t>
            </w:r>
          </w:p>
        </w:tc>
        <w:tc>
          <w:tcPr>
            <w:tcW w:w="4910" w:type="dxa"/>
          </w:tcPr>
          <w:p w14:paraId="45659AD1" w14:textId="77777777" w:rsidR="0088383A" w:rsidRPr="00E8145A" w:rsidRDefault="0088383A" w:rsidP="007D7538">
            <w:pPr>
              <w:spacing w:after="0" w:line="240" w:lineRule="auto"/>
              <w:jc w:val="center"/>
              <w:rPr>
                <w:b/>
                <w:bCs/>
                <w:sz w:val="24"/>
                <w:szCs w:val="24"/>
                <w:shd w:val="clear" w:color="auto" w:fill="FFFFFF"/>
              </w:rPr>
            </w:pPr>
            <w:r w:rsidRPr="00E8145A">
              <w:rPr>
                <w:b/>
                <w:sz w:val="24"/>
                <w:szCs w:val="24"/>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0E14E8" w:rsidRPr="00E8145A" w14:paraId="50080CC9" w14:textId="77777777" w:rsidTr="000E14E8">
        <w:trPr>
          <w:trHeight w:val="412"/>
        </w:trPr>
        <w:tc>
          <w:tcPr>
            <w:tcW w:w="15253" w:type="dxa"/>
            <w:gridSpan w:val="3"/>
          </w:tcPr>
          <w:p w14:paraId="6B88C042" w14:textId="0B796EF6" w:rsidR="007D7538" w:rsidRPr="00E8145A" w:rsidRDefault="007D7538" w:rsidP="007D7538">
            <w:pPr>
              <w:spacing w:after="0" w:line="240" w:lineRule="auto"/>
              <w:jc w:val="center"/>
              <w:rPr>
                <w:b/>
                <w:sz w:val="24"/>
                <w:szCs w:val="24"/>
              </w:rPr>
            </w:pPr>
            <w:r w:rsidRPr="00E8145A">
              <w:rPr>
                <w:b/>
                <w:sz w:val="24"/>
                <w:szCs w:val="24"/>
              </w:rPr>
              <w:t xml:space="preserve">У пункті 2.3 глави 2  Ліцензійних  умовах </w:t>
            </w:r>
            <w:r w:rsidRPr="00E8145A">
              <w:rPr>
                <w:b/>
                <w:bCs/>
                <w:sz w:val="24"/>
                <w:szCs w:val="24"/>
                <w:shd w:val="clear" w:color="auto" w:fill="FFFFFF"/>
              </w:rPr>
              <w:t>провадження господарської діяльності з передачі електричної енергії</w:t>
            </w:r>
            <w:r w:rsidRPr="00E8145A">
              <w:rPr>
                <w:b/>
                <w:sz w:val="24"/>
                <w:szCs w:val="24"/>
              </w:rPr>
              <w:t xml:space="preserve">, </w:t>
            </w:r>
          </w:p>
          <w:p w14:paraId="7B45E6F9" w14:textId="77777777" w:rsidR="000E14E8" w:rsidRPr="00E8145A" w:rsidRDefault="007D7538" w:rsidP="007D7538">
            <w:pPr>
              <w:spacing w:after="0" w:line="240" w:lineRule="auto"/>
              <w:jc w:val="center"/>
              <w:rPr>
                <w:b/>
                <w:sz w:val="24"/>
                <w:szCs w:val="24"/>
              </w:rPr>
            </w:pPr>
            <w:r w:rsidRPr="00E8145A">
              <w:rPr>
                <w:b/>
                <w:sz w:val="24"/>
                <w:szCs w:val="24"/>
              </w:rPr>
              <w:t>затверджених постановою НКРЕКП від 09 листопада 2017 року № 1388</w:t>
            </w:r>
          </w:p>
          <w:p w14:paraId="69A3E7FF" w14:textId="78449CF2" w:rsidR="007D7538" w:rsidRPr="00E8145A" w:rsidRDefault="007D7538" w:rsidP="007D7538">
            <w:pPr>
              <w:spacing w:after="0" w:line="240" w:lineRule="auto"/>
              <w:jc w:val="center"/>
              <w:rPr>
                <w:b/>
                <w:sz w:val="24"/>
                <w:szCs w:val="24"/>
                <w:shd w:val="clear" w:color="auto" w:fill="FFFFFF"/>
              </w:rPr>
            </w:pPr>
          </w:p>
        </w:tc>
      </w:tr>
      <w:tr w:rsidR="000E14E8" w:rsidRPr="00E8145A" w14:paraId="7802A3AF" w14:textId="77777777" w:rsidTr="008768E0">
        <w:trPr>
          <w:trHeight w:val="847"/>
        </w:trPr>
        <w:tc>
          <w:tcPr>
            <w:tcW w:w="5202" w:type="dxa"/>
          </w:tcPr>
          <w:p w14:paraId="591BDD8C" w14:textId="68EFA847" w:rsidR="00000B3E" w:rsidRPr="00E8145A" w:rsidRDefault="00000B3E" w:rsidP="007D7538">
            <w:pPr>
              <w:spacing w:after="0" w:line="240" w:lineRule="auto"/>
              <w:jc w:val="both"/>
              <w:rPr>
                <w:sz w:val="24"/>
                <w:szCs w:val="24"/>
              </w:rPr>
            </w:pPr>
          </w:p>
          <w:p w14:paraId="26278810" w14:textId="4CA293A8" w:rsidR="000E14E8" w:rsidRPr="00E8145A" w:rsidRDefault="000E14E8" w:rsidP="007D7538">
            <w:pPr>
              <w:pStyle w:val="rvps2"/>
              <w:spacing w:before="0" w:beforeAutospacing="0" w:after="0" w:afterAutospacing="0"/>
              <w:jc w:val="both"/>
              <w:rPr>
                <w:lang w:val="uk-UA"/>
              </w:rPr>
            </w:pPr>
            <w:r w:rsidRPr="00E8145A">
              <w:rPr>
                <w:lang w:val="uk-UA"/>
              </w:rPr>
              <w:t>підпункт 50 доповнити новим абзацом другим такого змісту:</w:t>
            </w:r>
          </w:p>
          <w:p w14:paraId="6685FB1C" w14:textId="089C77A5" w:rsidR="00000B3E" w:rsidRPr="00E8145A" w:rsidRDefault="007D7538" w:rsidP="007D7538">
            <w:pPr>
              <w:spacing w:after="0" w:line="240" w:lineRule="auto"/>
              <w:jc w:val="both"/>
              <w:rPr>
                <w:b/>
                <w:sz w:val="24"/>
                <w:szCs w:val="24"/>
                <w:shd w:val="clear" w:color="auto" w:fill="FFFFFF"/>
              </w:rPr>
            </w:pPr>
            <w:r w:rsidRPr="00E8145A">
              <w:rPr>
                <w:sz w:val="24"/>
                <w:szCs w:val="24"/>
                <w:shd w:val="clear" w:color="auto" w:fill="FFFFFF"/>
              </w:rPr>
              <w:t>«</w:t>
            </w:r>
            <w:r w:rsidR="000E14E8" w:rsidRPr="00E8145A">
              <w:rPr>
                <w:rStyle w:val="rvts0"/>
                <w:rFonts w:eastAsiaTheme="majorEastAsia"/>
                <w:bCs/>
                <w:sz w:val="24"/>
                <w:szCs w:val="24"/>
              </w:rPr>
              <w:t xml:space="preserve">При проведенні розрахунків за надані послуги із забезпечення  збільшення частки виробництва енергії з альтернативних джерел енергії, забезпечувати недискримінаційну </w:t>
            </w:r>
            <w:r w:rsidR="000E14E8" w:rsidRPr="00E8145A">
              <w:rPr>
                <w:rStyle w:val="rvts0"/>
                <w:rFonts w:eastAsiaTheme="majorEastAsia"/>
                <w:b/>
                <w:bCs/>
                <w:sz w:val="24"/>
                <w:szCs w:val="24"/>
              </w:rPr>
              <w:t>та пропорційну</w:t>
            </w:r>
            <w:r w:rsidR="000E14E8" w:rsidRPr="00E8145A">
              <w:rPr>
                <w:rStyle w:val="rvts0"/>
                <w:rFonts w:eastAsiaTheme="majorEastAsia"/>
                <w:bCs/>
                <w:sz w:val="24"/>
                <w:szCs w:val="24"/>
              </w:rPr>
              <w:t xml:space="preserve"> оплату цих послуг відповідно до затвердженої структури тарифу на послугу з передачі електричної енергії</w:t>
            </w:r>
            <w:r w:rsidRPr="00E8145A">
              <w:rPr>
                <w:rStyle w:val="rvts0"/>
                <w:rFonts w:eastAsiaTheme="majorEastAsia"/>
                <w:bCs/>
                <w:sz w:val="24"/>
                <w:szCs w:val="24"/>
              </w:rPr>
              <w:t>»</w:t>
            </w:r>
            <w:r w:rsidR="000E14E8" w:rsidRPr="00E8145A">
              <w:rPr>
                <w:rStyle w:val="rvts0"/>
                <w:rFonts w:eastAsiaTheme="majorEastAsia"/>
                <w:bCs/>
                <w:sz w:val="24"/>
                <w:szCs w:val="24"/>
              </w:rPr>
              <w:t>;</w:t>
            </w:r>
            <w:r w:rsidR="000E14E8" w:rsidRPr="00E8145A">
              <w:rPr>
                <w:rStyle w:val="rvts0"/>
                <w:rFonts w:eastAsiaTheme="majorEastAsia"/>
                <w:b/>
                <w:bCs/>
                <w:sz w:val="24"/>
                <w:szCs w:val="24"/>
              </w:rPr>
              <w:t xml:space="preserve"> </w:t>
            </w:r>
          </w:p>
        </w:tc>
        <w:tc>
          <w:tcPr>
            <w:tcW w:w="5141" w:type="dxa"/>
          </w:tcPr>
          <w:p w14:paraId="56BC5AF4" w14:textId="4B4D0BCB" w:rsidR="00095AEC" w:rsidRPr="00E8145A" w:rsidRDefault="007D7538" w:rsidP="007D7538">
            <w:pPr>
              <w:pStyle w:val="rvps2"/>
              <w:shd w:val="clear" w:color="auto" w:fill="FFFFFF"/>
              <w:spacing w:before="0" w:beforeAutospacing="0" w:after="0" w:afterAutospacing="0"/>
              <w:jc w:val="both"/>
              <w:rPr>
                <w:b/>
                <w:lang w:val="uk-UA"/>
              </w:rPr>
            </w:pPr>
            <w:r w:rsidRPr="00E8145A">
              <w:rPr>
                <w:b/>
                <w:lang w:val="uk-UA"/>
              </w:rPr>
              <w:t xml:space="preserve">   </w:t>
            </w:r>
            <w:r w:rsidR="003A76DF" w:rsidRPr="00E8145A">
              <w:rPr>
                <w:b/>
                <w:lang w:val="uk-UA"/>
              </w:rPr>
              <w:t>НЕК «УКРЕНЕРГО»</w:t>
            </w:r>
          </w:p>
          <w:p w14:paraId="03017BE0" w14:textId="0A0C40D7" w:rsidR="000E14E8" w:rsidRPr="00E8145A" w:rsidRDefault="00095AEC" w:rsidP="007D7538">
            <w:pPr>
              <w:pStyle w:val="rvps2"/>
              <w:spacing w:before="0" w:beforeAutospacing="0" w:after="0" w:afterAutospacing="0"/>
              <w:jc w:val="both"/>
              <w:rPr>
                <w:lang w:val="uk-UA"/>
              </w:rPr>
            </w:pPr>
            <w:r w:rsidRPr="00E8145A">
              <w:rPr>
                <w:b/>
                <w:i/>
                <w:u w:val="single"/>
                <w:lang w:val="uk-UA"/>
              </w:rPr>
              <w:t>Пропозиції</w:t>
            </w:r>
            <w:r w:rsidRPr="00E8145A">
              <w:rPr>
                <w:b/>
                <w:u w:val="single"/>
                <w:lang w:val="uk-UA"/>
              </w:rPr>
              <w:t>:</w:t>
            </w:r>
            <w:r w:rsidRPr="00E8145A">
              <w:rPr>
                <w:lang w:val="uk-UA"/>
              </w:rPr>
              <w:t xml:space="preserve"> </w:t>
            </w:r>
            <w:r w:rsidR="000E14E8" w:rsidRPr="00E8145A">
              <w:rPr>
                <w:lang w:val="uk-UA"/>
              </w:rPr>
              <w:t>підпункт 50 доповнити новим абзацом у такій редакції:</w:t>
            </w:r>
          </w:p>
          <w:p w14:paraId="08551C66" w14:textId="46B98E0B" w:rsidR="00095AEC" w:rsidRPr="00E8145A" w:rsidRDefault="007D7538" w:rsidP="007D7538">
            <w:pPr>
              <w:pStyle w:val="11"/>
              <w:spacing w:after="0" w:line="240" w:lineRule="auto"/>
              <w:ind w:firstLine="220"/>
              <w:jc w:val="both"/>
              <w:rPr>
                <w:rFonts w:ascii="Times New Roman" w:eastAsia="Times New Roman" w:hAnsi="Times New Roman" w:cs="Times New Roman"/>
                <w:bCs/>
                <w:sz w:val="24"/>
                <w:szCs w:val="24"/>
              </w:rPr>
            </w:pPr>
            <w:r w:rsidRPr="00E8145A">
              <w:rPr>
                <w:rStyle w:val="rvts0"/>
                <w:rFonts w:ascii="Times New Roman" w:eastAsiaTheme="majorEastAsia" w:hAnsi="Times New Roman" w:cs="Times New Roman"/>
                <w:bCs/>
                <w:sz w:val="24"/>
                <w:szCs w:val="24"/>
              </w:rPr>
              <w:t>«</w:t>
            </w:r>
            <w:r w:rsidR="000E14E8" w:rsidRPr="00E8145A">
              <w:rPr>
                <w:rStyle w:val="rvts0"/>
                <w:rFonts w:ascii="Times New Roman" w:eastAsiaTheme="majorEastAsia" w:hAnsi="Times New Roman" w:cs="Times New Roman"/>
                <w:bCs/>
                <w:sz w:val="24"/>
                <w:szCs w:val="24"/>
              </w:rPr>
              <w:t xml:space="preserve">При проведенні розрахунків за надані послуги із забезпечення  збільшення частки виробництва енергії з альтернативних джерел енергії, забезпечувати недискримінаційну </w:t>
            </w:r>
            <w:r w:rsidR="000E14E8" w:rsidRPr="00E8145A">
              <w:rPr>
                <w:rStyle w:val="rvts0"/>
                <w:rFonts w:ascii="Times New Roman" w:eastAsiaTheme="majorEastAsia" w:hAnsi="Times New Roman" w:cs="Times New Roman"/>
                <w:b/>
                <w:bCs/>
                <w:strike/>
                <w:sz w:val="24"/>
                <w:szCs w:val="24"/>
              </w:rPr>
              <w:t>та</w:t>
            </w:r>
            <w:r w:rsidR="000E14E8" w:rsidRPr="00E8145A">
              <w:rPr>
                <w:rStyle w:val="rvts0"/>
                <w:rFonts w:ascii="Times New Roman" w:eastAsiaTheme="majorEastAsia" w:hAnsi="Times New Roman" w:cs="Times New Roman"/>
                <w:b/>
                <w:bCs/>
                <w:sz w:val="24"/>
                <w:szCs w:val="24"/>
              </w:rPr>
              <w:t xml:space="preserve"> </w:t>
            </w:r>
            <w:r w:rsidR="000E14E8" w:rsidRPr="00E8145A">
              <w:rPr>
                <w:rStyle w:val="rvts0"/>
                <w:rFonts w:ascii="Times New Roman" w:eastAsiaTheme="majorEastAsia" w:hAnsi="Times New Roman" w:cs="Times New Roman"/>
                <w:b/>
                <w:bCs/>
                <w:strike/>
                <w:sz w:val="24"/>
                <w:szCs w:val="24"/>
              </w:rPr>
              <w:t>пропорційну</w:t>
            </w:r>
            <w:r w:rsidR="000E14E8" w:rsidRPr="00E8145A">
              <w:rPr>
                <w:rStyle w:val="rvts0"/>
                <w:rFonts w:ascii="Times New Roman" w:eastAsiaTheme="majorEastAsia" w:hAnsi="Times New Roman" w:cs="Times New Roman"/>
                <w:bCs/>
                <w:sz w:val="24"/>
                <w:szCs w:val="24"/>
              </w:rPr>
              <w:t xml:space="preserve"> оплату цих послуг відповідно до затвердженої структури тарифу на послугу з передачі електричної енергії;</w:t>
            </w:r>
            <w:r w:rsidR="00095AEC" w:rsidRPr="00E8145A">
              <w:rPr>
                <w:rFonts w:ascii="Times New Roman" w:eastAsia="Times New Roman" w:hAnsi="Times New Roman" w:cs="Times New Roman"/>
                <w:bCs/>
                <w:sz w:val="24"/>
                <w:szCs w:val="24"/>
              </w:rPr>
              <w:t xml:space="preserve">. </w:t>
            </w:r>
          </w:p>
          <w:p w14:paraId="3317ABD9" w14:textId="77777777" w:rsidR="00095AEC" w:rsidRPr="00E8145A" w:rsidRDefault="00095AEC" w:rsidP="007D7538">
            <w:pPr>
              <w:pStyle w:val="11"/>
              <w:spacing w:after="0" w:line="240" w:lineRule="auto"/>
              <w:ind w:firstLine="220"/>
              <w:jc w:val="both"/>
              <w:rPr>
                <w:rFonts w:ascii="Times New Roman" w:eastAsia="Times New Roman" w:hAnsi="Times New Roman" w:cs="Times New Roman"/>
                <w:bCs/>
                <w:sz w:val="24"/>
                <w:szCs w:val="24"/>
              </w:rPr>
            </w:pPr>
          </w:p>
          <w:p w14:paraId="095F4AD8" w14:textId="77777777" w:rsidR="000E14E8" w:rsidRPr="00E8145A" w:rsidRDefault="00095AEC" w:rsidP="007D7538">
            <w:pPr>
              <w:spacing w:after="0" w:line="240" w:lineRule="auto"/>
              <w:ind w:firstLine="308"/>
              <w:jc w:val="both"/>
              <w:rPr>
                <w:sz w:val="24"/>
                <w:szCs w:val="24"/>
              </w:rPr>
            </w:pPr>
            <w:r w:rsidRPr="00E8145A">
              <w:rPr>
                <w:bCs/>
                <w:i/>
                <w:sz w:val="24"/>
                <w:szCs w:val="24"/>
                <w:u w:val="single"/>
                <w:shd w:val="clear" w:color="auto" w:fill="FFFFFF"/>
              </w:rPr>
              <w:t>Обґрунтування</w:t>
            </w:r>
            <w:r w:rsidRPr="00E8145A">
              <w:rPr>
                <w:bCs/>
                <w:sz w:val="24"/>
                <w:szCs w:val="24"/>
                <w:shd w:val="clear" w:color="auto" w:fill="FFFFFF"/>
              </w:rPr>
              <w:t xml:space="preserve">: </w:t>
            </w:r>
            <w:r w:rsidR="000E14E8" w:rsidRPr="00E8145A">
              <w:rPr>
                <w:sz w:val="24"/>
                <w:szCs w:val="24"/>
              </w:rPr>
              <w:t>НЕК «Укренерго» здійснює свою діяльність в межах та спосіб, визначених Законом України «Про ринок електричної  енергії» (далі – Закон), а також з дотриманням принципів функціонування ринку електричної енергії, зокрема, щодо недискримінаційної участі в ринку електричної енергії, визначеного ст. 3 Закону.</w:t>
            </w:r>
          </w:p>
          <w:p w14:paraId="3411A81B" w14:textId="77777777" w:rsidR="000E14E8" w:rsidRPr="00E8145A" w:rsidRDefault="000E14E8" w:rsidP="007D7538">
            <w:pPr>
              <w:spacing w:after="0" w:line="240" w:lineRule="auto"/>
              <w:ind w:firstLine="308"/>
              <w:jc w:val="both"/>
              <w:rPr>
                <w:sz w:val="24"/>
                <w:szCs w:val="24"/>
              </w:rPr>
            </w:pPr>
            <w:r w:rsidRPr="00E8145A">
              <w:rPr>
                <w:sz w:val="24"/>
                <w:szCs w:val="24"/>
              </w:rPr>
              <w:t>Згідно з ч. 8 статті 33 Закону оператор системи передачі для забезпечення загальносуспільних інтересів придбаває послуги, які надаються йому на обов’язковій основі суб’єктами ринку, визначеними відповідно до цього Закону, на підставі договору про надання послуг для забезпечення загальносуспільних інтересів, типова форма якого затверджується Регулятором.</w:t>
            </w:r>
          </w:p>
          <w:p w14:paraId="246AD479" w14:textId="77777777" w:rsidR="000E14E8" w:rsidRPr="00E8145A" w:rsidRDefault="000E14E8" w:rsidP="007D7538">
            <w:pPr>
              <w:spacing w:after="0" w:line="240" w:lineRule="auto"/>
              <w:ind w:firstLine="308"/>
              <w:jc w:val="both"/>
              <w:rPr>
                <w:sz w:val="24"/>
                <w:szCs w:val="24"/>
              </w:rPr>
            </w:pPr>
            <w:r w:rsidRPr="00E8145A">
              <w:rPr>
                <w:sz w:val="24"/>
                <w:szCs w:val="24"/>
              </w:rPr>
              <w:t xml:space="preserve">Принцип «пропорційності» є оціночним поняттям та, згідно  з ч. 12 ст. 2 Закону, поширюється на прийняття  рішень (заходів) суб’єктів владних повноважень та інших учасників ринку </w:t>
            </w:r>
            <w:r w:rsidRPr="00E8145A">
              <w:rPr>
                <w:b/>
                <w:bCs/>
                <w:sz w:val="24"/>
                <w:szCs w:val="24"/>
              </w:rPr>
              <w:t xml:space="preserve">у випадках, передбачених цим Законом.  </w:t>
            </w:r>
            <w:r w:rsidRPr="00E8145A">
              <w:rPr>
                <w:sz w:val="24"/>
                <w:szCs w:val="24"/>
              </w:rPr>
              <w:t>Так, згідно з принципом пропорційності, визначеним у ст. 12 Закону, рішення (заходи) суб’єктів владних повноважень повинні бути необхідними і мінімально достатніми для досягнення мети - задоволення загальносуспільного інтересу</w:t>
            </w:r>
            <w:r w:rsidRPr="00E8145A">
              <w:rPr>
                <w:b/>
                <w:bCs/>
                <w:sz w:val="24"/>
                <w:szCs w:val="24"/>
              </w:rPr>
              <w:t>.</w:t>
            </w:r>
          </w:p>
          <w:p w14:paraId="3165F66E" w14:textId="77777777" w:rsidR="000E14E8" w:rsidRPr="00E8145A" w:rsidRDefault="000E14E8" w:rsidP="007D7538">
            <w:pPr>
              <w:spacing w:after="0" w:line="240" w:lineRule="auto"/>
              <w:ind w:firstLine="308"/>
              <w:jc w:val="both"/>
              <w:rPr>
                <w:sz w:val="24"/>
                <w:szCs w:val="24"/>
              </w:rPr>
            </w:pPr>
            <w:r w:rsidRPr="00E8145A">
              <w:rPr>
                <w:b/>
                <w:bCs/>
                <w:sz w:val="24"/>
                <w:szCs w:val="24"/>
              </w:rPr>
              <w:t>Водночас,  </w:t>
            </w:r>
            <w:r w:rsidRPr="00E8145A">
              <w:rPr>
                <w:b/>
                <w:bCs/>
                <w:sz w:val="24"/>
                <w:szCs w:val="24"/>
                <w:u w:val="single"/>
              </w:rPr>
              <w:t>у Законі не визначені</w:t>
            </w:r>
            <w:r w:rsidRPr="00E8145A">
              <w:rPr>
                <w:b/>
                <w:bCs/>
                <w:sz w:val="24"/>
                <w:szCs w:val="24"/>
              </w:rPr>
              <w:t xml:space="preserve">  положення щодо механізму застосування принципу пропорційності щодо здійснення розрахунків  за послуги із забезпечення збільшення частки виробництва електричної енергії з альтернативних джерел.</w:t>
            </w:r>
          </w:p>
          <w:p w14:paraId="4C96ADC0" w14:textId="77777777" w:rsidR="000E14E8" w:rsidRPr="00E8145A" w:rsidRDefault="000E14E8" w:rsidP="007D7538">
            <w:pPr>
              <w:spacing w:after="0" w:line="240" w:lineRule="auto"/>
              <w:ind w:firstLine="308"/>
              <w:jc w:val="both"/>
              <w:rPr>
                <w:sz w:val="24"/>
                <w:szCs w:val="24"/>
              </w:rPr>
            </w:pPr>
            <w:r w:rsidRPr="00E8145A">
              <w:rPr>
                <w:b/>
                <w:bCs/>
                <w:sz w:val="24"/>
                <w:szCs w:val="24"/>
              </w:rPr>
              <w:t>Оскільки основним джерелом фінансування витрат НЕК «УКРЕНЕРГО» на виконання покладених спеціальних обов’язків є надходження коштів від учасників ринку за послуги з передачі електричної енергії, оплата вартості Послуги ПУП забезпечується виключно за наявності фінансової можливості для здійснення платежів з урахуванням обсягу витрат на Послугу ПУП, включену до структури тарифу на послуги з передачі електричної енергії НЕК «УКРЕНЕРГО».</w:t>
            </w:r>
          </w:p>
          <w:p w14:paraId="4B948EFE" w14:textId="77777777" w:rsidR="000E14E8" w:rsidRPr="00E8145A" w:rsidRDefault="000E14E8" w:rsidP="007D7538">
            <w:pPr>
              <w:spacing w:after="0" w:line="240" w:lineRule="auto"/>
              <w:ind w:firstLine="308"/>
              <w:jc w:val="both"/>
              <w:rPr>
                <w:sz w:val="24"/>
                <w:szCs w:val="24"/>
              </w:rPr>
            </w:pPr>
            <w:r w:rsidRPr="00E8145A">
              <w:rPr>
                <w:sz w:val="24"/>
                <w:szCs w:val="24"/>
              </w:rPr>
              <w:t>Таким чином, оплата за послуги із забезпечення збільшення частки виробництва електричної енергії з альтернативних джерел повинна забезпечуватись у відповідному розмірі, виходячи, в  тому числі, від повноти та своєчасності надходжень коштів від учасників ринку електричної енергії (усіх та кожного зокрема) за послуги з передачі електричної енергії.</w:t>
            </w:r>
          </w:p>
          <w:p w14:paraId="1D3E83DC" w14:textId="77777777" w:rsidR="000E14E8" w:rsidRPr="00E8145A" w:rsidRDefault="000E14E8" w:rsidP="007D7538">
            <w:pPr>
              <w:spacing w:after="0" w:line="240" w:lineRule="auto"/>
              <w:ind w:firstLine="308"/>
              <w:jc w:val="both"/>
              <w:rPr>
                <w:sz w:val="24"/>
                <w:szCs w:val="24"/>
              </w:rPr>
            </w:pPr>
            <w:r w:rsidRPr="00E8145A">
              <w:rPr>
                <w:sz w:val="24"/>
                <w:szCs w:val="24"/>
              </w:rPr>
              <w:t>Окрім цього, розмір вартості послуги із забезпечення збільшення частки виробництва електричної енергії з альтернативних джерел в процесі її надання, може коригуватись у сторону зменшення (збільшення), що може призводити до диспропорцій показників «пропорційності» у розрахунках за договорами про надання послуги із забезпечення збільшення частки виробництва електричної енергії з альтернативних джерел.</w:t>
            </w:r>
          </w:p>
          <w:p w14:paraId="3CFF402E" w14:textId="77777777" w:rsidR="00000B3E" w:rsidRPr="00E8145A" w:rsidRDefault="00000B3E" w:rsidP="007D7538">
            <w:pPr>
              <w:spacing w:after="0" w:line="240" w:lineRule="auto"/>
              <w:jc w:val="both"/>
              <w:rPr>
                <w:b/>
                <w:sz w:val="24"/>
                <w:szCs w:val="24"/>
                <w:shd w:val="clear" w:color="auto" w:fill="FFFFFF"/>
              </w:rPr>
            </w:pPr>
          </w:p>
        </w:tc>
        <w:tc>
          <w:tcPr>
            <w:tcW w:w="4910" w:type="dxa"/>
          </w:tcPr>
          <w:p w14:paraId="10613FF1" w14:textId="77777777" w:rsidR="00000B3E" w:rsidRPr="006A5AA0" w:rsidRDefault="00000B3E" w:rsidP="006A5AA0">
            <w:pPr>
              <w:spacing w:after="0" w:line="240" w:lineRule="auto"/>
              <w:jc w:val="both"/>
              <w:rPr>
                <w:b/>
                <w:sz w:val="24"/>
                <w:szCs w:val="24"/>
                <w:shd w:val="clear" w:color="auto" w:fill="FFFFFF"/>
              </w:rPr>
            </w:pPr>
          </w:p>
          <w:p w14:paraId="494510F1" w14:textId="1AFCA0EA" w:rsidR="007834BC" w:rsidRPr="006A5AA0" w:rsidRDefault="006807E8" w:rsidP="006A5AA0">
            <w:pPr>
              <w:spacing w:after="0" w:line="240" w:lineRule="auto"/>
              <w:jc w:val="both"/>
              <w:rPr>
                <w:b/>
                <w:sz w:val="24"/>
                <w:szCs w:val="24"/>
                <w:shd w:val="clear" w:color="auto" w:fill="FFFFFF"/>
              </w:rPr>
            </w:pPr>
            <w:r>
              <w:rPr>
                <w:b/>
                <w:sz w:val="24"/>
                <w:szCs w:val="24"/>
                <w:shd w:val="clear" w:color="auto" w:fill="FFFFFF"/>
              </w:rPr>
              <w:t>Не враховано</w:t>
            </w:r>
          </w:p>
          <w:p w14:paraId="3D3C18D0" w14:textId="68B973CD" w:rsidR="006A5AA0" w:rsidRPr="006A5AA0" w:rsidRDefault="006807E8" w:rsidP="006807E8">
            <w:pPr>
              <w:pStyle w:val="rvps2"/>
              <w:shd w:val="clear" w:color="auto" w:fill="FFFFFF"/>
              <w:spacing w:before="0" w:beforeAutospacing="0" w:after="0" w:afterAutospacing="0"/>
              <w:jc w:val="both"/>
              <w:rPr>
                <w:lang w:val="uk-UA"/>
              </w:rPr>
            </w:pPr>
            <w:r>
              <w:rPr>
                <w:shd w:val="clear" w:color="auto" w:fill="FFFFFF"/>
                <w:lang w:val="uk-UA"/>
              </w:rPr>
              <w:t>З</w:t>
            </w:r>
            <w:r w:rsidR="006A5AA0" w:rsidRPr="00502DDB">
              <w:rPr>
                <w:shd w:val="clear" w:color="auto" w:fill="FFFFFF"/>
                <w:lang w:val="uk-UA"/>
              </w:rPr>
              <w:t>гідно зі статтею 62 Закону України «Про ринок електричної енергії»</w:t>
            </w:r>
            <w:r>
              <w:rPr>
                <w:shd w:val="clear" w:color="auto" w:fill="FFFFFF"/>
                <w:lang w:val="uk-UA"/>
              </w:rPr>
              <w:t xml:space="preserve"> </w:t>
            </w:r>
            <w:bookmarkStart w:id="1" w:name="n1246"/>
            <w:bookmarkEnd w:id="1"/>
            <w:r w:rsidR="006A5AA0" w:rsidRPr="006807E8">
              <w:rPr>
                <w:bCs/>
                <w:lang w:val="uk-UA"/>
              </w:rPr>
              <w:t xml:space="preserve">обсяг та </w:t>
            </w:r>
            <w:r w:rsidRPr="006807E8">
              <w:rPr>
                <w:bCs/>
                <w:lang w:val="uk-UA"/>
              </w:rPr>
              <w:t>умови виконання спеціальних обов’язків, покладених Кабінетом Міністрів України на учасників ринку, мають бути необхідними та пропорційними до мети задоволення правомірного загальносуспільного інтересу та такими, що створюють найменші перешкоди для розвитку ринку електричної енергії</w:t>
            </w:r>
            <w:r w:rsidR="006A5AA0" w:rsidRPr="006807E8">
              <w:rPr>
                <w:bCs/>
                <w:lang w:val="uk-UA"/>
              </w:rPr>
              <w:t>.</w:t>
            </w:r>
          </w:p>
          <w:p w14:paraId="274E0AD7" w14:textId="29844A59" w:rsidR="006A5AA0" w:rsidRPr="006A5AA0" w:rsidRDefault="006A5AA0" w:rsidP="006A5AA0">
            <w:pPr>
              <w:spacing w:after="0" w:line="240" w:lineRule="auto"/>
              <w:jc w:val="both"/>
              <w:rPr>
                <w:b/>
                <w:sz w:val="24"/>
                <w:szCs w:val="24"/>
                <w:shd w:val="clear" w:color="auto" w:fill="FFFFFF"/>
              </w:rPr>
            </w:pPr>
          </w:p>
        </w:tc>
      </w:tr>
      <w:tr w:rsidR="007D7538" w:rsidRPr="00E8145A" w14:paraId="55C65918" w14:textId="77777777" w:rsidTr="008768E0">
        <w:trPr>
          <w:trHeight w:val="847"/>
        </w:trPr>
        <w:tc>
          <w:tcPr>
            <w:tcW w:w="5202" w:type="dxa"/>
          </w:tcPr>
          <w:p w14:paraId="70158371" w14:textId="77777777" w:rsidR="00E8145A" w:rsidRDefault="00E8145A" w:rsidP="007D7538">
            <w:pPr>
              <w:pStyle w:val="rvps2"/>
              <w:spacing w:before="0" w:beforeAutospacing="0" w:after="0" w:afterAutospacing="0"/>
              <w:jc w:val="both"/>
              <w:rPr>
                <w:lang w:val="uk-UA"/>
              </w:rPr>
            </w:pPr>
          </w:p>
          <w:p w14:paraId="4CF18341" w14:textId="2F627B00" w:rsidR="007D7538" w:rsidRPr="00E8145A" w:rsidRDefault="007D7538" w:rsidP="007D7538">
            <w:pPr>
              <w:pStyle w:val="rvps2"/>
              <w:spacing w:before="0" w:beforeAutospacing="0" w:after="0" w:afterAutospacing="0"/>
              <w:jc w:val="both"/>
              <w:rPr>
                <w:lang w:val="uk-UA"/>
              </w:rPr>
            </w:pPr>
            <w:r w:rsidRPr="00E8145A">
              <w:rPr>
                <w:lang w:val="uk-UA"/>
              </w:rPr>
              <w:t xml:space="preserve">підпункт 54 після слова та </w:t>
            </w:r>
            <w:proofErr w:type="spellStart"/>
            <w:r w:rsidRPr="00E8145A">
              <w:rPr>
                <w:lang w:val="uk-UA"/>
              </w:rPr>
              <w:t>знака</w:t>
            </w:r>
            <w:proofErr w:type="spellEnd"/>
            <w:r w:rsidRPr="00E8145A">
              <w:rPr>
                <w:lang w:val="uk-UA"/>
              </w:rPr>
              <w:t xml:space="preserve"> «закупівлі» » доповнити знаком та словами «, якщо інше не передбачено законом»;</w:t>
            </w:r>
          </w:p>
          <w:p w14:paraId="26516637" w14:textId="77777777" w:rsidR="000E14E8" w:rsidRPr="00E8145A" w:rsidRDefault="000E14E8" w:rsidP="007D7538">
            <w:pPr>
              <w:spacing w:after="0" w:line="240" w:lineRule="auto"/>
              <w:jc w:val="both"/>
              <w:rPr>
                <w:sz w:val="24"/>
                <w:szCs w:val="24"/>
              </w:rPr>
            </w:pPr>
          </w:p>
        </w:tc>
        <w:tc>
          <w:tcPr>
            <w:tcW w:w="5141" w:type="dxa"/>
          </w:tcPr>
          <w:p w14:paraId="166D9369" w14:textId="77777777" w:rsidR="007D7538" w:rsidRPr="00E8145A" w:rsidRDefault="007D7538" w:rsidP="007D7538">
            <w:pPr>
              <w:pStyle w:val="rvps2"/>
              <w:shd w:val="clear" w:color="auto" w:fill="FFFFFF"/>
              <w:spacing w:before="0" w:beforeAutospacing="0" w:after="0" w:afterAutospacing="0"/>
              <w:ind w:firstLine="220"/>
              <w:jc w:val="both"/>
              <w:rPr>
                <w:b/>
                <w:lang w:val="uk-UA"/>
              </w:rPr>
            </w:pPr>
            <w:r w:rsidRPr="00E8145A">
              <w:rPr>
                <w:b/>
                <w:lang w:val="uk-UA"/>
              </w:rPr>
              <w:t>НЕК «УКРЕНЕРГО»</w:t>
            </w:r>
          </w:p>
          <w:p w14:paraId="04BCE336" w14:textId="7402E6E9" w:rsidR="007D7538" w:rsidRPr="00E8145A" w:rsidRDefault="007D7538" w:rsidP="007D7538">
            <w:pPr>
              <w:pStyle w:val="rvps2"/>
              <w:spacing w:before="0" w:beforeAutospacing="0" w:after="0" w:afterAutospacing="0"/>
              <w:jc w:val="both"/>
              <w:rPr>
                <w:lang w:val="uk-UA"/>
              </w:rPr>
            </w:pPr>
            <w:r w:rsidRPr="00E8145A">
              <w:rPr>
                <w:b/>
                <w:i/>
                <w:u w:val="single"/>
                <w:lang w:val="uk-UA"/>
              </w:rPr>
              <w:t>Пропозиції</w:t>
            </w:r>
            <w:r w:rsidRPr="00E8145A">
              <w:rPr>
                <w:b/>
                <w:u w:val="single"/>
                <w:lang w:val="uk-UA"/>
              </w:rPr>
              <w:t>:</w:t>
            </w:r>
            <w:r w:rsidRPr="00E8145A">
              <w:rPr>
                <w:lang w:val="uk-UA"/>
              </w:rPr>
              <w:t xml:space="preserve"> замінити нумерацію з 54 на 53</w:t>
            </w:r>
          </w:p>
          <w:p w14:paraId="5DC6D57F" w14:textId="77777777" w:rsidR="000E14E8" w:rsidRPr="00E8145A" w:rsidRDefault="000E14E8" w:rsidP="007D7538">
            <w:pPr>
              <w:pStyle w:val="rvps2"/>
              <w:shd w:val="clear" w:color="auto" w:fill="FFFFFF"/>
              <w:spacing w:before="0" w:beforeAutospacing="0" w:after="0" w:afterAutospacing="0"/>
              <w:jc w:val="both"/>
              <w:rPr>
                <w:b/>
                <w:lang w:val="uk-UA"/>
              </w:rPr>
            </w:pPr>
          </w:p>
          <w:p w14:paraId="1BCB17E3" w14:textId="2AB3269D" w:rsidR="007D7538" w:rsidRPr="00E8145A" w:rsidRDefault="007D7538" w:rsidP="007D7538">
            <w:pPr>
              <w:pStyle w:val="rvps2"/>
              <w:shd w:val="clear" w:color="auto" w:fill="FFFFFF"/>
              <w:spacing w:before="0" w:beforeAutospacing="0" w:after="0" w:afterAutospacing="0"/>
              <w:jc w:val="both"/>
              <w:rPr>
                <w:b/>
                <w:lang w:val="uk-UA"/>
              </w:rPr>
            </w:pPr>
            <w:r w:rsidRPr="00E8145A">
              <w:rPr>
                <w:bCs/>
                <w:i/>
                <w:u w:val="single"/>
                <w:shd w:val="clear" w:color="auto" w:fill="FFFFFF"/>
                <w:lang w:val="uk-UA"/>
              </w:rPr>
              <w:t>Обґрунтування</w:t>
            </w:r>
            <w:r w:rsidRPr="00E8145A">
              <w:rPr>
                <w:bCs/>
                <w:shd w:val="clear" w:color="auto" w:fill="FFFFFF"/>
                <w:lang w:val="uk-UA"/>
              </w:rPr>
              <w:t xml:space="preserve">: </w:t>
            </w:r>
            <w:r w:rsidRPr="00E8145A">
              <w:rPr>
                <w:shd w:val="clear" w:color="auto" w:fill="FFFFFF"/>
                <w:lang w:val="uk-UA"/>
              </w:rPr>
              <w:t>відповідно до нумерації, визначеної в інформаційно-правовій системі ЛІГА:ЗАКОН.</w:t>
            </w:r>
          </w:p>
        </w:tc>
        <w:tc>
          <w:tcPr>
            <w:tcW w:w="4910" w:type="dxa"/>
          </w:tcPr>
          <w:p w14:paraId="46C41217" w14:textId="77777777" w:rsidR="000E14E8" w:rsidRPr="00E8145A" w:rsidRDefault="007D7538" w:rsidP="007D7538">
            <w:pPr>
              <w:spacing w:after="0" w:line="240" w:lineRule="auto"/>
              <w:jc w:val="both"/>
              <w:rPr>
                <w:b/>
                <w:sz w:val="24"/>
                <w:szCs w:val="24"/>
                <w:shd w:val="clear" w:color="auto" w:fill="FFFFFF"/>
              </w:rPr>
            </w:pPr>
            <w:r w:rsidRPr="00E8145A">
              <w:rPr>
                <w:b/>
                <w:sz w:val="24"/>
                <w:szCs w:val="24"/>
                <w:shd w:val="clear" w:color="auto" w:fill="FFFFFF"/>
              </w:rPr>
              <w:t>Не враховано</w:t>
            </w:r>
          </w:p>
          <w:p w14:paraId="59601304" w14:textId="04607B18" w:rsidR="007D7538" w:rsidRPr="00E8145A" w:rsidRDefault="007D7538" w:rsidP="007D7538">
            <w:pPr>
              <w:spacing w:after="0" w:line="240" w:lineRule="auto"/>
              <w:jc w:val="both"/>
              <w:rPr>
                <w:b/>
                <w:sz w:val="24"/>
                <w:szCs w:val="24"/>
                <w:shd w:val="clear" w:color="auto" w:fill="FFFFFF"/>
              </w:rPr>
            </w:pPr>
            <w:r w:rsidRPr="00E8145A">
              <w:rPr>
                <w:sz w:val="24"/>
                <w:szCs w:val="24"/>
                <w:shd w:val="clear" w:color="auto" w:fill="FFFFFF"/>
              </w:rPr>
              <w:t xml:space="preserve">Нумерація </w:t>
            </w:r>
            <w:proofErr w:type="spellStart"/>
            <w:r w:rsidRPr="00E8145A">
              <w:rPr>
                <w:sz w:val="24"/>
                <w:szCs w:val="24"/>
                <w:shd w:val="clear" w:color="auto" w:fill="FFFFFF"/>
              </w:rPr>
              <w:t>проєкта</w:t>
            </w:r>
            <w:proofErr w:type="spellEnd"/>
            <w:r w:rsidRPr="00E8145A">
              <w:rPr>
                <w:sz w:val="24"/>
                <w:szCs w:val="24"/>
                <w:shd w:val="clear" w:color="auto" w:fill="FFFFFF"/>
              </w:rPr>
              <w:t xml:space="preserve"> постанови відповідає  нумерації постанови НКРЕКП, розміщеній на  офіційному </w:t>
            </w:r>
            <w:proofErr w:type="spellStart"/>
            <w:r w:rsidRPr="00E8145A">
              <w:rPr>
                <w:sz w:val="24"/>
                <w:szCs w:val="24"/>
                <w:shd w:val="clear" w:color="auto" w:fill="FFFFFF"/>
              </w:rPr>
              <w:t>вебпорталі</w:t>
            </w:r>
            <w:proofErr w:type="spellEnd"/>
            <w:r w:rsidRPr="00E8145A">
              <w:rPr>
                <w:sz w:val="24"/>
                <w:szCs w:val="24"/>
                <w:shd w:val="clear" w:color="auto" w:fill="FFFFFF"/>
              </w:rPr>
              <w:t xml:space="preserve"> парламенту України</w:t>
            </w:r>
            <w:r w:rsidR="00E8145A">
              <w:rPr>
                <w:sz w:val="24"/>
                <w:szCs w:val="24"/>
                <w:shd w:val="clear" w:color="auto" w:fill="FFFFFF"/>
              </w:rPr>
              <w:t>:</w:t>
            </w:r>
            <w:r w:rsidRPr="00E8145A">
              <w:rPr>
                <w:sz w:val="24"/>
                <w:szCs w:val="24"/>
                <w:shd w:val="clear" w:color="auto" w:fill="FFFFFF"/>
              </w:rPr>
              <w:t xml:space="preserve"> </w:t>
            </w:r>
            <w:hyperlink r:id="rId5" w:anchor="Text" w:history="1">
              <w:r w:rsidRPr="00E8145A">
                <w:rPr>
                  <w:rStyle w:val="a5"/>
                  <w:sz w:val="24"/>
                  <w:szCs w:val="24"/>
                  <w:shd w:val="clear" w:color="auto" w:fill="FFFFFF"/>
                </w:rPr>
                <w:t>https://zakon.rada.gov.ua/laws/show/v1388874-17#Text</w:t>
              </w:r>
            </w:hyperlink>
            <w:r w:rsidRPr="00E8145A">
              <w:rPr>
                <w:sz w:val="24"/>
                <w:szCs w:val="24"/>
                <w:shd w:val="clear" w:color="auto" w:fill="FFFFFF"/>
              </w:rPr>
              <w:t xml:space="preserve">. </w:t>
            </w:r>
          </w:p>
        </w:tc>
      </w:tr>
    </w:tbl>
    <w:p w14:paraId="7660D763" w14:textId="77777777" w:rsidR="0036459A" w:rsidRPr="007D7538" w:rsidRDefault="0036459A" w:rsidP="000E14E8">
      <w:pPr>
        <w:jc w:val="both"/>
        <w:rPr>
          <w:sz w:val="24"/>
          <w:szCs w:val="24"/>
        </w:rPr>
      </w:pPr>
    </w:p>
    <w:p w14:paraId="565B82B9" w14:textId="77777777" w:rsidR="007D7538" w:rsidRPr="007D7538" w:rsidRDefault="007D7538">
      <w:pPr>
        <w:jc w:val="both"/>
        <w:rPr>
          <w:sz w:val="24"/>
          <w:szCs w:val="24"/>
        </w:rPr>
      </w:pPr>
    </w:p>
    <w:sectPr w:rsidR="007D7538" w:rsidRPr="007D7538" w:rsidSect="0088383A">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AA7672"/>
    <w:multiLevelType w:val="hybridMultilevel"/>
    <w:tmpl w:val="4B14AEF0"/>
    <w:lvl w:ilvl="0" w:tplc="9D7AC5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67926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3A"/>
    <w:rsid w:val="00000B3E"/>
    <w:rsid w:val="00071718"/>
    <w:rsid w:val="00095AEC"/>
    <w:rsid w:val="000E14E8"/>
    <w:rsid w:val="002933C2"/>
    <w:rsid w:val="0036459A"/>
    <w:rsid w:val="003A76DF"/>
    <w:rsid w:val="00430D7E"/>
    <w:rsid w:val="00502DDB"/>
    <w:rsid w:val="006807E8"/>
    <w:rsid w:val="006A5AA0"/>
    <w:rsid w:val="006B1605"/>
    <w:rsid w:val="006F2820"/>
    <w:rsid w:val="00737FDF"/>
    <w:rsid w:val="007834BC"/>
    <w:rsid w:val="007D7538"/>
    <w:rsid w:val="008210A6"/>
    <w:rsid w:val="0088383A"/>
    <w:rsid w:val="009B605A"/>
    <w:rsid w:val="00BD5238"/>
    <w:rsid w:val="00BD792F"/>
    <w:rsid w:val="00C3301B"/>
    <w:rsid w:val="00C36A72"/>
    <w:rsid w:val="00E408FE"/>
    <w:rsid w:val="00E8145A"/>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99F8D"/>
  <w15:chartTrackingRefBased/>
  <w15:docId w15:val="{30876656-FED5-41E4-8459-AF9FE34D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383A"/>
    <w:pPr>
      <w:spacing w:after="160" w:line="259" w:lineRule="auto"/>
    </w:pPr>
    <w:rPr>
      <w:rFonts w:eastAsiaTheme="minorHAnsi"/>
      <w:sz w:val="28"/>
      <w:szCs w:val="28"/>
      <w:lang w:val="uk-UA"/>
    </w:rPr>
  </w:style>
  <w:style w:type="paragraph" w:styleId="1">
    <w:name w:val="heading 1"/>
    <w:basedOn w:val="a"/>
    <w:next w:val="a"/>
    <w:link w:val="10"/>
    <w:qFormat/>
    <w:rsid w:val="00C3301B"/>
    <w:pPr>
      <w:keepNext/>
      <w:jc w:val="center"/>
      <w:outlineLvl w:val="0"/>
    </w:pPr>
  </w:style>
  <w:style w:type="paragraph" w:styleId="2">
    <w:name w:val="heading 2"/>
    <w:basedOn w:val="a"/>
    <w:next w:val="a"/>
    <w:link w:val="20"/>
    <w:qFormat/>
    <w:rsid w:val="00C3301B"/>
    <w:pPr>
      <w:keepNext/>
      <w:ind w:left="4956" w:firstLine="708"/>
      <w:jc w:val="both"/>
      <w:outlineLvl w:val="1"/>
    </w:pPr>
    <w:rPr>
      <w:b/>
      <w:bCs/>
    </w:rPr>
  </w:style>
  <w:style w:type="paragraph" w:styleId="4">
    <w:name w:val="heading 4"/>
    <w:basedOn w:val="a"/>
    <w:next w:val="a"/>
    <w:link w:val="40"/>
    <w:semiHidden/>
    <w:unhideWhenUsed/>
    <w:qFormat/>
    <w:rsid w:val="00C36A7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uiPriority w:val="9"/>
    <w:rsid w:val="00C3301B"/>
    <w:rPr>
      <w:b/>
      <w:bCs/>
      <w:sz w:val="28"/>
      <w:lang w:val="uk-UA" w:eastAsia="ru-RU"/>
    </w:rPr>
  </w:style>
  <w:style w:type="table" w:styleId="a3">
    <w:name w:val="Table Grid"/>
    <w:basedOn w:val="a1"/>
    <w:uiPriority w:val="39"/>
    <w:rsid w:val="0088383A"/>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8383A"/>
    <w:pPr>
      <w:spacing w:before="100" w:beforeAutospacing="1" w:after="100" w:afterAutospacing="1" w:line="240" w:lineRule="auto"/>
    </w:pPr>
    <w:rPr>
      <w:rFonts w:eastAsia="Times New Roman"/>
      <w:sz w:val="24"/>
      <w:szCs w:val="24"/>
      <w:lang w:val="ru-RU" w:eastAsia="ru-RU"/>
    </w:rPr>
  </w:style>
  <w:style w:type="character" w:customStyle="1" w:styleId="rvts15">
    <w:name w:val="rvts15"/>
    <w:basedOn w:val="a0"/>
    <w:rsid w:val="0088383A"/>
  </w:style>
  <w:style w:type="paragraph" w:styleId="a4">
    <w:name w:val="List Paragraph"/>
    <w:basedOn w:val="a"/>
    <w:uiPriority w:val="34"/>
    <w:qFormat/>
    <w:rsid w:val="00E408FE"/>
    <w:pPr>
      <w:spacing w:after="0" w:line="240" w:lineRule="auto"/>
      <w:ind w:left="720"/>
      <w:contextualSpacing/>
    </w:pPr>
    <w:rPr>
      <w:rFonts w:eastAsia="Times New Roman"/>
      <w:szCs w:val="20"/>
      <w:lang w:val="ru-RU" w:eastAsia="ru-RU"/>
    </w:rPr>
  </w:style>
  <w:style w:type="character" w:styleId="a5">
    <w:name w:val="Hyperlink"/>
    <w:basedOn w:val="a0"/>
    <w:uiPriority w:val="99"/>
    <w:unhideWhenUsed/>
    <w:rsid w:val="00E408FE"/>
    <w:rPr>
      <w:color w:val="0000FF"/>
      <w:u w:val="single"/>
    </w:rPr>
  </w:style>
  <w:style w:type="paragraph" w:styleId="a6">
    <w:name w:val="Normal (Web)"/>
    <w:basedOn w:val="a"/>
    <w:uiPriority w:val="99"/>
    <w:rsid w:val="00C36A72"/>
    <w:pPr>
      <w:spacing w:before="100" w:beforeAutospacing="1" w:after="100" w:afterAutospacing="1" w:line="240" w:lineRule="auto"/>
    </w:pPr>
    <w:rPr>
      <w:rFonts w:eastAsia="Times New Roman"/>
      <w:sz w:val="24"/>
      <w:szCs w:val="24"/>
      <w:lang w:eastAsia="uk-UA"/>
    </w:rPr>
  </w:style>
  <w:style w:type="character" w:customStyle="1" w:styleId="40">
    <w:name w:val="Заголовок 4 Знак"/>
    <w:basedOn w:val="a0"/>
    <w:link w:val="4"/>
    <w:uiPriority w:val="9"/>
    <w:semiHidden/>
    <w:rsid w:val="00C36A72"/>
    <w:rPr>
      <w:rFonts w:asciiTheme="majorHAnsi" w:eastAsiaTheme="majorEastAsia" w:hAnsiTheme="majorHAnsi" w:cstheme="majorBidi"/>
      <w:i/>
      <w:iCs/>
      <w:color w:val="2F5496" w:themeColor="accent1" w:themeShade="BF"/>
      <w:sz w:val="28"/>
      <w:szCs w:val="28"/>
      <w:lang w:val="uk-UA"/>
    </w:rPr>
  </w:style>
  <w:style w:type="paragraph" w:customStyle="1" w:styleId="11">
    <w:name w:val="Обычный1"/>
    <w:rsid w:val="00095AEC"/>
    <w:pPr>
      <w:spacing w:after="160" w:line="259" w:lineRule="auto"/>
    </w:pPr>
    <w:rPr>
      <w:rFonts w:ascii="Calibri" w:eastAsia="Calibri" w:hAnsi="Calibri" w:cs="Calibri"/>
      <w:sz w:val="22"/>
      <w:szCs w:val="22"/>
      <w:lang w:val="uk-UA" w:eastAsia="uk-UA"/>
    </w:rPr>
  </w:style>
  <w:style w:type="character" w:customStyle="1" w:styleId="rvts0">
    <w:name w:val="rvts0"/>
    <w:basedOn w:val="a0"/>
    <w:rsid w:val="000E14E8"/>
  </w:style>
  <w:style w:type="character" w:styleId="a7">
    <w:name w:val="Unresolved Mention"/>
    <w:basedOn w:val="a0"/>
    <w:uiPriority w:val="99"/>
    <w:semiHidden/>
    <w:unhideWhenUsed/>
    <w:rsid w:val="007D7538"/>
    <w:rPr>
      <w:color w:val="605E5C"/>
      <w:shd w:val="clear" w:color="auto" w:fill="E1DFDD"/>
    </w:rPr>
  </w:style>
  <w:style w:type="character" w:customStyle="1" w:styleId="rvts46">
    <w:name w:val="rvts46"/>
    <w:basedOn w:val="a0"/>
    <w:rsid w:val="006A5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636926">
      <w:bodyDiv w:val="1"/>
      <w:marLeft w:val="0"/>
      <w:marRight w:val="0"/>
      <w:marTop w:val="0"/>
      <w:marBottom w:val="0"/>
      <w:divBdr>
        <w:top w:val="none" w:sz="0" w:space="0" w:color="auto"/>
        <w:left w:val="none" w:sz="0" w:space="0" w:color="auto"/>
        <w:bottom w:val="none" w:sz="0" w:space="0" w:color="auto"/>
        <w:right w:val="none" w:sz="0" w:space="0" w:color="auto"/>
      </w:divBdr>
    </w:div>
    <w:div w:id="1407455584">
      <w:bodyDiv w:val="1"/>
      <w:marLeft w:val="0"/>
      <w:marRight w:val="0"/>
      <w:marTop w:val="0"/>
      <w:marBottom w:val="0"/>
      <w:divBdr>
        <w:top w:val="none" w:sz="0" w:space="0" w:color="auto"/>
        <w:left w:val="none" w:sz="0" w:space="0" w:color="auto"/>
        <w:bottom w:val="none" w:sz="0" w:space="0" w:color="auto"/>
        <w:right w:val="none" w:sz="0" w:space="0" w:color="auto"/>
      </w:divBdr>
    </w:div>
    <w:div w:id="165846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v1388874-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2991</Words>
  <Characters>1706</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2</cp:revision>
  <dcterms:created xsi:type="dcterms:W3CDTF">2025-05-15T10:57:00Z</dcterms:created>
  <dcterms:modified xsi:type="dcterms:W3CDTF">2025-05-15T10:57:00Z</dcterms:modified>
</cp:coreProperties>
</file>