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pPr w:leftFromText="180" w:rightFromText="180" w:vertAnchor="text" w:tblpY="1"/>
        <w:tblOverlap w:val="never"/>
        <w:tblW w:w="15310" w:type="dxa"/>
        <w:tblLayout w:type="fixed"/>
        <w:tblLook w:val="04A0" w:firstRow="1" w:lastRow="0" w:firstColumn="1" w:lastColumn="0" w:noHBand="0" w:noVBand="1"/>
      </w:tblPr>
      <w:tblGrid>
        <w:gridCol w:w="4962"/>
        <w:gridCol w:w="6946"/>
        <w:gridCol w:w="3402"/>
      </w:tblGrid>
      <w:tr w:rsidR="00F50F48" w:rsidRPr="008E4570" w14:paraId="07C1F6A1" w14:textId="361B2DE4" w:rsidTr="00F50F48">
        <w:tc>
          <w:tcPr>
            <w:tcW w:w="15310" w:type="dxa"/>
            <w:gridSpan w:val="3"/>
          </w:tcPr>
          <w:p w14:paraId="212E110A" w14:textId="77777777" w:rsidR="00F50F48" w:rsidRDefault="00F50F48" w:rsidP="00F50F48">
            <w:pPr>
              <w:spacing w:after="0" w:line="240" w:lineRule="auto"/>
              <w:jc w:val="center"/>
              <w:rPr>
                <w:rFonts w:ascii="Times New Roman" w:eastAsia="Times New Roman" w:hAnsi="Times New Roman" w:cs="Times New Roman"/>
                <w:b/>
                <w:sz w:val="28"/>
                <w:szCs w:val="28"/>
                <w:lang w:val="uk-UA" w:eastAsia="uk-UA"/>
              </w:rPr>
            </w:pPr>
            <w:r w:rsidRPr="00FD5AFC">
              <w:rPr>
                <w:rFonts w:ascii="Times New Roman" w:eastAsia="Times New Roman" w:hAnsi="Times New Roman" w:cs="Times New Roman"/>
                <w:b/>
                <w:sz w:val="28"/>
                <w:szCs w:val="28"/>
                <w:lang w:val="uk-UA" w:eastAsia="uk-UA"/>
              </w:rPr>
              <w:t xml:space="preserve">Узагальнені зауваження та пропозиції до </w:t>
            </w:r>
            <w:proofErr w:type="spellStart"/>
            <w:r w:rsidRPr="00FD5AFC">
              <w:rPr>
                <w:rFonts w:ascii="Times New Roman" w:eastAsia="Times New Roman" w:hAnsi="Times New Roman" w:cs="Times New Roman"/>
                <w:b/>
                <w:sz w:val="28"/>
                <w:szCs w:val="28"/>
                <w:lang w:val="uk-UA" w:eastAsia="uk-UA"/>
              </w:rPr>
              <w:t>проєкту</w:t>
            </w:r>
            <w:proofErr w:type="spellEnd"/>
            <w:r w:rsidRPr="00FD5AFC">
              <w:rPr>
                <w:rFonts w:ascii="Times New Roman" w:eastAsia="Times New Roman" w:hAnsi="Times New Roman" w:cs="Times New Roman"/>
                <w:b/>
                <w:sz w:val="28"/>
                <w:szCs w:val="28"/>
                <w:lang w:val="uk-UA" w:eastAsia="uk-UA"/>
              </w:rPr>
              <w:t xml:space="preserve"> рішення НКРЕКП, що має ознаки регуляторного </w:t>
            </w:r>
            <w:proofErr w:type="spellStart"/>
            <w:r w:rsidRPr="00FD5AFC">
              <w:rPr>
                <w:rFonts w:ascii="Times New Roman" w:eastAsia="Times New Roman" w:hAnsi="Times New Roman" w:cs="Times New Roman"/>
                <w:b/>
                <w:sz w:val="28"/>
                <w:szCs w:val="28"/>
                <w:lang w:val="uk-UA" w:eastAsia="uk-UA"/>
              </w:rPr>
              <w:t>акта</w:t>
            </w:r>
            <w:proofErr w:type="spellEnd"/>
            <w:r w:rsidRPr="00FD5AFC">
              <w:rPr>
                <w:rFonts w:ascii="Times New Roman" w:eastAsia="Times New Roman" w:hAnsi="Times New Roman" w:cs="Times New Roman"/>
                <w:b/>
                <w:sz w:val="28"/>
                <w:szCs w:val="28"/>
                <w:lang w:val="uk-UA" w:eastAsia="uk-UA"/>
              </w:rPr>
              <w:t xml:space="preserve">, – </w:t>
            </w:r>
            <w:proofErr w:type="spellStart"/>
            <w:r w:rsidRPr="00FD5AFC">
              <w:rPr>
                <w:rFonts w:ascii="Times New Roman" w:eastAsia="Times New Roman" w:hAnsi="Times New Roman" w:cs="Times New Roman"/>
                <w:b/>
                <w:sz w:val="28"/>
                <w:szCs w:val="28"/>
                <w:lang w:val="uk-UA" w:eastAsia="uk-UA"/>
              </w:rPr>
              <w:t>проєкту</w:t>
            </w:r>
            <w:proofErr w:type="spellEnd"/>
            <w:r w:rsidRPr="00FD5AFC">
              <w:rPr>
                <w:rFonts w:ascii="Times New Roman" w:eastAsia="Times New Roman" w:hAnsi="Times New Roman" w:cs="Times New Roman"/>
                <w:b/>
                <w:sz w:val="28"/>
                <w:szCs w:val="28"/>
                <w:lang w:val="uk-UA" w:eastAsia="uk-UA"/>
              </w:rPr>
              <w:t xml:space="preserve"> постанови НКРЕКП «Про внесення зміни до Кодексу систем розподілу»</w:t>
            </w:r>
          </w:p>
          <w:p w14:paraId="118DDB63" w14:textId="229DAE57" w:rsidR="00F50F48" w:rsidRPr="00FD5AFC" w:rsidRDefault="00F50F48" w:rsidP="00F50F48">
            <w:pPr>
              <w:spacing w:after="0" w:line="240" w:lineRule="auto"/>
              <w:jc w:val="center"/>
              <w:rPr>
                <w:rFonts w:ascii="Times New Roman" w:eastAsia="Times New Roman" w:hAnsi="Times New Roman" w:cs="Times New Roman"/>
                <w:b/>
                <w:i/>
                <w:lang w:val="uk-UA" w:eastAsia="ru-RU"/>
              </w:rPr>
            </w:pPr>
            <w:r w:rsidRPr="00FD5AFC">
              <w:rPr>
                <w:rFonts w:ascii="Times New Roman" w:hAnsi="Times New Roman" w:cs="Times New Roman"/>
                <w:b/>
                <w:i/>
                <w:lang w:val="uk-UA"/>
              </w:rPr>
              <w:t>(</w:t>
            </w:r>
            <w:r w:rsidRPr="00FD5AFC">
              <w:rPr>
                <w:rFonts w:ascii="Times New Roman" w:hAnsi="Times New Roman" w:cs="Times New Roman"/>
                <w:i/>
                <w:lang w:val="uk-UA"/>
              </w:rPr>
              <w:t>щодо вдосконалення норм Кодексу систем розподілу стосовно підстав запровадження відмови/обмеження в доступі потенційному/</w:t>
            </w:r>
            <w:bookmarkStart w:id="0" w:name="_GoBack"/>
            <w:bookmarkEnd w:id="0"/>
            <w:r w:rsidRPr="00FD5AFC">
              <w:rPr>
                <w:rFonts w:ascii="Times New Roman" w:hAnsi="Times New Roman" w:cs="Times New Roman"/>
                <w:i/>
                <w:lang w:val="uk-UA"/>
              </w:rPr>
              <w:t>існуючому користувачу до системи розподілу)</w:t>
            </w:r>
          </w:p>
        </w:tc>
      </w:tr>
      <w:tr w:rsidR="00F50F48" w:rsidRPr="008E4570" w14:paraId="527D839C" w14:textId="0A261AB1" w:rsidTr="00F50F48">
        <w:tc>
          <w:tcPr>
            <w:tcW w:w="4962" w:type="dxa"/>
            <w:tcBorders>
              <w:bottom w:val="single" w:sz="4" w:space="0" w:color="auto"/>
            </w:tcBorders>
          </w:tcPr>
          <w:p w14:paraId="1D654E67" w14:textId="66432A3E" w:rsidR="00F50F48" w:rsidRPr="00FD5AFC" w:rsidRDefault="00F50F48" w:rsidP="00F50F48">
            <w:pPr>
              <w:spacing w:after="0" w:line="240" w:lineRule="auto"/>
              <w:jc w:val="center"/>
              <w:rPr>
                <w:rFonts w:ascii="Times New Roman" w:hAnsi="Times New Roman" w:cs="Times New Roman"/>
                <w:b/>
                <w:lang w:val="uk-UA"/>
              </w:rPr>
            </w:pPr>
            <w:r w:rsidRPr="00FD5AFC">
              <w:rPr>
                <w:rFonts w:ascii="Times New Roman" w:hAnsi="Times New Roman" w:cs="Times New Roman"/>
                <w:b/>
                <w:lang w:val="uk-UA"/>
              </w:rPr>
              <w:t xml:space="preserve">Редакція </w:t>
            </w:r>
            <w:proofErr w:type="spellStart"/>
            <w:r w:rsidRPr="00FD5AFC">
              <w:rPr>
                <w:rFonts w:ascii="Times New Roman" w:hAnsi="Times New Roman" w:cs="Times New Roman"/>
                <w:b/>
                <w:lang w:val="uk-UA"/>
              </w:rPr>
              <w:t>проєкту</w:t>
            </w:r>
            <w:proofErr w:type="spellEnd"/>
            <w:r w:rsidRPr="00FD5AFC">
              <w:rPr>
                <w:rFonts w:ascii="Times New Roman" w:hAnsi="Times New Roman" w:cs="Times New Roman"/>
                <w:b/>
                <w:lang w:val="uk-UA"/>
              </w:rPr>
              <w:t xml:space="preserve"> рішення НКРЕКП</w:t>
            </w:r>
          </w:p>
        </w:tc>
        <w:tc>
          <w:tcPr>
            <w:tcW w:w="6946" w:type="dxa"/>
            <w:tcBorders>
              <w:bottom w:val="single" w:sz="4" w:space="0" w:color="auto"/>
            </w:tcBorders>
          </w:tcPr>
          <w:p w14:paraId="72DAB4D7" w14:textId="7E361713" w:rsidR="00F50F48" w:rsidRPr="00FD5AFC" w:rsidRDefault="00F50F48" w:rsidP="00F50F48">
            <w:pPr>
              <w:spacing w:after="0" w:line="240" w:lineRule="auto"/>
              <w:jc w:val="center"/>
              <w:rPr>
                <w:rFonts w:ascii="Times New Roman" w:hAnsi="Times New Roman" w:cs="Times New Roman"/>
                <w:b/>
                <w:lang w:val="uk-UA"/>
              </w:rPr>
            </w:pPr>
            <w:r w:rsidRPr="00FD5AFC">
              <w:rPr>
                <w:rFonts w:ascii="Times New Roman" w:eastAsia="Times New Roman" w:hAnsi="Times New Roman" w:cs="Times New Roman"/>
                <w:b/>
                <w:sz w:val="24"/>
                <w:szCs w:val="24"/>
                <w:lang w:val="uk-UA"/>
              </w:rPr>
              <w:t xml:space="preserve">Зауваження та пропозиції </w:t>
            </w:r>
            <w:r w:rsidRPr="00FD5AFC">
              <w:rPr>
                <w:rFonts w:ascii="Times New Roman" w:eastAsia="Times New Roman" w:hAnsi="Times New Roman" w:cs="Times New Roman"/>
                <w:b/>
                <w:sz w:val="24"/>
                <w:szCs w:val="24"/>
                <w:lang w:val="uk-UA" w:eastAsia="ru-RU"/>
              </w:rPr>
              <w:t xml:space="preserve">до </w:t>
            </w:r>
            <w:proofErr w:type="spellStart"/>
            <w:r w:rsidRPr="00FD5AFC">
              <w:rPr>
                <w:rFonts w:ascii="Times New Roman" w:eastAsia="Times New Roman" w:hAnsi="Times New Roman" w:cs="Times New Roman"/>
                <w:b/>
                <w:sz w:val="24"/>
                <w:szCs w:val="24"/>
                <w:lang w:val="uk-UA" w:eastAsia="ru-RU"/>
              </w:rPr>
              <w:t>проєкту</w:t>
            </w:r>
            <w:proofErr w:type="spellEnd"/>
            <w:r w:rsidRPr="00FD5AFC">
              <w:rPr>
                <w:rFonts w:ascii="Times New Roman" w:eastAsia="Times New Roman" w:hAnsi="Times New Roman" w:cs="Times New Roman"/>
                <w:b/>
                <w:sz w:val="24"/>
                <w:szCs w:val="24"/>
                <w:lang w:val="uk-UA" w:eastAsia="ru-RU"/>
              </w:rPr>
              <w:t xml:space="preserve"> рішення НКРЕКП</w:t>
            </w:r>
          </w:p>
        </w:tc>
        <w:tc>
          <w:tcPr>
            <w:tcW w:w="3402" w:type="dxa"/>
            <w:tcBorders>
              <w:bottom w:val="single" w:sz="4" w:space="0" w:color="auto"/>
            </w:tcBorders>
          </w:tcPr>
          <w:p w14:paraId="4B589351" w14:textId="2E2CFB94" w:rsidR="00F50F48" w:rsidRPr="00FD5AFC" w:rsidRDefault="00F50F48" w:rsidP="00F50F48">
            <w:pPr>
              <w:spacing w:after="0" w:line="240" w:lineRule="auto"/>
              <w:jc w:val="center"/>
              <w:rPr>
                <w:rFonts w:ascii="Times New Roman" w:hAnsi="Times New Roman" w:cs="Times New Roman"/>
                <w:b/>
                <w:lang w:val="uk-UA"/>
              </w:rPr>
            </w:pPr>
            <w:r w:rsidRPr="00FD5AFC">
              <w:rPr>
                <w:rFonts w:ascii="Times New Roman" w:eastAsia="Calibri" w:hAnsi="Times New Roman" w:cs="Times New Roman"/>
                <w:b/>
                <w:sz w:val="24"/>
                <w:szCs w:val="24"/>
                <w:lang w:val="uk-UA" w:eastAsia="ru-RU"/>
              </w:rPr>
              <w:t>Попередня позиція НКРЕКП щодо наданих зауважень та пропозицій з обґрунтуваннями щодо прийняття або відхилення</w:t>
            </w:r>
          </w:p>
        </w:tc>
      </w:tr>
      <w:tr w:rsidR="00F50F48" w:rsidRPr="008E4570" w14:paraId="067E6F18" w14:textId="77777777" w:rsidTr="00F50F48">
        <w:tc>
          <w:tcPr>
            <w:tcW w:w="4962" w:type="dxa"/>
          </w:tcPr>
          <w:p w14:paraId="7BC82D92" w14:textId="77777777" w:rsidR="00F50F48" w:rsidRPr="00FD5AFC" w:rsidRDefault="00F50F48" w:rsidP="00F50F48">
            <w:pPr>
              <w:pStyle w:val="rvps2"/>
              <w:shd w:val="clear" w:color="auto" w:fill="FFFFFF"/>
              <w:spacing w:before="0" w:beforeAutospacing="0" w:after="150" w:afterAutospacing="0"/>
              <w:jc w:val="both"/>
              <w:rPr>
                <w:color w:val="333333"/>
                <w:lang w:eastAsia="en-US"/>
              </w:rPr>
            </w:pPr>
          </w:p>
          <w:p w14:paraId="250C7DD2" w14:textId="052BC8EF" w:rsidR="00F50F48" w:rsidRPr="00FD5AFC" w:rsidRDefault="00F50F48" w:rsidP="00F50F48">
            <w:pPr>
              <w:pStyle w:val="rvps2"/>
              <w:shd w:val="clear" w:color="auto" w:fill="FFFFFF"/>
              <w:spacing w:before="0" w:beforeAutospacing="0" w:after="150" w:afterAutospacing="0"/>
              <w:ind w:firstLine="450"/>
              <w:jc w:val="both"/>
              <w:rPr>
                <w:color w:val="333333"/>
                <w:lang w:eastAsia="en-US"/>
              </w:rPr>
            </w:pPr>
            <w:r w:rsidRPr="00FD5AFC">
              <w:rPr>
                <w:color w:val="333333"/>
                <w:lang w:eastAsia="en-US"/>
              </w:rPr>
              <w:t xml:space="preserve">11.1.5. ОСР не має права відмовити у доступі до своєї системи розподілу, крім випадків недостатньої пропускної спроможності </w:t>
            </w:r>
            <w:r w:rsidRPr="00FD5AFC">
              <w:rPr>
                <w:color w:val="333333"/>
                <w:u w:val="single"/>
                <w:lang w:eastAsia="en-US"/>
              </w:rPr>
              <w:t>обладнання електричних мереж</w:t>
            </w:r>
            <w:r w:rsidRPr="00FD5AFC">
              <w:rPr>
                <w:color w:val="333333"/>
                <w:lang w:eastAsia="en-US"/>
              </w:rPr>
              <w:t xml:space="preserve"> системи розподілу напругою вище 20 кВ</w:t>
            </w:r>
            <w:r w:rsidRPr="00FD5AFC">
              <w:rPr>
                <w:b/>
                <w:color w:val="333333"/>
                <w:highlight w:val="yellow"/>
                <w:lang w:eastAsia="en-US"/>
              </w:rPr>
              <w:t>, визначеного як такого, що спричиняє обмеження/відмову в наданні доступу до системи розподілу та відображеного в ПРСР згідно з вимогами підпункту 10 пункту 3.3.1 глави 3.3 розділу ІІІ цього Кодексу</w:t>
            </w:r>
            <w:r w:rsidRPr="00FD5AFC">
              <w:rPr>
                <w:color w:val="333333"/>
                <w:lang w:eastAsia="en-US"/>
              </w:rPr>
              <w:t xml:space="preserve">. При цьому ОСР має надати обґрунтування причини такої відмови, яка має базуватися на об’єктивних і технічно та економічно обґрунтованих критеріях, </w:t>
            </w:r>
            <w:r w:rsidRPr="00FD5AFC">
              <w:rPr>
                <w:b/>
                <w:strike/>
                <w:color w:val="333333"/>
                <w:highlight w:val="yellow"/>
                <w:lang w:eastAsia="en-US"/>
              </w:rPr>
              <w:t>а також інформацію про обґрунтований строк, необхідний для створення резерву пропускної спроможності мереж відповідно до затвердженого</w:t>
            </w:r>
            <w:r w:rsidRPr="00FD5AFC">
              <w:rPr>
                <w:color w:val="333333"/>
                <w:lang w:eastAsia="en-US"/>
              </w:rPr>
              <w:t xml:space="preserve"> </w:t>
            </w:r>
            <w:r w:rsidRPr="00FD5AFC">
              <w:rPr>
                <w:b/>
                <w:color w:val="333333"/>
                <w:highlight w:val="yellow"/>
                <w:lang w:eastAsia="en-US"/>
              </w:rPr>
              <w:t>та включати інформацію, зазначену у схваленому Регулятором плані розвитку системи передачі або системи розподілу, у частині:</w:t>
            </w:r>
          </w:p>
          <w:p w14:paraId="6B43AC11" w14:textId="77777777" w:rsidR="00F50F48" w:rsidRPr="00FD5AFC" w:rsidRDefault="00F50F48" w:rsidP="00F50F48">
            <w:pPr>
              <w:pStyle w:val="rvps2"/>
              <w:shd w:val="clear" w:color="auto" w:fill="FFFFFF"/>
              <w:spacing w:before="0" w:beforeAutospacing="0" w:after="150" w:afterAutospacing="0"/>
              <w:ind w:firstLine="450"/>
              <w:jc w:val="both"/>
              <w:rPr>
                <w:b/>
                <w:strike/>
                <w:color w:val="333333"/>
                <w:highlight w:val="yellow"/>
                <w:lang w:eastAsia="en-US"/>
              </w:rPr>
            </w:pPr>
            <w:r w:rsidRPr="00FD5AFC">
              <w:rPr>
                <w:b/>
                <w:color w:val="333333"/>
                <w:highlight w:val="yellow"/>
                <w:lang w:eastAsia="en-US"/>
              </w:rPr>
              <w:t xml:space="preserve">відсутності можливості надання доступу до системи розподілу у конкретному </w:t>
            </w:r>
            <w:proofErr w:type="spellStart"/>
            <w:r w:rsidRPr="00FD5AFC">
              <w:rPr>
                <w:b/>
                <w:color w:val="333333"/>
                <w:highlight w:val="yellow"/>
                <w:lang w:eastAsia="en-US"/>
              </w:rPr>
              <w:t>енерговузлі</w:t>
            </w:r>
            <w:proofErr w:type="spellEnd"/>
            <w:r w:rsidRPr="00FD5AFC">
              <w:rPr>
                <w:b/>
                <w:color w:val="333333"/>
                <w:highlight w:val="yellow"/>
                <w:lang w:eastAsia="en-US"/>
              </w:rPr>
              <w:t xml:space="preserve"> та критеріїв/термінів/строків запровадження </w:t>
            </w:r>
            <w:r w:rsidRPr="00FD5AFC">
              <w:rPr>
                <w:b/>
                <w:color w:val="333333"/>
                <w:highlight w:val="yellow"/>
                <w:lang w:eastAsia="en-US"/>
              </w:rPr>
              <w:lastRenderedPageBreak/>
              <w:t>відмови/обмеження в наданні такого доступу;</w:t>
            </w:r>
          </w:p>
          <w:p w14:paraId="1E2CECA8" w14:textId="77777777" w:rsidR="00F50F48" w:rsidRPr="00FD5AFC" w:rsidRDefault="00F50F48" w:rsidP="00F50F48">
            <w:pPr>
              <w:pStyle w:val="rvps2"/>
              <w:shd w:val="clear" w:color="auto" w:fill="FFFFFF"/>
              <w:spacing w:before="0" w:beforeAutospacing="0" w:after="150" w:afterAutospacing="0"/>
              <w:ind w:firstLine="450"/>
              <w:jc w:val="both"/>
              <w:rPr>
                <w:color w:val="333333"/>
                <w:lang w:eastAsia="en-US"/>
              </w:rPr>
            </w:pPr>
            <w:r w:rsidRPr="00FD5AFC">
              <w:rPr>
                <w:color w:val="333333"/>
                <w:lang w:eastAsia="en-US"/>
              </w:rPr>
              <w:t xml:space="preserve">обґрунтованого строку, необхідного </w:t>
            </w:r>
            <w:r w:rsidRPr="00FD5AFC">
              <w:rPr>
                <w:b/>
                <w:color w:val="333333"/>
                <w:highlight w:val="yellow"/>
                <w:lang w:eastAsia="en-US"/>
              </w:rPr>
              <w:t>для реалізації  заходів із</w:t>
            </w:r>
            <w:r w:rsidRPr="00FD5AFC">
              <w:rPr>
                <w:color w:val="333333"/>
                <w:lang w:eastAsia="en-US"/>
              </w:rPr>
              <w:t xml:space="preserve"> створення резерву пропускної спроможності мереж </w:t>
            </w:r>
            <w:r w:rsidRPr="00FD5AFC">
              <w:rPr>
                <w:b/>
                <w:color w:val="333333"/>
                <w:highlight w:val="yellow"/>
                <w:lang w:eastAsia="en-US"/>
              </w:rPr>
              <w:t>та зняття відповідних обмежень</w:t>
            </w:r>
            <w:r w:rsidRPr="00FD5AFC">
              <w:rPr>
                <w:color w:val="333333"/>
                <w:lang w:eastAsia="en-US"/>
              </w:rPr>
              <w:t>.</w:t>
            </w:r>
          </w:p>
          <w:p w14:paraId="4F3165AD" w14:textId="3C7FB2D6" w:rsidR="00F50F48" w:rsidRPr="00FD5AFC" w:rsidRDefault="00F50F48" w:rsidP="00F50F48">
            <w:pPr>
              <w:pStyle w:val="rvps2"/>
              <w:shd w:val="clear" w:color="auto" w:fill="FFFFFF"/>
              <w:spacing w:before="0" w:beforeAutospacing="0" w:after="150" w:afterAutospacing="0"/>
              <w:ind w:firstLine="450"/>
              <w:jc w:val="both"/>
              <w:rPr>
                <w:lang w:eastAsia="en-US"/>
              </w:rPr>
            </w:pPr>
            <w:r w:rsidRPr="00FD5AFC">
              <w:rPr>
                <w:color w:val="333333"/>
                <w:lang w:eastAsia="en-US"/>
              </w:rPr>
              <w:t>У випадку недостатньої пропускної спроможності мереж</w:t>
            </w:r>
            <w:r w:rsidRPr="00FD5AFC">
              <w:rPr>
                <w:b/>
                <w:color w:val="333333"/>
                <w:lang w:eastAsia="en-US"/>
              </w:rPr>
              <w:t xml:space="preserve"> та</w:t>
            </w:r>
            <w:r w:rsidRPr="00FD5AFC">
              <w:rPr>
                <w:b/>
                <w:color w:val="333333"/>
                <w:highlight w:val="yellow"/>
                <w:lang w:eastAsia="en-US"/>
              </w:rPr>
              <w:t>, як наслідок, необхідності обмежити доступ до системи розподілу/відмовити у доступі</w:t>
            </w:r>
            <w:r w:rsidRPr="00FD5AFC">
              <w:rPr>
                <w:color w:val="333333"/>
                <w:lang w:eastAsia="en-US"/>
              </w:rPr>
              <w:t xml:space="preserve"> ОСР має письмово повідомити замовника під час видачі технічних умов про намір відмовити або тимчасово обмежити (із зазначенням мінімальної величини потужності) майбутньому користувачу системи розподілу доступ до електричних мереж із зазначенням інформації, передбаченої цим пунктом</w:t>
            </w:r>
            <w:r w:rsidRPr="00FD5AFC">
              <w:rPr>
                <w:b/>
                <w:color w:val="333333"/>
                <w:highlight w:val="yellow"/>
                <w:lang w:eastAsia="en-US"/>
              </w:rPr>
              <w:t xml:space="preserve">, з одночасним направленням копії вказаного листа Регулятору та </w:t>
            </w:r>
            <w:r w:rsidRPr="00FD5AFC">
              <w:rPr>
                <w:b/>
                <w:highlight w:val="yellow"/>
                <w:lang w:eastAsia="en-US"/>
              </w:rPr>
              <w:t>центральному органу виконавчої влади, що реалізує державну політику у сфері нагляду (контролю) в галузі електроенергетики.</w:t>
            </w:r>
          </w:p>
        </w:tc>
        <w:tc>
          <w:tcPr>
            <w:tcW w:w="6946" w:type="dxa"/>
          </w:tcPr>
          <w:p w14:paraId="5381F099" w14:textId="77777777" w:rsidR="00F50F48" w:rsidRPr="00FD5AFC" w:rsidRDefault="00F50F48" w:rsidP="00F50F48">
            <w:pPr>
              <w:spacing w:after="0" w:line="240" w:lineRule="auto"/>
              <w:jc w:val="both"/>
              <w:rPr>
                <w:rFonts w:ascii="Times New Roman" w:eastAsia="Times New Roman" w:hAnsi="Times New Roman" w:cs="Times New Roman"/>
                <w:b/>
                <w:bCs/>
                <w:sz w:val="24"/>
                <w:szCs w:val="24"/>
                <w:lang w:val="uk-UA" w:eastAsia="ru-RU"/>
              </w:rPr>
            </w:pPr>
            <w:r w:rsidRPr="00FD5AFC">
              <w:rPr>
                <w:rFonts w:ascii="Times New Roman" w:eastAsia="Times New Roman" w:hAnsi="Times New Roman" w:cs="Times New Roman"/>
                <w:b/>
                <w:bCs/>
                <w:sz w:val="24"/>
                <w:szCs w:val="24"/>
                <w:lang w:val="uk-UA" w:eastAsia="ru-RU"/>
              </w:rPr>
              <w:lastRenderedPageBreak/>
              <w:t>Громадська спілка «Українська вітроенергетична асоціація»</w:t>
            </w:r>
          </w:p>
          <w:p w14:paraId="54C7C852" w14:textId="77777777" w:rsidR="00F50F48" w:rsidRPr="00FD5AFC" w:rsidRDefault="00F50F48" w:rsidP="00F50F48">
            <w:pPr>
              <w:spacing w:after="0" w:line="240" w:lineRule="auto"/>
              <w:jc w:val="both"/>
              <w:rPr>
                <w:rFonts w:ascii="Times New Roman" w:hAnsi="Times New Roman" w:cs="Times New Roman"/>
                <w:color w:val="333333"/>
                <w:sz w:val="24"/>
                <w:szCs w:val="24"/>
                <w:lang w:val="uk-UA"/>
              </w:rPr>
            </w:pPr>
          </w:p>
          <w:p w14:paraId="4852B591" w14:textId="684E6329" w:rsidR="00F50F48" w:rsidRDefault="00F50F48" w:rsidP="00F50F48">
            <w:pPr>
              <w:spacing w:after="0" w:line="240" w:lineRule="auto"/>
              <w:jc w:val="both"/>
              <w:rPr>
                <w:rFonts w:ascii="Times New Roman" w:hAnsi="Times New Roman" w:cs="Times New Roman"/>
                <w:sz w:val="24"/>
                <w:szCs w:val="24"/>
                <w:lang w:val="uk-UA"/>
              </w:rPr>
            </w:pPr>
            <w:r w:rsidRPr="00FD5AFC">
              <w:rPr>
                <w:rFonts w:ascii="Times New Roman" w:hAnsi="Times New Roman" w:cs="Times New Roman"/>
                <w:color w:val="333333"/>
                <w:sz w:val="24"/>
                <w:szCs w:val="24"/>
                <w:lang w:val="uk-UA"/>
              </w:rPr>
              <w:t xml:space="preserve">11.1.5. ОСР не має права відмовити у доступі до своєї системи розподілу, крім випадків недостатньої пропускної спроможності </w:t>
            </w:r>
            <w:r w:rsidRPr="00FD5AFC">
              <w:rPr>
                <w:rFonts w:ascii="Times New Roman" w:hAnsi="Times New Roman" w:cs="Times New Roman"/>
                <w:color w:val="333333"/>
                <w:sz w:val="24"/>
                <w:szCs w:val="24"/>
                <w:u w:val="single"/>
                <w:lang w:val="uk-UA"/>
              </w:rPr>
              <w:t>обладнання електричних мереж</w:t>
            </w:r>
            <w:r w:rsidRPr="00FD5AFC">
              <w:rPr>
                <w:rFonts w:ascii="Times New Roman" w:hAnsi="Times New Roman" w:cs="Times New Roman"/>
                <w:color w:val="333333"/>
                <w:sz w:val="24"/>
                <w:szCs w:val="24"/>
                <w:lang w:val="uk-UA"/>
              </w:rPr>
              <w:t xml:space="preserve"> системи розподілу напругою вище 20 кВ</w:t>
            </w:r>
            <w:r w:rsidRPr="00FD5AFC">
              <w:rPr>
                <w:rFonts w:ascii="Times New Roman" w:hAnsi="Times New Roman" w:cs="Times New Roman"/>
                <w:b/>
                <w:color w:val="333333"/>
                <w:sz w:val="24"/>
                <w:szCs w:val="24"/>
                <w:lang w:val="uk-UA"/>
              </w:rPr>
              <w:t xml:space="preserve">, </w:t>
            </w:r>
            <w:r w:rsidRPr="007C51C1">
              <w:rPr>
                <w:rFonts w:ascii="Times New Roman" w:hAnsi="Times New Roman" w:cs="Times New Roman"/>
                <w:color w:val="333333"/>
                <w:sz w:val="24"/>
                <w:szCs w:val="24"/>
                <w:lang w:val="uk-UA"/>
              </w:rPr>
              <w:t>визначеного як такого, що спричиняє обмеження/відмову в наданні доступу до системи розподілу та відображеного в</w:t>
            </w:r>
            <w:r w:rsidRPr="00FD5AFC">
              <w:rPr>
                <w:rFonts w:ascii="Times New Roman" w:hAnsi="Times New Roman" w:cs="Times New Roman"/>
                <w:b/>
                <w:color w:val="333333"/>
                <w:sz w:val="24"/>
                <w:szCs w:val="24"/>
                <w:lang w:val="uk-UA"/>
              </w:rPr>
              <w:t xml:space="preserve"> </w:t>
            </w:r>
            <w:r w:rsidRPr="00FD5AFC">
              <w:rPr>
                <w:rFonts w:ascii="Times New Roman" w:hAnsi="Times New Roman" w:cs="Times New Roman"/>
                <w:b/>
                <w:color w:val="333333"/>
                <w:sz w:val="24"/>
                <w:szCs w:val="24"/>
                <w:highlight w:val="yellow"/>
                <w:lang w:val="uk-UA"/>
              </w:rPr>
              <w:t>актуальному на дату видачі технічних умов</w:t>
            </w:r>
            <w:r w:rsidRPr="00FD5AFC">
              <w:rPr>
                <w:rFonts w:ascii="Times New Roman" w:hAnsi="Times New Roman" w:cs="Times New Roman"/>
                <w:b/>
                <w:color w:val="333333"/>
                <w:sz w:val="24"/>
                <w:szCs w:val="24"/>
                <w:lang w:val="uk-UA"/>
              </w:rPr>
              <w:t xml:space="preserve"> </w:t>
            </w:r>
            <w:r w:rsidRPr="007C51C1">
              <w:rPr>
                <w:rFonts w:ascii="Times New Roman" w:hAnsi="Times New Roman" w:cs="Times New Roman"/>
                <w:color w:val="333333"/>
                <w:sz w:val="24"/>
                <w:szCs w:val="24"/>
                <w:lang w:val="uk-UA"/>
              </w:rPr>
              <w:t>ПРСР згідно з вимогами підпункту 10 пункту 3.3.1 глави 3.3 розділу ІІІ цього Кодексу.</w:t>
            </w:r>
          </w:p>
          <w:p w14:paraId="223F1BE0" w14:textId="77777777" w:rsidR="00F50F48" w:rsidRPr="00FD5AFC" w:rsidRDefault="00F50F48" w:rsidP="00F50F48">
            <w:pPr>
              <w:spacing w:after="0" w:line="240" w:lineRule="auto"/>
              <w:jc w:val="both"/>
              <w:rPr>
                <w:rFonts w:ascii="Times New Roman" w:hAnsi="Times New Roman" w:cs="Times New Roman"/>
                <w:sz w:val="24"/>
                <w:szCs w:val="24"/>
                <w:lang w:val="uk-UA"/>
              </w:rPr>
            </w:pPr>
          </w:p>
          <w:p w14:paraId="071B75DD" w14:textId="77777777" w:rsidR="00F50F48" w:rsidRPr="00FD5AFC" w:rsidRDefault="00F50F48" w:rsidP="00F50F48">
            <w:pPr>
              <w:spacing w:after="0" w:line="240" w:lineRule="auto"/>
              <w:jc w:val="both"/>
              <w:rPr>
                <w:rFonts w:ascii="Times New Roman" w:eastAsia="Times New Roman" w:hAnsi="Times New Roman" w:cs="Times New Roman"/>
                <w:b/>
                <w:i/>
                <w:sz w:val="24"/>
                <w:szCs w:val="24"/>
                <w:lang w:val="uk-UA" w:eastAsia="uk-UA"/>
              </w:rPr>
            </w:pPr>
            <w:proofErr w:type="spellStart"/>
            <w:r w:rsidRPr="00FD5AFC">
              <w:rPr>
                <w:rFonts w:ascii="Times New Roman" w:eastAsia="Times New Roman" w:hAnsi="Times New Roman" w:cs="Times New Roman"/>
                <w:b/>
                <w:i/>
                <w:sz w:val="24"/>
                <w:szCs w:val="24"/>
                <w:lang w:val="uk-UA" w:eastAsia="uk-UA"/>
              </w:rPr>
              <w:t>Обгрунтування</w:t>
            </w:r>
            <w:proofErr w:type="spellEnd"/>
            <w:r w:rsidRPr="00FD5AFC">
              <w:rPr>
                <w:rFonts w:ascii="Times New Roman" w:eastAsia="Times New Roman" w:hAnsi="Times New Roman" w:cs="Times New Roman"/>
                <w:b/>
                <w:i/>
                <w:sz w:val="24"/>
                <w:szCs w:val="24"/>
                <w:lang w:val="uk-UA" w:eastAsia="uk-UA"/>
              </w:rPr>
              <w:t xml:space="preserve"> пропозиції:</w:t>
            </w:r>
          </w:p>
          <w:p w14:paraId="7BA9C117" w14:textId="70EA359B" w:rsidR="00F50F48" w:rsidRPr="00FD5AFC" w:rsidRDefault="00F50F48" w:rsidP="00F50F48">
            <w:pPr>
              <w:spacing w:after="0" w:line="240" w:lineRule="auto"/>
              <w:jc w:val="both"/>
              <w:rPr>
                <w:rFonts w:ascii="Times New Roman" w:hAnsi="Times New Roman" w:cs="Times New Roman"/>
                <w:sz w:val="24"/>
                <w:szCs w:val="24"/>
                <w:lang w:val="uk-UA"/>
              </w:rPr>
            </w:pPr>
            <w:r w:rsidRPr="00FD5AFC">
              <w:rPr>
                <w:rFonts w:ascii="Times New Roman" w:hAnsi="Times New Roman" w:cs="Times New Roman"/>
                <w:color w:val="333333"/>
                <w:sz w:val="24"/>
                <w:szCs w:val="24"/>
                <w:lang w:val="uk-UA"/>
              </w:rPr>
              <w:t>Уточнення захищає замовника від посилань на неактуальну інформацію</w:t>
            </w:r>
          </w:p>
          <w:p w14:paraId="3F41D54E" w14:textId="22D07550" w:rsidR="00F50F48" w:rsidRPr="00FD5AFC" w:rsidRDefault="00F50F48" w:rsidP="00F50F48">
            <w:pPr>
              <w:pStyle w:val="rvps2"/>
              <w:shd w:val="clear" w:color="auto" w:fill="FFFFFF"/>
              <w:spacing w:before="0" w:beforeAutospacing="0" w:after="0" w:afterAutospacing="0"/>
              <w:contextualSpacing/>
              <w:jc w:val="both"/>
            </w:pPr>
          </w:p>
        </w:tc>
        <w:tc>
          <w:tcPr>
            <w:tcW w:w="3402" w:type="dxa"/>
          </w:tcPr>
          <w:p w14:paraId="0CECC3BF" w14:textId="7FD31E00" w:rsidR="00F50F48" w:rsidRPr="00FD5AFC" w:rsidRDefault="00F50F48" w:rsidP="00F50F48">
            <w:pPr>
              <w:spacing w:after="0" w:line="240" w:lineRule="auto"/>
              <w:jc w:val="both"/>
              <w:rPr>
                <w:rFonts w:ascii="Times New Roman" w:hAnsi="Times New Roman" w:cs="Times New Roman"/>
                <w:b/>
                <w:color w:val="00B050"/>
                <w:sz w:val="24"/>
                <w:szCs w:val="24"/>
                <w:lang w:val="uk-UA"/>
              </w:rPr>
            </w:pPr>
            <w:r w:rsidRPr="00FD5AFC">
              <w:rPr>
                <w:rFonts w:ascii="Times New Roman" w:hAnsi="Times New Roman" w:cs="Times New Roman"/>
                <w:b/>
                <w:color w:val="00B050"/>
                <w:sz w:val="24"/>
                <w:szCs w:val="24"/>
                <w:lang w:val="uk-UA"/>
              </w:rPr>
              <w:t>Пропонується врахувати у редакції:</w:t>
            </w:r>
          </w:p>
          <w:p w14:paraId="2FD4368C" w14:textId="77777777" w:rsidR="00F50F48" w:rsidRPr="00FD5AFC" w:rsidRDefault="00F50F48" w:rsidP="00F50F48">
            <w:pPr>
              <w:spacing w:after="0" w:line="240" w:lineRule="auto"/>
              <w:jc w:val="both"/>
              <w:rPr>
                <w:rFonts w:ascii="Times New Roman" w:hAnsi="Times New Roman" w:cs="Times New Roman"/>
                <w:color w:val="333333"/>
                <w:sz w:val="24"/>
                <w:szCs w:val="24"/>
                <w:lang w:val="uk-UA"/>
              </w:rPr>
            </w:pPr>
          </w:p>
          <w:p w14:paraId="2C37EC5A" w14:textId="088928DF" w:rsidR="00F50F48" w:rsidRDefault="00F50F48" w:rsidP="00F50F48">
            <w:pPr>
              <w:spacing w:after="0" w:line="240" w:lineRule="auto"/>
              <w:jc w:val="both"/>
              <w:rPr>
                <w:rFonts w:ascii="Times New Roman" w:hAnsi="Times New Roman" w:cs="Times New Roman"/>
                <w:color w:val="333333"/>
                <w:sz w:val="24"/>
                <w:szCs w:val="24"/>
                <w:lang w:val="uk-UA"/>
              </w:rPr>
            </w:pPr>
            <w:r w:rsidRPr="00FD5AFC">
              <w:rPr>
                <w:rFonts w:ascii="Times New Roman" w:hAnsi="Times New Roman" w:cs="Times New Roman"/>
                <w:color w:val="333333"/>
                <w:sz w:val="24"/>
                <w:szCs w:val="24"/>
                <w:lang w:val="uk-UA"/>
              </w:rPr>
              <w:t xml:space="preserve">11.1.5. ОСР не має права відмовити у доступі до своєї системи розподілу, крім випадків недостатньої пропускної спроможності обладнання електричних мереж системи розподілу напругою вище 20 кВ, визначеного як такого, що спричиняє обмеження/відмову в наданні доступу до системи розподілу та відображеного в </w:t>
            </w:r>
            <w:r>
              <w:rPr>
                <w:rFonts w:ascii="Times New Roman" w:hAnsi="Times New Roman" w:cs="Times New Roman"/>
                <w:b/>
                <w:color w:val="333333"/>
                <w:sz w:val="24"/>
                <w:szCs w:val="24"/>
                <w:highlight w:val="yellow"/>
                <w:lang w:val="uk-UA"/>
              </w:rPr>
              <w:t>діючому</w:t>
            </w:r>
            <w:r w:rsidRPr="00FD5AFC">
              <w:rPr>
                <w:rFonts w:ascii="Times New Roman" w:hAnsi="Times New Roman" w:cs="Times New Roman"/>
                <w:color w:val="333333"/>
                <w:sz w:val="24"/>
                <w:szCs w:val="24"/>
                <w:lang w:val="uk-UA"/>
              </w:rPr>
              <w:t xml:space="preserve"> ПРСР згідно з вимогами підпункту 10 пункту 3.3.1 глави 3.3 розділу ІІІ цього Кодексу.</w:t>
            </w:r>
          </w:p>
          <w:p w14:paraId="2225343B" w14:textId="4378D3A6" w:rsidR="00F50F48" w:rsidRPr="00FD5AFC" w:rsidRDefault="00F50F48" w:rsidP="00F50F48">
            <w:pPr>
              <w:pStyle w:val="rvps2"/>
              <w:shd w:val="clear" w:color="auto" w:fill="FFFFFF"/>
              <w:spacing w:before="0" w:beforeAutospacing="0" w:after="150" w:afterAutospacing="0"/>
              <w:ind w:firstLine="450"/>
              <w:jc w:val="both"/>
              <w:rPr>
                <w:color w:val="333333"/>
                <w:lang w:eastAsia="en-US"/>
              </w:rPr>
            </w:pPr>
            <w:r w:rsidRPr="00FD5AFC">
              <w:rPr>
                <w:color w:val="333333"/>
                <w:lang w:eastAsia="en-US"/>
              </w:rPr>
              <w:t xml:space="preserve">При цьому ОСР має надати обґрунтування причини такої відмови, яка має базуватися на об’єктивних і технічно та економічно обґрунтованих критеріях, </w:t>
            </w:r>
            <w:r w:rsidRPr="00626BAE">
              <w:rPr>
                <w:color w:val="333333"/>
                <w:lang w:eastAsia="en-US"/>
              </w:rPr>
              <w:t xml:space="preserve">та включати інформацію, зазначену у </w:t>
            </w:r>
            <w:r w:rsidRPr="00626BAE">
              <w:rPr>
                <w:b/>
                <w:color w:val="333333"/>
                <w:highlight w:val="yellow"/>
                <w:lang w:eastAsia="en-US"/>
              </w:rPr>
              <w:t>діючому</w:t>
            </w:r>
            <w:r w:rsidRPr="00626BAE">
              <w:rPr>
                <w:color w:val="333333"/>
                <w:lang w:eastAsia="en-US"/>
              </w:rPr>
              <w:t xml:space="preserve"> плані </w:t>
            </w:r>
            <w:r w:rsidRPr="00626BAE">
              <w:rPr>
                <w:color w:val="333333"/>
                <w:lang w:eastAsia="en-US"/>
              </w:rPr>
              <w:lastRenderedPageBreak/>
              <w:t>розвитку системи передачі або системи розподілу, у частині:</w:t>
            </w:r>
          </w:p>
          <w:p w14:paraId="08517A3A" w14:textId="487152D5" w:rsidR="00F50F48" w:rsidRPr="00626BAE" w:rsidRDefault="00F50F48" w:rsidP="00F50F48">
            <w:pPr>
              <w:pStyle w:val="rvps2"/>
              <w:shd w:val="clear" w:color="auto" w:fill="FFFFFF"/>
              <w:spacing w:before="0" w:beforeAutospacing="0" w:after="150" w:afterAutospacing="0"/>
              <w:ind w:firstLine="450"/>
              <w:jc w:val="both"/>
              <w:rPr>
                <w:color w:val="333333"/>
                <w:lang w:eastAsia="en-US"/>
              </w:rPr>
            </w:pPr>
            <w:r w:rsidRPr="00626BAE">
              <w:rPr>
                <w:color w:val="333333"/>
                <w:lang w:eastAsia="en-US"/>
              </w:rPr>
              <w:t xml:space="preserve">відсутності можливості надання доступу до системи розподілу у конкретному </w:t>
            </w:r>
            <w:proofErr w:type="spellStart"/>
            <w:r w:rsidRPr="00626BAE">
              <w:rPr>
                <w:color w:val="333333"/>
                <w:lang w:eastAsia="en-US"/>
              </w:rPr>
              <w:t>енерговузлі</w:t>
            </w:r>
            <w:proofErr w:type="spellEnd"/>
            <w:r w:rsidRPr="00626BAE">
              <w:rPr>
                <w:color w:val="333333"/>
                <w:lang w:eastAsia="en-US"/>
              </w:rPr>
              <w:t xml:space="preserve"> та критеріїв/термінів/строків запровадження відмови/обмеження в наданні такого доступу;</w:t>
            </w:r>
          </w:p>
          <w:p w14:paraId="3E83A2C6" w14:textId="01879624" w:rsidR="00F50F48" w:rsidRPr="00626BAE" w:rsidRDefault="00F50F48" w:rsidP="00F50F48">
            <w:pPr>
              <w:pStyle w:val="rvps2"/>
              <w:shd w:val="clear" w:color="auto" w:fill="FFFFFF"/>
              <w:spacing w:before="0" w:beforeAutospacing="0" w:after="150" w:afterAutospacing="0"/>
              <w:ind w:firstLine="450"/>
              <w:jc w:val="both"/>
              <w:rPr>
                <w:b/>
                <w:lang w:eastAsia="en-US"/>
              </w:rPr>
            </w:pPr>
            <w:proofErr w:type="spellStart"/>
            <w:r w:rsidRPr="00626BAE">
              <w:rPr>
                <w:b/>
                <w:highlight w:val="yellow"/>
                <w:lang w:eastAsia="en-US"/>
              </w:rPr>
              <w:t>манімальної</w:t>
            </w:r>
            <w:proofErr w:type="spellEnd"/>
            <w:r w:rsidRPr="00626BAE">
              <w:rPr>
                <w:b/>
                <w:highlight w:val="yellow"/>
                <w:lang w:eastAsia="en-US"/>
              </w:rPr>
              <w:t xml:space="preserve"> величини потужності, до якої планується обмежити в доступі до системи розподілу </w:t>
            </w:r>
            <w:r w:rsidRPr="00626BAE">
              <w:rPr>
                <w:b/>
                <w:highlight w:val="yellow"/>
                <w:lang w:eastAsia="en-US"/>
              </w:rPr>
              <w:t>майбутньо</w:t>
            </w:r>
            <w:r w:rsidRPr="00626BAE">
              <w:rPr>
                <w:b/>
                <w:highlight w:val="yellow"/>
                <w:lang w:eastAsia="en-US"/>
              </w:rPr>
              <w:t>го</w:t>
            </w:r>
            <w:r w:rsidRPr="00626BAE">
              <w:rPr>
                <w:b/>
                <w:highlight w:val="yellow"/>
                <w:lang w:eastAsia="en-US"/>
              </w:rPr>
              <w:t xml:space="preserve"> користувач</w:t>
            </w:r>
            <w:r w:rsidRPr="00626BAE">
              <w:rPr>
                <w:b/>
                <w:highlight w:val="yellow"/>
                <w:lang w:eastAsia="en-US"/>
              </w:rPr>
              <w:t>а</w:t>
            </w:r>
            <w:r w:rsidRPr="00626BAE">
              <w:rPr>
                <w:b/>
                <w:highlight w:val="yellow"/>
                <w:lang w:eastAsia="en-US"/>
              </w:rPr>
              <w:t xml:space="preserve"> системи розподілу</w:t>
            </w:r>
            <w:r w:rsidRPr="00626BAE">
              <w:rPr>
                <w:b/>
                <w:highlight w:val="yellow"/>
                <w:lang w:eastAsia="en-US"/>
              </w:rPr>
              <w:t>;</w:t>
            </w:r>
          </w:p>
          <w:p w14:paraId="38CABECA" w14:textId="77777777" w:rsidR="00F50F48" w:rsidRPr="00626BAE" w:rsidRDefault="00F50F48" w:rsidP="00F50F48">
            <w:pPr>
              <w:pStyle w:val="rvps2"/>
              <w:shd w:val="clear" w:color="auto" w:fill="FFFFFF"/>
              <w:spacing w:before="0" w:beforeAutospacing="0" w:after="150" w:afterAutospacing="0"/>
              <w:ind w:firstLine="450"/>
              <w:jc w:val="both"/>
              <w:rPr>
                <w:color w:val="333333"/>
                <w:lang w:eastAsia="en-US"/>
              </w:rPr>
            </w:pPr>
            <w:r w:rsidRPr="00626BAE">
              <w:rPr>
                <w:color w:val="333333"/>
                <w:lang w:eastAsia="en-US"/>
              </w:rPr>
              <w:t>обґрунтованого строку, необхідного для реалізації  заходів із створення резерву пропускної спроможності мереж та зняття відповідних обмежень.</w:t>
            </w:r>
          </w:p>
          <w:p w14:paraId="10F1AA76" w14:textId="55061C4E" w:rsidR="00F50F48" w:rsidRPr="00626BAE" w:rsidRDefault="00F50F48" w:rsidP="00F50F48">
            <w:pPr>
              <w:spacing w:after="0" w:line="240" w:lineRule="auto"/>
              <w:ind w:firstLine="459"/>
              <w:jc w:val="both"/>
              <w:rPr>
                <w:rFonts w:ascii="Times New Roman" w:hAnsi="Times New Roman" w:cs="Times New Roman"/>
                <w:sz w:val="24"/>
                <w:szCs w:val="24"/>
                <w:lang w:val="uk-UA"/>
              </w:rPr>
            </w:pPr>
            <w:r w:rsidRPr="00626BAE">
              <w:rPr>
                <w:rFonts w:ascii="Times New Roman" w:hAnsi="Times New Roman" w:cs="Times New Roman"/>
                <w:lang w:val="uk-UA"/>
              </w:rPr>
              <w:t xml:space="preserve">У випадку недостатньої пропускної спроможності мереж та, як наслідок, необхідності обмежити доступ до системи розподілу/відмовити у доступі ОСР має письмово повідомити замовника під час видачі технічних умов про намір відмовити або тимчасово обмежити (із зазначенням мінімальної величини потужності) майбутньому користувачу системи розподілу </w:t>
            </w:r>
            <w:r w:rsidRPr="00626BAE">
              <w:rPr>
                <w:rFonts w:ascii="Times New Roman" w:hAnsi="Times New Roman" w:cs="Times New Roman"/>
                <w:lang w:val="uk-UA"/>
              </w:rPr>
              <w:lastRenderedPageBreak/>
              <w:t>доступ до електричних мереж із зазначенням інформації, передбаченої цим пунктом, з одночасним направленням копії вказаного листа Регулятору та центральному органу виконавчої влади, що реалізує державну політику у сфері нагляду (контролю) в галузі електроенергетики.</w:t>
            </w:r>
          </w:p>
          <w:p w14:paraId="3976328F" w14:textId="0E7558D8" w:rsidR="00F50F48" w:rsidRPr="00FD5AFC" w:rsidRDefault="00F50F48" w:rsidP="00F50F48">
            <w:pPr>
              <w:spacing w:after="0" w:line="240" w:lineRule="auto"/>
              <w:jc w:val="both"/>
              <w:rPr>
                <w:rFonts w:ascii="Times New Roman" w:hAnsi="Times New Roman" w:cs="Times New Roman"/>
                <w:b/>
                <w:sz w:val="24"/>
                <w:szCs w:val="24"/>
                <w:lang w:val="uk-UA"/>
              </w:rPr>
            </w:pPr>
          </w:p>
        </w:tc>
      </w:tr>
      <w:tr w:rsidR="00F50F48" w:rsidRPr="008E4570" w14:paraId="423D9548" w14:textId="77777777" w:rsidTr="00F50F48">
        <w:tc>
          <w:tcPr>
            <w:tcW w:w="4962" w:type="dxa"/>
          </w:tcPr>
          <w:p w14:paraId="2C189F19" w14:textId="77777777" w:rsidR="00F50F48" w:rsidRPr="00FD5AFC" w:rsidRDefault="00F50F48" w:rsidP="00F50F48">
            <w:pPr>
              <w:pStyle w:val="rvps2"/>
              <w:shd w:val="clear" w:color="auto" w:fill="FFFFFF"/>
              <w:spacing w:before="0" w:beforeAutospacing="0" w:after="150" w:afterAutospacing="0"/>
              <w:jc w:val="both"/>
              <w:rPr>
                <w:color w:val="333333"/>
                <w:lang w:eastAsia="en-US"/>
              </w:rPr>
            </w:pPr>
          </w:p>
          <w:p w14:paraId="479C5F4B" w14:textId="77777777" w:rsidR="00F50F48" w:rsidRPr="00FD5AFC" w:rsidRDefault="00F50F48" w:rsidP="00F50F48">
            <w:pPr>
              <w:pStyle w:val="rvps2"/>
              <w:shd w:val="clear" w:color="auto" w:fill="FFFFFF"/>
              <w:spacing w:before="0" w:beforeAutospacing="0" w:after="150" w:afterAutospacing="0"/>
              <w:ind w:firstLine="450"/>
              <w:jc w:val="both"/>
              <w:rPr>
                <w:color w:val="333333"/>
                <w:lang w:eastAsia="en-US"/>
              </w:rPr>
            </w:pPr>
            <w:r w:rsidRPr="00FD5AFC">
              <w:rPr>
                <w:color w:val="333333"/>
                <w:lang w:eastAsia="en-US"/>
              </w:rPr>
              <w:t xml:space="preserve">11.1.5. ОСР не має права відмовити у доступі до своєї системи розподілу, крім випадків недостатньої пропускної спроможності </w:t>
            </w:r>
            <w:r w:rsidRPr="00FD5AFC">
              <w:rPr>
                <w:color w:val="333333"/>
                <w:u w:val="single"/>
                <w:lang w:eastAsia="en-US"/>
              </w:rPr>
              <w:t>обладнання електричних мереж</w:t>
            </w:r>
            <w:r w:rsidRPr="00FD5AFC">
              <w:rPr>
                <w:color w:val="333333"/>
                <w:lang w:eastAsia="en-US"/>
              </w:rPr>
              <w:t xml:space="preserve"> системи розподілу напругою вище 20 кВ</w:t>
            </w:r>
            <w:r w:rsidRPr="00FD5AFC">
              <w:rPr>
                <w:b/>
                <w:color w:val="333333"/>
                <w:highlight w:val="yellow"/>
                <w:lang w:eastAsia="en-US"/>
              </w:rPr>
              <w:t>, визначеного як такого, що спричиняє обмеження/відмову в наданні доступу до системи розподілу та відображеного в ПРСР згідно з вимогами підпункту 10 пункту 3.3.1 глави 3.3 розділу ІІІ цього Кодексу</w:t>
            </w:r>
            <w:r w:rsidRPr="00FD5AFC">
              <w:rPr>
                <w:color w:val="333333"/>
                <w:lang w:eastAsia="en-US"/>
              </w:rPr>
              <w:t xml:space="preserve">. При цьому ОСР має надати обґрунтування причини такої відмови, яка має базуватися на об’єктивних і технічно та економічно обґрунтованих критеріях, </w:t>
            </w:r>
            <w:r w:rsidRPr="00FD5AFC">
              <w:rPr>
                <w:b/>
                <w:strike/>
                <w:color w:val="333333"/>
                <w:highlight w:val="yellow"/>
                <w:lang w:eastAsia="en-US"/>
              </w:rPr>
              <w:t>а також інформацію про обґрунтований строк, необхідний для створення резерву пропускної спроможності мереж відповідно до затвердженого</w:t>
            </w:r>
            <w:r w:rsidRPr="00FD5AFC">
              <w:rPr>
                <w:color w:val="333333"/>
                <w:lang w:eastAsia="en-US"/>
              </w:rPr>
              <w:t xml:space="preserve"> </w:t>
            </w:r>
            <w:r w:rsidRPr="00FD5AFC">
              <w:rPr>
                <w:b/>
                <w:color w:val="333333"/>
                <w:highlight w:val="yellow"/>
                <w:lang w:eastAsia="en-US"/>
              </w:rPr>
              <w:t>та включати інформацію, зазначену у схваленому Регулятором плані розвитку системи передачі або системи розподілу, у частині:</w:t>
            </w:r>
          </w:p>
          <w:p w14:paraId="55009896" w14:textId="77777777" w:rsidR="00F50F48" w:rsidRPr="00FD5AFC" w:rsidRDefault="00F50F48" w:rsidP="00F50F48">
            <w:pPr>
              <w:pStyle w:val="rvps2"/>
              <w:shd w:val="clear" w:color="auto" w:fill="FFFFFF"/>
              <w:spacing w:before="0" w:beforeAutospacing="0" w:after="150" w:afterAutospacing="0"/>
              <w:ind w:firstLine="450"/>
              <w:jc w:val="both"/>
              <w:rPr>
                <w:b/>
                <w:strike/>
                <w:color w:val="333333"/>
                <w:highlight w:val="yellow"/>
                <w:lang w:eastAsia="en-US"/>
              </w:rPr>
            </w:pPr>
            <w:r w:rsidRPr="00FD5AFC">
              <w:rPr>
                <w:b/>
                <w:color w:val="333333"/>
                <w:highlight w:val="yellow"/>
                <w:lang w:eastAsia="en-US"/>
              </w:rPr>
              <w:t xml:space="preserve">відсутності можливості надання доступу до системи розподілу у конкретному </w:t>
            </w:r>
            <w:proofErr w:type="spellStart"/>
            <w:r w:rsidRPr="00FD5AFC">
              <w:rPr>
                <w:b/>
                <w:color w:val="333333"/>
                <w:highlight w:val="yellow"/>
                <w:lang w:eastAsia="en-US"/>
              </w:rPr>
              <w:t>енерговузлі</w:t>
            </w:r>
            <w:proofErr w:type="spellEnd"/>
            <w:r w:rsidRPr="00FD5AFC">
              <w:rPr>
                <w:b/>
                <w:color w:val="333333"/>
                <w:highlight w:val="yellow"/>
                <w:lang w:eastAsia="en-US"/>
              </w:rPr>
              <w:t xml:space="preserve"> та </w:t>
            </w:r>
            <w:r w:rsidRPr="00FD5AFC">
              <w:rPr>
                <w:b/>
                <w:color w:val="333333"/>
                <w:highlight w:val="yellow"/>
                <w:lang w:eastAsia="en-US"/>
              </w:rPr>
              <w:lastRenderedPageBreak/>
              <w:t>критеріїв/термінів/строків запровадження відмови/обмеження в наданні такого доступу;</w:t>
            </w:r>
          </w:p>
          <w:p w14:paraId="12EA9241" w14:textId="77777777" w:rsidR="00F50F48" w:rsidRPr="00FD5AFC" w:rsidRDefault="00F50F48" w:rsidP="00F50F48">
            <w:pPr>
              <w:pStyle w:val="rvps2"/>
              <w:shd w:val="clear" w:color="auto" w:fill="FFFFFF"/>
              <w:spacing w:before="0" w:beforeAutospacing="0" w:after="150" w:afterAutospacing="0"/>
              <w:ind w:firstLine="450"/>
              <w:jc w:val="both"/>
              <w:rPr>
                <w:color w:val="333333"/>
                <w:lang w:eastAsia="en-US"/>
              </w:rPr>
            </w:pPr>
            <w:r w:rsidRPr="00FD5AFC">
              <w:rPr>
                <w:color w:val="333333"/>
                <w:lang w:eastAsia="en-US"/>
              </w:rPr>
              <w:t xml:space="preserve">обґрунтованого строку, необхідного </w:t>
            </w:r>
            <w:r w:rsidRPr="00FD5AFC">
              <w:rPr>
                <w:b/>
                <w:color w:val="333333"/>
                <w:highlight w:val="yellow"/>
                <w:lang w:eastAsia="en-US"/>
              </w:rPr>
              <w:t>для реалізації  заходів із</w:t>
            </w:r>
            <w:r w:rsidRPr="00FD5AFC">
              <w:rPr>
                <w:color w:val="333333"/>
                <w:lang w:eastAsia="en-US"/>
              </w:rPr>
              <w:t xml:space="preserve"> створення резерву пропускної спроможності мереж </w:t>
            </w:r>
            <w:r w:rsidRPr="00FD5AFC">
              <w:rPr>
                <w:b/>
                <w:color w:val="333333"/>
                <w:highlight w:val="yellow"/>
                <w:lang w:eastAsia="en-US"/>
              </w:rPr>
              <w:t>та зняття відповідних обмежень</w:t>
            </w:r>
            <w:r w:rsidRPr="00FD5AFC">
              <w:rPr>
                <w:color w:val="333333"/>
                <w:lang w:eastAsia="en-US"/>
              </w:rPr>
              <w:t>.</w:t>
            </w:r>
          </w:p>
          <w:p w14:paraId="3B3AE344" w14:textId="4BF98055" w:rsidR="00F50F48" w:rsidRPr="00FD5AFC" w:rsidRDefault="00F50F48" w:rsidP="00F50F48">
            <w:pPr>
              <w:pStyle w:val="rvps2"/>
              <w:shd w:val="clear" w:color="auto" w:fill="FFFFFF"/>
              <w:spacing w:before="0" w:beforeAutospacing="0" w:after="150" w:afterAutospacing="0"/>
              <w:ind w:firstLine="450"/>
              <w:jc w:val="both"/>
              <w:rPr>
                <w:color w:val="333333"/>
                <w:lang w:eastAsia="en-US"/>
              </w:rPr>
            </w:pPr>
            <w:r w:rsidRPr="00FD5AFC">
              <w:rPr>
                <w:color w:val="333333"/>
                <w:lang w:eastAsia="en-US"/>
              </w:rPr>
              <w:t>У випадку недостатньої пропускної спроможності мереж</w:t>
            </w:r>
            <w:r w:rsidRPr="00FD5AFC">
              <w:rPr>
                <w:b/>
                <w:color w:val="333333"/>
                <w:lang w:eastAsia="en-US"/>
              </w:rPr>
              <w:t xml:space="preserve"> та</w:t>
            </w:r>
            <w:r w:rsidRPr="00FD5AFC">
              <w:rPr>
                <w:b/>
                <w:color w:val="333333"/>
                <w:highlight w:val="yellow"/>
                <w:lang w:eastAsia="en-US"/>
              </w:rPr>
              <w:t>, як наслідок, необхідності обмежити доступ до системи розподілу/відмовити у доступі</w:t>
            </w:r>
            <w:r w:rsidRPr="00FD5AFC">
              <w:rPr>
                <w:color w:val="333333"/>
                <w:lang w:eastAsia="en-US"/>
              </w:rPr>
              <w:t xml:space="preserve"> ОСР має письмово повідомити замовника під час видачі технічних умов про намір відмовити або тимчасово обмежити (із зазначенням мінімальної величини потужності) майбутньому користувачу системи розподілу доступ до електричних мереж із зазначенням інформації, передбаченої цим пунктом</w:t>
            </w:r>
            <w:r w:rsidRPr="00FD5AFC">
              <w:rPr>
                <w:b/>
                <w:color w:val="333333"/>
                <w:highlight w:val="yellow"/>
                <w:lang w:eastAsia="en-US"/>
              </w:rPr>
              <w:t xml:space="preserve">, з одночасним направленням копії вказаного листа Регулятору та </w:t>
            </w:r>
            <w:r w:rsidRPr="00FD5AFC">
              <w:rPr>
                <w:b/>
                <w:highlight w:val="yellow"/>
                <w:lang w:eastAsia="en-US"/>
              </w:rPr>
              <w:t>центральному органу виконавчої влади, що реалізує державну політику у сфері нагляду (контролю) в галузі електроенергетики.</w:t>
            </w:r>
          </w:p>
        </w:tc>
        <w:tc>
          <w:tcPr>
            <w:tcW w:w="6946" w:type="dxa"/>
          </w:tcPr>
          <w:p w14:paraId="28BB912F" w14:textId="77777777" w:rsidR="00F50F48" w:rsidRPr="00FD5AFC" w:rsidRDefault="00F50F48" w:rsidP="00F50F48">
            <w:pPr>
              <w:rPr>
                <w:rFonts w:ascii="Times New Roman" w:hAnsi="Times New Roman" w:cs="Times New Roman"/>
                <w:sz w:val="24"/>
                <w:szCs w:val="24"/>
                <w:lang w:val="uk-UA"/>
              </w:rPr>
            </w:pPr>
            <w:r w:rsidRPr="00FD5AFC">
              <w:rPr>
                <w:rFonts w:ascii="Times New Roman" w:hAnsi="Times New Roman" w:cs="Times New Roman"/>
                <w:b/>
                <w:sz w:val="24"/>
                <w:szCs w:val="24"/>
                <w:lang w:val="uk-UA"/>
              </w:rPr>
              <w:lastRenderedPageBreak/>
              <w:t>АТ «ДТЕК ДНІПРОВСЬКІ ЕЛЕКТРОМЕРЕЖІ»</w:t>
            </w:r>
          </w:p>
          <w:p w14:paraId="3EBD7404" w14:textId="1A125F7C" w:rsidR="00F50F48" w:rsidRPr="007C51C1" w:rsidRDefault="00F50F48" w:rsidP="00F50F48">
            <w:pPr>
              <w:pStyle w:val="rvps2"/>
              <w:shd w:val="clear" w:color="auto" w:fill="FFFFFF"/>
              <w:spacing w:before="0" w:beforeAutospacing="0" w:after="0" w:afterAutospacing="0"/>
              <w:ind w:firstLine="450"/>
              <w:contextualSpacing/>
              <w:jc w:val="both"/>
              <w:rPr>
                <w:color w:val="333333"/>
              </w:rPr>
            </w:pPr>
            <w:r w:rsidRPr="00FD5AFC">
              <w:rPr>
                <w:color w:val="333333"/>
              </w:rPr>
              <w:t xml:space="preserve">11.1.5. ОСР не має права відмовити у доступі до своєї системи розподілу, крім випадків недостатньої пропускної спроможності </w:t>
            </w:r>
            <w:r w:rsidRPr="00FD5AFC">
              <w:rPr>
                <w:color w:val="333333"/>
                <w:u w:val="single"/>
              </w:rPr>
              <w:t>обладнання електричних мереж</w:t>
            </w:r>
            <w:r w:rsidRPr="00FD5AFC">
              <w:rPr>
                <w:color w:val="333333"/>
              </w:rPr>
              <w:t xml:space="preserve"> системи розподілу напругою вище 20 кВ</w:t>
            </w:r>
            <w:r w:rsidRPr="00FD5AFC">
              <w:rPr>
                <w:b/>
                <w:color w:val="333333"/>
              </w:rPr>
              <w:t xml:space="preserve">, </w:t>
            </w:r>
            <w:r w:rsidRPr="007C51C1">
              <w:rPr>
                <w:color w:val="333333"/>
              </w:rPr>
              <w:t>визначеного як такого, що спричиняє обмеження/відмову в наданні доступу до системи розподілу та відображеного в ПРСР згідно з вимогами підпункту 10 пункту 3.3.1 глави 3.3 розділу ІІІ цього Кодексу. При цьому ОСР має надати обґрунтування причини такої відмови, яка має базуватися на об’єктивних і технічно та економічно обґрунтованих критеріях,</w:t>
            </w:r>
            <w:r>
              <w:rPr>
                <w:color w:val="333333"/>
              </w:rPr>
              <w:t xml:space="preserve"> </w:t>
            </w:r>
            <w:r w:rsidRPr="007C51C1">
              <w:rPr>
                <w:color w:val="333333"/>
              </w:rPr>
              <w:t>та включати інформацію, зазначену у схваленому Регулятором плані розвитку системи передачі або системи розподілу, у частині:</w:t>
            </w:r>
          </w:p>
          <w:p w14:paraId="0518A349" w14:textId="77777777" w:rsidR="00F50F48" w:rsidRPr="007C51C1" w:rsidRDefault="00F50F48" w:rsidP="00F50F48">
            <w:pPr>
              <w:pStyle w:val="rvps2"/>
              <w:shd w:val="clear" w:color="auto" w:fill="FFFFFF"/>
              <w:spacing w:before="0" w:beforeAutospacing="0" w:after="0" w:afterAutospacing="0"/>
              <w:ind w:firstLine="450"/>
              <w:contextualSpacing/>
              <w:jc w:val="both"/>
              <w:rPr>
                <w:strike/>
                <w:color w:val="333333"/>
              </w:rPr>
            </w:pPr>
            <w:r w:rsidRPr="007C51C1">
              <w:rPr>
                <w:color w:val="333333"/>
              </w:rPr>
              <w:t xml:space="preserve">відсутності можливості надання доступу до системи розподілу у конкретному </w:t>
            </w:r>
            <w:proofErr w:type="spellStart"/>
            <w:r w:rsidRPr="007C51C1">
              <w:rPr>
                <w:color w:val="333333"/>
              </w:rPr>
              <w:t>енерговузлі</w:t>
            </w:r>
            <w:proofErr w:type="spellEnd"/>
            <w:r w:rsidRPr="007C51C1">
              <w:rPr>
                <w:color w:val="333333"/>
              </w:rPr>
              <w:t xml:space="preserve"> та критеріїв/термінів/строків запровадження відмови/обмеження в наданні такого доступу;</w:t>
            </w:r>
          </w:p>
          <w:p w14:paraId="1D3CD53A" w14:textId="77777777" w:rsidR="00F50F48" w:rsidRPr="007C51C1" w:rsidRDefault="00F50F48" w:rsidP="00F50F48">
            <w:pPr>
              <w:pStyle w:val="rvps2"/>
              <w:shd w:val="clear" w:color="auto" w:fill="FFFFFF"/>
              <w:spacing w:before="0" w:beforeAutospacing="0" w:after="0" w:afterAutospacing="0"/>
              <w:ind w:firstLine="450"/>
              <w:contextualSpacing/>
              <w:jc w:val="both"/>
              <w:rPr>
                <w:color w:val="333333"/>
              </w:rPr>
            </w:pPr>
            <w:r w:rsidRPr="007C51C1">
              <w:rPr>
                <w:color w:val="333333"/>
              </w:rPr>
              <w:t>обґрунтованого строку, необхідного для реалізації заходів із створення резерву пропускної спроможності мереж та зняття відповідних обмежень.</w:t>
            </w:r>
          </w:p>
          <w:p w14:paraId="41CCE444" w14:textId="77777777" w:rsidR="00F50F48" w:rsidRPr="00FD5AFC" w:rsidRDefault="00F50F48" w:rsidP="00F50F48">
            <w:pPr>
              <w:pStyle w:val="rvps2"/>
              <w:shd w:val="clear" w:color="auto" w:fill="FFFFFF"/>
              <w:spacing w:before="0" w:beforeAutospacing="0" w:after="0" w:afterAutospacing="0"/>
              <w:ind w:firstLine="450"/>
              <w:contextualSpacing/>
              <w:jc w:val="both"/>
              <w:rPr>
                <w:color w:val="333333"/>
              </w:rPr>
            </w:pPr>
          </w:p>
          <w:p w14:paraId="6C5DE881" w14:textId="77777777" w:rsidR="00F50F48" w:rsidRPr="00FD5AFC" w:rsidRDefault="00F50F48" w:rsidP="00F50F48">
            <w:pPr>
              <w:pStyle w:val="rvps2"/>
              <w:shd w:val="clear" w:color="auto" w:fill="FFFFFF"/>
              <w:spacing w:before="0" w:beforeAutospacing="0" w:after="0" w:afterAutospacing="0"/>
              <w:ind w:firstLine="450"/>
              <w:contextualSpacing/>
              <w:jc w:val="both"/>
              <w:rPr>
                <w:b/>
                <w:bCs/>
              </w:rPr>
            </w:pPr>
            <w:r w:rsidRPr="00FD5AFC">
              <w:rPr>
                <w:b/>
                <w:bCs/>
                <w:highlight w:val="yellow"/>
              </w:rPr>
              <w:t xml:space="preserve">У разі неможливості надати інформацію про обґрунтований строк, необхідний для створення резерву пропускної спроможності мереж, у зв’язку із відсутністю даних заходів у затвердженому Регулятором плані розвитку </w:t>
            </w:r>
            <w:r w:rsidRPr="00FD5AFC">
              <w:rPr>
                <w:b/>
                <w:bCs/>
                <w:highlight w:val="yellow"/>
              </w:rPr>
              <w:lastRenderedPageBreak/>
              <w:t>системи передачі або системи розподілу, ОСП/ОСР включає дані заходи до технічних умов, а також, в разі набуття чинності даними технічними умовами, ініціює включення цих заходів до плану розвитку системи передачі або системи розподілу. В цьому разі ОСР має право відмовити у доступі до своєї системи розподілу, а відновлення доступу до системи розподілу відбувається після виконання відповідних заходів передбачених планом розвитку системи передачі або системи розподілу.</w:t>
            </w:r>
          </w:p>
          <w:p w14:paraId="69AD9AF7" w14:textId="77777777" w:rsidR="00F50F48" w:rsidRPr="00FD5AFC" w:rsidRDefault="00F50F48" w:rsidP="00F50F48">
            <w:pPr>
              <w:pStyle w:val="rvps2"/>
              <w:shd w:val="clear" w:color="auto" w:fill="FFFFFF"/>
              <w:spacing w:before="0" w:beforeAutospacing="0" w:after="0" w:afterAutospacing="0"/>
              <w:ind w:firstLine="450"/>
              <w:contextualSpacing/>
              <w:jc w:val="both"/>
              <w:rPr>
                <w:color w:val="333333"/>
              </w:rPr>
            </w:pPr>
          </w:p>
          <w:p w14:paraId="441EEA8B" w14:textId="77777777" w:rsidR="00F50F48" w:rsidRPr="007C51C1" w:rsidRDefault="00F50F48" w:rsidP="00F50F48">
            <w:pPr>
              <w:pStyle w:val="rvps2"/>
              <w:shd w:val="clear" w:color="auto" w:fill="FFFFFF"/>
              <w:spacing w:before="0" w:beforeAutospacing="0" w:after="0" w:afterAutospacing="0"/>
              <w:ind w:firstLine="450"/>
              <w:contextualSpacing/>
              <w:jc w:val="both"/>
            </w:pPr>
            <w:r w:rsidRPr="007C51C1">
              <w:rPr>
                <w:color w:val="333333"/>
              </w:rPr>
              <w:t>У випадку недостатньої пропускної спроможності мереж та, як наслідок, необхідності обмежити доступ до системи розподілу/відмовити у доступі ОСР має письмово повідомити замовника</w:t>
            </w:r>
            <w:r w:rsidRPr="00FD5AFC">
              <w:rPr>
                <w:color w:val="333333"/>
              </w:rPr>
              <w:t xml:space="preserve"> під час видачі технічних умов про намір відмовити або тимчасово обмежити (із зазначенням мінімальної величини потужності) майбутньому користувачу системи розподілу доступ до електричних мереж із </w:t>
            </w:r>
            <w:r w:rsidRPr="007C51C1">
              <w:rPr>
                <w:color w:val="333333"/>
              </w:rPr>
              <w:t xml:space="preserve">зазначенням інформації, передбаченої цим пунктом, з одночасним направленням копії вказаного листа Регулятору та </w:t>
            </w:r>
            <w:r w:rsidRPr="007C51C1">
              <w:t>центральному органу виконавчої влади, що реалізує державну політику у сфері нагляду (контролю) в галузі електроенергетики.</w:t>
            </w:r>
          </w:p>
          <w:p w14:paraId="7118B727" w14:textId="77777777" w:rsidR="00F50F48" w:rsidRPr="00FD5AFC" w:rsidRDefault="00F50F48" w:rsidP="00F50F48">
            <w:pPr>
              <w:spacing w:after="0" w:line="240" w:lineRule="auto"/>
              <w:jc w:val="both"/>
              <w:rPr>
                <w:rFonts w:ascii="Times New Roman" w:eastAsia="Times New Roman" w:hAnsi="Times New Roman" w:cs="Times New Roman"/>
                <w:b/>
                <w:i/>
                <w:sz w:val="24"/>
                <w:szCs w:val="24"/>
                <w:lang w:val="uk-UA" w:eastAsia="uk-UA"/>
              </w:rPr>
            </w:pPr>
          </w:p>
          <w:p w14:paraId="5C373925" w14:textId="77777777" w:rsidR="00F50F48" w:rsidRPr="00FD5AFC" w:rsidRDefault="00F50F48" w:rsidP="00F50F48">
            <w:pPr>
              <w:spacing w:after="0" w:line="240" w:lineRule="auto"/>
              <w:jc w:val="both"/>
              <w:rPr>
                <w:rFonts w:ascii="Times New Roman" w:eastAsia="Times New Roman" w:hAnsi="Times New Roman" w:cs="Times New Roman"/>
                <w:b/>
                <w:i/>
                <w:sz w:val="24"/>
                <w:szCs w:val="24"/>
                <w:lang w:val="uk-UA" w:eastAsia="uk-UA"/>
              </w:rPr>
            </w:pPr>
            <w:proofErr w:type="spellStart"/>
            <w:r w:rsidRPr="00FD5AFC">
              <w:rPr>
                <w:rFonts w:ascii="Times New Roman" w:eastAsia="Times New Roman" w:hAnsi="Times New Roman" w:cs="Times New Roman"/>
                <w:b/>
                <w:i/>
                <w:sz w:val="24"/>
                <w:szCs w:val="24"/>
                <w:lang w:val="uk-UA" w:eastAsia="uk-UA"/>
              </w:rPr>
              <w:t>Обгрунтування</w:t>
            </w:r>
            <w:proofErr w:type="spellEnd"/>
            <w:r w:rsidRPr="00FD5AFC">
              <w:rPr>
                <w:rFonts w:ascii="Times New Roman" w:eastAsia="Times New Roman" w:hAnsi="Times New Roman" w:cs="Times New Roman"/>
                <w:b/>
                <w:i/>
                <w:sz w:val="24"/>
                <w:szCs w:val="24"/>
                <w:lang w:val="uk-UA" w:eastAsia="uk-UA"/>
              </w:rPr>
              <w:t xml:space="preserve"> пропозиції:</w:t>
            </w:r>
          </w:p>
          <w:p w14:paraId="5D2D6C1C" w14:textId="4D982286" w:rsidR="00F50F48" w:rsidRDefault="00F50F48" w:rsidP="00F50F48">
            <w:pPr>
              <w:pStyle w:val="rvps2"/>
              <w:shd w:val="clear" w:color="auto" w:fill="FFFFFF"/>
              <w:spacing w:before="0" w:beforeAutospacing="0" w:after="0" w:afterAutospacing="0"/>
              <w:ind w:firstLine="450"/>
              <w:jc w:val="both"/>
              <w:rPr>
                <w:b/>
                <w:i/>
                <w:iCs/>
                <w:color w:val="000000"/>
              </w:rPr>
            </w:pPr>
            <w:r w:rsidRPr="00FD5AFC">
              <w:rPr>
                <w:color w:val="333333"/>
              </w:rPr>
              <w:t>Пропонуємо, у разі відсутності пропускної спроможності обладнання електричних мереж системи розподілу напругою вище 20 кВ, надати можливість відмовити в доступі з необхідністю включення відповідних заходів до плану розвитку системи передачі або системи розподілу</w:t>
            </w:r>
          </w:p>
        </w:tc>
        <w:tc>
          <w:tcPr>
            <w:tcW w:w="3402" w:type="dxa"/>
          </w:tcPr>
          <w:p w14:paraId="275FA91D" w14:textId="19044C2C" w:rsidR="00F50F48" w:rsidRDefault="00F50F48" w:rsidP="00F50F48">
            <w:pPr>
              <w:spacing w:after="0" w:line="240" w:lineRule="auto"/>
              <w:jc w:val="both"/>
              <w:rPr>
                <w:rFonts w:ascii="Times New Roman" w:hAnsi="Times New Roman" w:cs="Times New Roman"/>
                <w:b/>
                <w:color w:val="FF0000"/>
                <w:sz w:val="24"/>
                <w:szCs w:val="24"/>
                <w:lang w:val="uk-UA"/>
              </w:rPr>
            </w:pPr>
            <w:r w:rsidRPr="00FD5AFC">
              <w:rPr>
                <w:rFonts w:ascii="Times New Roman" w:hAnsi="Times New Roman" w:cs="Times New Roman"/>
                <w:b/>
                <w:color w:val="FF0000"/>
                <w:sz w:val="24"/>
                <w:szCs w:val="24"/>
                <w:lang w:val="uk-UA"/>
              </w:rPr>
              <w:lastRenderedPageBreak/>
              <w:t>Пропонується не враховувати:</w:t>
            </w:r>
          </w:p>
          <w:p w14:paraId="08FFEECE" w14:textId="6E2C57C4" w:rsidR="00F50F48" w:rsidRPr="00D64ED9" w:rsidRDefault="00F50F48" w:rsidP="00F50F48">
            <w:pPr>
              <w:spacing w:after="0" w:line="240" w:lineRule="auto"/>
              <w:jc w:val="both"/>
              <w:rPr>
                <w:rFonts w:ascii="Times New Roman" w:hAnsi="Times New Roman" w:cs="Times New Roman"/>
                <w:sz w:val="24"/>
                <w:szCs w:val="24"/>
                <w:lang w:val="uk-UA"/>
              </w:rPr>
            </w:pPr>
            <w:r w:rsidRPr="00D64ED9">
              <w:rPr>
                <w:rFonts w:ascii="Times New Roman" w:hAnsi="Times New Roman" w:cs="Times New Roman"/>
                <w:sz w:val="24"/>
                <w:szCs w:val="24"/>
                <w:lang w:val="uk-UA"/>
              </w:rPr>
              <w:t>Запропонована норма протирічить ЗУ «</w:t>
            </w:r>
            <w:r>
              <w:rPr>
                <w:rFonts w:ascii="Times New Roman" w:hAnsi="Times New Roman" w:cs="Times New Roman"/>
                <w:sz w:val="24"/>
                <w:szCs w:val="24"/>
                <w:lang w:val="uk-UA"/>
              </w:rPr>
              <w:t>П</w:t>
            </w:r>
            <w:r w:rsidRPr="00D64ED9">
              <w:rPr>
                <w:rFonts w:ascii="Times New Roman" w:hAnsi="Times New Roman" w:cs="Times New Roman"/>
                <w:sz w:val="24"/>
                <w:szCs w:val="24"/>
                <w:lang w:val="uk-UA"/>
              </w:rPr>
              <w:t>ро ринок</w:t>
            </w:r>
            <w:r>
              <w:rPr>
                <w:rFonts w:ascii="Times New Roman" w:hAnsi="Times New Roman" w:cs="Times New Roman"/>
                <w:sz w:val="24"/>
                <w:szCs w:val="24"/>
                <w:lang w:val="uk-UA"/>
              </w:rPr>
              <w:t xml:space="preserve"> електричної енергії» (далі – Закон про ринок)</w:t>
            </w:r>
          </w:p>
          <w:p w14:paraId="32996828" w14:textId="77777777" w:rsidR="00F50F48" w:rsidRPr="00FD5AFC" w:rsidRDefault="00F50F48" w:rsidP="00F50F48">
            <w:pPr>
              <w:spacing w:after="0" w:line="240" w:lineRule="auto"/>
              <w:jc w:val="both"/>
              <w:rPr>
                <w:rFonts w:ascii="Times New Roman" w:hAnsi="Times New Roman" w:cs="Times New Roman"/>
                <w:b/>
                <w:color w:val="00B050"/>
                <w:sz w:val="24"/>
                <w:szCs w:val="24"/>
                <w:lang w:val="uk-UA"/>
              </w:rPr>
            </w:pPr>
          </w:p>
        </w:tc>
      </w:tr>
      <w:tr w:rsidR="00F50F48" w:rsidRPr="000D1130" w14:paraId="73417628" w14:textId="77777777" w:rsidTr="00F50F48">
        <w:tc>
          <w:tcPr>
            <w:tcW w:w="4962" w:type="dxa"/>
          </w:tcPr>
          <w:p w14:paraId="0DDD1F7B" w14:textId="77777777" w:rsidR="00F50F48" w:rsidRPr="00FD5AFC" w:rsidRDefault="00F50F48" w:rsidP="00F50F48">
            <w:pPr>
              <w:pStyle w:val="rvps2"/>
              <w:shd w:val="clear" w:color="auto" w:fill="FFFFFF"/>
              <w:spacing w:before="0" w:beforeAutospacing="0" w:after="150" w:afterAutospacing="0"/>
              <w:jc w:val="both"/>
              <w:rPr>
                <w:color w:val="333333"/>
                <w:lang w:eastAsia="en-US"/>
              </w:rPr>
            </w:pPr>
          </w:p>
          <w:p w14:paraId="770D6F7F" w14:textId="77777777" w:rsidR="00F50F48" w:rsidRPr="00FD5AFC" w:rsidRDefault="00F50F48" w:rsidP="00F50F48">
            <w:pPr>
              <w:pStyle w:val="rvps2"/>
              <w:shd w:val="clear" w:color="auto" w:fill="FFFFFF"/>
              <w:spacing w:before="0" w:beforeAutospacing="0" w:after="150" w:afterAutospacing="0"/>
              <w:ind w:firstLine="450"/>
              <w:jc w:val="both"/>
              <w:rPr>
                <w:color w:val="333333"/>
                <w:lang w:eastAsia="en-US"/>
              </w:rPr>
            </w:pPr>
            <w:r w:rsidRPr="00FD5AFC">
              <w:rPr>
                <w:color w:val="333333"/>
                <w:lang w:eastAsia="en-US"/>
              </w:rPr>
              <w:t xml:space="preserve">11.1.5. ОСР </w:t>
            </w:r>
            <w:bookmarkStart w:id="1" w:name="_Hlk197434886"/>
            <w:r w:rsidRPr="00FD5AFC">
              <w:rPr>
                <w:color w:val="333333"/>
                <w:lang w:eastAsia="en-US"/>
              </w:rPr>
              <w:t xml:space="preserve">не має права </w:t>
            </w:r>
            <w:bookmarkEnd w:id="1"/>
            <w:r w:rsidRPr="00FD5AFC">
              <w:rPr>
                <w:color w:val="333333"/>
                <w:lang w:eastAsia="en-US"/>
              </w:rPr>
              <w:t xml:space="preserve">відмовити у доступі до своєї системи розподілу, крім випадків недостатньої пропускної спроможності </w:t>
            </w:r>
            <w:r w:rsidRPr="00FD5AFC">
              <w:rPr>
                <w:color w:val="333333"/>
                <w:u w:val="single"/>
                <w:lang w:eastAsia="en-US"/>
              </w:rPr>
              <w:t>обладнання електричних мереж</w:t>
            </w:r>
            <w:r w:rsidRPr="00FD5AFC">
              <w:rPr>
                <w:color w:val="333333"/>
                <w:lang w:eastAsia="en-US"/>
              </w:rPr>
              <w:t xml:space="preserve"> системи розподілу напругою вище 20 кВ</w:t>
            </w:r>
            <w:r w:rsidRPr="00FD5AFC">
              <w:rPr>
                <w:b/>
                <w:color w:val="333333"/>
                <w:highlight w:val="yellow"/>
                <w:lang w:eastAsia="en-US"/>
              </w:rPr>
              <w:t xml:space="preserve">, визначеного як такого, що спричиняє </w:t>
            </w:r>
            <w:r w:rsidRPr="00FD5AFC">
              <w:rPr>
                <w:b/>
                <w:color w:val="333333"/>
                <w:highlight w:val="yellow"/>
                <w:lang w:eastAsia="en-US"/>
              </w:rPr>
              <w:lastRenderedPageBreak/>
              <w:t>обмеження/відмову в наданні доступу до системи розподілу та відображеного в ПРСР згідно з вимогами підпункту 10 пункту 3.3.1 глави 3.3 розділу ІІІ цього Кодексу</w:t>
            </w:r>
            <w:r w:rsidRPr="00FD5AFC">
              <w:rPr>
                <w:color w:val="333333"/>
                <w:lang w:eastAsia="en-US"/>
              </w:rPr>
              <w:t xml:space="preserve">. При цьому ОСР має надати обґрунтування причини такої відмови, яка має базуватися на об’єктивних і технічно та економічно обґрунтованих критеріях, </w:t>
            </w:r>
            <w:r w:rsidRPr="00FD5AFC">
              <w:rPr>
                <w:b/>
                <w:strike/>
                <w:color w:val="333333"/>
                <w:highlight w:val="yellow"/>
                <w:lang w:eastAsia="en-US"/>
              </w:rPr>
              <w:t>а також інформацію про обґрунтований строк, необхідний для створення резерву пропускної спроможності мереж відповідно до затвердженого</w:t>
            </w:r>
            <w:r w:rsidRPr="00FD5AFC">
              <w:rPr>
                <w:color w:val="333333"/>
                <w:lang w:eastAsia="en-US"/>
              </w:rPr>
              <w:t xml:space="preserve"> </w:t>
            </w:r>
            <w:r w:rsidRPr="00FD5AFC">
              <w:rPr>
                <w:b/>
                <w:color w:val="333333"/>
                <w:highlight w:val="yellow"/>
                <w:lang w:eastAsia="en-US"/>
              </w:rPr>
              <w:t>та включати інформацію, зазначену у схваленому Регулятором плані розвитку системи передачі або системи розподілу, у частині:</w:t>
            </w:r>
          </w:p>
          <w:p w14:paraId="597B55B8" w14:textId="77777777" w:rsidR="00F50F48" w:rsidRPr="00FD5AFC" w:rsidRDefault="00F50F48" w:rsidP="00F50F48">
            <w:pPr>
              <w:pStyle w:val="rvps2"/>
              <w:shd w:val="clear" w:color="auto" w:fill="FFFFFF"/>
              <w:spacing w:before="0" w:beforeAutospacing="0" w:after="150" w:afterAutospacing="0"/>
              <w:ind w:firstLine="450"/>
              <w:jc w:val="both"/>
              <w:rPr>
                <w:b/>
                <w:strike/>
                <w:color w:val="333333"/>
                <w:highlight w:val="yellow"/>
                <w:lang w:eastAsia="en-US"/>
              </w:rPr>
            </w:pPr>
            <w:r w:rsidRPr="00FD5AFC">
              <w:rPr>
                <w:b/>
                <w:color w:val="333333"/>
                <w:highlight w:val="yellow"/>
                <w:lang w:eastAsia="en-US"/>
              </w:rPr>
              <w:t xml:space="preserve">відсутності можливості надання доступу до системи розподілу у конкретному </w:t>
            </w:r>
            <w:proofErr w:type="spellStart"/>
            <w:r w:rsidRPr="00FD5AFC">
              <w:rPr>
                <w:b/>
                <w:color w:val="333333"/>
                <w:highlight w:val="yellow"/>
                <w:lang w:eastAsia="en-US"/>
              </w:rPr>
              <w:t>енерговузлі</w:t>
            </w:r>
            <w:proofErr w:type="spellEnd"/>
            <w:r w:rsidRPr="00FD5AFC">
              <w:rPr>
                <w:b/>
                <w:color w:val="333333"/>
                <w:highlight w:val="yellow"/>
                <w:lang w:eastAsia="en-US"/>
              </w:rPr>
              <w:t xml:space="preserve"> та критеріїв/термінів/строків запровадження відмови/обмеження в наданні такого доступу;</w:t>
            </w:r>
          </w:p>
          <w:p w14:paraId="6B9453F9" w14:textId="77777777" w:rsidR="00F50F48" w:rsidRPr="00FD5AFC" w:rsidRDefault="00F50F48" w:rsidP="00F50F48">
            <w:pPr>
              <w:pStyle w:val="rvps2"/>
              <w:shd w:val="clear" w:color="auto" w:fill="FFFFFF"/>
              <w:spacing w:before="0" w:beforeAutospacing="0" w:after="150" w:afterAutospacing="0"/>
              <w:ind w:firstLine="450"/>
              <w:jc w:val="both"/>
              <w:rPr>
                <w:color w:val="333333"/>
                <w:lang w:eastAsia="en-US"/>
              </w:rPr>
            </w:pPr>
            <w:r w:rsidRPr="00FD5AFC">
              <w:rPr>
                <w:color w:val="333333"/>
                <w:lang w:eastAsia="en-US"/>
              </w:rPr>
              <w:t xml:space="preserve">обґрунтованого строку, необхідного </w:t>
            </w:r>
            <w:r w:rsidRPr="00FD5AFC">
              <w:rPr>
                <w:b/>
                <w:color w:val="333333"/>
                <w:highlight w:val="yellow"/>
                <w:lang w:eastAsia="en-US"/>
              </w:rPr>
              <w:t>для реалізації  заходів із</w:t>
            </w:r>
            <w:r w:rsidRPr="00FD5AFC">
              <w:rPr>
                <w:color w:val="333333"/>
                <w:lang w:eastAsia="en-US"/>
              </w:rPr>
              <w:t xml:space="preserve"> створення резерву пропускної спроможності мереж </w:t>
            </w:r>
            <w:r w:rsidRPr="00FD5AFC">
              <w:rPr>
                <w:b/>
                <w:color w:val="333333"/>
                <w:highlight w:val="yellow"/>
                <w:lang w:eastAsia="en-US"/>
              </w:rPr>
              <w:t>та зняття відповідних обмежень</w:t>
            </w:r>
            <w:r w:rsidRPr="00FD5AFC">
              <w:rPr>
                <w:color w:val="333333"/>
                <w:lang w:eastAsia="en-US"/>
              </w:rPr>
              <w:t>.</w:t>
            </w:r>
          </w:p>
          <w:p w14:paraId="1BA04AE4" w14:textId="48B7F79E" w:rsidR="00F50F48" w:rsidRDefault="00F50F48" w:rsidP="00F50F48">
            <w:pPr>
              <w:pStyle w:val="rvps2"/>
              <w:shd w:val="clear" w:color="auto" w:fill="FFFFFF"/>
              <w:spacing w:before="0" w:beforeAutospacing="0" w:after="150" w:afterAutospacing="0"/>
              <w:ind w:firstLine="450"/>
              <w:jc w:val="both"/>
              <w:rPr>
                <w:color w:val="333333"/>
                <w:lang w:eastAsia="en-US"/>
              </w:rPr>
            </w:pPr>
            <w:r w:rsidRPr="00FD5AFC">
              <w:rPr>
                <w:color w:val="333333"/>
                <w:lang w:eastAsia="en-US"/>
              </w:rPr>
              <w:t>У випадку недостатньої пропускної спроможності мереж</w:t>
            </w:r>
            <w:r w:rsidRPr="00FD5AFC">
              <w:rPr>
                <w:b/>
                <w:color w:val="333333"/>
                <w:lang w:eastAsia="en-US"/>
              </w:rPr>
              <w:t xml:space="preserve"> та</w:t>
            </w:r>
            <w:r w:rsidRPr="00FD5AFC">
              <w:rPr>
                <w:b/>
                <w:color w:val="333333"/>
                <w:highlight w:val="yellow"/>
                <w:lang w:eastAsia="en-US"/>
              </w:rPr>
              <w:t>, як наслідок, необхідності обмежити доступ до системи розподілу/відмовити у доступі</w:t>
            </w:r>
            <w:r w:rsidRPr="00FD5AFC">
              <w:rPr>
                <w:color w:val="333333"/>
                <w:lang w:eastAsia="en-US"/>
              </w:rPr>
              <w:t xml:space="preserve"> ОСР має письмово повідомити замовника під час видачі технічних умов про намір відмовити або тимчасово обмежити (із зазначенням мінімальної величини потужності) майбутньому користувачу системи розподілу </w:t>
            </w:r>
            <w:r w:rsidRPr="00FD5AFC">
              <w:rPr>
                <w:color w:val="333333"/>
                <w:lang w:eastAsia="en-US"/>
              </w:rPr>
              <w:lastRenderedPageBreak/>
              <w:t>доступ до електричних мереж із зазначенням інформації, передбаченої цим пунктом</w:t>
            </w:r>
            <w:r w:rsidRPr="00FD5AFC">
              <w:rPr>
                <w:b/>
                <w:color w:val="333333"/>
                <w:highlight w:val="yellow"/>
                <w:lang w:eastAsia="en-US"/>
              </w:rPr>
              <w:t xml:space="preserve">, з одночасним направленням копії вказаного листа Регулятору та </w:t>
            </w:r>
            <w:r w:rsidRPr="00FD5AFC">
              <w:rPr>
                <w:b/>
                <w:highlight w:val="yellow"/>
                <w:lang w:eastAsia="en-US"/>
              </w:rPr>
              <w:t>центральному органу виконавчої влади, що реалізує державну політику у сфері нагляду (контролю) в галузі електроенергетики.</w:t>
            </w:r>
          </w:p>
          <w:p w14:paraId="54DA3730" w14:textId="77777777" w:rsidR="00F50F48" w:rsidRPr="00395D1D" w:rsidRDefault="00F50F48" w:rsidP="00F50F48">
            <w:pPr>
              <w:rPr>
                <w:lang w:val="uk-UA"/>
              </w:rPr>
            </w:pPr>
          </w:p>
          <w:p w14:paraId="3138FDB4" w14:textId="77777777" w:rsidR="00F50F48" w:rsidRPr="00395D1D" w:rsidRDefault="00F50F48" w:rsidP="00F50F48">
            <w:pPr>
              <w:rPr>
                <w:lang w:val="uk-UA"/>
              </w:rPr>
            </w:pPr>
          </w:p>
          <w:p w14:paraId="5B394E31" w14:textId="77777777" w:rsidR="00F50F48" w:rsidRPr="00395D1D" w:rsidRDefault="00F50F48" w:rsidP="00F50F48">
            <w:pPr>
              <w:rPr>
                <w:lang w:val="uk-UA"/>
              </w:rPr>
            </w:pPr>
          </w:p>
          <w:p w14:paraId="1618396B" w14:textId="77777777" w:rsidR="00F50F48" w:rsidRPr="00395D1D" w:rsidRDefault="00F50F48" w:rsidP="00F50F48">
            <w:pPr>
              <w:rPr>
                <w:lang w:val="uk-UA"/>
              </w:rPr>
            </w:pPr>
          </w:p>
          <w:p w14:paraId="7D15D7C6" w14:textId="77777777" w:rsidR="00F50F48" w:rsidRPr="00395D1D" w:rsidRDefault="00F50F48" w:rsidP="00F50F48">
            <w:pPr>
              <w:rPr>
                <w:lang w:val="uk-UA"/>
              </w:rPr>
            </w:pPr>
          </w:p>
          <w:p w14:paraId="0C51C83E" w14:textId="77777777" w:rsidR="00F50F48" w:rsidRPr="00395D1D" w:rsidRDefault="00F50F48" w:rsidP="00F50F48">
            <w:pPr>
              <w:rPr>
                <w:lang w:val="uk-UA"/>
              </w:rPr>
            </w:pPr>
          </w:p>
          <w:p w14:paraId="54A34143" w14:textId="387BA89F" w:rsidR="00F50F48" w:rsidRDefault="00F50F48" w:rsidP="00F50F48">
            <w:pPr>
              <w:rPr>
                <w:lang w:val="uk-UA"/>
              </w:rPr>
            </w:pPr>
          </w:p>
          <w:p w14:paraId="7B00BB24" w14:textId="361B5751" w:rsidR="00F50F48" w:rsidRDefault="00F50F48" w:rsidP="00F50F48">
            <w:pPr>
              <w:ind w:firstLine="708"/>
              <w:rPr>
                <w:lang w:val="uk-UA"/>
              </w:rPr>
            </w:pPr>
          </w:p>
          <w:p w14:paraId="51F18C0D" w14:textId="031BFF0B" w:rsidR="00F50F48" w:rsidRPr="00395D1D" w:rsidRDefault="00F50F48" w:rsidP="00F50F48">
            <w:pPr>
              <w:rPr>
                <w:lang w:val="uk-UA"/>
              </w:rPr>
            </w:pPr>
          </w:p>
        </w:tc>
        <w:tc>
          <w:tcPr>
            <w:tcW w:w="6946" w:type="dxa"/>
          </w:tcPr>
          <w:p w14:paraId="5C091754" w14:textId="1C0E16F2" w:rsidR="00F50F48" w:rsidRPr="008E4570" w:rsidRDefault="00F50F48" w:rsidP="00F50F48">
            <w:pPr>
              <w:pStyle w:val="rvps2"/>
              <w:shd w:val="clear" w:color="auto" w:fill="FFFFFF"/>
              <w:spacing w:before="0" w:beforeAutospacing="0" w:after="0" w:afterAutospacing="0"/>
              <w:ind w:firstLine="450"/>
              <w:jc w:val="both"/>
              <w:rPr>
                <w:color w:val="333333"/>
              </w:rPr>
            </w:pPr>
            <w:r>
              <w:rPr>
                <w:b/>
                <w:i/>
                <w:iCs/>
                <w:color w:val="000000"/>
              </w:rPr>
              <w:lastRenderedPageBreak/>
              <w:t>АТ «</w:t>
            </w:r>
            <w:proofErr w:type="spellStart"/>
            <w:r>
              <w:rPr>
                <w:b/>
                <w:i/>
                <w:iCs/>
                <w:color w:val="000000"/>
              </w:rPr>
              <w:t>Прикарпаттяобленерго</w:t>
            </w:r>
            <w:proofErr w:type="spellEnd"/>
          </w:p>
          <w:p w14:paraId="22FE12AC" w14:textId="7E08D4C9" w:rsidR="00F50F48" w:rsidRPr="00395D1D" w:rsidRDefault="00F50F48" w:rsidP="00F50F48">
            <w:pPr>
              <w:pStyle w:val="rvps2"/>
              <w:shd w:val="clear" w:color="auto" w:fill="FFFFFF"/>
              <w:spacing w:before="0" w:beforeAutospacing="0" w:after="150" w:afterAutospacing="0"/>
              <w:ind w:firstLine="450"/>
              <w:jc w:val="both"/>
              <w:rPr>
                <w:strike/>
                <w:color w:val="333333"/>
                <w:lang w:eastAsia="en-US"/>
              </w:rPr>
            </w:pPr>
            <w:r>
              <w:rPr>
                <w:color w:val="333333"/>
              </w:rPr>
              <w:t xml:space="preserve">11.1.5. ОСР </w:t>
            </w:r>
            <w:r w:rsidRPr="00FF550D">
              <w:rPr>
                <w:b/>
                <w:strike/>
                <w:color w:val="333333"/>
                <w:highlight w:val="yellow"/>
                <w:lang w:eastAsia="en-US"/>
              </w:rPr>
              <w:t>не має права</w:t>
            </w:r>
            <w:r w:rsidRPr="00FD5AFC">
              <w:rPr>
                <w:color w:val="333333"/>
                <w:lang w:eastAsia="en-US"/>
              </w:rPr>
              <w:t xml:space="preserve"> </w:t>
            </w:r>
            <w:r w:rsidRPr="00BF5F4E">
              <w:rPr>
                <w:b/>
                <w:color w:val="333333"/>
                <w:highlight w:val="yellow"/>
              </w:rPr>
              <w:t>може</w:t>
            </w:r>
            <w:r>
              <w:rPr>
                <w:color w:val="333333"/>
              </w:rPr>
              <w:t xml:space="preserve"> відмовити у доступі до своєї системи розподілу,</w:t>
            </w:r>
            <w:r w:rsidRPr="00FD5AFC">
              <w:rPr>
                <w:color w:val="333333"/>
                <w:lang w:eastAsia="en-US"/>
              </w:rPr>
              <w:t xml:space="preserve"> </w:t>
            </w:r>
            <w:r w:rsidRPr="00395D1D">
              <w:rPr>
                <w:b/>
                <w:strike/>
                <w:color w:val="333333"/>
                <w:highlight w:val="yellow"/>
                <w:lang w:eastAsia="en-US"/>
              </w:rPr>
              <w:t>крім випадків</w:t>
            </w:r>
            <w:r>
              <w:rPr>
                <w:color w:val="333333"/>
              </w:rPr>
              <w:t xml:space="preserve"> </w:t>
            </w:r>
            <w:r w:rsidRPr="00395D1D">
              <w:rPr>
                <w:b/>
                <w:color w:val="333333"/>
                <w:highlight w:val="yellow"/>
              </w:rPr>
              <w:t>у разі</w:t>
            </w:r>
            <w:r>
              <w:rPr>
                <w:color w:val="333333"/>
              </w:rPr>
              <w:t xml:space="preserve"> недостатньої пропускної спроможності обладнання електричних мереж системи розподілу напругою вище 20 кВ</w:t>
            </w:r>
            <w:r w:rsidRPr="00395D1D">
              <w:rPr>
                <w:b/>
                <w:strike/>
                <w:color w:val="333333"/>
                <w:highlight w:val="yellow"/>
                <w:lang w:eastAsia="en-US"/>
              </w:rPr>
              <w:t>, визначеного як такого, що спричиняє обмеження/відмову в наданні доступу до системи розподілу та відображеного в ПРСР згідно з вимогами підпункту 10 пункту 3.3.1 глави 3.3 розділу ІІІ цього Кодексу</w:t>
            </w:r>
            <w:r>
              <w:rPr>
                <w:color w:val="333333"/>
              </w:rPr>
              <w:t>. При цьому</w:t>
            </w:r>
            <w:r w:rsidRPr="00FD5AFC">
              <w:rPr>
                <w:color w:val="333333"/>
                <w:lang w:eastAsia="en-US"/>
              </w:rPr>
              <w:t xml:space="preserve"> </w:t>
            </w:r>
            <w:r w:rsidRPr="00395D1D">
              <w:rPr>
                <w:b/>
                <w:strike/>
                <w:color w:val="333333"/>
                <w:highlight w:val="yellow"/>
                <w:lang w:eastAsia="en-US"/>
              </w:rPr>
              <w:t xml:space="preserve">ОСР має </w:t>
            </w:r>
            <w:r w:rsidRPr="00395D1D">
              <w:rPr>
                <w:b/>
                <w:strike/>
                <w:color w:val="333333"/>
                <w:highlight w:val="yellow"/>
                <w:lang w:eastAsia="en-US"/>
              </w:rPr>
              <w:lastRenderedPageBreak/>
              <w:t>надати</w:t>
            </w:r>
            <w:r>
              <w:rPr>
                <w:color w:val="333333"/>
              </w:rPr>
              <w:t xml:space="preserve"> обґрунтування причин такої відмови, </w:t>
            </w:r>
            <w:r w:rsidRPr="00395D1D">
              <w:rPr>
                <w:b/>
                <w:strike/>
                <w:color w:val="333333"/>
                <w:lang w:eastAsia="en-US"/>
              </w:rPr>
              <w:t>яка</w:t>
            </w:r>
            <w:r w:rsidRPr="00395D1D">
              <w:rPr>
                <w:b/>
                <w:strike/>
                <w:color w:val="333333"/>
              </w:rPr>
              <w:t xml:space="preserve"> </w:t>
            </w:r>
            <w:r>
              <w:rPr>
                <w:color w:val="333333"/>
              </w:rPr>
              <w:t xml:space="preserve">має </w:t>
            </w:r>
            <w:r w:rsidRPr="00395D1D">
              <w:rPr>
                <w:b/>
                <w:strike/>
                <w:color w:val="333333"/>
                <w:highlight w:val="yellow"/>
                <w:lang w:eastAsia="en-US"/>
              </w:rPr>
              <w:t>базуватися на об’єктивних і технічно та економічно обґрунтованих критеріях,</w:t>
            </w:r>
            <w:r w:rsidRPr="00FD5AFC">
              <w:rPr>
                <w:b/>
                <w:color w:val="333333"/>
                <w:highlight w:val="yellow"/>
                <w:lang w:eastAsia="en-US"/>
              </w:rPr>
              <w:t xml:space="preserve"> </w:t>
            </w:r>
            <w:r w:rsidRPr="00395D1D">
              <w:rPr>
                <w:b/>
                <w:strike/>
                <w:color w:val="333333"/>
                <w:highlight w:val="yellow"/>
                <w:lang w:eastAsia="en-US"/>
              </w:rPr>
              <w:t>та включати інформацію, зазначену у схваленому</w:t>
            </w:r>
            <w:r w:rsidRPr="00395D1D">
              <w:rPr>
                <w:color w:val="333333"/>
                <w:lang w:eastAsia="en-US"/>
              </w:rPr>
              <w:t xml:space="preserve"> </w:t>
            </w:r>
            <w:r w:rsidRPr="00395D1D">
              <w:rPr>
                <w:b/>
                <w:color w:val="333333"/>
                <w:highlight w:val="yellow"/>
              </w:rPr>
              <w:t>бути відображене в затвердженому</w:t>
            </w:r>
            <w:r>
              <w:rPr>
                <w:color w:val="333333"/>
              </w:rPr>
              <w:t xml:space="preserve"> Регулятором плані розвитку системи передачі або системи розподілу </w:t>
            </w:r>
            <w:r w:rsidRPr="00395D1D">
              <w:rPr>
                <w:b/>
                <w:color w:val="333333"/>
                <w:highlight w:val="yellow"/>
              </w:rPr>
              <w:t>базуватися на об’єктивних і технічно та економічно обґрунтованих критеріях</w:t>
            </w:r>
            <w:r w:rsidRPr="00395D1D">
              <w:rPr>
                <w:b/>
                <w:strike/>
                <w:color w:val="333333"/>
                <w:highlight w:val="yellow"/>
                <w:lang w:eastAsia="en-US"/>
              </w:rPr>
              <w:t>, у частині:</w:t>
            </w:r>
          </w:p>
          <w:p w14:paraId="081F1768" w14:textId="77777777" w:rsidR="00F50F48" w:rsidRPr="00395D1D" w:rsidRDefault="00F50F48" w:rsidP="00F50F48">
            <w:pPr>
              <w:pStyle w:val="rvps2"/>
              <w:shd w:val="clear" w:color="auto" w:fill="FFFFFF"/>
              <w:spacing w:before="0" w:beforeAutospacing="0" w:after="150" w:afterAutospacing="0"/>
              <w:ind w:firstLine="450"/>
              <w:jc w:val="both"/>
              <w:rPr>
                <w:b/>
                <w:strike/>
                <w:color w:val="333333"/>
                <w:highlight w:val="yellow"/>
                <w:lang w:eastAsia="en-US"/>
              </w:rPr>
            </w:pPr>
            <w:r w:rsidRPr="00395D1D">
              <w:rPr>
                <w:b/>
                <w:strike/>
                <w:color w:val="333333"/>
                <w:highlight w:val="yellow"/>
                <w:lang w:eastAsia="en-US"/>
              </w:rPr>
              <w:t xml:space="preserve">відсутності можливості надання доступу до системи розподілу у конкретному </w:t>
            </w:r>
            <w:proofErr w:type="spellStart"/>
            <w:r w:rsidRPr="00395D1D">
              <w:rPr>
                <w:b/>
                <w:strike/>
                <w:color w:val="333333"/>
                <w:highlight w:val="yellow"/>
                <w:lang w:eastAsia="en-US"/>
              </w:rPr>
              <w:t>енерговузлі</w:t>
            </w:r>
            <w:proofErr w:type="spellEnd"/>
            <w:r w:rsidRPr="00395D1D">
              <w:rPr>
                <w:b/>
                <w:strike/>
                <w:color w:val="333333"/>
                <w:highlight w:val="yellow"/>
                <w:lang w:eastAsia="en-US"/>
              </w:rPr>
              <w:t xml:space="preserve"> та критеріїв/термінів/строків запровадження відмови/обмеження в наданні такого доступу;</w:t>
            </w:r>
          </w:p>
          <w:p w14:paraId="448CA6DD" w14:textId="0E9BC609" w:rsidR="00F50F48" w:rsidRPr="00E93164" w:rsidRDefault="00F50F48" w:rsidP="00E93164">
            <w:pPr>
              <w:pStyle w:val="rvps2"/>
              <w:shd w:val="clear" w:color="auto" w:fill="FFFFFF"/>
              <w:spacing w:before="0" w:beforeAutospacing="0" w:after="150" w:afterAutospacing="0"/>
              <w:ind w:firstLine="450"/>
              <w:jc w:val="both"/>
              <w:rPr>
                <w:strike/>
                <w:color w:val="333333"/>
                <w:lang w:eastAsia="en-US"/>
              </w:rPr>
            </w:pPr>
            <w:r w:rsidRPr="00395D1D">
              <w:rPr>
                <w:strike/>
                <w:color w:val="333333"/>
                <w:lang w:eastAsia="en-US"/>
              </w:rPr>
              <w:t xml:space="preserve">обґрунтованого строку, необхідного </w:t>
            </w:r>
            <w:r w:rsidRPr="00395D1D">
              <w:rPr>
                <w:b/>
                <w:strike/>
                <w:color w:val="333333"/>
                <w:highlight w:val="yellow"/>
                <w:lang w:eastAsia="en-US"/>
              </w:rPr>
              <w:t>для реалізації  заходів із</w:t>
            </w:r>
            <w:r w:rsidRPr="00395D1D">
              <w:rPr>
                <w:strike/>
                <w:color w:val="333333"/>
                <w:lang w:eastAsia="en-US"/>
              </w:rPr>
              <w:t xml:space="preserve"> створення резерву пропускної спроможності мереж </w:t>
            </w:r>
            <w:r w:rsidRPr="00395D1D">
              <w:rPr>
                <w:b/>
                <w:strike/>
                <w:color w:val="333333"/>
                <w:highlight w:val="yellow"/>
                <w:lang w:eastAsia="en-US"/>
              </w:rPr>
              <w:t>та зняття відповідних обмежень</w:t>
            </w:r>
            <w:r w:rsidRPr="00395D1D">
              <w:rPr>
                <w:strike/>
                <w:color w:val="333333"/>
                <w:lang w:eastAsia="en-US"/>
              </w:rPr>
              <w:t>.</w:t>
            </w:r>
          </w:p>
          <w:p w14:paraId="62EA4141" w14:textId="77777777" w:rsidR="00F50F48" w:rsidRPr="00395D1D" w:rsidRDefault="00F50F48" w:rsidP="00F50F48">
            <w:pPr>
              <w:pStyle w:val="rvps2"/>
              <w:shd w:val="clear" w:color="auto" w:fill="FFFFFF"/>
              <w:spacing w:before="0" w:beforeAutospacing="0" w:after="0" w:afterAutospacing="0"/>
              <w:ind w:firstLine="450"/>
              <w:jc w:val="both"/>
              <w:rPr>
                <w:b/>
                <w:color w:val="333333"/>
              </w:rPr>
            </w:pPr>
            <w:r w:rsidRPr="00395D1D">
              <w:rPr>
                <w:b/>
                <w:color w:val="333333"/>
                <w:highlight w:val="yellow"/>
              </w:rPr>
              <w:t>ОСР має право повідомляти Замовників про намір обмежити доступ до електричних мереж систем розподілу  у році, в якому виникають такі підстави за умови включення заходів для забезпечення необхідної пропускної спроможності у проект Плану розвитку, який знаходиться на розгляді в ОСП, центральному органі виконавчої влади, що забезпечує формування та реалізацію державної політики в електроенергетичному комплексі, інших заінтересованих сторін або Регулятора.</w:t>
            </w:r>
          </w:p>
          <w:p w14:paraId="4FD633B4" w14:textId="77777777" w:rsidR="00F50F48" w:rsidRPr="00395D1D" w:rsidRDefault="00F50F48" w:rsidP="00F50F48">
            <w:pPr>
              <w:pStyle w:val="rvps2"/>
              <w:shd w:val="clear" w:color="auto" w:fill="FFFFFF"/>
              <w:spacing w:before="0" w:beforeAutospacing="0" w:after="0" w:afterAutospacing="0"/>
              <w:ind w:firstLine="450"/>
              <w:jc w:val="both"/>
              <w:rPr>
                <w:b/>
                <w:color w:val="333333"/>
              </w:rPr>
            </w:pPr>
            <w:r w:rsidRPr="00395D1D">
              <w:rPr>
                <w:b/>
                <w:color w:val="333333"/>
                <w:highlight w:val="yellow"/>
              </w:rPr>
              <w:t>У разі відсутності плану розвитку системи передачі або плану розвитку системи розподілу, обґрунтованих строків створення резерву пропускної спроможності електричних мереж відмова оператора системи передачі, оператора системи розподілу в доступі до електричних мереж вважається необґрунтованою.</w:t>
            </w:r>
          </w:p>
          <w:p w14:paraId="678A591B" w14:textId="6FBD61B7" w:rsidR="00F50F48" w:rsidRDefault="00F50F48" w:rsidP="00F50F48">
            <w:pPr>
              <w:pStyle w:val="rvps2"/>
              <w:shd w:val="clear" w:color="auto" w:fill="FFFFFF"/>
              <w:spacing w:before="0" w:beforeAutospacing="0" w:after="0" w:afterAutospacing="0"/>
              <w:ind w:firstLine="450"/>
              <w:jc w:val="both"/>
              <w:rPr>
                <w:color w:val="333333"/>
              </w:rPr>
            </w:pPr>
            <w:r>
              <w:rPr>
                <w:color w:val="333333"/>
              </w:rPr>
              <w:t xml:space="preserve">У випадку недостатньої пропускної спроможності мереж </w:t>
            </w:r>
            <w:r w:rsidRPr="00395D1D">
              <w:rPr>
                <w:b/>
                <w:strike/>
                <w:color w:val="333333"/>
                <w:lang w:eastAsia="en-US"/>
              </w:rPr>
              <w:t>та</w:t>
            </w:r>
            <w:r w:rsidRPr="00395D1D">
              <w:rPr>
                <w:b/>
                <w:strike/>
                <w:color w:val="333333"/>
                <w:highlight w:val="yellow"/>
                <w:lang w:eastAsia="en-US"/>
              </w:rPr>
              <w:t>, як наслідок, необхідності обмежити доступ до системи розподілу/відмовити у доступі</w:t>
            </w:r>
            <w:r w:rsidRPr="00395D1D">
              <w:rPr>
                <w:strike/>
                <w:color w:val="333333"/>
                <w:lang w:eastAsia="en-US"/>
              </w:rPr>
              <w:t xml:space="preserve"> </w:t>
            </w:r>
            <w:r w:rsidRPr="00395D1D">
              <w:rPr>
                <w:color w:val="333333"/>
              </w:rPr>
              <w:t>ОСР</w:t>
            </w:r>
            <w:r>
              <w:rPr>
                <w:color w:val="333333"/>
              </w:rPr>
              <w:t xml:space="preserve"> має письмово повідомити замовника під час видачі технічних умов про намір відмовити або тимчасово обмежити (із зазначенням мінімальної величини </w:t>
            </w:r>
            <w:r>
              <w:rPr>
                <w:color w:val="333333"/>
              </w:rPr>
              <w:lastRenderedPageBreak/>
              <w:t xml:space="preserve">потужності </w:t>
            </w:r>
            <w:r w:rsidRPr="00395D1D">
              <w:rPr>
                <w:b/>
                <w:color w:val="333333"/>
                <w:highlight w:val="yellow"/>
              </w:rPr>
              <w:t>у разі обмеження доступу</w:t>
            </w:r>
            <w:r>
              <w:rPr>
                <w:color w:val="333333"/>
              </w:rPr>
              <w:t>) майбутньому користувачу системи розподілу доступ до електричних мереж із зазначенням інформації, передбаченої цим пунктом</w:t>
            </w:r>
            <w:r w:rsidRPr="00395D1D">
              <w:rPr>
                <w:b/>
                <w:strike/>
                <w:color w:val="333333"/>
                <w:highlight w:val="yellow"/>
                <w:lang w:eastAsia="en-US"/>
              </w:rPr>
              <w:t xml:space="preserve">, з одночасним направленням копії вказаного листа Регулятору та </w:t>
            </w:r>
            <w:r w:rsidRPr="00395D1D">
              <w:rPr>
                <w:b/>
                <w:strike/>
                <w:highlight w:val="yellow"/>
                <w:lang w:eastAsia="en-US"/>
              </w:rPr>
              <w:t>центральному органу виконавчої влади, що реалізує державну політику у сфері нагляду (контролю) в галузі електроенергетики.</w:t>
            </w:r>
          </w:p>
          <w:p w14:paraId="1ADB7B43" w14:textId="77777777" w:rsidR="00F50F48" w:rsidRPr="00395D1D" w:rsidRDefault="00F50F48" w:rsidP="00F50F48">
            <w:pPr>
              <w:spacing w:after="0" w:line="240" w:lineRule="auto"/>
              <w:jc w:val="both"/>
              <w:rPr>
                <w:rFonts w:ascii="Times New Roman" w:eastAsia="Times New Roman" w:hAnsi="Times New Roman" w:cs="Times New Roman"/>
                <w:b/>
                <w:color w:val="333333"/>
                <w:sz w:val="24"/>
                <w:szCs w:val="24"/>
                <w:lang w:val="uk-UA" w:eastAsia="uk-UA"/>
              </w:rPr>
            </w:pPr>
            <w:r w:rsidRPr="00395D1D">
              <w:rPr>
                <w:rFonts w:ascii="Times New Roman" w:eastAsia="Times New Roman" w:hAnsi="Times New Roman" w:cs="Times New Roman"/>
                <w:b/>
                <w:color w:val="333333"/>
                <w:sz w:val="24"/>
                <w:szCs w:val="24"/>
                <w:highlight w:val="yellow"/>
                <w:lang w:val="uk-UA" w:eastAsia="uk-UA"/>
              </w:rPr>
              <w:t xml:space="preserve">Відмова або тимчасове обмеження майбутньому користувачу системи розподілу доступу до електричних мереж може </w:t>
            </w:r>
            <w:proofErr w:type="spellStart"/>
            <w:r w:rsidRPr="00395D1D">
              <w:rPr>
                <w:rFonts w:ascii="Times New Roman" w:eastAsia="Times New Roman" w:hAnsi="Times New Roman" w:cs="Times New Roman"/>
                <w:b/>
                <w:color w:val="333333"/>
                <w:sz w:val="24"/>
                <w:szCs w:val="24"/>
                <w:highlight w:val="yellow"/>
                <w:lang w:val="uk-UA" w:eastAsia="uk-UA"/>
              </w:rPr>
              <w:t>здійснюватись</w:t>
            </w:r>
            <w:proofErr w:type="spellEnd"/>
            <w:r w:rsidRPr="00395D1D">
              <w:rPr>
                <w:rFonts w:ascii="Times New Roman" w:eastAsia="Times New Roman" w:hAnsi="Times New Roman" w:cs="Times New Roman"/>
                <w:b/>
                <w:color w:val="333333"/>
                <w:sz w:val="24"/>
                <w:szCs w:val="24"/>
                <w:highlight w:val="yellow"/>
                <w:lang w:val="uk-UA" w:eastAsia="uk-UA"/>
              </w:rPr>
              <w:t xml:space="preserve"> ОСП та ОСР залежно від завантаження електричних мереж в характерні періоди їх роботи (для споживання та/або генерації).</w:t>
            </w:r>
          </w:p>
          <w:p w14:paraId="39544BF1" w14:textId="21BCBBAD" w:rsidR="00F50F48" w:rsidRDefault="00F50F48" w:rsidP="00F50F48">
            <w:pPr>
              <w:spacing w:after="0" w:line="240" w:lineRule="auto"/>
              <w:jc w:val="both"/>
              <w:rPr>
                <w:rFonts w:ascii="Times New Roman" w:eastAsia="Times New Roman" w:hAnsi="Times New Roman" w:cs="Times New Roman"/>
                <w:b/>
                <w:bCs/>
                <w:sz w:val="24"/>
                <w:szCs w:val="24"/>
                <w:lang w:val="uk-UA" w:eastAsia="ru-RU"/>
              </w:rPr>
            </w:pPr>
          </w:p>
          <w:p w14:paraId="60789025" w14:textId="6140E8D6" w:rsidR="00F50F48" w:rsidRPr="00FD5AFC" w:rsidRDefault="00F50F48" w:rsidP="00F50F48">
            <w:pPr>
              <w:spacing w:after="0" w:line="240" w:lineRule="auto"/>
              <w:jc w:val="both"/>
              <w:rPr>
                <w:rFonts w:ascii="Times New Roman" w:eastAsia="Times New Roman" w:hAnsi="Times New Roman" w:cs="Times New Roman"/>
                <w:b/>
                <w:i/>
                <w:sz w:val="24"/>
                <w:szCs w:val="24"/>
                <w:lang w:val="uk-UA" w:eastAsia="uk-UA"/>
              </w:rPr>
            </w:pPr>
            <w:proofErr w:type="spellStart"/>
            <w:r w:rsidRPr="00FD5AFC">
              <w:rPr>
                <w:rFonts w:ascii="Times New Roman" w:eastAsia="Times New Roman" w:hAnsi="Times New Roman" w:cs="Times New Roman"/>
                <w:b/>
                <w:i/>
                <w:sz w:val="24"/>
                <w:szCs w:val="24"/>
                <w:lang w:val="uk-UA" w:eastAsia="uk-UA"/>
              </w:rPr>
              <w:t>Обгрунтування</w:t>
            </w:r>
            <w:proofErr w:type="spellEnd"/>
            <w:r w:rsidRPr="00FD5AFC">
              <w:rPr>
                <w:rFonts w:ascii="Times New Roman" w:eastAsia="Times New Roman" w:hAnsi="Times New Roman" w:cs="Times New Roman"/>
                <w:b/>
                <w:i/>
                <w:sz w:val="24"/>
                <w:szCs w:val="24"/>
                <w:lang w:val="uk-UA" w:eastAsia="uk-UA"/>
              </w:rPr>
              <w:t xml:space="preserve"> пропозиції:</w:t>
            </w:r>
          </w:p>
          <w:p w14:paraId="253A6612" w14:textId="77777777" w:rsidR="00F50F48" w:rsidRDefault="00F50F48" w:rsidP="00F50F48">
            <w:pPr>
              <w:spacing w:after="0" w:line="0" w:lineRule="atLeast"/>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На думку Товариства, оскільки нормами Статті 22 Закону України «Про ринок електричної енергії» передбачено право ОСР відмовляти у доступі до електричних  мереж системи розподілу або в </w:t>
            </w:r>
            <w:proofErr w:type="spellStart"/>
            <w:r>
              <w:rPr>
                <w:rFonts w:ascii="Times New Roman" w:eastAsia="Times New Roman" w:hAnsi="Times New Roman"/>
                <w:color w:val="333333"/>
                <w:sz w:val="24"/>
                <w:szCs w:val="24"/>
                <w:lang w:val="uk-UA" w:eastAsia="uk-UA"/>
              </w:rPr>
              <w:t>обгрунтованих</w:t>
            </w:r>
            <w:proofErr w:type="spellEnd"/>
            <w:r>
              <w:rPr>
                <w:rFonts w:ascii="Times New Roman" w:eastAsia="Times New Roman" w:hAnsi="Times New Roman"/>
                <w:color w:val="333333"/>
                <w:sz w:val="24"/>
                <w:szCs w:val="24"/>
                <w:lang w:val="uk-UA" w:eastAsia="uk-UA"/>
              </w:rPr>
              <w:t xml:space="preserve"> випадках обмежувати доступ  до них на рівні мінімальної величини потужності, у разі, якщо пропускна спроможність даних мереж є недостатньою для забезпечення надійності електропостачання та якості електричної енергії для користувачів</w:t>
            </w:r>
            <w:r>
              <w:rPr>
                <w:color w:val="333333"/>
                <w:lang w:val="ru-RU"/>
              </w:rPr>
              <w:t xml:space="preserve"> </w:t>
            </w:r>
            <w:r>
              <w:rPr>
                <w:rFonts w:ascii="Times New Roman" w:eastAsia="Times New Roman" w:hAnsi="Times New Roman"/>
                <w:color w:val="333333"/>
                <w:sz w:val="24"/>
                <w:szCs w:val="24"/>
                <w:lang w:val="uk-UA" w:eastAsia="uk-UA"/>
              </w:rPr>
              <w:t>електричної системи (або може такою стати за результатом реалізації технічних умов Замовника  та подальшого використання ним електричної потужності на рівні приєднаної та дозволеної до використання). Тому, норми КСР повинні також визначати умови обмеження а не бути направлені на заборону таких обмежень чи відмов у доступі.</w:t>
            </w:r>
          </w:p>
          <w:p w14:paraId="4C6A9030" w14:textId="77777777" w:rsidR="00F50F48" w:rsidRDefault="00F50F48" w:rsidP="00F50F48">
            <w:pPr>
              <w:spacing w:after="0" w:line="0" w:lineRule="atLeast"/>
              <w:jc w:val="both"/>
              <w:rPr>
                <w:rFonts w:ascii="Times New Roman" w:eastAsia="Times New Roman" w:hAnsi="Times New Roman"/>
                <w:color w:val="333333"/>
                <w:sz w:val="24"/>
                <w:szCs w:val="24"/>
                <w:lang w:val="uk-UA" w:eastAsia="uk-UA"/>
              </w:rPr>
            </w:pPr>
          </w:p>
          <w:p w14:paraId="2F2A5E80" w14:textId="77777777" w:rsidR="00F50F48" w:rsidRDefault="00F50F48" w:rsidP="00F50F48">
            <w:pPr>
              <w:spacing w:after="0" w:line="0" w:lineRule="atLeast"/>
              <w:ind w:firstLine="559"/>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При цьому Законом і Кодексом визначено, що </w:t>
            </w:r>
            <w:hyperlink r:id="rId7" w:anchor="w1_41" w:history="1">
              <w:r>
                <w:rPr>
                  <w:rStyle w:val="a4"/>
                  <w:rFonts w:ascii="Times New Roman" w:eastAsia="Times New Roman" w:hAnsi="Times New Roman"/>
                  <w:color w:val="333333"/>
                  <w:sz w:val="24"/>
                  <w:szCs w:val="24"/>
                  <w:lang w:val="ru-RU" w:eastAsia="uk-UA"/>
                </w:rPr>
                <w:t>п</w:t>
              </w:r>
            </w:hyperlink>
            <w:proofErr w:type="spellStart"/>
            <w:r>
              <w:rPr>
                <w:rFonts w:ascii="Times New Roman" w:eastAsia="Times New Roman" w:hAnsi="Times New Roman"/>
                <w:color w:val="333333"/>
                <w:sz w:val="24"/>
                <w:szCs w:val="24"/>
                <w:lang w:val="uk-UA" w:eastAsia="uk-UA"/>
              </w:rPr>
              <w:t>риєднання</w:t>
            </w:r>
            <w:proofErr w:type="spellEnd"/>
            <w:r>
              <w:rPr>
                <w:rFonts w:ascii="Times New Roman" w:eastAsia="Times New Roman" w:hAnsi="Times New Roman"/>
                <w:color w:val="333333"/>
                <w:sz w:val="24"/>
                <w:szCs w:val="24"/>
                <w:lang w:val="uk-UA" w:eastAsia="uk-UA"/>
              </w:rPr>
              <w:t xml:space="preserve"> електроустановок до електричних мереж не має призводити до порушення нормативних вимог щодо надійності електропостачання та якості електричної енергії для користувачів електричної системи. Отже, у випадках коли приєднання електроустановки та її подальше підключення призводить до погіршення показників якості та надійності – до моменту реалізації заходів з модернізації, будівництва нових мереж або </w:t>
            </w:r>
            <w:r>
              <w:rPr>
                <w:rFonts w:ascii="Times New Roman" w:eastAsia="Times New Roman" w:hAnsi="Times New Roman"/>
                <w:color w:val="333333"/>
                <w:sz w:val="24"/>
                <w:szCs w:val="24"/>
                <w:lang w:val="uk-UA" w:eastAsia="uk-UA"/>
              </w:rPr>
              <w:lastRenderedPageBreak/>
              <w:t>реконструкції електричних мереж системи розподілу у випадку перевантаження таких мереж – доступ до них слід обмежувати.</w:t>
            </w:r>
          </w:p>
          <w:p w14:paraId="07781EE8" w14:textId="77777777" w:rsidR="00F50F48" w:rsidRDefault="00F50F48" w:rsidP="00F50F48">
            <w:pPr>
              <w:spacing w:after="0" w:line="0" w:lineRule="atLeast"/>
              <w:ind w:firstLine="559"/>
              <w:jc w:val="both"/>
              <w:rPr>
                <w:rFonts w:ascii="Times New Roman" w:eastAsia="Times New Roman" w:hAnsi="Times New Roman"/>
                <w:color w:val="333333"/>
                <w:sz w:val="24"/>
                <w:szCs w:val="24"/>
                <w:lang w:val="uk-UA" w:eastAsia="uk-UA"/>
              </w:rPr>
            </w:pPr>
          </w:p>
          <w:p w14:paraId="26466BEC" w14:textId="77777777" w:rsidR="00F50F48" w:rsidRDefault="00F50F48" w:rsidP="00F50F48">
            <w:pPr>
              <w:spacing w:after="0" w:line="0" w:lineRule="atLeast"/>
              <w:ind w:firstLine="559"/>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Товариство звертає увагу, що на сьогодні у Законі та КСР відсутнє чітке визначення поняття «пропускна спроможність електричних мереж» для систем розподілу чи передачі (на відміну від пропускної спроможність міждержавного перетину.) </w:t>
            </w:r>
          </w:p>
          <w:p w14:paraId="76A6F4B4" w14:textId="77777777" w:rsidR="00F50F48" w:rsidRDefault="00F50F48" w:rsidP="00F50F48">
            <w:pPr>
              <w:spacing w:after="0" w:line="0" w:lineRule="atLeast"/>
              <w:ind w:firstLine="559"/>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Кодексом не визначено, коли пропускна спроможність електричної мережі є вичерпана повністю. Згідно норм СОБУ МЕВ ЕЕ 40.1-00100227-01:2016 «Стандарт операційної безпеки функціонування об’єднаної енергетичної системи України. Побудова та експлуатація електричних мереж. Технічна політика. Частина 2. Технічна політика у сфері побудови та експлуатації розподільних електричних мереж» - «</w:t>
            </w:r>
            <w:r>
              <w:rPr>
                <w:rFonts w:ascii="Times New Roman" w:hAnsi="Times New Roman"/>
                <w:i/>
                <w:sz w:val="24"/>
                <w:szCs w:val="24"/>
                <w:lang w:val="uk-UA"/>
              </w:rPr>
              <w:t xml:space="preserve">При </w:t>
            </w:r>
            <w:proofErr w:type="spellStart"/>
            <w:r>
              <w:rPr>
                <w:rFonts w:ascii="Times New Roman" w:hAnsi="Times New Roman"/>
                <w:i/>
                <w:sz w:val="24"/>
                <w:szCs w:val="24"/>
                <w:lang w:val="uk-UA"/>
              </w:rPr>
              <w:t>проєктуванні</w:t>
            </w:r>
            <w:proofErr w:type="spellEnd"/>
            <w:r>
              <w:rPr>
                <w:rFonts w:ascii="Times New Roman" w:hAnsi="Times New Roman"/>
                <w:i/>
                <w:sz w:val="24"/>
                <w:szCs w:val="24"/>
                <w:lang w:val="uk-UA"/>
              </w:rPr>
              <w:t xml:space="preserve"> ПС допустиме розрахункове перевантаження силових трансформаторів у </w:t>
            </w:r>
            <w:r>
              <w:rPr>
                <w:rFonts w:ascii="Times New Roman" w:hAnsi="Times New Roman"/>
                <w:i/>
                <w:sz w:val="24"/>
                <w:szCs w:val="24"/>
              </w:rPr>
              <w:t>N</w:t>
            </w:r>
            <w:r>
              <w:rPr>
                <w:rFonts w:ascii="Times New Roman" w:hAnsi="Times New Roman"/>
                <w:i/>
                <w:sz w:val="24"/>
                <w:szCs w:val="24"/>
                <w:lang w:val="uk-UA"/>
              </w:rPr>
              <w:t>-1 режимі повинно відповідати 120 % від номінальної потужності, а завантаження силових трансформаторів на ПС у нормальному режимі не може перевищувати 60 % від номінальної потужності</w:t>
            </w:r>
            <w:r>
              <w:rPr>
                <w:rFonts w:ascii="Times New Roman" w:hAnsi="Times New Roman"/>
                <w:sz w:val="24"/>
                <w:szCs w:val="24"/>
                <w:lang w:val="uk-UA"/>
              </w:rPr>
              <w:t>».</w:t>
            </w:r>
          </w:p>
          <w:p w14:paraId="7E069187" w14:textId="77777777" w:rsidR="00F50F48" w:rsidRDefault="00F50F48" w:rsidP="00F50F48">
            <w:pPr>
              <w:spacing w:after="0" w:line="0" w:lineRule="atLeast"/>
              <w:ind w:firstLine="559"/>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Тобто, навіть </w:t>
            </w:r>
            <w:proofErr w:type="spellStart"/>
            <w:r>
              <w:rPr>
                <w:rFonts w:ascii="Times New Roman" w:eastAsia="Times New Roman" w:hAnsi="Times New Roman"/>
                <w:color w:val="333333"/>
                <w:sz w:val="24"/>
                <w:szCs w:val="24"/>
                <w:lang w:val="uk-UA" w:eastAsia="uk-UA"/>
              </w:rPr>
              <w:t>якшо</w:t>
            </w:r>
            <w:proofErr w:type="spellEnd"/>
            <w:r>
              <w:rPr>
                <w:rFonts w:ascii="Times New Roman" w:eastAsia="Times New Roman" w:hAnsi="Times New Roman"/>
                <w:color w:val="333333"/>
                <w:sz w:val="24"/>
                <w:szCs w:val="24"/>
                <w:lang w:val="uk-UA" w:eastAsia="uk-UA"/>
              </w:rPr>
              <w:t xml:space="preserve"> ОСР запланує обмеження після завантаження трансформаторної підстанції на рівні 60 % для кожного трансформатора   - даний обсяг потужності в </w:t>
            </w:r>
            <w:proofErr w:type="spellStart"/>
            <w:r>
              <w:rPr>
                <w:rFonts w:ascii="Times New Roman" w:eastAsia="Times New Roman" w:hAnsi="Times New Roman"/>
                <w:color w:val="333333"/>
                <w:sz w:val="24"/>
                <w:szCs w:val="24"/>
                <w:lang w:val="uk-UA" w:eastAsia="uk-UA"/>
              </w:rPr>
              <w:t>енерговузлах</w:t>
            </w:r>
            <w:proofErr w:type="spellEnd"/>
            <w:r>
              <w:rPr>
                <w:rFonts w:ascii="Times New Roman" w:eastAsia="Times New Roman" w:hAnsi="Times New Roman"/>
                <w:color w:val="333333"/>
                <w:sz w:val="24"/>
                <w:szCs w:val="24"/>
                <w:lang w:val="uk-UA" w:eastAsia="uk-UA"/>
              </w:rPr>
              <w:t xml:space="preserve"> що стрімко розвиваються можуть швидко вичерпати і доступ доведеться не надавати взагалі. Також потрібно формалізувати правило, що для мереж які завантажені понад 100%-120% з врахуванням виданих чинних та нереалізованих технічних умов приєднання -  обсяг потужності до приєднання слід вважати рівним нулю. </w:t>
            </w:r>
          </w:p>
          <w:p w14:paraId="5D09D6DC" w14:textId="77777777" w:rsidR="00F50F48" w:rsidRDefault="00F50F48" w:rsidP="00F50F48">
            <w:pPr>
              <w:spacing w:after="0" w:line="0" w:lineRule="atLeast"/>
              <w:ind w:firstLine="559"/>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Дана пропозиція підтверджується також тим, що згідно норм пункту 2.1 розділу ІІ КСР </w:t>
            </w:r>
            <w:bookmarkStart w:id="2" w:name="w1_3"/>
            <w:r>
              <w:rPr>
                <w:rFonts w:ascii="Times New Roman" w:eastAsia="Times New Roman" w:hAnsi="Times New Roman"/>
                <w:color w:val="333333"/>
                <w:sz w:val="24"/>
                <w:szCs w:val="24"/>
                <w:lang w:val="uk-UA" w:eastAsia="uk-UA"/>
              </w:rPr>
              <w:t xml:space="preserve">« </w:t>
            </w:r>
            <w:hyperlink r:id="rId8" w:anchor="w1_4" w:history="1">
              <w:r>
                <w:rPr>
                  <w:rStyle w:val="a4"/>
                  <w:rFonts w:ascii="Times New Roman" w:eastAsia="Times New Roman" w:hAnsi="Times New Roman"/>
                  <w:i/>
                  <w:color w:val="333333"/>
                  <w:sz w:val="24"/>
                  <w:szCs w:val="24"/>
                  <w:lang w:val="uk-UA" w:eastAsia="uk-UA"/>
                </w:rPr>
                <w:t>резерв</w:t>
              </w:r>
            </w:hyperlink>
            <w:bookmarkEnd w:id="2"/>
            <w:r>
              <w:rPr>
                <w:rFonts w:ascii="Times New Roman" w:eastAsia="Times New Roman" w:hAnsi="Times New Roman"/>
                <w:i/>
                <w:color w:val="333333"/>
                <w:sz w:val="24"/>
                <w:szCs w:val="24"/>
                <w:lang w:val="uk-UA" w:eastAsia="uk-UA"/>
              </w:rPr>
              <w:t> </w:t>
            </w:r>
            <w:bookmarkStart w:id="3" w:name="w2_4"/>
            <w:r>
              <w:rPr>
                <w:rFonts w:ascii="Times New Roman" w:eastAsia="Times New Roman" w:hAnsi="Times New Roman"/>
                <w:i/>
                <w:color w:val="333333"/>
                <w:sz w:val="24"/>
                <w:szCs w:val="24"/>
                <w:lang w:val="uk-UA" w:eastAsia="uk-UA"/>
              </w:rPr>
              <w:fldChar w:fldCharType="begin"/>
            </w:r>
            <w:r>
              <w:rPr>
                <w:rFonts w:ascii="Times New Roman" w:eastAsia="Times New Roman" w:hAnsi="Times New Roman"/>
                <w:i/>
                <w:color w:val="333333"/>
                <w:sz w:val="24"/>
                <w:szCs w:val="24"/>
                <w:lang w:val="uk-UA" w:eastAsia="uk-UA"/>
              </w:rPr>
              <w:instrText xml:space="preserve"> HYPERLINK "https://zakon.rada.gov.ua/laws/show/v0310874-18?find=1&amp;text=%D1%80%D0%B5%D0%B7%D0%B5%D1%80%D0%B2+%D0%BF%D0%BE%D1%82%D1%83%D0%B6%D0%BD%D0%BE%D1%81%D1%82%D1%96" \l "w2_5" </w:instrText>
            </w:r>
            <w:r>
              <w:rPr>
                <w:rFonts w:ascii="Times New Roman" w:eastAsia="Times New Roman" w:hAnsi="Times New Roman"/>
                <w:i/>
                <w:color w:val="333333"/>
                <w:sz w:val="24"/>
                <w:szCs w:val="24"/>
                <w:lang w:val="uk-UA" w:eastAsia="uk-UA"/>
              </w:rPr>
              <w:fldChar w:fldCharType="separate"/>
            </w:r>
            <w:r>
              <w:rPr>
                <w:rStyle w:val="a4"/>
                <w:rFonts w:ascii="Times New Roman" w:eastAsia="Times New Roman" w:hAnsi="Times New Roman"/>
                <w:i/>
                <w:color w:val="333333"/>
                <w:sz w:val="24"/>
                <w:szCs w:val="24"/>
                <w:lang w:val="uk-UA" w:eastAsia="uk-UA"/>
              </w:rPr>
              <w:t>потужності</w:t>
            </w:r>
            <w:r>
              <w:rPr>
                <w:rFonts w:ascii="Times New Roman" w:eastAsia="Times New Roman" w:hAnsi="Times New Roman"/>
                <w:i/>
                <w:color w:val="333333"/>
                <w:sz w:val="24"/>
                <w:szCs w:val="24"/>
                <w:lang w:val="uk-UA" w:eastAsia="uk-UA"/>
              </w:rPr>
              <w:fldChar w:fldCharType="end"/>
            </w:r>
            <w:bookmarkEnd w:id="3"/>
            <w:r>
              <w:rPr>
                <w:rFonts w:ascii="Times New Roman" w:eastAsia="Times New Roman" w:hAnsi="Times New Roman"/>
                <w:i/>
                <w:color w:val="333333"/>
                <w:sz w:val="24"/>
                <w:szCs w:val="24"/>
                <w:lang w:val="uk-UA" w:eastAsia="uk-UA"/>
              </w:rPr>
              <w:t> електричних мереж (</w:t>
            </w:r>
            <w:bookmarkStart w:id="4" w:name="w1_4"/>
            <w:r>
              <w:rPr>
                <w:rFonts w:ascii="Times New Roman" w:eastAsia="Times New Roman" w:hAnsi="Times New Roman"/>
                <w:i/>
                <w:color w:val="333333"/>
                <w:sz w:val="24"/>
                <w:szCs w:val="24"/>
                <w:lang w:val="uk-UA" w:eastAsia="uk-UA"/>
              </w:rPr>
              <w:fldChar w:fldCharType="begin"/>
            </w:r>
            <w:r>
              <w:rPr>
                <w:rFonts w:ascii="Times New Roman" w:eastAsia="Times New Roman" w:hAnsi="Times New Roman"/>
                <w:i/>
                <w:color w:val="333333"/>
                <w:sz w:val="24"/>
                <w:szCs w:val="24"/>
                <w:lang w:val="uk-UA" w:eastAsia="uk-UA"/>
              </w:rPr>
              <w:instrText xml:space="preserve"> HYPERLINK "https://zakon.rada.gov.ua/laws/show/v0310874-18?find=1&amp;text=%D1%80%D0%B5%D0%B7%D0%B5%D1%80%D0%B2+%D0%BF%D0%BE%D1%82%D1%83%D0%B6%D0%BD%D0%BE%D1%81%D1%82%D1%96" \l "w1_5" </w:instrText>
            </w:r>
            <w:r>
              <w:rPr>
                <w:rFonts w:ascii="Times New Roman" w:eastAsia="Times New Roman" w:hAnsi="Times New Roman"/>
                <w:i/>
                <w:color w:val="333333"/>
                <w:sz w:val="24"/>
                <w:szCs w:val="24"/>
                <w:lang w:val="uk-UA" w:eastAsia="uk-UA"/>
              </w:rPr>
              <w:fldChar w:fldCharType="separate"/>
            </w:r>
            <w:r>
              <w:rPr>
                <w:rStyle w:val="a4"/>
                <w:rFonts w:ascii="Times New Roman" w:eastAsia="Times New Roman" w:hAnsi="Times New Roman"/>
                <w:i/>
                <w:color w:val="333333"/>
                <w:sz w:val="24"/>
                <w:szCs w:val="24"/>
                <w:lang w:val="uk-UA" w:eastAsia="uk-UA"/>
              </w:rPr>
              <w:t>резерв</w:t>
            </w:r>
            <w:r>
              <w:rPr>
                <w:rFonts w:ascii="Times New Roman" w:eastAsia="Times New Roman" w:hAnsi="Times New Roman"/>
                <w:i/>
                <w:color w:val="333333"/>
                <w:sz w:val="24"/>
                <w:szCs w:val="24"/>
                <w:lang w:val="uk-UA" w:eastAsia="uk-UA"/>
              </w:rPr>
              <w:fldChar w:fldCharType="end"/>
            </w:r>
            <w:bookmarkEnd w:id="4"/>
            <w:r>
              <w:rPr>
                <w:rFonts w:ascii="Times New Roman" w:eastAsia="Times New Roman" w:hAnsi="Times New Roman"/>
                <w:i/>
                <w:color w:val="333333"/>
                <w:sz w:val="24"/>
                <w:szCs w:val="24"/>
                <w:lang w:val="uk-UA" w:eastAsia="uk-UA"/>
              </w:rPr>
              <w:t> </w:t>
            </w:r>
            <w:bookmarkStart w:id="5" w:name="w2_5"/>
            <w:r>
              <w:rPr>
                <w:rFonts w:ascii="Times New Roman" w:eastAsia="Times New Roman" w:hAnsi="Times New Roman"/>
                <w:i/>
                <w:color w:val="333333"/>
                <w:sz w:val="24"/>
                <w:szCs w:val="24"/>
                <w:lang w:val="uk-UA" w:eastAsia="uk-UA"/>
              </w:rPr>
              <w:fldChar w:fldCharType="begin"/>
            </w:r>
            <w:r>
              <w:rPr>
                <w:rFonts w:ascii="Times New Roman" w:eastAsia="Times New Roman" w:hAnsi="Times New Roman"/>
                <w:i/>
                <w:color w:val="333333"/>
                <w:sz w:val="24"/>
                <w:szCs w:val="24"/>
                <w:lang w:val="uk-UA" w:eastAsia="uk-UA"/>
              </w:rPr>
              <w:instrText xml:space="preserve"> HYPERLINK "https://zakon.rada.gov.ua/laws/show/v0310874-18?find=1&amp;text=%D1%80%D0%B5%D0%B7%D0%B5%D1%80%D0%B2+%D0%BF%D0%BE%D1%82%D1%83%D0%B6%D0%BD%D0%BE%D1%81%D1%82%D1%96" \l "w2_6" </w:instrText>
            </w:r>
            <w:r>
              <w:rPr>
                <w:rFonts w:ascii="Times New Roman" w:eastAsia="Times New Roman" w:hAnsi="Times New Roman"/>
                <w:i/>
                <w:color w:val="333333"/>
                <w:sz w:val="24"/>
                <w:szCs w:val="24"/>
                <w:lang w:val="uk-UA" w:eastAsia="uk-UA"/>
              </w:rPr>
              <w:fldChar w:fldCharType="separate"/>
            </w:r>
            <w:r>
              <w:rPr>
                <w:rStyle w:val="a4"/>
                <w:rFonts w:ascii="Times New Roman" w:eastAsia="Times New Roman" w:hAnsi="Times New Roman"/>
                <w:i/>
                <w:color w:val="333333"/>
                <w:sz w:val="24"/>
                <w:szCs w:val="24"/>
                <w:lang w:val="uk-UA" w:eastAsia="uk-UA"/>
              </w:rPr>
              <w:t>потужності</w:t>
            </w:r>
            <w:r>
              <w:rPr>
                <w:rFonts w:ascii="Times New Roman" w:eastAsia="Times New Roman" w:hAnsi="Times New Roman"/>
                <w:i/>
                <w:color w:val="333333"/>
                <w:sz w:val="24"/>
                <w:szCs w:val="24"/>
                <w:lang w:val="uk-UA" w:eastAsia="uk-UA"/>
              </w:rPr>
              <w:fldChar w:fldCharType="end"/>
            </w:r>
            <w:bookmarkEnd w:id="5"/>
            <w:r>
              <w:rPr>
                <w:rFonts w:ascii="Times New Roman" w:eastAsia="Times New Roman" w:hAnsi="Times New Roman"/>
                <w:i/>
                <w:color w:val="333333"/>
                <w:sz w:val="24"/>
                <w:szCs w:val="24"/>
                <w:lang w:val="uk-UA" w:eastAsia="uk-UA"/>
              </w:rPr>
              <w:t>) - різниця між потужністю, передачу якої можуть забезпечити діючі електричні мережі на певній межі балансової належності у відповідний період доби, та найбільшою величиною </w:t>
            </w:r>
            <w:bookmarkStart w:id="6" w:name="w2_6"/>
            <w:r>
              <w:rPr>
                <w:rFonts w:ascii="Times New Roman" w:eastAsia="Times New Roman" w:hAnsi="Times New Roman"/>
                <w:i/>
                <w:color w:val="333333"/>
                <w:sz w:val="24"/>
                <w:szCs w:val="24"/>
                <w:lang w:val="uk-UA" w:eastAsia="uk-UA"/>
              </w:rPr>
              <w:fldChar w:fldCharType="begin"/>
            </w:r>
            <w:r>
              <w:rPr>
                <w:rFonts w:ascii="Times New Roman" w:eastAsia="Times New Roman" w:hAnsi="Times New Roman"/>
                <w:i/>
                <w:color w:val="333333"/>
                <w:sz w:val="24"/>
                <w:szCs w:val="24"/>
                <w:lang w:val="uk-UA" w:eastAsia="uk-UA"/>
              </w:rPr>
              <w:instrText xml:space="preserve"> HYPERLINK "https://zakon.rada.gov.ua/laws/show/v0310874-18?find=1&amp;text=%D1%80%D0%B5%D0%B7%D0%B5%D1%80%D0%B2+%D0%BF%D0%BE%D1%82%D1%83%D0%B6%D0%BD%D0%BE%D1%81%D1%82%D1%96" \l "w2_7" </w:instrText>
            </w:r>
            <w:r>
              <w:rPr>
                <w:rFonts w:ascii="Times New Roman" w:eastAsia="Times New Roman" w:hAnsi="Times New Roman"/>
                <w:i/>
                <w:color w:val="333333"/>
                <w:sz w:val="24"/>
                <w:szCs w:val="24"/>
                <w:lang w:val="uk-UA" w:eastAsia="uk-UA"/>
              </w:rPr>
              <w:fldChar w:fldCharType="separate"/>
            </w:r>
            <w:r>
              <w:rPr>
                <w:rStyle w:val="a4"/>
                <w:rFonts w:ascii="Times New Roman" w:eastAsia="Times New Roman" w:hAnsi="Times New Roman"/>
                <w:i/>
                <w:color w:val="333333"/>
                <w:sz w:val="24"/>
                <w:szCs w:val="24"/>
                <w:lang w:val="uk-UA" w:eastAsia="uk-UA"/>
              </w:rPr>
              <w:t>потужності</w:t>
            </w:r>
            <w:r>
              <w:rPr>
                <w:rFonts w:ascii="Times New Roman" w:eastAsia="Times New Roman" w:hAnsi="Times New Roman"/>
                <w:i/>
                <w:color w:val="333333"/>
                <w:sz w:val="24"/>
                <w:szCs w:val="24"/>
                <w:lang w:val="uk-UA" w:eastAsia="uk-UA"/>
              </w:rPr>
              <w:fldChar w:fldCharType="end"/>
            </w:r>
            <w:bookmarkEnd w:id="6"/>
            <w:r>
              <w:rPr>
                <w:rFonts w:ascii="Times New Roman" w:eastAsia="Times New Roman" w:hAnsi="Times New Roman"/>
                <w:i/>
                <w:color w:val="333333"/>
                <w:sz w:val="24"/>
                <w:szCs w:val="24"/>
                <w:lang w:val="uk-UA" w:eastAsia="uk-UA"/>
              </w:rPr>
              <w:t xml:space="preserve">, що використовується в цей час доби, </w:t>
            </w:r>
            <w:r>
              <w:rPr>
                <w:rFonts w:ascii="Times New Roman" w:eastAsia="Times New Roman" w:hAnsi="Times New Roman"/>
                <w:b/>
                <w:i/>
                <w:color w:val="333333"/>
                <w:sz w:val="24"/>
                <w:szCs w:val="24"/>
                <w:lang w:val="uk-UA" w:eastAsia="uk-UA"/>
              </w:rPr>
              <w:t xml:space="preserve">з </w:t>
            </w:r>
            <w:r>
              <w:rPr>
                <w:rFonts w:ascii="Times New Roman" w:eastAsia="Times New Roman" w:hAnsi="Times New Roman"/>
                <w:b/>
                <w:i/>
                <w:color w:val="333333"/>
                <w:sz w:val="24"/>
                <w:szCs w:val="24"/>
                <w:lang w:val="uk-UA" w:eastAsia="uk-UA"/>
              </w:rPr>
              <w:lastRenderedPageBreak/>
              <w:t>урахуванням дозволеної </w:t>
            </w:r>
            <w:bookmarkStart w:id="7" w:name="w2_7"/>
            <w:r>
              <w:rPr>
                <w:rFonts w:ascii="Times New Roman" w:eastAsia="Times New Roman" w:hAnsi="Times New Roman"/>
                <w:b/>
                <w:i/>
                <w:color w:val="333333"/>
                <w:sz w:val="24"/>
                <w:szCs w:val="24"/>
                <w:lang w:val="uk-UA" w:eastAsia="uk-UA"/>
              </w:rPr>
              <w:fldChar w:fldCharType="begin"/>
            </w:r>
            <w:r>
              <w:rPr>
                <w:rFonts w:ascii="Times New Roman" w:eastAsia="Times New Roman" w:hAnsi="Times New Roman"/>
                <w:b/>
                <w:i/>
                <w:color w:val="333333"/>
                <w:sz w:val="24"/>
                <w:szCs w:val="24"/>
                <w:lang w:val="uk-UA" w:eastAsia="uk-UA"/>
              </w:rPr>
              <w:instrText xml:space="preserve"> HYPERLINK "https://zakon.rada.gov.ua/laws/show/v0310874-18?find=1&amp;text=%D1%80%D0%B5%D0%B7%D0%B5%D1%80%D0%B2+%D0%BF%D0%BE%D1%82%D1%83%D0%B6%D0%BD%D0%BE%D1%81%D1%82%D1%96" \l "w2_8" </w:instrText>
            </w:r>
            <w:r>
              <w:rPr>
                <w:rFonts w:ascii="Times New Roman" w:eastAsia="Times New Roman" w:hAnsi="Times New Roman"/>
                <w:b/>
                <w:i/>
                <w:color w:val="333333"/>
                <w:sz w:val="24"/>
                <w:szCs w:val="24"/>
                <w:lang w:val="uk-UA" w:eastAsia="uk-UA"/>
              </w:rPr>
              <w:fldChar w:fldCharType="separate"/>
            </w:r>
            <w:r>
              <w:rPr>
                <w:rStyle w:val="a4"/>
                <w:rFonts w:ascii="Times New Roman" w:eastAsia="Times New Roman" w:hAnsi="Times New Roman"/>
                <w:b/>
                <w:i/>
                <w:color w:val="333333"/>
                <w:sz w:val="24"/>
                <w:szCs w:val="24"/>
                <w:lang w:val="uk-UA" w:eastAsia="uk-UA"/>
              </w:rPr>
              <w:t>потужності</w:t>
            </w:r>
            <w:r>
              <w:rPr>
                <w:rFonts w:ascii="Times New Roman" w:eastAsia="Times New Roman" w:hAnsi="Times New Roman"/>
                <w:b/>
                <w:i/>
                <w:color w:val="333333"/>
                <w:sz w:val="24"/>
                <w:szCs w:val="24"/>
                <w:lang w:val="uk-UA" w:eastAsia="uk-UA"/>
              </w:rPr>
              <w:fldChar w:fldCharType="end"/>
            </w:r>
            <w:bookmarkEnd w:id="7"/>
            <w:r>
              <w:rPr>
                <w:rFonts w:ascii="Times New Roman" w:eastAsia="Times New Roman" w:hAnsi="Times New Roman"/>
                <w:b/>
                <w:i/>
                <w:color w:val="333333"/>
                <w:sz w:val="24"/>
                <w:szCs w:val="24"/>
                <w:lang w:val="uk-UA" w:eastAsia="uk-UA"/>
              </w:rPr>
              <w:t> іншим споживачам та </w:t>
            </w:r>
            <w:bookmarkStart w:id="8" w:name="w2_8"/>
            <w:r>
              <w:rPr>
                <w:rFonts w:ascii="Times New Roman" w:eastAsia="Times New Roman" w:hAnsi="Times New Roman"/>
                <w:b/>
                <w:i/>
                <w:color w:val="333333"/>
                <w:sz w:val="24"/>
                <w:szCs w:val="24"/>
                <w:lang w:val="uk-UA" w:eastAsia="uk-UA"/>
              </w:rPr>
              <w:fldChar w:fldCharType="begin"/>
            </w:r>
            <w:r>
              <w:rPr>
                <w:rFonts w:ascii="Times New Roman" w:eastAsia="Times New Roman" w:hAnsi="Times New Roman"/>
                <w:b/>
                <w:i/>
                <w:color w:val="333333"/>
                <w:sz w:val="24"/>
                <w:szCs w:val="24"/>
                <w:lang w:val="uk-UA" w:eastAsia="uk-UA"/>
              </w:rPr>
              <w:instrText xml:space="preserve"> HYPERLINK "https://zakon.rada.gov.ua/laws/show/v0310874-18?find=1&amp;text=%D1%80%D0%B5%D0%B7%D0%B5%D1%80%D0%B2+%D0%BF%D0%BE%D1%82%D1%83%D0%B6%D0%BD%D0%BE%D1%81%D1%82%D1%96" \l "w2_9" </w:instrText>
            </w:r>
            <w:r>
              <w:rPr>
                <w:rFonts w:ascii="Times New Roman" w:eastAsia="Times New Roman" w:hAnsi="Times New Roman"/>
                <w:b/>
                <w:i/>
                <w:color w:val="333333"/>
                <w:sz w:val="24"/>
                <w:szCs w:val="24"/>
                <w:lang w:val="uk-UA" w:eastAsia="uk-UA"/>
              </w:rPr>
              <w:fldChar w:fldCharType="separate"/>
            </w:r>
            <w:r>
              <w:rPr>
                <w:rStyle w:val="a4"/>
                <w:rFonts w:ascii="Times New Roman" w:eastAsia="Times New Roman" w:hAnsi="Times New Roman"/>
                <w:b/>
                <w:i/>
                <w:color w:val="333333"/>
                <w:sz w:val="24"/>
                <w:szCs w:val="24"/>
                <w:lang w:val="uk-UA" w:eastAsia="uk-UA"/>
              </w:rPr>
              <w:t>потужності</w:t>
            </w:r>
            <w:r>
              <w:rPr>
                <w:rFonts w:ascii="Times New Roman" w:eastAsia="Times New Roman" w:hAnsi="Times New Roman"/>
                <w:b/>
                <w:i/>
                <w:color w:val="333333"/>
                <w:sz w:val="24"/>
                <w:szCs w:val="24"/>
                <w:lang w:val="uk-UA" w:eastAsia="uk-UA"/>
              </w:rPr>
              <w:fldChar w:fldCharType="end"/>
            </w:r>
            <w:bookmarkEnd w:id="8"/>
            <w:r>
              <w:rPr>
                <w:rFonts w:ascii="Times New Roman" w:eastAsia="Times New Roman" w:hAnsi="Times New Roman"/>
                <w:b/>
                <w:i/>
                <w:color w:val="333333"/>
                <w:sz w:val="24"/>
                <w:szCs w:val="24"/>
                <w:lang w:val="uk-UA" w:eastAsia="uk-UA"/>
              </w:rPr>
              <w:t>, замовленої до приєднання</w:t>
            </w:r>
            <w:r>
              <w:rPr>
                <w:rFonts w:ascii="Times New Roman" w:eastAsia="Times New Roman" w:hAnsi="Times New Roman"/>
                <w:i/>
                <w:color w:val="333333"/>
                <w:sz w:val="24"/>
                <w:szCs w:val="24"/>
                <w:lang w:val="uk-UA" w:eastAsia="uk-UA"/>
              </w:rPr>
              <w:t>».</w:t>
            </w:r>
          </w:p>
          <w:p w14:paraId="5D84A8A3" w14:textId="77777777" w:rsidR="00F50F48" w:rsidRDefault="00F50F48" w:rsidP="00F50F48">
            <w:pPr>
              <w:pStyle w:val="rvps2"/>
              <w:shd w:val="clear" w:color="auto" w:fill="FFFFFF"/>
              <w:spacing w:before="0" w:beforeAutospacing="0" w:after="150" w:afterAutospacing="0"/>
              <w:ind w:firstLine="134"/>
              <w:jc w:val="both"/>
              <w:rPr>
                <w:color w:val="333333"/>
              </w:rPr>
            </w:pPr>
            <w:r>
              <w:rPr>
                <w:color w:val="333333"/>
              </w:rPr>
              <w:t>Товариство вважає, що в КСР необхідно зазначити, що дана норма має застосовуватись до режимів як споживання електричної енергії, так і генерації.</w:t>
            </w:r>
          </w:p>
          <w:p w14:paraId="45465293" w14:textId="77777777" w:rsidR="00F50F48" w:rsidRDefault="00F50F48" w:rsidP="00F50F48">
            <w:pPr>
              <w:pStyle w:val="rvps2"/>
              <w:shd w:val="clear" w:color="auto" w:fill="FFFFFF"/>
              <w:spacing w:before="0" w:beforeAutospacing="0" w:after="150" w:afterAutospacing="0"/>
              <w:ind w:firstLine="134"/>
              <w:jc w:val="both"/>
              <w:rPr>
                <w:color w:val="333333"/>
              </w:rPr>
            </w:pPr>
            <w:r>
              <w:rPr>
                <w:color w:val="333333"/>
              </w:rPr>
              <w:t xml:space="preserve">Також, на сьогодні в нормативних документах немає чіткого алгоритму до якого рівня обмежувати споживачів. Наприклад якщо для побутових споживачів згідно норм ПРРЕЕ соціальна норма встановлена на рівні 5 кВт, то які обмеження мають застосовуватись для непобутових споживачів. При цьому, слід визначити чи поширюються такі обмеження для приєднання будівельних струмоприймачів та на рівні якої потужності. </w:t>
            </w:r>
          </w:p>
          <w:p w14:paraId="35DAB7AE" w14:textId="77777777" w:rsidR="00F50F48" w:rsidRDefault="00F50F48" w:rsidP="00F50F48">
            <w:pPr>
              <w:spacing w:after="0" w:line="0" w:lineRule="atLeast"/>
              <w:ind w:firstLine="559"/>
              <w:jc w:val="both"/>
              <w:rPr>
                <w:rFonts w:ascii="Times New Roman" w:eastAsia="Times New Roman" w:hAnsi="Times New Roman"/>
                <w:color w:val="333333"/>
                <w:sz w:val="24"/>
                <w:szCs w:val="24"/>
                <w:lang w:val="uk-UA" w:eastAsia="uk-UA"/>
              </w:rPr>
            </w:pPr>
          </w:p>
          <w:p w14:paraId="22C565BB" w14:textId="77777777" w:rsidR="00F50F48" w:rsidRDefault="00F50F48" w:rsidP="00F50F48">
            <w:pPr>
              <w:pStyle w:val="rvps2"/>
              <w:shd w:val="clear" w:color="auto" w:fill="FFFFFF"/>
              <w:spacing w:before="0" w:beforeAutospacing="0" w:after="150" w:afterAutospacing="0"/>
              <w:jc w:val="both"/>
              <w:rPr>
                <w:color w:val="333333"/>
              </w:rPr>
            </w:pPr>
            <w:r>
              <w:rPr>
                <w:color w:val="333333"/>
              </w:rPr>
              <w:t>Крім того, на думку Товариства, необхідно передбачити у КСР можливість вказання строку необхідного для ліквідації недостатньої пропускної спроможності  більшого ніж в межах 5 років ПРСР (якщо це підтверджено схемою розвитку та значними фінансовими затратами).</w:t>
            </w:r>
          </w:p>
          <w:p w14:paraId="09DC7068" w14:textId="77777777" w:rsidR="00F50F48" w:rsidRDefault="00F50F48" w:rsidP="00F50F48">
            <w:pPr>
              <w:spacing w:after="0" w:line="0" w:lineRule="atLeast"/>
              <w:ind w:firstLine="559"/>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Товариство наголошує, що згідно частини 4 Статті 22 Закону України «Про Ринок </w:t>
            </w:r>
            <w:proofErr w:type="spellStart"/>
            <w:r>
              <w:rPr>
                <w:rFonts w:ascii="Times New Roman" w:eastAsia="Times New Roman" w:hAnsi="Times New Roman"/>
                <w:color w:val="333333"/>
                <w:sz w:val="24"/>
                <w:szCs w:val="24"/>
                <w:lang w:val="uk-UA" w:eastAsia="uk-UA"/>
              </w:rPr>
              <w:t>елктричної</w:t>
            </w:r>
            <w:proofErr w:type="spellEnd"/>
            <w:r>
              <w:rPr>
                <w:rFonts w:ascii="Times New Roman" w:eastAsia="Times New Roman" w:hAnsi="Times New Roman"/>
                <w:color w:val="333333"/>
                <w:sz w:val="24"/>
                <w:szCs w:val="24"/>
                <w:lang w:val="uk-UA" w:eastAsia="uk-UA"/>
              </w:rPr>
              <w:t xml:space="preserve"> енергії» - «</w:t>
            </w:r>
            <w:r>
              <w:rPr>
                <w:rFonts w:ascii="Times New Roman" w:eastAsia="Times New Roman" w:hAnsi="Times New Roman"/>
                <w:i/>
                <w:color w:val="333333"/>
                <w:sz w:val="24"/>
                <w:szCs w:val="24"/>
                <w:lang w:val="uk-UA" w:eastAsia="uk-UA"/>
              </w:rPr>
              <w:t xml:space="preserve">у разі відмови у доступі до електричних мереж оператор системи передачі та оператори систем розподілу мають відповідно до кодексу системи передачі та кодексу систем розподілу </w:t>
            </w:r>
            <w:r>
              <w:rPr>
                <w:rFonts w:ascii="Times New Roman" w:eastAsia="Times New Roman" w:hAnsi="Times New Roman"/>
                <w:b/>
                <w:i/>
                <w:color w:val="333333"/>
                <w:sz w:val="24"/>
                <w:szCs w:val="24"/>
                <w:lang w:val="uk-UA" w:eastAsia="uk-UA"/>
              </w:rPr>
              <w:t>на запит відповідного потенційного або існуючого користувача системи</w:t>
            </w:r>
            <w:r>
              <w:rPr>
                <w:rFonts w:ascii="Times New Roman" w:eastAsia="Times New Roman" w:hAnsi="Times New Roman"/>
                <w:i/>
                <w:color w:val="333333"/>
                <w:sz w:val="24"/>
                <w:szCs w:val="24"/>
                <w:lang w:val="uk-UA" w:eastAsia="uk-UA"/>
              </w:rPr>
              <w:t xml:space="preserve"> надати відповідну інформацію про заходи, необхідні для підсилення електричної мережі</w:t>
            </w:r>
            <w:r>
              <w:rPr>
                <w:rFonts w:ascii="Times New Roman" w:eastAsia="Times New Roman" w:hAnsi="Times New Roman"/>
                <w:color w:val="333333"/>
                <w:sz w:val="24"/>
                <w:szCs w:val="24"/>
                <w:lang w:val="uk-UA" w:eastAsia="uk-UA"/>
              </w:rPr>
              <w:t xml:space="preserve">». Однак в редакції </w:t>
            </w:r>
            <w:proofErr w:type="spellStart"/>
            <w:r>
              <w:rPr>
                <w:rFonts w:ascii="Times New Roman" w:eastAsia="Times New Roman" w:hAnsi="Times New Roman"/>
                <w:color w:val="333333"/>
                <w:sz w:val="24"/>
                <w:szCs w:val="24"/>
                <w:lang w:val="uk-UA" w:eastAsia="uk-UA"/>
              </w:rPr>
              <w:t>проєкту</w:t>
            </w:r>
            <w:proofErr w:type="spellEnd"/>
            <w:r>
              <w:rPr>
                <w:rFonts w:ascii="Times New Roman" w:eastAsia="Times New Roman" w:hAnsi="Times New Roman"/>
                <w:color w:val="333333"/>
                <w:sz w:val="24"/>
                <w:szCs w:val="24"/>
                <w:lang w:val="uk-UA" w:eastAsia="uk-UA"/>
              </w:rPr>
              <w:t xml:space="preserve"> змін, запропонованих Комісією визначено обов’язок ОСР надавати таку інформацію кожному Замовнику при видачі ТУ, а також на ДЕН і НКРЕКП. Тому, вважаємо доцільним  повідомляти Регулятора та ДЕН офіційним зверненням на початку застосування обмежень та щорічно до зняття таких обмежень.</w:t>
            </w:r>
          </w:p>
          <w:p w14:paraId="68D10578" w14:textId="77777777" w:rsidR="00F50F48" w:rsidRDefault="00F50F48" w:rsidP="00F50F48">
            <w:pPr>
              <w:spacing w:after="0" w:line="0" w:lineRule="atLeast"/>
              <w:ind w:firstLine="559"/>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Крім того пропонуємо встановити термін направлення листа Замовнику та можливість його направлення засобами </w:t>
            </w:r>
            <w:proofErr w:type="spellStart"/>
            <w:r>
              <w:rPr>
                <w:rFonts w:ascii="Times New Roman" w:eastAsia="Times New Roman" w:hAnsi="Times New Roman"/>
                <w:color w:val="333333"/>
                <w:sz w:val="24"/>
                <w:szCs w:val="24"/>
                <w:lang w:val="uk-UA" w:eastAsia="uk-UA"/>
              </w:rPr>
              <w:lastRenderedPageBreak/>
              <w:t>електроного</w:t>
            </w:r>
            <w:proofErr w:type="spellEnd"/>
            <w:r>
              <w:rPr>
                <w:rFonts w:ascii="Times New Roman" w:eastAsia="Times New Roman" w:hAnsi="Times New Roman"/>
                <w:color w:val="333333"/>
                <w:sz w:val="24"/>
                <w:szCs w:val="24"/>
                <w:lang w:val="uk-UA" w:eastAsia="uk-UA"/>
              </w:rPr>
              <w:t xml:space="preserve"> зв’язку із накладанням ЕЦП уповноваженої особи ОСР.</w:t>
            </w:r>
          </w:p>
          <w:p w14:paraId="47FABAF1" w14:textId="77777777" w:rsidR="00F50F48" w:rsidRDefault="00F50F48" w:rsidP="00F50F48">
            <w:pPr>
              <w:spacing w:after="0" w:line="0" w:lineRule="atLeast"/>
              <w:jc w:val="both"/>
              <w:rPr>
                <w:rFonts w:ascii="Times New Roman" w:eastAsia="Times New Roman" w:hAnsi="Times New Roman"/>
                <w:color w:val="333333"/>
                <w:sz w:val="24"/>
                <w:szCs w:val="24"/>
                <w:lang w:val="uk-UA" w:eastAsia="uk-UA"/>
              </w:rPr>
            </w:pPr>
          </w:p>
          <w:p w14:paraId="78E27CB9" w14:textId="77777777" w:rsidR="00F50F48" w:rsidRDefault="00F50F48" w:rsidP="00F50F48">
            <w:pPr>
              <w:spacing w:after="0" w:line="0" w:lineRule="atLeast"/>
              <w:ind w:firstLine="559"/>
              <w:jc w:val="both"/>
              <w:rPr>
                <w:rFonts w:ascii="Times New Roman" w:eastAsia="Times New Roman" w:hAnsi="Times New Roman"/>
                <w:color w:val="333333"/>
                <w:sz w:val="24"/>
                <w:szCs w:val="24"/>
                <w:lang w:val="uk-UA" w:eastAsia="uk-UA"/>
              </w:rPr>
            </w:pPr>
          </w:p>
          <w:p w14:paraId="23D7C8DC" w14:textId="77777777" w:rsidR="00F50F48" w:rsidRDefault="00F50F48" w:rsidP="00F50F48">
            <w:pPr>
              <w:spacing w:after="0" w:line="240" w:lineRule="auto"/>
              <w:jc w:val="both"/>
              <w:rPr>
                <w:rFonts w:ascii="Times New Roman" w:eastAsia="Calibri" w:hAnsi="Times New Roman"/>
                <w:i/>
                <w:sz w:val="24"/>
                <w:szCs w:val="24"/>
                <w:lang w:val="uk-UA"/>
              </w:rPr>
            </w:pPr>
            <w:r>
              <w:rPr>
                <w:rFonts w:ascii="Times New Roman" w:hAnsi="Times New Roman"/>
                <w:sz w:val="24"/>
                <w:szCs w:val="24"/>
                <w:lang w:val="uk-UA"/>
              </w:rPr>
              <w:t xml:space="preserve">Товариство вважає за доцільне звернути увагу Комісії, що відповідно до КСР – </w:t>
            </w:r>
            <w:r>
              <w:rPr>
                <w:rFonts w:ascii="Times New Roman" w:hAnsi="Times New Roman"/>
                <w:i/>
                <w:sz w:val="24"/>
                <w:szCs w:val="24"/>
                <w:lang w:val="uk-UA"/>
              </w:rPr>
              <w:t>«</w:t>
            </w:r>
            <w:hyperlink r:id="rId9" w:anchor="w1_7" w:history="1">
              <w:r>
                <w:rPr>
                  <w:rStyle w:val="a4"/>
                  <w:rFonts w:ascii="Times New Roman" w:hAnsi="Times New Roman"/>
                  <w:i/>
                  <w:color w:val="auto"/>
                  <w:sz w:val="24"/>
                  <w:szCs w:val="24"/>
                  <w:lang w:val="uk-UA"/>
                </w:rPr>
                <w:t>приєднання</w:t>
              </w:r>
            </w:hyperlink>
            <w:r>
              <w:rPr>
                <w:rFonts w:ascii="Times New Roman" w:hAnsi="Times New Roman"/>
                <w:i/>
                <w:sz w:val="24"/>
                <w:szCs w:val="24"/>
                <w:lang w:val="uk-UA"/>
              </w:rPr>
              <w:t> електроустановки (далі - </w:t>
            </w:r>
            <w:hyperlink r:id="rId10" w:anchor="w1_8" w:history="1">
              <w:r>
                <w:rPr>
                  <w:rStyle w:val="a4"/>
                  <w:rFonts w:ascii="Times New Roman" w:hAnsi="Times New Roman"/>
                  <w:i/>
                  <w:color w:val="auto"/>
                  <w:sz w:val="24"/>
                  <w:szCs w:val="24"/>
                  <w:lang w:val="uk-UA"/>
                </w:rPr>
                <w:t>приєднання</w:t>
              </w:r>
            </w:hyperlink>
            <w:r>
              <w:rPr>
                <w:rFonts w:ascii="Times New Roman" w:hAnsi="Times New Roman"/>
                <w:i/>
                <w:sz w:val="24"/>
                <w:szCs w:val="24"/>
                <w:lang w:val="uk-UA"/>
              </w:rPr>
              <w:t xml:space="preserve">) - надання замовнику оператором системи передачі або оператором системи розподілу послуги із </w:t>
            </w:r>
            <w:r>
              <w:rPr>
                <w:rFonts w:ascii="Times New Roman" w:hAnsi="Times New Roman"/>
                <w:b/>
                <w:i/>
                <w:sz w:val="24"/>
                <w:szCs w:val="24"/>
                <w:shd w:val="clear" w:color="auto" w:fill="FFFFFF"/>
                <w:lang w:val="uk-UA"/>
              </w:rPr>
              <w:t>створення технічної можливості для передачі (прийняття) у місце </w:t>
            </w:r>
            <w:hyperlink r:id="rId11" w:anchor="w1_9" w:history="1">
              <w:r>
                <w:rPr>
                  <w:rStyle w:val="a4"/>
                  <w:rFonts w:ascii="Times New Roman" w:hAnsi="Times New Roman"/>
                  <w:b/>
                  <w:i/>
                  <w:color w:val="auto"/>
                  <w:sz w:val="24"/>
                  <w:szCs w:val="24"/>
                  <w:shd w:val="clear" w:color="auto" w:fill="FFFFFF"/>
                  <w:lang w:val="uk-UA"/>
                </w:rPr>
                <w:t>приєднання</w:t>
              </w:r>
            </w:hyperlink>
            <w:r>
              <w:rPr>
                <w:rFonts w:ascii="Times New Roman" w:hAnsi="Times New Roman"/>
                <w:b/>
                <w:i/>
                <w:sz w:val="24"/>
                <w:szCs w:val="24"/>
                <w:shd w:val="clear" w:color="auto" w:fill="FFFFFF"/>
                <w:lang w:val="uk-UA"/>
              </w:rPr>
              <w:t> електроустановки замовника відповідної потужності</w:t>
            </w:r>
            <w:r>
              <w:rPr>
                <w:rFonts w:ascii="Times New Roman" w:hAnsi="Times New Roman"/>
                <w:i/>
                <w:sz w:val="24"/>
                <w:szCs w:val="24"/>
                <w:lang w:val="uk-UA"/>
              </w:rPr>
              <w:t xml:space="preserve"> до електричних мереж системи передачі або системи розподілу (у тому числі новозбудованих) електричної енергії необхідного обсягу з дотриманням показників її якості та надійності.</w:t>
            </w:r>
          </w:p>
          <w:p w14:paraId="284158F2" w14:textId="77777777" w:rsidR="00F50F48" w:rsidRDefault="00F50F48" w:rsidP="00F50F48">
            <w:pPr>
              <w:spacing w:after="0" w:line="240" w:lineRule="auto"/>
              <w:jc w:val="both"/>
              <w:rPr>
                <w:rFonts w:ascii="Times New Roman" w:hAnsi="Times New Roman"/>
                <w:sz w:val="24"/>
                <w:szCs w:val="24"/>
                <w:lang w:val="uk-UA"/>
              </w:rPr>
            </w:pPr>
          </w:p>
          <w:p w14:paraId="6DFDF827" w14:textId="77777777" w:rsidR="00F50F48" w:rsidRDefault="00F50F48" w:rsidP="00F50F48">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Отже, для Замовників та користувачів, які мають намір приєднатись до електричних мереж «дефіцитного </w:t>
            </w:r>
            <w:proofErr w:type="spellStart"/>
            <w:r>
              <w:rPr>
                <w:rFonts w:ascii="Times New Roman" w:hAnsi="Times New Roman"/>
                <w:sz w:val="24"/>
                <w:szCs w:val="24"/>
                <w:lang w:val="uk-UA"/>
              </w:rPr>
              <w:t>енерговузла</w:t>
            </w:r>
            <w:proofErr w:type="spellEnd"/>
            <w:r>
              <w:rPr>
                <w:rFonts w:ascii="Times New Roman" w:hAnsi="Times New Roman"/>
                <w:sz w:val="24"/>
                <w:szCs w:val="24"/>
                <w:lang w:val="uk-UA"/>
              </w:rPr>
              <w:t xml:space="preserve">», пропускна спроможність електричних мереж якого є вичерпаною  - послуга з приєднання може вважатись наданою виключно після реалізації заходів ПРСР ОСР, які направлені на подолання обмежень в доступі спричинених недостатньою пропускною спроможністю електричної мережі.  </w:t>
            </w:r>
          </w:p>
          <w:p w14:paraId="6F65D4D5" w14:textId="71147834" w:rsidR="00F50F48" w:rsidRPr="00FD5AFC" w:rsidRDefault="00F50F48" w:rsidP="00F50F48">
            <w:pPr>
              <w:spacing w:after="0" w:line="240" w:lineRule="auto"/>
              <w:jc w:val="both"/>
              <w:rPr>
                <w:rFonts w:ascii="Times New Roman" w:eastAsia="Times New Roman" w:hAnsi="Times New Roman" w:cs="Times New Roman"/>
                <w:b/>
                <w:bCs/>
                <w:sz w:val="24"/>
                <w:szCs w:val="24"/>
                <w:lang w:val="uk-UA" w:eastAsia="ru-RU"/>
              </w:rPr>
            </w:pPr>
          </w:p>
        </w:tc>
        <w:tc>
          <w:tcPr>
            <w:tcW w:w="3402" w:type="dxa"/>
          </w:tcPr>
          <w:p w14:paraId="4FAA40FC" w14:textId="54EAE536" w:rsidR="00F50F48" w:rsidRPr="00FD5AFC" w:rsidRDefault="00F50F48" w:rsidP="00F50F48">
            <w:pPr>
              <w:spacing w:after="0" w:line="240" w:lineRule="auto"/>
              <w:jc w:val="both"/>
              <w:rPr>
                <w:rFonts w:ascii="Times New Roman" w:hAnsi="Times New Roman" w:cs="Times New Roman"/>
                <w:b/>
                <w:color w:val="FF0000"/>
                <w:sz w:val="24"/>
                <w:szCs w:val="24"/>
                <w:lang w:val="uk-UA"/>
              </w:rPr>
            </w:pPr>
            <w:r w:rsidRPr="00FD5AFC">
              <w:rPr>
                <w:rFonts w:ascii="Times New Roman" w:hAnsi="Times New Roman" w:cs="Times New Roman"/>
                <w:b/>
                <w:color w:val="FF0000"/>
                <w:sz w:val="24"/>
                <w:szCs w:val="24"/>
                <w:lang w:val="uk-UA"/>
              </w:rPr>
              <w:lastRenderedPageBreak/>
              <w:t>Пропонується не враховувати:</w:t>
            </w:r>
          </w:p>
          <w:p w14:paraId="12BB547C" w14:textId="5725A7C3" w:rsidR="00F50F48" w:rsidRPr="008E4570" w:rsidRDefault="00F50F48" w:rsidP="00F50F48">
            <w:pPr>
              <w:spacing w:after="0" w:line="240" w:lineRule="auto"/>
              <w:jc w:val="both"/>
              <w:rPr>
                <w:rFonts w:ascii="Times New Roman" w:hAnsi="Times New Roman" w:cs="Times New Roman"/>
                <w:sz w:val="24"/>
                <w:szCs w:val="24"/>
                <w:lang w:val="uk-UA"/>
              </w:rPr>
            </w:pPr>
            <w:r w:rsidRPr="008E4570">
              <w:rPr>
                <w:rFonts w:ascii="Times New Roman" w:hAnsi="Times New Roman" w:cs="Times New Roman"/>
                <w:sz w:val="24"/>
                <w:szCs w:val="24"/>
                <w:lang w:val="uk-UA"/>
              </w:rPr>
              <w:t>З</w:t>
            </w:r>
            <w:r>
              <w:rPr>
                <w:rFonts w:ascii="Times New Roman" w:hAnsi="Times New Roman" w:cs="Times New Roman"/>
                <w:sz w:val="24"/>
                <w:szCs w:val="24"/>
                <w:lang w:val="uk-UA"/>
              </w:rPr>
              <w:t xml:space="preserve">аконом про ринок визначено, що ОСР </w:t>
            </w:r>
            <w:r w:rsidRPr="008E4570">
              <w:rPr>
                <w:rFonts w:ascii="Times New Roman" w:hAnsi="Times New Roman" w:cs="Times New Roman"/>
                <w:b/>
                <w:sz w:val="24"/>
                <w:szCs w:val="24"/>
                <w:lang w:val="uk-UA"/>
              </w:rPr>
              <w:t>може</w:t>
            </w:r>
            <w:r>
              <w:rPr>
                <w:rFonts w:ascii="Times New Roman" w:hAnsi="Times New Roman" w:cs="Times New Roman"/>
                <w:b/>
                <w:sz w:val="24"/>
                <w:szCs w:val="24"/>
                <w:lang w:val="uk-UA"/>
              </w:rPr>
              <w:t xml:space="preserve"> </w:t>
            </w:r>
            <w:r w:rsidRPr="008E4570">
              <w:rPr>
                <w:rFonts w:ascii="Times New Roman" w:hAnsi="Times New Roman" w:cs="Times New Roman"/>
                <w:sz w:val="24"/>
                <w:szCs w:val="24"/>
                <w:lang w:val="uk-UA"/>
              </w:rPr>
              <w:t xml:space="preserve">відмовити у доступі </w:t>
            </w:r>
            <w:r w:rsidRPr="008E4570">
              <w:rPr>
                <w:rFonts w:ascii="Times New Roman" w:hAnsi="Times New Roman" w:cs="Times New Roman"/>
                <w:b/>
                <w:sz w:val="24"/>
                <w:szCs w:val="24"/>
                <w:lang w:val="uk-UA"/>
              </w:rPr>
              <w:t>за умови</w:t>
            </w:r>
            <w:r>
              <w:rPr>
                <w:rFonts w:ascii="Times New Roman" w:hAnsi="Times New Roman" w:cs="Times New Roman"/>
                <w:b/>
                <w:sz w:val="24"/>
                <w:szCs w:val="24"/>
                <w:lang w:val="uk-UA"/>
              </w:rPr>
              <w:t xml:space="preserve"> </w:t>
            </w:r>
            <w:r w:rsidRPr="008E4570">
              <w:rPr>
                <w:rFonts w:ascii="Times New Roman" w:hAnsi="Times New Roman" w:cs="Times New Roman"/>
                <w:sz w:val="24"/>
                <w:szCs w:val="24"/>
                <w:lang w:val="uk-UA"/>
              </w:rPr>
              <w:t>недостатньої пропускної спроможності мереж з наданням:</w:t>
            </w:r>
          </w:p>
          <w:p w14:paraId="0C4DE628" w14:textId="1DB35763" w:rsidR="00F50F48" w:rsidRPr="008E4570" w:rsidRDefault="00F50F48" w:rsidP="00F50F48">
            <w:pPr>
              <w:spacing w:after="0" w:line="240" w:lineRule="auto"/>
              <w:jc w:val="both"/>
              <w:rPr>
                <w:rFonts w:ascii="Times New Roman" w:hAnsi="Times New Roman" w:cs="Times New Roman"/>
                <w:sz w:val="24"/>
                <w:szCs w:val="24"/>
                <w:lang w:val="uk-UA"/>
              </w:rPr>
            </w:pPr>
            <w:r w:rsidRPr="008E4570">
              <w:rPr>
                <w:rFonts w:ascii="Times New Roman" w:hAnsi="Times New Roman" w:cs="Times New Roman"/>
                <w:sz w:val="24"/>
                <w:szCs w:val="24"/>
                <w:lang w:val="uk-UA"/>
              </w:rPr>
              <w:lastRenderedPageBreak/>
              <w:t xml:space="preserve">1 обґрунтування причини відмови, а також </w:t>
            </w:r>
          </w:p>
          <w:p w14:paraId="2F47B4A7" w14:textId="77777777" w:rsidR="00F50F48" w:rsidRDefault="00F50F48" w:rsidP="00F50F48">
            <w:pPr>
              <w:spacing w:after="0" w:line="240" w:lineRule="auto"/>
              <w:jc w:val="both"/>
              <w:rPr>
                <w:rFonts w:ascii="Times New Roman" w:hAnsi="Times New Roman" w:cs="Times New Roman"/>
                <w:sz w:val="24"/>
                <w:szCs w:val="24"/>
                <w:lang w:val="uk-UA"/>
              </w:rPr>
            </w:pPr>
            <w:r w:rsidRPr="008E4570">
              <w:rPr>
                <w:rFonts w:ascii="Times New Roman" w:hAnsi="Times New Roman" w:cs="Times New Roman"/>
                <w:sz w:val="24"/>
                <w:szCs w:val="24"/>
                <w:lang w:val="uk-UA"/>
              </w:rPr>
              <w:t>2. інформації щодо строків, необхідних для створення резерву відповідно до затвердженого Регулятором ПРСР</w:t>
            </w:r>
          </w:p>
          <w:p w14:paraId="54F884A7" w14:textId="5AA08C86" w:rsidR="00F50F48" w:rsidRDefault="00F50F48" w:rsidP="00F50F4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Тобто, в інших випадках ОСР не має права відмовити, про що і зазначено у чинній нормі КСР цього пункту. Застосування норми «може» призводить то можливості застосування ОСР різних підходів до користувачів системи.</w:t>
            </w:r>
          </w:p>
          <w:p w14:paraId="66382930" w14:textId="00FB1C43" w:rsidR="00F50F48" w:rsidRDefault="00F50F48" w:rsidP="00F50F4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Разом із цим, змінами передбачено конкретизацію інформації, яка має бути зазначена в ПРСР, для уникнення маніпуляцій та неоднозначного тлумачення вимог Закону про ринок та КСР, а також </w:t>
            </w:r>
          </w:p>
          <w:p w14:paraId="30A2DE93" w14:textId="6A7EEB42" w:rsidR="00F50F48" w:rsidRPr="00E92455" w:rsidRDefault="00F50F48" w:rsidP="00F50F48">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uk-UA"/>
              </w:rPr>
              <w:t xml:space="preserve">Право відмовляти в доступі у разі відсутності ПРСР/знаходження на розгляді Регулятора тощо не передбачено нормами </w:t>
            </w:r>
            <w:r>
              <w:rPr>
                <w:rFonts w:ascii="Times New Roman" w:hAnsi="Times New Roman" w:cs="Times New Roman"/>
                <w:sz w:val="24"/>
                <w:szCs w:val="24"/>
                <w:lang w:val="uk-UA"/>
              </w:rPr>
              <w:t>Закону про ринок</w:t>
            </w:r>
            <w:r>
              <w:rPr>
                <w:rFonts w:ascii="Times New Roman" w:hAnsi="Times New Roman" w:cs="Times New Roman"/>
                <w:sz w:val="24"/>
                <w:szCs w:val="24"/>
                <w:lang w:val="uk-UA"/>
              </w:rPr>
              <w:t>.</w:t>
            </w:r>
          </w:p>
        </w:tc>
      </w:tr>
    </w:tbl>
    <w:p w14:paraId="4BC628AA" w14:textId="3C26ADE6" w:rsidR="000C43DD" w:rsidRPr="00FD5AFC" w:rsidRDefault="00F50F48" w:rsidP="00155F3A">
      <w:pPr>
        <w:spacing w:after="0" w:line="240" w:lineRule="auto"/>
        <w:rPr>
          <w:lang w:val="uk-UA"/>
        </w:rPr>
      </w:pPr>
      <w:r>
        <w:rPr>
          <w:lang w:val="uk-UA"/>
        </w:rPr>
        <w:lastRenderedPageBreak/>
        <w:br w:type="textWrapping" w:clear="all"/>
      </w:r>
    </w:p>
    <w:sectPr w:rsidR="000C43DD" w:rsidRPr="00FD5AFC" w:rsidSect="00F50F48">
      <w:headerReference w:type="default" r:id="rId12"/>
      <w:pgSz w:w="16838" w:h="11906" w:orient="landscape"/>
      <w:pgMar w:top="16"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B7EDE" w14:textId="77777777" w:rsidR="00897E7C" w:rsidRDefault="00897E7C" w:rsidP="00166B2C">
      <w:pPr>
        <w:spacing w:after="0" w:line="240" w:lineRule="auto"/>
      </w:pPr>
      <w:r>
        <w:separator/>
      </w:r>
    </w:p>
  </w:endnote>
  <w:endnote w:type="continuationSeparator" w:id="0">
    <w:p w14:paraId="495F0D0D" w14:textId="77777777" w:rsidR="00897E7C" w:rsidRDefault="00897E7C" w:rsidP="00166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F4ED6" w14:textId="77777777" w:rsidR="00897E7C" w:rsidRDefault="00897E7C" w:rsidP="00166B2C">
      <w:pPr>
        <w:spacing w:after="0" w:line="240" w:lineRule="auto"/>
      </w:pPr>
      <w:r>
        <w:separator/>
      </w:r>
    </w:p>
  </w:footnote>
  <w:footnote w:type="continuationSeparator" w:id="0">
    <w:p w14:paraId="19F233B0" w14:textId="77777777" w:rsidR="00897E7C" w:rsidRDefault="00897E7C" w:rsidP="00166B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662162"/>
      <w:docPartObj>
        <w:docPartGallery w:val="Page Numbers (Top of Page)"/>
        <w:docPartUnique/>
      </w:docPartObj>
    </w:sdtPr>
    <w:sdtEndPr/>
    <w:sdtContent>
      <w:p w14:paraId="4672FE33" w14:textId="15333BFE" w:rsidR="006A0952" w:rsidRDefault="006A0952">
        <w:pPr>
          <w:pStyle w:val="a7"/>
          <w:jc w:val="center"/>
        </w:pPr>
        <w:r>
          <w:fldChar w:fldCharType="begin"/>
        </w:r>
        <w:r>
          <w:instrText>PAGE   \* MERGEFORMAT</w:instrText>
        </w:r>
        <w:r>
          <w:fldChar w:fldCharType="separate"/>
        </w:r>
        <w:r w:rsidR="00B13CA9" w:rsidRPr="00B13CA9">
          <w:rPr>
            <w:noProof/>
            <w:lang w:val="uk-UA"/>
          </w:rPr>
          <w:t>36</w:t>
        </w:r>
        <w:r>
          <w:fldChar w:fldCharType="end"/>
        </w:r>
      </w:p>
    </w:sdtContent>
  </w:sdt>
  <w:p w14:paraId="448ED633" w14:textId="77777777" w:rsidR="006A0952" w:rsidRDefault="006A095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8F1"/>
    <w:rsid w:val="00020FD5"/>
    <w:rsid w:val="00021233"/>
    <w:rsid w:val="000334D4"/>
    <w:rsid w:val="00036D0C"/>
    <w:rsid w:val="000632DD"/>
    <w:rsid w:val="00063877"/>
    <w:rsid w:val="000717C2"/>
    <w:rsid w:val="00076C08"/>
    <w:rsid w:val="0007700E"/>
    <w:rsid w:val="00084DCB"/>
    <w:rsid w:val="000A1168"/>
    <w:rsid w:val="000A7AE1"/>
    <w:rsid w:val="000B1402"/>
    <w:rsid w:val="000B5553"/>
    <w:rsid w:val="000C43DD"/>
    <w:rsid w:val="000D1130"/>
    <w:rsid w:val="000D61E4"/>
    <w:rsid w:val="00102D0E"/>
    <w:rsid w:val="00102F17"/>
    <w:rsid w:val="001135C8"/>
    <w:rsid w:val="001179B8"/>
    <w:rsid w:val="00121AE9"/>
    <w:rsid w:val="00121B1D"/>
    <w:rsid w:val="00121E3C"/>
    <w:rsid w:val="00123AC4"/>
    <w:rsid w:val="00124744"/>
    <w:rsid w:val="00133E86"/>
    <w:rsid w:val="00135F1C"/>
    <w:rsid w:val="00154A92"/>
    <w:rsid w:val="00155F3A"/>
    <w:rsid w:val="00165B1E"/>
    <w:rsid w:val="00165D51"/>
    <w:rsid w:val="00166B2C"/>
    <w:rsid w:val="00170097"/>
    <w:rsid w:val="0017025E"/>
    <w:rsid w:val="00181F88"/>
    <w:rsid w:val="001832EE"/>
    <w:rsid w:val="00187067"/>
    <w:rsid w:val="001902C0"/>
    <w:rsid w:val="001B0CED"/>
    <w:rsid w:val="001B1FF5"/>
    <w:rsid w:val="001B41E8"/>
    <w:rsid w:val="001B543C"/>
    <w:rsid w:val="001B56AB"/>
    <w:rsid w:val="001F3053"/>
    <w:rsid w:val="002258B5"/>
    <w:rsid w:val="00225A6B"/>
    <w:rsid w:val="00225ACD"/>
    <w:rsid w:val="002342CA"/>
    <w:rsid w:val="0023433B"/>
    <w:rsid w:val="00234F42"/>
    <w:rsid w:val="00255836"/>
    <w:rsid w:val="00283F06"/>
    <w:rsid w:val="002B1091"/>
    <w:rsid w:val="002B4287"/>
    <w:rsid w:val="002B7432"/>
    <w:rsid w:val="002C5477"/>
    <w:rsid w:val="002D08AE"/>
    <w:rsid w:val="002D7C7F"/>
    <w:rsid w:val="00303FAD"/>
    <w:rsid w:val="00305F1A"/>
    <w:rsid w:val="0032464F"/>
    <w:rsid w:val="00325381"/>
    <w:rsid w:val="003323ED"/>
    <w:rsid w:val="00335D06"/>
    <w:rsid w:val="0033651D"/>
    <w:rsid w:val="00347BBD"/>
    <w:rsid w:val="00357AF6"/>
    <w:rsid w:val="00366AE1"/>
    <w:rsid w:val="00381A47"/>
    <w:rsid w:val="0039043C"/>
    <w:rsid w:val="00395D1D"/>
    <w:rsid w:val="003A0279"/>
    <w:rsid w:val="003A3FA3"/>
    <w:rsid w:val="003B02C2"/>
    <w:rsid w:val="003B7D6C"/>
    <w:rsid w:val="003E3289"/>
    <w:rsid w:val="003E4459"/>
    <w:rsid w:val="003E6059"/>
    <w:rsid w:val="003F65A5"/>
    <w:rsid w:val="00410BA8"/>
    <w:rsid w:val="0043251F"/>
    <w:rsid w:val="00445E52"/>
    <w:rsid w:val="0045342B"/>
    <w:rsid w:val="004574D7"/>
    <w:rsid w:val="00462662"/>
    <w:rsid w:val="00465AE2"/>
    <w:rsid w:val="0047465C"/>
    <w:rsid w:val="00477BF2"/>
    <w:rsid w:val="00484A97"/>
    <w:rsid w:val="00492EEA"/>
    <w:rsid w:val="004A1D2F"/>
    <w:rsid w:val="004A4695"/>
    <w:rsid w:val="004B2AFB"/>
    <w:rsid w:val="004B54D0"/>
    <w:rsid w:val="004B7725"/>
    <w:rsid w:val="004F0EF8"/>
    <w:rsid w:val="004F4E03"/>
    <w:rsid w:val="005114F6"/>
    <w:rsid w:val="00511CF6"/>
    <w:rsid w:val="005412AE"/>
    <w:rsid w:val="00557910"/>
    <w:rsid w:val="00557C78"/>
    <w:rsid w:val="005637B0"/>
    <w:rsid w:val="005650A2"/>
    <w:rsid w:val="005676C9"/>
    <w:rsid w:val="005963DA"/>
    <w:rsid w:val="005A1914"/>
    <w:rsid w:val="005B02B0"/>
    <w:rsid w:val="005B20CC"/>
    <w:rsid w:val="005C00A6"/>
    <w:rsid w:val="005C3A80"/>
    <w:rsid w:val="005C5692"/>
    <w:rsid w:val="005D52AA"/>
    <w:rsid w:val="005E136F"/>
    <w:rsid w:val="005E1E77"/>
    <w:rsid w:val="005E61B4"/>
    <w:rsid w:val="005F3E6D"/>
    <w:rsid w:val="006107C6"/>
    <w:rsid w:val="006124C1"/>
    <w:rsid w:val="00626BAE"/>
    <w:rsid w:val="0067059E"/>
    <w:rsid w:val="00682AEB"/>
    <w:rsid w:val="0068612F"/>
    <w:rsid w:val="0069076B"/>
    <w:rsid w:val="00691A4B"/>
    <w:rsid w:val="00696F30"/>
    <w:rsid w:val="006A0952"/>
    <w:rsid w:val="006A7F4F"/>
    <w:rsid w:val="006B1FDC"/>
    <w:rsid w:val="006B5299"/>
    <w:rsid w:val="006B5315"/>
    <w:rsid w:val="006C39C2"/>
    <w:rsid w:val="006D3A50"/>
    <w:rsid w:val="006D50C3"/>
    <w:rsid w:val="006D6534"/>
    <w:rsid w:val="006E21A5"/>
    <w:rsid w:val="006E482D"/>
    <w:rsid w:val="006F094F"/>
    <w:rsid w:val="006F72E2"/>
    <w:rsid w:val="00704DD8"/>
    <w:rsid w:val="00704DDB"/>
    <w:rsid w:val="007101FF"/>
    <w:rsid w:val="0071707F"/>
    <w:rsid w:val="00722FB9"/>
    <w:rsid w:val="00724112"/>
    <w:rsid w:val="007300B4"/>
    <w:rsid w:val="00735D5E"/>
    <w:rsid w:val="00744DDB"/>
    <w:rsid w:val="00747CE3"/>
    <w:rsid w:val="007576F5"/>
    <w:rsid w:val="007578C7"/>
    <w:rsid w:val="00771C5B"/>
    <w:rsid w:val="0077582D"/>
    <w:rsid w:val="00777FA7"/>
    <w:rsid w:val="00782362"/>
    <w:rsid w:val="007931EA"/>
    <w:rsid w:val="007A4377"/>
    <w:rsid w:val="007A6290"/>
    <w:rsid w:val="007B42B5"/>
    <w:rsid w:val="007B5CC2"/>
    <w:rsid w:val="007C51C1"/>
    <w:rsid w:val="007D136A"/>
    <w:rsid w:val="007E1754"/>
    <w:rsid w:val="007F584C"/>
    <w:rsid w:val="0080091D"/>
    <w:rsid w:val="008023B8"/>
    <w:rsid w:val="00804914"/>
    <w:rsid w:val="00814C13"/>
    <w:rsid w:val="00814E7A"/>
    <w:rsid w:val="00830D06"/>
    <w:rsid w:val="00831001"/>
    <w:rsid w:val="00835E45"/>
    <w:rsid w:val="00843231"/>
    <w:rsid w:val="00856E42"/>
    <w:rsid w:val="0088699F"/>
    <w:rsid w:val="00890E81"/>
    <w:rsid w:val="00891AC7"/>
    <w:rsid w:val="00897E7C"/>
    <w:rsid w:val="008A5688"/>
    <w:rsid w:val="008A5FD4"/>
    <w:rsid w:val="008B01A9"/>
    <w:rsid w:val="008B6F55"/>
    <w:rsid w:val="008C603C"/>
    <w:rsid w:val="008D1612"/>
    <w:rsid w:val="008D3B21"/>
    <w:rsid w:val="008D43C5"/>
    <w:rsid w:val="008D6D01"/>
    <w:rsid w:val="008E4570"/>
    <w:rsid w:val="008F1767"/>
    <w:rsid w:val="008F4354"/>
    <w:rsid w:val="008F45DC"/>
    <w:rsid w:val="009013D9"/>
    <w:rsid w:val="0091146D"/>
    <w:rsid w:val="00912411"/>
    <w:rsid w:val="00912F8E"/>
    <w:rsid w:val="0093303B"/>
    <w:rsid w:val="0095592C"/>
    <w:rsid w:val="00964535"/>
    <w:rsid w:val="00965550"/>
    <w:rsid w:val="009848B9"/>
    <w:rsid w:val="0099006C"/>
    <w:rsid w:val="009A64B7"/>
    <w:rsid w:val="009B7EB8"/>
    <w:rsid w:val="009C4786"/>
    <w:rsid w:val="009C4FC9"/>
    <w:rsid w:val="009D1704"/>
    <w:rsid w:val="009E2340"/>
    <w:rsid w:val="009F660E"/>
    <w:rsid w:val="00A00082"/>
    <w:rsid w:val="00A017BB"/>
    <w:rsid w:val="00A10681"/>
    <w:rsid w:val="00A11021"/>
    <w:rsid w:val="00A13030"/>
    <w:rsid w:val="00A17962"/>
    <w:rsid w:val="00A21A82"/>
    <w:rsid w:val="00A25E8D"/>
    <w:rsid w:val="00A2680A"/>
    <w:rsid w:val="00A27DB2"/>
    <w:rsid w:val="00A328C9"/>
    <w:rsid w:val="00A42904"/>
    <w:rsid w:val="00A4698A"/>
    <w:rsid w:val="00A605C5"/>
    <w:rsid w:val="00A878F7"/>
    <w:rsid w:val="00AB18B6"/>
    <w:rsid w:val="00AB4746"/>
    <w:rsid w:val="00AB6E9F"/>
    <w:rsid w:val="00AF7757"/>
    <w:rsid w:val="00AF7EBB"/>
    <w:rsid w:val="00B018E9"/>
    <w:rsid w:val="00B11AD7"/>
    <w:rsid w:val="00B13CA9"/>
    <w:rsid w:val="00B161FF"/>
    <w:rsid w:val="00B27614"/>
    <w:rsid w:val="00B27F16"/>
    <w:rsid w:val="00B30EAB"/>
    <w:rsid w:val="00B343CC"/>
    <w:rsid w:val="00B364AB"/>
    <w:rsid w:val="00B400ED"/>
    <w:rsid w:val="00B5104F"/>
    <w:rsid w:val="00B51C85"/>
    <w:rsid w:val="00B55B2B"/>
    <w:rsid w:val="00B6220F"/>
    <w:rsid w:val="00B66224"/>
    <w:rsid w:val="00B82208"/>
    <w:rsid w:val="00B840D2"/>
    <w:rsid w:val="00B913FE"/>
    <w:rsid w:val="00BA1093"/>
    <w:rsid w:val="00BA2DE5"/>
    <w:rsid w:val="00BA3EE0"/>
    <w:rsid w:val="00BA60D4"/>
    <w:rsid w:val="00BA684D"/>
    <w:rsid w:val="00BC1D20"/>
    <w:rsid w:val="00BD6DC0"/>
    <w:rsid w:val="00BE5401"/>
    <w:rsid w:val="00BF5F4E"/>
    <w:rsid w:val="00C32094"/>
    <w:rsid w:val="00C47D7E"/>
    <w:rsid w:val="00C549C4"/>
    <w:rsid w:val="00C61D13"/>
    <w:rsid w:val="00C862A3"/>
    <w:rsid w:val="00C874D2"/>
    <w:rsid w:val="00C914EE"/>
    <w:rsid w:val="00CA094A"/>
    <w:rsid w:val="00CA4EF5"/>
    <w:rsid w:val="00CC456D"/>
    <w:rsid w:val="00CD067D"/>
    <w:rsid w:val="00CD2244"/>
    <w:rsid w:val="00CD68F1"/>
    <w:rsid w:val="00CE700E"/>
    <w:rsid w:val="00CF246F"/>
    <w:rsid w:val="00CF63EA"/>
    <w:rsid w:val="00CF6A3E"/>
    <w:rsid w:val="00D01D35"/>
    <w:rsid w:val="00D34373"/>
    <w:rsid w:val="00D3542D"/>
    <w:rsid w:val="00D55265"/>
    <w:rsid w:val="00D64ED9"/>
    <w:rsid w:val="00D73B6D"/>
    <w:rsid w:val="00D764D9"/>
    <w:rsid w:val="00D872CA"/>
    <w:rsid w:val="00D9063C"/>
    <w:rsid w:val="00DB4FE4"/>
    <w:rsid w:val="00DC0B16"/>
    <w:rsid w:val="00DC50E7"/>
    <w:rsid w:val="00DD57E1"/>
    <w:rsid w:val="00DE0B85"/>
    <w:rsid w:val="00DE185B"/>
    <w:rsid w:val="00DE6157"/>
    <w:rsid w:val="00DF599A"/>
    <w:rsid w:val="00E02EB6"/>
    <w:rsid w:val="00E1247C"/>
    <w:rsid w:val="00E26FD6"/>
    <w:rsid w:val="00E324B3"/>
    <w:rsid w:val="00E422FF"/>
    <w:rsid w:val="00E45730"/>
    <w:rsid w:val="00E55FAE"/>
    <w:rsid w:val="00E77ADA"/>
    <w:rsid w:val="00E92455"/>
    <w:rsid w:val="00E93164"/>
    <w:rsid w:val="00E9706E"/>
    <w:rsid w:val="00EA2388"/>
    <w:rsid w:val="00EA3FE7"/>
    <w:rsid w:val="00EA53FC"/>
    <w:rsid w:val="00EA6BBE"/>
    <w:rsid w:val="00EC4945"/>
    <w:rsid w:val="00ED4746"/>
    <w:rsid w:val="00EE29FC"/>
    <w:rsid w:val="00F4031D"/>
    <w:rsid w:val="00F41829"/>
    <w:rsid w:val="00F41DED"/>
    <w:rsid w:val="00F50F48"/>
    <w:rsid w:val="00F84D55"/>
    <w:rsid w:val="00FC0AF9"/>
    <w:rsid w:val="00FD0DDF"/>
    <w:rsid w:val="00FD5AFC"/>
    <w:rsid w:val="00FF550D"/>
    <w:rsid w:val="00FF6D1B"/>
    <w:rsid w:val="00FF6D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CAB69"/>
  <w15:chartTrackingRefBased/>
  <w15:docId w15:val="{FBDBCAA3-0A5F-4B2C-A914-A97ED7FC0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465C"/>
    <w:pPr>
      <w:spacing w:after="200" w:line="276" w:lineRule="auto"/>
    </w:pPr>
    <w:rPr>
      <w:lang w:val="en-US"/>
    </w:rPr>
  </w:style>
  <w:style w:type="paragraph" w:styleId="2">
    <w:name w:val="heading 2"/>
    <w:basedOn w:val="a"/>
    <w:next w:val="a"/>
    <w:link w:val="20"/>
    <w:uiPriority w:val="9"/>
    <w:semiHidden/>
    <w:unhideWhenUsed/>
    <w:qFormat/>
    <w:rsid w:val="00C47D7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F7757"/>
    <w:pPr>
      <w:keepNext/>
      <w:keepLines/>
      <w:spacing w:before="20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F7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F7757"/>
    <w:rPr>
      <w:rFonts w:asciiTheme="majorHAnsi" w:eastAsiaTheme="majorEastAsia" w:hAnsiTheme="majorHAnsi" w:cstheme="majorBidi"/>
      <w:b/>
      <w:bCs/>
      <w:color w:val="4472C4" w:themeColor="accent1"/>
      <w:lang w:val="en-US"/>
    </w:rPr>
  </w:style>
  <w:style w:type="character" w:customStyle="1" w:styleId="20">
    <w:name w:val="Заголовок 2 Знак"/>
    <w:basedOn w:val="a0"/>
    <w:link w:val="2"/>
    <w:uiPriority w:val="9"/>
    <w:semiHidden/>
    <w:rsid w:val="00C47D7E"/>
    <w:rPr>
      <w:rFonts w:asciiTheme="majorHAnsi" w:eastAsiaTheme="majorEastAsia" w:hAnsiTheme="majorHAnsi" w:cstheme="majorBidi"/>
      <w:color w:val="2F5496" w:themeColor="accent1" w:themeShade="BF"/>
      <w:sz w:val="26"/>
      <w:szCs w:val="26"/>
      <w:lang w:val="en-US"/>
    </w:rPr>
  </w:style>
  <w:style w:type="paragraph" w:customStyle="1" w:styleId="rvps2">
    <w:name w:val="rvps2"/>
    <w:basedOn w:val="a"/>
    <w:rsid w:val="00704DD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4">
    <w:name w:val="rvts44"/>
    <w:basedOn w:val="a0"/>
    <w:rsid w:val="00704DD8"/>
  </w:style>
  <w:style w:type="character" w:customStyle="1" w:styleId="rvts46">
    <w:name w:val="rvts46"/>
    <w:basedOn w:val="a0"/>
    <w:rsid w:val="00BA3EE0"/>
  </w:style>
  <w:style w:type="character" w:styleId="a4">
    <w:name w:val="Hyperlink"/>
    <w:basedOn w:val="a0"/>
    <w:uiPriority w:val="99"/>
    <w:semiHidden/>
    <w:unhideWhenUsed/>
    <w:rsid w:val="00BA3EE0"/>
    <w:rPr>
      <w:color w:val="0000FF"/>
      <w:u w:val="single"/>
    </w:rPr>
  </w:style>
  <w:style w:type="paragraph" w:styleId="a5">
    <w:name w:val="Balloon Text"/>
    <w:basedOn w:val="a"/>
    <w:link w:val="a6"/>
    <w:uiPriority w:val="99"/>
    <w:semiHidden/>
    <w:unhideWhenUsed/>
    <w:rsid w:val="00462662"/>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462662"/>
    <w:rPr>
      <w:rFonts w:ascii="Segoe UI" w:hAnsi="Segoe UI" w:cs="Segoe UI"/>
      <w:sz w:val="18"/>
      <w:szCs w:val="18"/>
      <w:lang w:val="en-US"/>
    </w:rPr>
  </w:style>
  <w:style w:type="character" w:customStyle="1" w:styleId="rvts11">
    <w:name w:val="rvts11"/>
    <w:basedOn w:val="a0"/>
    <w:rsid w:val="002342CA"/>
  </w:style>
  <w:style w:type="paragraph" w:styleId="a7">
    <w:name w:val="header"/>
    <w:basedOn w:val="a"/>
    <w:link w:val="a8"/>
    <w:uiPriority w:val="99"/>
    <w:unhideWhenUsed/>
    <w:rsid w:val="00166B2C"/>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166B2C"/>
    <w:rPr>
      <w:lang w:val="en-US"/>
    </w:rPr>
  </w:style>
  <w:style w:type="paragraph" w:styleId="a9">
    <w:name w:val="footer"/>
    <w:basedOn w:val="a"/>
    <w:link w:val="aa"/>
    <w:uiPriority w:val="99"/>
    <w:unhideWhenUsed/>
    <w:rsid w:val="00166B2C"/>
    <w:pPr>
      <w:tabs>
        <w:tab w:val="center" w:pos="4819"/>
        <w:tab w:val="right" w:pos="9639"/>
      </w:tabs>
      <w:spacing w:after="0" w:line="240" w:lineRule="auto"/>
    </w:pPr>
  </w:style>
  <w:style w:type="character" w:customStyle="1" w:styleId="aa">
    <w:name w:val="Нижній колонтитул Знак"/>
    <w:basedOn w:val="a0"/>
    <w:link w:val="a9"/>
    <w:uiPriority w:val="99"/>
    <w:rsid w:val="00166B2C"/>
    <w:rPr>
      <w:lang w:val="en-US"/>
    </w:rPr>
  </w:style>
  <w:style w:type="character" w:styleId="ab">
    <w:name w:val="annotation reference"/>
    <w:basedOn w:val="a0"/>
    <w:uiPriority w:val="99"/>
    <w:semiHidden/>
    <w:unhideWhenUsed/>
    <w:rsid w:val="00B6220F"/>
    <w:rPr>
      <w:sz w:val="16"/>
      <w:szCs w:val="16"/>
    </w:rPr>
  </w:style>
  <w:style w:type="paragraph" w:styleId="ac">
    <w:name w:val="annotation text"/>
    <w:basedOn w:val="a"/>
    <w:link w:val="ad"/>
    <w:uiPriority w:val="99"/>
    <w:semiHidden/>
    <w:unhideWhenUsed/>
    <w:rsid w:val="00B6220F"/>
    <w:pPr>
      <w:spacing w:line="240" w:lineRule="auto"/>
    </w:pPr>
    <w:rPr>
      <w:sz w:val="20"/>
      <w:szCs w:val="20"/>
    </w:rPr>
  </w:style>
  <w:style w:type="character" w:customStyle="1" w:styleId="ad">
    <w:name w:val="Текст примітки Знак"/>
    <w:basedOn w:val="a0"/>
    <w:link w:val="ac"/>
    <w:uiPriority w:val="99"/>
    <w:semiHidden/>
    <w:rsid w:val="00B6220F"/>
    <w:rPr>
      <w:sz w:val="20"/>
      <w:szCs w:val="20"/>
      <w:lang w:val="en-US"/>
    </w:rPr>
  </w:style>
  <w:style w:type="paragraph" w:styleId="ae">
    <w:name w:val="annotation subject"/>
    <w:basedOn w:val="ac"/>
    <w:next w:val="ac"/>
    <w:link w:val="af"/>
    <w:uiPriority w:val="99"/>
    <w:semiHidden/>
    <w:unhideWhenUsed/>
    <w:rsid w:val="00B6220F"/>
    <w:rPr>
      <w:b/>
      <w:bCs/>
    </w:rPr>
  </w:style>
  <w:style w:type="character" w:customStyle="1" w:styleId="af">
    <w:name w:val="Тема примітки Знак"/>
    <w:basedOn w:val="ad"/>
    <w:link w:val="ae"/>
    <w:uiPriority w:val="99"/>
    <w:semiHidden/>
    <w:rsid w:val="00B6220F"/>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109203">
      <w:bodyDiv w:val="1"/>
      <w:marLeft w:val="0"/>
      <w:marRight w:val="0"/>
      <w:marTop w:val="0"/>
      <w:marBottom w:val="0"/>
      <w:divBdr>
        <w:top w:val="none" w:sz="0" w:space="0" w:color="auto"/>
        <w:left w:val="none" w:sz="0" w:space="0" w:color="auto"/>
        <w:bottom w:val="none" w:sz="0" w:space="0" w:color="auto"/>
        <w:right w:val="none" w:sz="0" w:space="0" w:color="auto"/>
      </w:divBdr>
    </w:div>
    <w:div w:id="551843411">
      <w:bodyDiv w:val="1"/>
      <w:marLeft w:val="0"/>
      <w:marRight w:val="0"/>
      <w:marTop w:val="0"/>
      <w:marBottom w:val="0"/>
      <w:divBdr>
        <w:top w:val="none" w:sz="0" w:space="0" w:color="auto"/>
        <w:left w:val="none" w:sz="0" w:space="0" w:color="auto"/>
        <w:bottom w:val="none" w:sz="0" w:space="0" w:color="auto"/>
        <w:right w:val="none" w:sz="0" w:space="0" w:color="auto"/>
      </w:divBdr>
    </w:div>
    <w:div w:id="605042075">
      <w:bodyDiv w:val="1"/>
      <w:marLeft w:val="0"/>
      <w:marRight w:val="0"/>
      <w:marTop w:val="0"/>
      <w:marBottom w:val="0"/>
      <w:divBdr>
        <w:top w:val="none" w:sz="0" w:space="0" w:color="auto"/>
        <w:left w:val="none" w:sz="0" w:space="0" w:color="auto"/>
        <w:bottom w:val="none" w:sz="0" w:space="0" w:color="auto"/>
        <w:right w:val="none" w:sz="0" w:space="0" w:color="auto"/>
      </w:divBdr>
    </w:div>
    <w:div w:id="653681696">
      <w:bodyDiv w:val="1"/>
      <w:marLeft w:val="0"/>
      <w:marRight w:val="0"/>
      <w:marTop w:val="0"/>
      <w:marBottom w:val="0"/>
      <w:divBdr>
        <w:top w:val="none" w:sz="0" w:space="0" w:color="auto"/>
        <w:left w:val="none" w:sz="0" w:space="0" w:color="auto"/>
        <w:bottom w:val="none" w:sz="0" w:space="0" w:color="auto"/>
        <w:right w:val="none" w:sz="0" w:space="0" w:color="auto"/>
      </w:divBdr>
    </w:div>
    <w:div w:id="958024388">
      <w:bodyDiv w:val="1"/>
      <w:marLeft w:val="0"/>
      <w:marRight w:val="0"/>
      <w:marTop w:val="0"/>
      <w:marBottom w:val="0"/>
      <w:divBdr>
        <w:top w:val="none" w:sz="0" w:space="0" w:color="auto"/>
        <w:left w:val="none" w:sz="0" w:space="0" w:color="auto"/>
        <w:bottom w:val="none" w:sz="0" w:space="0" w:color="auto"/>
        <w:right w:val="none" w:sz="0" w:space="0" w:color="auto"/>
      </w:divBdr>
    </w:div>
    <w:div w:id="1163739175">
      <w:bodyDiv w:val="1"/>
      <w:marLeft w:val="0"/>
      <w:marRight w:val="0"/>
      <w:marTop w:val="0"/>
      <w:marBottom w:val="0"/>
      <w:divBdr>
        <w:top w:val="none" w:sz="0" w:space="0" w:color="auto"/>
        <w:left w:val="none" w:sz="0" w:space="0" w:color="auto"/>
        <w:bottom w:val="none" w:sz="0" w:space="0" w:color="auto"/>
        <w:right w:val="none" w:sz="0" w:space="0" w:color="auto"/>
      </w:divBdr>
    </w:div>
    <w:div w:id="1323042218">
      <w:bodyDiv w:val="1"/>
      <w:marLeft w:val="0"/>
      <w:marRight w:val="0"/>
      <w:marTop w:val="0"/>
      <w:marBottom w:val="0"/>
      <w:divBdr>
        <w:top w:val="none" w:sz="0" w:space="0" w:color="auto"/>
        <w:left w:val="none" w:sz="0" w:space="0" w:color="auto"/>
        <w:bottom w:val="none" w:sz="0" w:space="0" w:color="auto"/>
        <w:right w:val="none" w:sz="0" w:space="0" w:color="auto"/>
      </w:divBdr>
    </w:div>
    <w:div w:id="1392651496">
      <w:bodyDiv w:val="1"/>
      <w:marLeft w:val="0"/>
      <w:marRight w:val="0"/>
      <w:marTop w:val="0"/>
      <w:marBottom w:val="0"/>
      <w:divBdr>
        <w:top w:val="none" w:sz="0" w:space="0" w:color="auto"/>
        <w:left w:val="none" w:sz="0" w:space="0" w:color="auto"/>
        <w:bottom w:val="none" w:sz="0" w:space="0" w:color="auto"/>
        <w:right w:val="none" w:sz="0" w:space="0" w:color="auto"/>
      </w:divBdr>
    </w:div>
    <w:div w:id="1559901699">
      <w:bodyDiv w:val="1"/>
      <w:marLeft w:val="0"/>
      <w:marRight w:val="0"/>
      <w:marTop w:val="0"/>
      <w:marBottom w:val="0"/>
      <w:divBdr>
        <w:top w:val="none" w:sz="0" w:space="0" w:color="auto"/>
        <w:left w:val="none" w:sz="0" w:space="0" w:color="auto"/>
        <w:bottom w:val="none" w:sz="0" w:space="0" w:color="auto"/>
        <w:right w:val="none" w:sz="0" w:space="0" w:color="auto"/>
      </w:divBdr>
    </w:div>
    <w:div w:id="1569072808">
      <w:bodyDiv w:val="1"/>
      <w:marLeft w:val="0"/>
      <w:marRight w:val="0"/>
      <w:marTop w:val="0"/>
      <w:marBottom w:val="0"/>
      <w:divBdr>
        <w:top w:val="none" w:sz="0" w:space="0" w:color="auto"/>
        <w:left w:val="none" w:sz="0" w:space="0" w:color="auto"/>
        <w:bottom w:val="none" w:sz="0" w:space="0" w:color="auto"/>
        <w:right w:val="none" w:sz="0" w:space="0" w:color="auto"/>
      </w:divBdr>
    </w:div>
    <w:div w:id="1648977408">
      <w:bodyDiv w:val="1"/>
      <w:marLeft w:val="0"/>
      <w:marRight w:val="0"/>
      <w:marTop w:val="0"/>
      <w:marBottom w:val="0"/>
      <w:divBdr>
        <w:top w:val="none" w:sz="0" w:space="0" w:color="auto"/>
        <w:left w:val="none" w:sz="0" w:space="0" w:color="auto"/>
        <w:bottom w:val="none" w:sz="0" w:space="0" w:color="auto"/>
        <w:right w:val="none" w:sz="0" w:space="0" w:color="auto"/>
      </w:divBdr>
    </w:div>
    <w:div w:id="1821923422">
      <w:bodyDiv w:val="1"/>
      <w:marLeft w:val="0"/>
      <w:marRight w:val="0"/>
      <w:marTop w:val="0"/>
      <w:marBottom w:val="0"/>
      <w:divBdr>
        <w:top w:val="none" w:sz="0" w:space="0" w:color="auto"/>
        <w:left w:val="none" w:sz="0" w:space="0" w:color="auto"/>
        <w:bottom w:val="none" w:sz="0" w:space="0" w:color="auto"/>
        <w:right w:val="none" w:sz="0" w:space="0" w:color="auto"/>
      </w:divBdr>
    </w:div>
    <w:div w:id="1935481364">
      <w:bodyDiv w:val="1"/>
      <w:marLeft w:val="0"/>
      <w:marRight w:val="0"/>
      <w:marTop w:val="0"/>
      <w:marBottom w:val="0"/>
      <w:divBdr>
        <w:top w:val="none" w:sz="0" w:space="0" w:color="auto"/>
        <w:left w:val="none" w:sz="0" w:space="0" w:color="auto"/>
        <w:bottom w:val="none" w:sz="0" w:space="0" w:color="auto"/>
        <w:right w:val="none" w:sz="0" w:space="0" w:color="auto"/>
      </w:divBdr>
    </w:div>
    <w:div w:id="196996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10874-18?find=1&amp;text=%D1%80%D0%B5%D0%B7%D0%B5%D1%80%D0%B2+%D0%BF%D0%BE%D1%82%D1%83%D0%B6%D0%BD%D0%BE%D1%81%D1%82%D1%9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019-19?ed=20240126&amp;find=1&amp;text=%D0%BF%D1%80%D0%B8%D1%94%D0%B4%D0%BD%D0%B0%D0%BD%D0%BD%D1%8F"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2019-19?ed=20240126&amp;find=1&amp;text=%D0%BF%D1%80%D0%B8%D1%94%D0%B4%D0%BD%D0%B0%D0%BD%D0%BD%D1%8F" TargetMode="External"/><Relationship Id="rId5" Type="http://schemas.openxmlformats.org/officeDocument/2006/relationships/footnotes" Target="footnotes.xml"/><Relationship Id="rId10" Type="http://schemas.openxmlformats.org/officeDocument/2006/relationships/hyperlink" Target="https://zakon.rada.gov.ua/laws/show/2019-19?ed=20240126&amp;find=1&amp;text=%D0%BF%D1%80%D0%B8%D1%94%D0%B4%D0%BD%D0%B0%D0%BD%D0%BD%D1%8F" TargetMode="External"/><Relationship Id="rId4" Type="http://schemas.openxmlformats.org/officeDocument/2006/relationships/webSettings" Target="webSettings.xml"/><Relationship Id="rId9" Type="http://schemas.openxmlformats.org/officeDocument/2006/relationships/hyperlink" Target="https://zakon.rada.gov.ua/laws/show/2019-19?ed=20240126&amp;find=1&amp;text=%D0%BF%D1%80%D0%B8%D1%94%D0%B4%D0%BD%D0%B0%D0%BD%D0%BD%D1%8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975D2-2414-400D-A614-EB91C6DB1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14052</Words>
  <Characters>8010</Characters>
  <Application>Microsoft Office Word</Application>
  <DocSecurity>0</DocSecurity>
  <Lines>66</Lines>
  <Paragraphs>44</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22018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Надія Пустовойтова</dc:creator>
  <cp:keywords/>
  <dc:description/>
  <cp:lastModifiedBy>Надія Пустовойтова</cp:lastModifiedBy>
  <cp:revision>6</cp:revision>
  <cp:lastPrinted>2025-05-08T14:06:00Z</cp:lastPrinted>
  <dcterms:created xsi:type="dcterms:W3CDTF">2025-05-08T14:00:00Z</dcterms:created>
  <dcterms:modified xsi:type="dcterms:W3CDTF">2025-05-08T14:09:00Z</dcterms:modified>
</cp:coreProperties>
</file>