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6F4EC" w14:textId="77777777" w:rsidR="0088383A" w:rsidRPr="00396449" w:rsidRDefault="0088383A" w:rsidP="0088383A">
      <w:pPr>
        <w:spacing w:after="0" w:line="240" w:lineRule="auto"/>
        <w:jc w:val="center"/>
        <w:rPr>
          <w:rStyle w:val="rvts15"/>
          <w:b/>
          <w:bCs/>
          <w:shd w:val="clear" w:color="auto" w:fill="FFFFFF"/>
        </w:rPr>
      </w:pPr>
      <w:r w:rsidRPr="00396449">
        <w:rPr>
          <w:b/>
          <w:bCs/>
          <w:shd w:val="clear" w:color="auto" w:fill="FFFFFF"/>
        </w:rPr>
        <w:t>УЗАГАЛЬНЕНІ ЗАУВАЖЕННЯ</w:t>
      </w:r>
      <w:r w:rsidRPr="00396449">
        <w:rPr>
          <w:b/>
        </w:rPr>
        <w:br/>
      </w:r>
      <w:r w:rsidRPr="00396449">
        <w:rPr>
          <w:rStyle w:val="rvts15"/>
          <w:b/>
          <w:bCs/>
          <w:shd w:val="clear" w:color="auto" w:fill="FFFFFF"/>
        </w:rPr>
        <w:t xml:space="preserve">та пропозиції до проекту рішення НКРЕКП, що має ознаки регуляторного акта –  </w:t>
      </w:r>
    </w:p>
    <w:p w14:paraId="5A1EDEDE" w14:textId="00FF94EF" w:rsidR="0088383A" w:rsidRPr="00BD5238" w:rsidRDefault="0088383A" w:rsidP="0088383A">
      <w:pPr>
        <w:jc w:val="center"/>
        <w:rPr>
          <w:b/>
        </w:rPr>
      </w:pPr>
      <w:r w:rsidRPr="00BD5238">
        <w:rPr>
          <w:rStyle w:val="rvts15"/>
          <w:b/>
          <w:bCs/>
          <w:shd w:val="clear" w:color="auto" w:fill="FFFFFF"/>
        </w:rPr>
        <w:t>«</w:t>
      </w:r>
      <w:r w:rsidR="00C36A72" w:rsidRPr="004F5D9C">
        <w:rPr>
          <w:b/>
        </w:rPr>
        <w:t>Про внесення змін</w:t>
      </w:r>
      <w:r w:rsidR="00C36A72">
        <w:rPr>
          <w:b/>
        </w:rPr>
        <w:t>и</w:t>
      </w:r>
      <w:r w:rsidR="00C36A72" w:rsidRPr="004F5D9C">
        <w:rPr>
          <w:b/>
        </w:rPr>
        <w:t xml:space="preserve"> до </w:t>
      </w:r>
      <w:r w:rsidR="00C36A72" w:rsidRPr="004F5D9C">
        <w:rPr>
          <w:b/>
          <w:bCs/>
          <w:shd w:val="clear" w:color="auto" w:fill="FFFFFF"/>
        </w:rPr>
        <w:t>Ліцензійних умов провадження господарської діяльності зі зберігання енергії</w:t>
      </w:r>
      <w:r w:rsidRPr="00BD5238">
        <w:rPr>
          <w:b/>
          <w:bCs/>
          <w:shd w:val="clear" w:color="auto" w:fill="FFFFFF"/>
        </w:rPr>
        <w:t>»</w:t>
      </w:r>
    </w:p>
    <w:tbl>
      <w:tblPr>
        <w:tblStyle w:val="a3"/>
        <w:tblW w:w="15253" w:type="dxa"/>
        <w:tblLook w:val="04A0" w:firstRow="1" w:lastRow="0" w:firstColumn="1" w:lastColumn="0" w:noHBand="0" w:noVBand="1"/>
      </w:tblPr>
      <w:tblGrid>
        <w:gridCol w:w="5202"/>
        <w:gridCol w:w="5141"/>
        <w:gridCol w:w="4910"/>
      </w:tblGrid>
      <w:tr w:rsidR="0088383A" w:rsidRPr="00095AEC" w14:paraId="65F119DE" w14:textId="77777777" w:rsidTr="008768E0">
        <w:trPr>
          <w:trHeight w:val="847"/>
        </w:trPr>
        <w:tc>
          <w:tcPr>
            <w:tcW w:w="5202" w:type="dxa"/>
          </w:tcPr>
          <w:p w14:paraId="6D58E262" w14:textId="77777777" w:rsidR="0088383A" w:rsidRPr="00095AEC" w:rsidRDefault="0088383A" w:rsidP="008768E0">
            <w:pPr>
              <w:spacing w:after="0" w:line="240" w:lineRule="auto"/>
              <w:jc w:val="center"/>
              <w:rPr>
                <w:b/>
                <w:bCs/>
                <w:sz w:val="24"/>
                <w:szCs w:val="24"/>
                <w:shd w:val="clear" w:color="auto" w:fill="FFFFFF"/>
              </w:rPr>
            </w:pPr>
            <w:r w:rsidRPr="00095AEC">
              <w:rPr>
                <w:b/>
                <w:sz w:val="24"/>
                <w:szCs w:val="24"/>
                <w:shd w:val="clear" w:color="auto" w:fill="FFFFFF"/>
              </w:rPr>
              <w:t>Редакція проекту рішення НКРЕКП</w:t>
            </w:r>
            <w:r w:rsidRPr="00095AEC">
              <w:rPr>
                <w:b/>
                <w:bCs/>
                <w:sz w:val="24"/>
                <w:szCs w:val="24"/>
                <w:shd w:val="clear" w:color="auto" w:fill="FFFFFF"/>
              </w:rPr>
              <w:t xml:space="preserve"> </w:t>
            </w:r>
          </w:p>
          <w:p w14:paraId="05F1AD7C" w14:textId="77777777" w:rsidR="0088383A" w:rsidRPr="00095AEC" w:rsidRDefault="0088383A" w:rsidP="008768E0">
            <w:pPr>
              <w:spacing w:after="0" w:line="240" w:lineRule="auto"/>
              <w:jc w:val="center"/>
              <w:rPr>
                <w:b/>
                <w:sz w:val="24"/>
                <w:szCs w:val="24"/>
              </w:rPr>
            </w:pPr>
          </w:p>
        </w:tc>
        <w:tc>
          <w:tcPr>
            <w:tcW w:w="5141" w:type="dxa"/>
          </w:tcPr>
          <w:p w14:paraId="23992678" w14:textId="77777777" w:rsidR="0088383A" w:rsidRPr="00095AEC" w:rsidRDefault="0088383A" w:rsidP="008768E0">
            <w:pPr>
              <w:spacing w:after="0" w:line="240" w:lineRule="auto"/>
              <w:jc w:val="center"/>
              <w:rPr>
                <w:b/>
                <w:bCs/>
                <w:sz w:val="24"/>
                <w:szCs w:val="24"/>
                <w:shd w:val="clear" w:color="auto" w:fill="FFFFFF"/>
              </w:rPr>
            </w:pPr>
            <w:r w:rsidRPr="00095AEC">
              <w:rPr>
                <w:b/>
                <w:sz w:val="24"/>
                <w:szCs w:val="24"/>
                <w:shd w:val="clear" w:color="auto" w:fill="FFFFFF"/>
              </w:rPr>
              <w:t>Зауваження та пропозиції до проекту рішення НКРЕКП</w:t>
            </w:r>
            <w:r w:rsidRPr="00095AEC">
              <w:rPr>
                <w:b/>
                <w:bCs/>
                <w:sz w:val="24"/>
                <w:szCs w:val="24"/>
                <w:shd w:val="clear" w:color="auto" w:fill="FFFFFF"/>
              </w:rPr>
              <w:t xml:space="preserve"> </w:t>
            </w:r>
          </w:p>
        </w:tc>
        <w:tc>
          <w:tcPr>
            <w:tcW w:w="4910" w:type="dxa"/>
          </w:tcPr>
          <w:p w14:paraId="45659AD1" w14:textId="77777777" w:rsidR="0088383A" w:rsidRPr="00095AEC" w:rsidRDefault="0088383A" w:rsidP="008768E0">
            <w:pPr>
              <w:spacing w:after="0" w:line="240" w:lineRule="auto"/>
              <w:jc w:val="center"/>
              <w:rPr>
                <w:b/>
                <w:bCs/>
                <w:sz w:val="24"/>
                <w:szCs w:val="24"/>
                <w:shd w:val="clear" w:color="auto" w:fill="FFFFFF"/>
              </w:rPr>
            </w:pPr>
            <w:r w:rsidRPr="00095AEC">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000B3E" w:rsidRPr="00095AEC" w14:paraId="7802A3AF" w14:textId="77777777" w:rsidTr="008768E0">
        <w:trPr>
          <w:trHeight w:val="847"/>
        </w:trPr>
        <w:tc>
          <w:tcPr>
            <w:tcW w:w="5202" w:type="dxa"/>
          </w:tcPr>
          <w:p w14:paraId="281F7017" w14:textId="77777777" w:rsidR="00000B3E" w:rsidRPr="00095AEC" w:rsidRDefault="00000B3E" w:rsidP="00000B3E">
            <w:pPr>
              <w:jc w:val="both"/>
              <w:rPr>
                <w:sz w:val="24"/>
                <w:szCs w:val="24"/>
              </w:rPr>
            </w:pPr>
            <w:r w:rsidRPr="00095AEC">
              <w:rPr>
                <w:sz w:val="24"/>
                <w:szCs w:val="24"/>
              </w:rPr>
              <w:t>1.3. Діяльність суб'єктів господарювання зі зберігання енергії підлягає ліцензуванню, якщо сумарна встановлена потужність установок зберігання енергії складає 150 кВт і вище. Діяльність зі зберігання енергії провадиться без отримання ліцензії, якщо установка зберігання енергії використовується:</w:t>
            </w:r>
          </w:p>
          <w:p w14:paraId="591BDD8C" w14:textId="77777777" w:rsidR="00000B3E" w:rsidRPr="00095AEC" w:rsidRDefault="00000B3E" w:rsidP="00000B3E">
            <w:pPr>
              <w:jc w:val="both"/>
              <w:rPr>
                <w:sz w:val="24"/>
                <w:szCs w:val="24"/>
              </w:rPr>
            </w:pPr>
            <w:r w:rsidRPr="00095AEC">
              <w:rPr>
                <w:sz w:val="24"/>
                <w:szCs w:val="24"/>
              </w:rPr>
              <w:t>…</w:t>
            </w:r>
          </w:p>
          <w:p w14:paraId="6685FB1C" w14:textId="3796778E" w:rsidR="00000B3E" w:rsidRPr="00095AEC" w:rsidRDefault="00095AEC" w:rsidP="00000B3E">
            <w:pPr>
              <w:spacing w:after="0" w:line="240" w:lineRule="auto"/>
              <w:rPr>
                <w:b/>
                <w:sz w:val="24"/>
                <w:szCs w:val="24"/>
                <w:shd w:val="clear" w:color="auto" w:fill="FFFFFF"/>
              </w:rPr>
            </w:pPr>
            <w:r w:rsidRPr="00095AEC">
              <w:rPr>
                <w:b/>
                <w:sz w:val="24"/>
                <w:szCs w:val="24"/>
                <w:shd w:val="clear" w:color="auto" w:fill="FFFFFF"/>
              </w:rPr>
              <w:t>Положення відсутнє</w:t>
            </w:r>
          </w:p>
        </w:tc>
        <w:tc>
          <w:tcPr>
            <w:tcW w:w="5141" w:type="dxa"/>
          </w:tcPr>
          <w:p w14:paraId="63139986" w14:textId="77777777" w:rsidR="00095AEC" w:rsidRDefault="00095AEC" w:rsidP="00095AEC">
            <w:pPr>
              <w:pStyle w:val="rvps2"/>
              <w:shd w:val="clear" w:color="auto" w:fill="FFFFFF"/>
              <w:spacing w:before="0" w:beforeAutospacing="0" w:after="0" w:afterAutospacing="0"/>
              <w:ind w:firstLine="220"/>
              <w:jc w:val="both"/>
              <w:rPr>
                <w:b/>
                <w:lang w:val="uk-UA"/>
              </w:rPr>
            </w:pPr>
          </w:p>
          <w:p w14:paraId="56BC5AF4" w14:textId="2E288218" w:rsidR="00095AEC" w:rsidRPr="00095AEC" w:rsidRDefault="00095AEC" w:rsidP="00095AEC">
            <w:pPr>
              <w:pStyle w:val="rvps2"/>
              <w:shd w:val="clear" w:color="auto" w:fill="FFFFFF"/>
              <w:spacing w:before="0" w:beforeAutospacing="0" w:after="0" w:afterAutospacing="0"/>
              <w:ind w:firstLine="220"/>
              <w:jc w:val="both"/>
              <w:rPr>
                <w:b/>
                <w:lang w:val="uk-UA"/>
              </w:rPr>
            </w:pPr>
            <w:r w:rsidRPr="00095AEC">
              <w:rPr>
                <w:b/>
                <w:lang w:val="uk-UA"/>
              </w:rPr>
              <w:t>ГС «УВЕА»</w:t>
            </w:r>
          </w:p>
          <w:p w14:paraId="12FA2B3E" w14:textId="345DAD0E" w:rsidR="00095AEC" w:rsidRPr="00095AEC" w:rsidRDefault="00095AEC" w:rsidP="00095AEC">
            <w:pPr>
              <w:pStyle w:val="rvps2"/>
              <w:shd w:val="clear" w:color="auto" w:fill="FFFFFF"/>
              <w:spacing w:before="0" w:beforeAutospacing="0" w:after="0" w:afterAutospacing="0"/>
              <w:ind w:firstLine="220"/>
              <w:jc w:val="both"/>
              <w:rPr>
                <w:bCs/>
                <w:lang w:val="uk-UA"/>
              </w:rPr>
            </w:pPr>
            <w:r w:rsidRPr="00095AEC">
              <w:rPr>
                <w:b/>
                <w:i/>
                <w:u w:val="single"/>
                <w:lang w:val="uk-UA"/>
              </w:rPr>
              <w:t>Пропозиції</w:t>
            </w:r>
            <w:r w:rsidRPr="00095AEC">
              <w:rPr>
                <w:b/>
                <w:u w:val="single"/>
                <w:lang w:val="uk-UA"/>
              </w:rPr>
              <w:t>:</w:t>
            </w:r>
            <w:r w:rsidRPr="00095AEC">
              <w:rPr>
                <w:lang w:val="uk-UA"/>
              </w:rPr>
              <w:t xml:space="preserve"> доповнити пункт 1.3 новим реченням такого змісту</w:t>
            </w:r>
            <w:r w:rsidRPr="00095AEC">
              <w:rPr>
                <w:bCs/>
                <w:lang w:val="uk-UA"/>
              </w:rPr>
              <w:t>:</w:t>
            </w:r>
          </w:p>
          <w:p w14:paraId="0FDF65E8" w14:textId="77777777" w:rsidR="00095AEC" w:rsidRPr="00095AEC" w:rsidRDefault="00095AEC" w:rsidP="00095AEC">
            <w:pPr>
              <w:pStyle w:val="11"/>
              <w:spacing w:after="0" w:line="240" w:lineRule="auto"/>
              <w:ind w:firstLine="220"/>
              <w:jc w:val="both"/>
              <w:rPr>
                <w:rFonts w:ascii="Times New Roman" w:eastAsia="Times New Roman" w:hAnsi="Times New Roman" w:cs="Times New Roman"/>
                <w:b/>
                <w:bCs/>
                <w:sz w:val="24"/>
                <w:szCs w:val="24"/>
              </w:rPr>
            </w:pPr>
            <w:r w:rsidRPr="00095AEC">
              <w:rPr>
                <w:rFonts w:ascii="Times New Roman" w:eastAsia="Times New Roman" w:hAnsi="Times New Roman" w:cs="Times New Roman"/>
                <w:b/>
                <w:bCs/>
                <w:sz w:val="24"/>
                <w:szCs w:val="24"/>
              </w:rPr>
              <w:t>У разі, якщо установка зберігання енергії приєднана до технологічних електричних мереж електроустановки виробника, побудованої в кілька черг, кожна з яких має окремий комерційний облік, та яка приєднана до електричних мереж оператора системи розподілу та/або оператора системи передачі відповідно до одного договору про приєднання, для цілей визначення граничної потужності відпуску</w:t>
            </w:r>
            <w:r w:rsidRPr="00095AEC">
              <w:rPr>
                <w:rFonts w:ascii="Times New Roman" w:hAnsi="Times New Roman" w:cs="Times New Roman"/>
                <w:b/>
                <w:bCs/>
                <w:sz w:val="24"/>
                <w:szCs w:val="24"/>
              </w:rPr>
              <w:t xml:space="preserve"> </w:t>
            </w:r>
            <w:r w:rsidRPr="00095AEC">
              <w:rPr>
                <w:rFonts w:ascii="Times New Roman" w:eastAsia="Times New Roman" w:hAnsi="Times New Roman" w:cs="Times New Roman"/>
                <w:b/>
                <w:bCs/>
                <w:sz w:val="24"/>
                <w:szCs w:val="24"/>
              </w:rPr>
              <w:t>електричної енергії з мереж виробника до мереж оператора системи розподілу чи оператора системи передачі або відбору з мереж оператора системи розподілу чи оператора системи передачі до мереж виробника вважається, що така установка зберігання енергії приєднана в межах сумарної замовленої до приєднання потужності усіх черг.</w:t>
            </w:r>
          </w:p>
          <w:p w14:paraId="08551C66" w14:textId="26EED2BF" w:rsidR="00095AEC" w:rsidRDefault="00095AEC" w:rsidP="00095AEC">
            <w:pPr>
              <w:pStyle w:val="11"/>
              <w:spacing w:after="0" w:line="240" w:lineRule="auto"/>
              <w:ind w:firstLine="220"/>
              <w:jc w:val="both"/>
              <w:rPr>
                <w:rFonts w:ascii="Times New Roman" w:eastAsia="Times New Roman" w:hAnsi="Times New Roman" w:cs="Times New Roman"/>
                <w:b/>
                <w:bCs/>
                <w:sz w:val="24"/>
                <w:szCs w:val="24"/>
              </w:rPr>
            </w:pPr>
            <w:r w:rsidRPr="00095AEC">
              <w:rPr>
                <w:rFonts w:ascii="Times New Roman" w:eastAsia="Times New Roman" w:hAnsi="Times New Roman" w:cs="Times New Roman"/>
                <w:b/>
                <w:bCs/>
                <w:sz w:val="24"/>
                <w:szCs w:val="24"/>
              </w:rPr>
              <w:t xml:space="preserve">При цьому у будь-який момент часу сумарна потужність, з якою здійснюється відпуск електричної енергії до мереж оператора системи розподілу чи оператора </w:t>
            </w:r>
            <w:r w:rsidRPr="00095AEC">
              <w:rPr>
                <w:rFonts w:ascii="Times New Roman" w:eastAsia="Times New Roman" w:hAnsi="Times New Roman" w:cs="Times New Roman"/>
                <w:b/>
                <w:bCs/>
                <w:sz w:val="24"/>
                <w:szCs w:val="24"/>
              </w:rPr>
              <w:lastRenderedPageBreak/>
              <w:t xml:space="preserve">системи передачі або відбір з мереж оператора системи розподілу чи оператора системи передачі до мереж виробника, не повинна перевищувати дозволену (договірну) потужність виробництва та споживання електричної енергії в місці провадження ліцензованої діяльності такого виробника згідно з договором про приєднання, незалежно від того, до якої саме черги фізично приєднана установка зберігання енергії, у тому числі якщо потужність такої черги є меншою за сумарну замовлену потужність цієї електроустановки. </w:t>
            </w:r>
          </w:p>
          <w:p w14:paraId="3317ABD9" w14:textId="77777777" w:rsidR="00095AEC" w:rsidRPr="00095AEC" w:rsidRDefault="00095AEC" w:rsidP="00095AEC">
            <w:pPr>
              <w:pStyle w:val="11"/>
              <w:spacing w:after="0" w:line="240" w:lineRule="auto"/>
              <w:ind w:firstLine="220"/>
              <w:jc w:val="both"/>
              <w:rPr>
                <w:rFonts w:ascii="Times New Roman" w:eastAsia="Times New Roman" w:hAnsi="Times New Roman" w:cs="Times New Roman"/>
                <w:b/>
                <w:bCs/>
                <w:sz w:val="24"/>
                <w:szCs w:val="24"/>
              </w:rPr>
            </w:pPr>
          </w:p>
          <w:p w14:paraId="6A14090B" w14:textId="3A58CA78" w:rsidR="00095AEC" w:rsidRPr="00095AEC" w:rsidRDefault="00095AEC" w:rsidP="00095AEC">
            <w:pPr>
              <w:pStyle w:val="11"/>
              <w:ind w:firstLine="220"/>
              <w:jc w:val="both"/>
              <w:rPr>
                <w:rFonts w:ascii="Times New Roman" w:eastAsia="Times New Roman" w:hAnsi="Times New Roman" w:cs="Times New Roman"/>
                <w:b/>
                <w:bCs/>
                <w:sz w:val="24"/>
                <w:szCs w:val="24"/>
              </w:rPr>
            </w:pPr>
            <w:r w:rsidRPr="00095AEC">
              <w:rPr>
                <w:rFonts w:ascii="Times New Roman" w:hAnsi="Times New Roman" w:cs="Times New Roman"/>
                <w:bCs/>
                <w:i/>
                <w:sz w:val="24"/>
                <w:szCs w:val="24"/>
                <w:u w:val="single"/>
                <w:shd w:val="clear" w:color="auto" w:fill="FFFFFF"/>
              </w:rPr>
              <w:t>Обґрунтування</w:t>
            </w:r>
            <w:r w:rsidRPr="00095AEC">
              <w:rPr>
                <w:rFonts w:ascii="Times New Roman" w:hAnsi="Times New Roman" w:cs="Times New Roman"/>
                <w:bCs/>
                <w:sz w:val="24"/>
                <w:szCs w:val="24"/>
                <w:shd w:val="clear" w:color="auto" w:fill="FFFFFF"/>
              </w:rPr>
              <w:t xml:space="preserve">: необхідно </w:t>
            </w:r>
            <w:r w:rsidRPr="00095AEC">
              <w:rPr>
                <w:rFonts w:ascii="Times New Roman" w:hAnsi="Times New Roman" w:cs="Times New Roman"/>
                <w:sz w:val="24"/>
                <w:szCs w:val="24"/>
              </w:rPr>
              <w:t>усунути будь-яку невизначеність або різне тлумачення, що можуть виникнути у випадках, коли електроустановка виробника побудована в кілька черг, кожна з яких має окремий комерційний облік, проте всі черги приєднані до мереж ОСР та/або ОСП на підставі одного договору про приєднання, а УЗЕ приєднується до однієї з таких черг, потужність якої, зокрема, може бути меншою за потужність інших черг</w:t>
            </w:r>
          </w:p>
          <w:p w14:paraId="08C4B6CD" w14:textId="294D270A" w:rsidR="00095AEC" w:rsidRPr="00095AEC" w:rsidRDefault="00095AEC" w:rsidP="00095AEC">
            <w:pPr>
              <w:pStyle w:val="rvps2"/>
              <w:shd w:val="clear" w:color="auto" w:fill="FFFFFF"/>
              <w:spacing w:before="0" w:beforeAutospacing="0" w:after="0" w:afterAutospacing="0"/>
              <w:ind w:firstLine="220"/>
              <w:jc w:val="both"/>
              <w:rPr>
                <w:lang w:val="uk-UA"/>
              </w:rPr>
            </w:pPr>
          </w:p>
          <w:p w14:paraId="3CFF402E" w14:textId="77777777" w:rsidR="00000B3E" w:rsidRPr="00095AEC" w:rsidRDefault="00000B3E" w:rsidP="00095AEC">
            <w:pPr>
              <w:spacing w:after="0" w:line="240" w:lineRule="auto"/>
              <w:ind w:firstLine="220"/>
              <w:rPr>
                <w:b/>
                <w:sz w:val="24"/>
                <w:szCs w:val="24"/>
                <w:shd w:val="clear" w:color="auto" w:fill="FFFFFF"/>
              </w:rPr>
            </w:pPr>
          </w:p>
        </w:tc>
        <w:tc>
          <w:tcPr>
            <w:tcW w:w="4910" w:type="dxa"/>
          </w:tcPr>
          <w:p w14:paraId="10613FF1" w14:textId="77777777" w:rsidR="00000B3E" w:rsidRDefault="00000B3E" w:rsidP="007834BC">
            <w:pPr>
              <w:spacing w:after="0" w:line="240" w:lineRule="auto"/>
              <w:rPr>
                <w:b/>
                <w:sz w:val="24"/>
                <w:szCs w:val="24"/>
                <w:shd w:val="clear" w:color="auto" w:fill="FFFFFF"/>
              </w:rPr>
            </w:pPr>
          </w:p>
          <w:p w14:paraId="6F348C48" w14:textId="11E09BB6" w:rsidR="00D24100" w:rsidRDefault="00D24100" w:rsidP="00D24100">
            <w:pPr>
              <w:spacing w:after="0" w:line="240" w:lineRule="auto"/>
              <w:jc w:val="both"/>
              <w:rPr>
                <w:b/>
                <w:sz w:val="24"/>
                <w:szCs w:val="24"/>
                <w:shd w:val="clear" w:color="auto" w:fill="FFFFFF"/>
              </w:rPr>
            </w:pPr>
            <w:r>
              <w:rPr>
                <w:b/>
                <w:sz w:val="24"/>
                <w:szCs w:val="24"/>
                <w:shd w:val="clear" w:color="auto" w:fill="FFFFFF"/>
              </w:rPr>
              <w:t xml:space="preserve">Не </w:t>
            </w:r>
            <w:r w:rsidR="00134491">
              <w:rPr>
                <w:b/>
                <w:sz w:val="24"/>
                <w:szCs w:val="24"/>
                <w:shd w:val="clear" w:color="auto" w:fill="FFFFFF"/>
                <w:lang w:val="ru-RU"/>
              </w:rPr>
              <w:t>враховано</w:t>
            </w:r>
            <w:bookmarkStart w:id="0" w:name="_GoBack"/>
            <w:bookmarkEnd w:id="0"/>
            <w:r>
              <w:rPr>
                <w:b/>
                <w:sz w:val="24"/>
                <w:szCs w:val="24"/>
                <w:shd w:val="clear" w:color="auto" w:fill="FFFFFF"/>
              </w:rPr>
              <w:t>.</w:t>
            </w:r>
          </w:p>
          <w:p w14:paraId="537850B0" w14:textId="188631E3" w:rsidR="00D24100" w:rsidRPr="00D24100" w:rsidRDefault="00D24100" w:rsidP="00D24100">
            <w:pPr>
              <w:spacing w:after="0" w:line="240" w:lineRule="auto"/>
              <w:jc w:val="both"/>
              <w:rPr>
                <w:bCs/>
                <w:sz w:val="24"/>
                <w:szCs w:val="24"/>
                <w:shd w:val="clear" w:color="auto" w:fill="FFFFFF"/>
              </w:rPr>
            </w:pPr>
            <w:r w:rsidRPr="00D24100">
              <w:rPr>
                <w:bCs/>
                <w:sz w:val="24"/>
                <w:szCs w:val="24"/>
                <w:shd w:val="clear" w:color="auto" w:fill="FFFFFF"/>
              </w:rPr>
              <w:t>Пунктом 1.1 Ліцензійних умов зі зберігання енергії визначено, що 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зі зберігання енергії (далі - ліцензована діяльність), а також визначають вичерпний перелік вимог, обов’язкових для виконання під час провадження ліцензованої діяльності.</w:t>
            </w:r>
          </w:p>
          <w:p w14:paraId="274E0AD7" w14:textId="2429D234" w:rsidR="007834BC" w:rsidRPr="00095AEC" w:rsidRDefault="00D24100" w:rsidP="00D24100">
            <w:pPr>
              <w:spacing w:after="0" w:line="240" w:lineRule="auto"/>
              <w:jc w:val="both"/>
              <w:rPr>
                <w:b/>
                <w:sz w:val="24"/>
                <w:szCs w:val="24"/>
                <w:shd w:val="clear" w:color="auto" w:fill="FFFFFF"/>
              </w:rPr>
            </w:pPr>
            <w:r w:rsidRPr="00D24100">
              <w:rPr>
                <w:bCs/>
                <w:sz w:val="24"/>
                <w:szCs w:val="24"/>
                <w:shd w:val="clear" w:color="auto" w:fill="FFFFFF"/>
              </w:rPr>
              <w:t xml:space="preserve">Враховуючи зазначене, </w:t>
            </w:r>
            <w:r>
              <w:rPr>
                <w:bCs/>
                <w:sz w:val="24"/>
                <w:szCs w:val="24"/>
                <w:shd w:val="clear" w:color="auto" w:fill="FFFFFF"/>
              </w:rPr>
              <w:t xml:space="preserve">зазначені </w:t>
            </w:r>
            <w:r w:rsidRPr="00D24100">
              <w:rPr>
                <w:bCs/>
                <w:sz w:val="24"/>
                <w:szCs w:val="24"/>
                <w:shd w:val="clear" w:color="auto" w:fill="FFFFFF"/>
              </w:rPr>
              <w:t xml:space="preserve">пропозиції  </w:t>
            </w:r>
            <w:r>
              <w:rPr>
                <w:bCs/>
                <w:sz w:val="24"/>
                <w:szCs w:val="24"/>
                <w:shd w:val="clear" w:color="auto" w:fill="FFFFFF"/>
              </w:rPr>
              <w:t>мають</w:t>
            </w:r>
            <w:r w:rsidRPr="00D24100">
              <w:rPr>
                <w:bCs/>
                <w:sz w:val="24"/>
                <w:szCs w:val="24"/>
                <w:shd w:val="clear" w:color="auto" w:fill="FFFFFF"/>
              </w:rPr>
              <w:t xml:space="preserve"> </w:t>
            </w:r>
            <w:r>
              <w:rPr>
                <w:bCs/>
                <w:sz w:val="24"/>
                <w:szCs w:val="24"/>
                <w:shd w:val="clear" w:color="auto" w:fill="FFFFFF"/>
              </w:rPr>
              <w:t>в</w:t>
            </w:r>
            <w:r w:rsidRPr="00D24100">
              <w:rPr>
                <w:bCs/>
                <w:sz w:val="24"/>
                <w:szCs w:val="24"/>
                <w:shd w:val="clear" w:color="auto" w:fill="FFFFFF"/>
              </w:rPr>
              <w:t xml:space="preserve">регулюватись </w:t>
            </w:r>
            <w:r>
              <w:rPr>
                <w:bCs/>
                <w:sz w:val="24"/>
                <w:szCs w:val="24"/>
                <w:shd w:val="clear" w:color="auto" w:fill="FFFFFF"/>
              </w:rPr>
              <w:t>інших нормативно-правовим документом.</w:t>
            </w:r>
          </w:p>
        </w:tc>
      </w:tr>
      <w:tr w:rsidR="0088383A" w:rsidRPr="00095AEC" w14:paraId="27F525AA" w14:textId="77777777" w:rsidTr="008768E0">
        <w:tc>
          <w:tcPr>
            <w:tcW w:w="5202" w:type="dxa"/>
          </w:tcPr>
          <w:p w14:paraId="6D7A4099" w14:textId="77777777" w:rsidR="0088383A" w:rsidRPr="00095AEC" w:rsidRDefault="0088383A" w:rsidP="008768E0">
            <w:pPr>
              <w:spacing w:after="0"/>
              <w:jc w:val="both"/>
              <w:rPr>
                <w:bCs/>
                <w:sz w:val="24"/>
                <w:szCs w:val="24"/>
              </w:rPr>
            </w:pPr>
          </w:p>
          <w:p w14:paraId="100F12A4" w14:textId="2DA410D5" w:rsidR="00C36A72" w:rsidRPr="00095AEC" w:rsidRDefault="00E408FE" w:rsidP="00C36A72">
            <w:pPr>
              <w:pStyle w:val="a6"/>
              <w:tabs>
                <w:tab w:val="left" w:pos="709"/>
              </w:tabs>
              <w:spacing w:before="0" w:beforeAutospacing="0" w:after="0" w:afterAutospacing="0"/>
              <w:jc w:val="both"/>
              <w:rPr>
                <w:bCs/>
              </w:rPr>
            </w:pPr>
            <w:r w:rsidRPr="00095AEC">
              <w:rPr>
                <w:bCs/>
                <w:shd w:val="clear" w:color="auto" w:fill="FFFFFF"/>
              </w:rPr>
              <w:t xml:space="preserve">    </w:t>
            </w:r>
            <w:r w:rsidR="00C36A72" w:rsidRPr="00095AEC">
              <w:t xml:space="preserve">Підпункт 6 пункту 1.7 </w:t>
            </w:r>
            <w:r w:rsidR="00C36A72" w:rsidRPr="00095AEC">
              <w:rPr>
                <w:bCs/>
              </w:rPr>
              <w:t>викласти в такій редакції:</w:t>
            </w:r>
          </w:p>
          <w:p w14:paraId="2D4AE79C" w14:textId="77777777" w:rsidR="00C36A72" w:rsidRPr="00095AEC" w:rsidRDefault="00C36A72" w:rsidP="00C36A72">
            <w:pPr>
              <w:pStyle w:val="a6"/>
              <w:tabs>
                <w:tab w:val="left" w:pos="306"/>
              </w:tabs>
              <w:spacing w:before="0" w:beforeAutospacing="0" w:after="0" w:afterAutospacing="0"/>
              <w:jc w:val="both"/>
              <w:rPr>
                <w:bCs/>
              </w:rPr>
            </w:pPr>
            <w:r w:rsidRPr="00095AEC">
              <w:rPr>
                <w:bCs/>
              </w:rPr>
              <w:tab/>
              <w:t xml:space="preserve">«6) </w:t>
            </w:r>
            <w:r w:rsidRPr="00095AEC">
              <w:t xml:space="preserve">засвідчена керівником або уповноваженою особою здобувача ліцензії копія документа, що підтверджує готовність установки зберігання енергії до експлуатації, </w:t>
            </w:r>
            <w:r w:rsidRPr="00095AEC">
              <w:lastRenderedPageBreak/>
              <w:t xml:space="preserve">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 </w:t>
            </w:r>
            <w:r w:rsidRPr="00095AEC">
              <w:rPr>
                <w:bCs/>
              </w:rPr>
              <w:t>(для об’єктів будівництва або нерухомого майна),</w:t>
            </w:r>
            <w:r w:rsidRPr="00095AEC">
              <w:t xml:space="preserve"> або копія іншого документа, що підтверджує готовність установки зберігання енергії до експлуатації, зокрема документа, що підтверджує проведення комплексних випробувань установки зберігання енергії в обсягах, передбачених галузевими нормативними документами, наказу про введення установки зберігання енергії в експлуатацію </w:t>
            </w:r>
            <w:r w:rsidRPr="00095AEC">
              <w:rPr>
                <w:bCs/>
              </w:rPr>
              <w:t>(для установок зберігання енергії,</w:t>
            </w:r>
            <w:r w:rsidRPr="00095AEC">
              <w:t xml:space="preserve"> </w:t>
            </w:r>
            <w:r w:rsidRPr="00095AEC">
              <w:rPr>
                <w:bCs/>
              </w:rPr>
              <w:t>які можуть бути переміщені без їх знецінення, заподіяння їм шкоди та зміни їх призначення)</w:t>
            </w:r>
            <w:r w:rsidRPr="00095AEC">
              <w:t>;».</w:t>
            </w:r>
          </w:p>
          <w:p w14:paraId="759A2A3F" w14:textId="2CC594A5" w:rsidR="0088383A" w:rsidRPr="00095AEC" w:rsidRDefault="0088383A" w:rsidP="00C36A72">
            <w:pPr>
              <w:shd w:val="clear" w:color="auto" w:fill="FFFFFF"/>
              <w:tabs>
                <w:tab w:val="left" w:pos="709"/>
                <w:tab w:val="left" w:pos="993"/>
              </w:tabs>
              <w:spacing w:after="0" w:line="240" w:lineRule="auto"/>
              <w:jc w:val="both"/>
              <w:rPr>
                <w:sz w:val="24"/>
                <w:szCs w:val="24"/>
              </w:rPr>
            </w:pPr>
          </w:p>
        </w:tc>
        <w:tc>
          <w:tcPr>
            <w:tcW w:w="5141" w:type="dxa"/>
          </w:tcPr>
          <w:p w14:paraId="2676A373" w14:textId="77777777" w:rsidR="00E408FE" w:rsidRPr="00095AEC" w:rsidRDefault="00E408FE" w:rsidP="008768E0">
            <w:pPr>
              <w:shd w:val="clear" w:color="auto" w:fill="FFFFFF"/>
              <w:tabs>
                <w:tab w:val="left" w:pos="0"/>
                <w:tab w:val="left" w:pos="993"/>
              </w:tabs>
              <w:spacing w:after="0"/>
              <w:jc w:val="both"/>
              <w:rPr>
                <w:b/>
                <w:bCs/>
                <w:sz w:val="24"/>
                <w:szCs w:val="24"/>
                <w:u w:val="single"/>
                <w:shd w:val="clear" w:color="auto" w:fill="FFFFFF"/>
              </w:rPr>
            </w:pPr>
          </w:p>
          <w:p w14:paraId="0C429AD5" w14:textId="15EC0173" w:rsidR="00E408FE" w:rsidRPr="00095AEC" w:rsidRDefault="00C36A72" w:rsidP="00C36A72">
            <w:pPr>
              <w:pStyle w:val="rvps2"/>
              <w:shd w:val="clear" w:color="auto" w:fill="FFFFFF"/>
              <w:spacing w:before="0" w:beforeAutospacing="0" w:after="0" w:afterAutospacing="0"/>
              <w:ind w:firstLine="220"/>
              <w:jc w:val="both"/>
              <w:rPr>
                <w:b/>
                <w:lang w:val="uk-UA"/>
              </w:rPr>
            </w:pPr>
            <w:r w:rsidRPr="00095AEC">
              <w:rPr>
                <w:b/>
                <w:lang w:val="uk-UA"/>
              </w:rPr>
              <w:t>ГС «УВЕА»</w:t>
            </w:r>
          </w:p>
          <w:p w14:paraId="03B5067D" w14:textId="4711CAB8" w:rsidR="00C36A72" w:rsidRPr="00095AEC" w:rsidRDefault="00C36A72" w:rsidP="00C36A72">
            <w:pPr>
              <w:pStyle w:val="rvps2"/>
              <w:shd w:val="clear" w:color="auto" w:fill="FFFFFF"/>
              <w:spacing w:before="0" w:beforeAutospacing="0" w:after="0" w:afterAutospacing="0"/>
              <w:ind w:firstLine="220"/>
              <w:jc w:val="both"/>
              <w:rPr>
                <w:lang w:val="uk-UA"/>
              </w:rPr>
            </w:pPr>
            <w:r w:rsidRPr="00095AEC">
              <w:rPr>
                <w:b/>
                <w:i/>
                <w:u w:val="single"/>
                <w:lang w:val="uk-UA"/>
              </w:rPr>
              <w:t>Пропозиції</w:t>
            </w:r>
            <w:r w:rsidRPr="00095AEC">
              <w:rPr>
                <w:b/>
                <w:u w:val="single"/>
                <w:lang w:val="uk-UA"/>
              </w:rPr>
              <w:t>:</w:t>
            </w:r>
            <w:r w:rsidRPr="00095AEC">
              <w:rPr>
                <w:lang w:val="uk-UA"/>
              </w:rPr>
              <w:t xml:space="preserve"> підпункт 6 пункту 1.7 </w:t>
            </w:r>
            <w:r w:rsidRPr="00095AEC">
              <w:rPr>
                <w:bCs/>
                <w:lang w:val="uk-UA"/>
              </w:rPr>
              <w:t>викласти в такій редакції:</w:t>
            </w:r>
          </w:p>
          <w:p w14:paraId="49F17F5A" w14:textId="77777777" w:rsidR="00C36A72" w:rsidRPr="00095AEC" w:rsidRDefault="00C36A72" w:rsidP="00C36A72">
            <w:pPr>
              <w:spacing w:after="0" w:line="240" w:lineRule="auto"/>
              <w:ind w:firstLine="220"/>
              <w:jc w:val="both"/>
              <w:rPr>
                <w:b/>
                <w:sz w:val="24"/>
                <w:szCs w:val="24"/>
              </w:rPr>
            </w:pPr>
            <w:r w:rsidRPr="00095AEC">
              <w:rPr>
                <w:b/>
                <w:sz w:val="24"/>
                <w:szCs w:val="24"/>
              </w:rPr>
              <w:t xml:space="preserve">6) засвідчена керівником або уповноваженою особою здобувача ліцензії копія документа, що підтверджує готовність </w:t>
            </w:r>
            <w:r w:rsidRPr="00095AEC">
              <w:rPr>
                <w:b/>
                <w:sz w:val="24"/>
                <w:szCs w:val="24"/>
              </w:rPr>
              <w:lastRenderedPageBreak/>
              <w:t xml:space="preserve">установки зберігання енергії до експлуатації,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 </w:t>
            </w:r>
          </w:p>
          <w:p w14:paraId="50AF732A" w14:textId="77777777" w:rsidR="00C36A72" w:rsidRPr="00095AEC" w:rsidRDefault="00C36A72" w:rsidP="00C36A72">
            <w:pPr>
              <w:spacing w:after="0" w:line="240" w:lineRule="auto"/>
              <w:ind w:firstLine="220"/>
              <w:jc w:val="both"/>
              <w:rPr>
                <w:b/>
                <w:bCs/>
                <w:sz w:val="24"/>
                <w:szCs w:val="24"/>
              </w:rPr>
            </w:pPr>
            <w:r w:rsidRPr="00095AEC">
              <w:rPr>
                <w:b/>
                <w:bCs/>
                <w:sz w:val="24"/>
                <w:szCs w:val="24"/>
              </w:rPr>
              <w:t>1) для об'єктів будівництва або нерухомого майна - документа,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w:t>
            </w:r>
          </w:p>
          <w:p w14:paraId="75E204E5" w14:textId="77777777" w:rsidR="00C36A72" w:rsidRPr="00095AEC" w:rsidRDefault="00C36A72" w:rsidP="00C36A72">
            <w:pPr>
              <w:spacing w:after="0" w:line="240" w:lineRule="auto"/>
              <w:ind w:firstLine="220"/>
              <w:jc w:val="both"/>
              <w:rPr>
                <w:b/>
                <w:bCs/>
                <w:sz w:val="24"/>
                <w:szCs w:val="24"/>
              </w:rPr>
            </w:pPr>
            <w:r w:rsidRPr="00095AEC">
              <w:rPr>
                <w:b/>
                <w:bCs/>
                <w:sz w:val="24"/>
                <w:szCs w:val="24"/>
              </w:rPr>
              <w:t>2) для установок зберігання енергії, які можуть бути переміщені без їх знецінення, заподіяння їм шкоди та зміни їх призначення (є рухомим майном) - у встановлених законом випадках копію іншого документа, що підтверджує готовність установки зберігання енергії до експлуатації, зокрема:</w:t>
            </w:r>
          </w:p>
          <w:p w14:paraId="0F9E7A4B" w14:textId="77777777" w:rsidR="00C36A72" w:rsidRPr="00095AEC" w:rsidRDefault="00C36A72" w:rsidP="00C36A72">
            <w:pPr>
              <w:spacing w:after="0" w:line="240" w:lineRule="auto"/>
              <w:ind w:firstLine="220"/>
              <w:jc w:val="both"/>
              <w:rPr>
                <w:b/>
                <w:bCs/>
                <w:sz w:val="24"/>
                <w:szCs w:val="24"/>
              </w:rPr>
            </w:pPr>
            <w:r w:rsidRPr="00095AEC">
              <w:rPr>
                <w:b/>
                <w:bCs/>
                <w:sz w:val="24"/>
                <w:szCs w:val="24"/>
              </w:rPr>
              <w:t xml:space="preserve">- акту про проведення комплексних випробувань, складеного представниками здобувача ліцензії, підрядної організації, яка здійснювала монтаж та/або </w:t>
            </w:r>
            <w:proofErr w:type="spellStart"/>
            <w:r w:rsidRPr="00095AEC">
              <w:rPr>
                <w:b/>
                <w:bCs/>
                <w:sz w:val="24"/>
                <w:szCs w:val="24"/>
              </w:rPr>
              <w:t>пуско</w:t>
            </w:r>
            <w:proofErr w:type="spellEnd"/>
            <w:r w:rsidRPr="00095AEC">
              <w:rPr>
                <w:b/>
                <w:bCs/>
                <w:sz w:val="24"/>
                <w:szCs w:val="24"/>
              </w:rPr>
              <w:t>-налагоджувальні роботи установки зберігання енергії, а також, у разі залучення, представником оператора системи розподілу або оператора системи передачі, який містить:</w:t>
            </w:r>
          </w:p>
          <w:p w14:paraId="708BC168" w14:textId="77777777" w:rsidR="00C36A72" w:rsidRPr="00095AEC" w:rsidRDefault="00C36A72" w:rsidP="00C36A72">
            <w:pPr>
              <w:spacing w:after="0" w:line="240" w:lineRule="auto"/>
              <w:ind w:firstLine="220"/>
              <w:jc w:val="both"/>
              <w:rPr>
                <w:b/>
                <w:bCs/>
                <w:sz w:val="24"/>
                <w:szCs w:val="24"/>
              </w:rPr>
            </w:pPr>
            <w:r w:rsidRPr="00095AEC">
              <w:rPr>
                <w:b/>
                <w:bCs/>
                <w:sz w:val="24"/>
                <w:szCs w:val="24"/>
              </w:rPr>
              <w:t>– ідентифікацію установки зберігання енергії (тип, модель, серійний номер);</w:t>
            </w:r>
          </w:p>
          <w:p w14:paraId="7F2A3B61" w14:textId="77777777" w:rsidR="00C36A72" w:rsidRPr="00095AEC" w:rsidRDefault="00C36A72" w:rsidP="00C36A72">
            <w:pPr>
              <w:spacing w:after="0" w:line="240" w:lineRule="auto"/>
              <w:ind w:firstLine="220"/>
              <w:jc w:val="both"/>
              <w:rPr>
                <w:b/>
                <w:bCs/>
                <w:sz w:val="24"/>
                <w:szCs w:val="24"/>
              </w:rPr>
            </w:pPr>
            <w:r w:rsidRPr="00095AEC">
              <w:rPr>
                <w:b/>
                <w:bCs/>
                <w:sz w:val="24"/>
                <w:szCs w:val="24"/>
              </w:rPr>
              <w:t>– перелік перевірених функціональних систем;</w:t>
            </w:r>
          </w:p>
          <w:p w14:paraId="43AE7F0F" w14:textId="77777777" w:rsidR="00C36A72" w:rsidRPr="00095AEC" w:rsidRDefault="00C36A72" w:rsidP="00C36A72">
            <w:pPr>
              <w:spacing w:after="0" w:line="240" w:lineRule="auto"/>
              <w:ind w:firstLine="220"/>
              <w:jc w:val="both"/>
              <w:rPr>
                <w:b/>
                <w:bCs/>
                <w:sz w:val="24"/>
                <w:szCs w:val="24"/>
              </w:rPr>
            </w:pPr>
            <w:r w:rsidRPr="00095AEC">
              <w:rPr>
                <w:b/>
                <w:bCs/>
                <w:sz w:val="24"/>
                <w:szCs w:val="24"/>
              </w:rPr>
              <w:t>- результати випробувань, проведених відповідно до технічної документації виробника та умов приєднання;</w:t>
            </w:r>
          </w:p>
          <w:p w14:paraId="4DC64ED2" w14:textId="1494CE10" w:rsidR="00C36A72" w:rsidRPr="00095AEC" w:rsidRDefault="00C36A72" w:rsidP="00C36A72">
            <w:pPr>
              <w:spacing w:after="0" w:line="240" w:lineRule="auto"/>
              <w:ind w:firstLine="220"/>
              <w:jc w:val="both"/>
              <w:rPr>
                <w:b/>
                <w:bCs/>
                <w:sz w:val="24"/>
                <w:szCs w:val="24"/>
              </w:rPr>
            </w:pPr>
            <w:r w:rsidRPr="00095AEC">
              <w:rPr>
                <w:b/>
                <w:bCs/>
                <w:sz w:val="24"/>
                <w:szCs w:val="24"/>
              </w:rPr>
              <w:lastRenderedPageBreak/>
              <w:t>- висновок про технічну готовність установки зберігання енергії до експлуатації,</w:t>
            </w:r>
          </w:p>
          <w:p w14:paraId="25D160EB" w14:textId="64BFB558" w:rsidR="00C36A72" w:rsidRPr="00095AEC" w:rsidRDefault="00C36A72" w:rsidP="00C36A72">
            <w:pPr>
              <w:pStyle w:val="rvps2"/>
              <w:shd w:val="clear" w:color="auto" w:fill="FFFFFF"/>
              <w:spacing w:before="0" w:beforeAutospacing="0" w:after="0" w:afterAutospacing="0"/>
              <w:ind w:firstLine="220"/>
              <w:jc w:val="both"/>
              <w:rPr>
                <w:b/>
                <w:bCs/>
                <w:i/>
                <w:shd w:val="clear" w:color="auto" w:fill="FFFFFF"/>
                <w:lang w:val="uk-UA"/>
              </w:rPr>
            </w:pPr>
            <w:r w:rsidRPr="00095AEC">
              <w:rPr>
                <w:b/>
                <w:bCs/>
                <w:lang w:val="uk-UA"/>
              </w:rPr>
              <w:t xml:space="preserve">- наказу про введення установки зберігання енергії в експлуатацію, виданого здобувачем ліцензії. </w:t>
            </w:r>
          </w:p>
          <w:p w14:paraId="00C613C8" w14:textId="77777777" w:rsidR="00C36A72" w:rsidRPr="00095AEC" w:rsidRDefault="00C36A72" w:rsidP="0088383A">
            <w:pPr>
              <w:pStyle w:val="rvps2"/>
              <w:shd w:val="clear" w:color="auto" w:fill="FFFFFF"/>
              <w:spacing w:before="0" w:beforeAutospacing="0" w:after="0" w:afterAutospacing="0"/>
              <w:ind w:firstLine="220"/>
              <w:jc w:val="both"/>
              <w:rPr>
                <w:bCs/>
                <w:i/>
                <w:u w:val="single"/>
                <w:shd w:val="clear" w:color="auto" w:fill="FFFFFF"/>
                <w:lang w:val="uk-UA"/>
              </w:rPr>
            </w:pPr>
          </w:p>
          <w:p w14:paraId="0E109971" w14:textId="7C3BFB6F" w:rsidR="00737FDF" w:rsidRPr="00134491" w:rsidRDefault="0088383A" w:rsidP="00D24100">
            <w:pPr>
              <w:pStyle w:val="rvps2"/>
              <w:shd w:val="clear" w:color="auto" w:fill="FFFFFF"/>
              <w:spacing w:before="0" w:beforeAutospacing="0" w:after="0" w:afterAutospacing="0"/>
              <w:ind w:firstLine="220"/>
              <w:jc w:val="both"/>
              <w:rPr>
                <w:color w:val="333333"/>
                <w:lang w:val="uk-UA" w:eastAsia="uk-UA"/>
              </w:rPr>
            </w:pPr>
            <w:r w:rsidRPr="00095AEC">
              <w:rPr>
                <w:bCs/>
                <w:i/>
                <w:u w:val="single"/>
                <w:shd w:val="clear" w:color="auto" w:fill="FFFFFF"/>
                <w:lang w:val="uk-UA"/>
              </w:rPr>
              <w:t>Обґрунтування</w:t>
            </w:r>
            <w:r w:rsidRPr="00095AEC">
              <w:rPr>
                <w:bCs/>
                <w:shd w:val="clear" w:color="auto" w:fill="FFFFFF"/>
                <w:lang w:val="uk-UA"/>
              </w:rPr>
              <w:t xml:space="preserve">: </w:t>
            </w:r>
            <w:bookmarkStart w:id="1" w:name="n276"/>
            <w:bookmarkEnd w:id="1"/>
            <w:r w:rsidR="00000B3E" w:rsidRPr="00095AEC">
              <w:rPr>
                <w:bCs/>
                <w:shd w:val="clear" w:color="auto" w:fill="FFFFFF"/>
                <w:lang w:val="uk-UA"/>
              </w:rPr>
              <w:t xml:space="preserve">необхідно </w:t>
            </w:r>
            <w:r w:rsidR="00C36A72" w:rsidRPr="00095AEC">
              <w:rPr>
                <w:lang w:val="uk-UA"/>
              </w:rPr>
              <w:t>усунути будь-яку невизначеність або різне тлумачення, що можуть виникнути у випадках, коли електроустановка виробника побудована в кілька черг, кожна з яких має окремий комерційний облік, проте всі черги приєднані до мереж ОСР та/або ОСП на підставі одного договору про приєднання, а УЗЕ приєднується до однієї з таких черг, потужність якої, зокрема, може бути меншою за потужність інших черг</w:t>
            </w:r>
          </w:p>
        </w:tc>
        <w:tc>
          <w:tcPr>
            <w:tcW w:w="4910" w:type="dxa"/>
          </w:tcPr>
          <w:p w14:paraId="2DDB4DB5" w14:textId="77777777" w:rsidR="00E408FE" w:rsidRDefault="00E408FE" w:rsidP="008768E0">
            <w:pPr>
              <w:shd w:val="clear" w:color="auto" w:fill="FFFFFF"/>
              <w:tabs>
                <w:tab w:val="left" w:pos="993"/>
              </w:tabs>
              <w:jc w:val="both"/>
              <w:rPr>
                <w:b/>
                <w:bCs/>
                <w:sz w:val="24"/>
                <w:szCs w:val="24"/>
                <w:shd w:val="clear" w:color="auto" w:fill="FFFFFF"/>
              </w:rPr>
            </w:pPr>
          </w:p>
          <w:p w14:paraId="0E5D6693" w14:textId="28786122" w:rsidR="00C7683F" w:rsidRPr="00940441" w:rsidRDefault="00940441" w:rsidP="00C7683F">
            <w:pPr>
              <w:pStyle w:val="rvps2"/>
              <w:shd w:val="clear" w:color="auto" w:fill="FFFFFF"/>
              <w:spacing w:before="0" w:beforeAutospacing="0" w:after="0" w:afterAutospacing="0"/>
              <w:ind w:firstLine="220"/>
              <w:jc w:val="both"/>
              <w:rPr>
                <w:b/>
                <w:bCs/>
                <w:lang w:val="uk-UA"/>
              </w:rPr>
            </w:pPr>
            <w:r w:rsidRPr="00940441">
              <w:rPr>
                <w:b/>
                <w:bCs/>
                <w:lang w:val="uk-UA"/>
              </w:rPr>
              <w:t>П</w:t>
            </w:r>
            <w:r w:rsidR="00C7683F" w:rsidRPr="00940441">
              <w:rPr>
                <w:b/>
                <w:bCs/>
                <w:lang w:val="uk-UA"/>
              </w:rPr>
              <w:t>ропонується підпункт 6 пункту 1.7 викласти в такій редакції:</w:t>
            </w:r>
          </w:p>
          <w:p w14:paraId="3034D910" w14:textId="32294FB6" w:rsidR="00C7683F" w:rsidRPr="00940441" w:rsidRDefault="00C7683F" w:rsidP="00C7683F">
            <w:pPr>
              <w:spacing w:after="0" w:line="240" w:lineRule="auto"/>
              <w:ind w:firstLine="220"/>
              <w:jc w:val="both"/>
              <w:rPr>
                <w:bCs/>
                <w:sz w:val="24"/>
                <w:szCs w:val="24"/>
              </w:rPr>
            </w:pPr>
            <w:r w:rsidRPr="00940441">
              <w:rPr>
                <w:bCs/>
                <w:sz w:val="24"/>
                <w:szCs w:val="24"/>
              </w:rPr>
              <w:t xml:space="preserve">6) засвідчена керівником або уповноваженою особою здобувача ліцензії копія документа, що підтверджує готовність </w:t>
            </w:r>
            <w:r w:rsidRPr="00940441">
              <w:rPr>
                <w:bCs/>
                <w:sz w:val="24"/>
                <w:szCs w:val="24"/>
              </w:rPr>
              <w:lastRenderedPageBreak/>
              <w:t xml:space="preserve">установки зберігання енергії до експлуатації, зокрема: </w:t>
            </w:r>
          </w:p>
          <w:p w14:paraId="76781579" w14:textId="157B96F5" w:rsidR="00C7683F" w:rsidRPr="00940441" w:rsidRDefault="00C7683F" w:rsidP="00C7683F">
            <w:pPr>
              <w:spacing w:after="0" w:line="240" w:lineRule="auto"/>
              <w:ind w:firstLine="220"/>
              <w:jc w:val="both"/>
              <w:rPr>
                <w:bCs/>
                <w:sz w:val="24"/>
                <w:szCs w:val="24"/>
              </w:rPr>
            </w:pPr>
            <w:r w:rsidRPr="00940441">
              <w:rPr>
                <w:bCs/>
                <w:sz w:val="24"/>
                <w:szCs w:val="24"/>
              </w:rPr>
              <w:t>6.1</w:t>
            </w:r>
            <w:r w:rsidR="00286ADB">
              <w:rPr>
                <w:bCs/>
                <w:sz w:val="24"/>
                <w:szCs w:val="24"/>
              </w:rPr>
              <w:t>)</w:t>
            </w:r>
            <w:r w:rsidRPr="00940441">
              <w:rPr>
                <w:bCs/>
                <w:sz w:val="24"/>
                <w:szCs w:val="24"/>
              </w:rPr>
              <w:t xml:space="preserve"> для об'єктів будівництва або нерухомого майна – копію документа, що підтверджує готовність установки зберігання енергії до експлуатації,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 (для об’єктів будівництва або нерухомого майна);</w:t>
            </w:r>
          </w:p>
          <w:p w14:paraId="77DCBAEA" w14:textId="415AF751" w:rsidR="00C7683F" w:rsidRPr="00940441" w:rsidRDefault="00C7683F" w:rsidP="00C7683F">
            <w:pPr>
              <w:spacing w:after="0" w:line="240" w:lineRule="auto"/>
              <w:ind w:firstLine="220"/>
              <w:jc w:val="both"/>
              <w:rPr>
                <w:bCs/>
                <w:sz w:val="24"/>
                <w:szCs w:val="24"/>
              </w:rPr>
            </w:pPr>
            <w:r w:rsidRPr="00940441">
              <w:rPr>
                <w:bCs/>
                <w:sz w:val="24"/>
                <w:szCs w:val="24"/>
              </w:rPr>
              <w:t>6.2</w:t>
            </w:r>
            <w:r w:rsidR="00286ADB">
              <w:rPr>
                <w:bCs/>
                <w:sz w:val="24"/>
                <w:szCs w:val="24"/>
              </w:rPr>
              <w:t>)</w:t>
            </w:r>
            <w:r w:rsidRPr="00940441">
              <w:rPr>
                <w:bCs/>
                <w:sz w:val="24"/>
                <w:szCs w:val="24"/>
              </w:rPr>
              <w:t xml:space="preserve"> для установок зберігання енергії, які у встановлених законом випадках можуть бути переміщені без їх знецінення, заподіяння їм шкоди та зміни їх призначення (є рухомим майном):</w:t>
            </w:r>
          </w:p>
          <w:p w14:paraId="69FB9BDD" w14:textId="762E7EAA" w:rsidR="00C7683F" w:rsidRPr="00940441" w:rsidRDefault="00C7683F" w:rsidP="00C7683F">
            <w:pPr>
              <w:spacing w:after="0" w:line="240" w:lineRule="auto"/>
              <w:ind w:firstLine="220"/>
              <w:jc w:val="both"/>
              <w:rPr>
                <w:bCs/>
                <w:sz w:val="24"/>
                <w:szCs w:val="24"/>
              </w:rPr>
            </w:pPr>
            <w:r w:rsidRPr="00940441">
              <w:rPr>
                <w:bCs/>
                <w:sz w:val="24"/>
                <w:szCs w:val="24"/>
              </w:rPr>
              <w:t xml:space="preserve">1) копія акту про проведення комплексних випробувань, </w:t>
            </w:r>
            <w:r w:rsidR="00940441">
              <w:rPr>
                <w:bCs/>
                <w:sz w:val="24"/>
                <w:szCs w:val="24"/>
              </w:rPr>
              <w:t xml:space="preserve">у тому числі </w:t>
            </w:r>
            <w:r w:rsidRPr="00940441">
              <w:rPr>
                <w:bCs/>
                <w:sz w:val="24"/>
                <w:szCs w:val="24"/>
              </w:rPr>
              <w:t>складеного представниками підрядної організації</w:t>
            </w:r>
            <w:r w:rsidR="00940441">
              <w:rPr>
                <w:bCs/>
                <w:sz w:val="24"/>
                <w:szCs w:val="24"/>
              </w:rPr>
              <w:t xml:space="preserve"> (</w:t>
            </w:r>
            <w:r w:rsidRPr="00940441">
              <w:rPr>
                <w:bCs/>
                <w:sz w:val="24"/>
                <w:szCs w:val="24"/>
              </w:rPr>
              <w:t xml:space="preserve">яка здійснювала монтаж та/або </w:t>
            </w:r>
            <w:proofErr w:type="spellStart"/>
            <w:r w:rsidRPr="00940441">
              <w:rPr>
                <w:bCs/>
                <w:sz w:val="24"/>
                <w:szCs w:val="24"/>
              </w:rPr>
              <w:t>пуско</w:t>
            </w:r>
            <w:proofErr w:type="spellEnd"/>
            <w:r w:rsidRPr="00940441">
              <w:rPr>
                <w:bCs/>
                <w:sz w:val="24"/>
                <w:szCs w:val="24"/>
              </w:rPr>
              <w:t>-налагоджувальні роботи установки зберігання енергії</w:t>
            </w:r>
            <w:r w:rsidR="00940441">
              <w:rPr>
                <w:bCs/>
                <w:sz w:val="24"/>
                <w:szCs w:val="24"/>
              </w:rPr>
              <w:t xml:space="preserve">) та </w:t>
            </w:r>
            <w:r w:rsidRPr="00940441">
              <w:rPr>
                <w:bCs/>
                <w:sz w:val="24"/>
                <w:szCs w:val="24"/>
              </w:rPr>
              <w:t>оператора системи розподілу (передачі)</w:t>
            </w:r>
            <w:r w:rsidR="00940441">
              <w:t xml:space="preserve"> (</w:t>
            </w:r>
            <w:r w:rsidR="00940441" w:rsidRPr="00940441">
              <w:rPr>
                <w:bCs/>
                <w:sz w:val="24"/>
                <w:szCs w:val="24"/>
              </w:rPr>
              <w:t>у разі</w:t>
            </w:r>
            <w:r w:rsidR="00940441">
              <w:rPr>
                <w:bCs/>
                <w:sz w:val="24"/>
                <w:szCs w:val="24"/>
              </w:rPr>
              <w:t xml:space="preserve"> їх</w:t>
            </w:r>
            <w:r w:rsidR="00940441" w:rsidRPr="00940441">
              <w:rPr>
                <w:bCs/>
                <w:sz w:val="24"/>
                <w:szCs w:val="24"/>
              </w:rPr>
              <w:t xml:space="preserve"> залучення</w:t>
            </w:r>
            <w:r w:rsidR="00940441">
              <w:rPr>
                <w:bCs/>
                <w:sz w:val="24"/>
                <w:szCs w:val="24"/>
              </w:rPr>
              <w:t>)</w:t>
            </w:r>
            <w:r w:rsidRPr="00940441">
              <w:rPr>
                <w:bCs/>
                <w:sz w:val="24"/>
                <w:szCs w:val="24"/>
              </w:rPr>
              <w:t>, який містить:</w:t>
            </w:r>
          </w:p>
          <w:p w14:paraId="74976D09" w14:textId="7E8A18E1" w:rsidR="00C7683F" w:rsidRDefault="00C7683F" w:rsidP="00C7683F">
            <w:pPr>
              <w:spacing w:after="0" w:line="240" w:lineRule="auto"/>
              <w:ind w:firstLine="220"/>
              <w:jc w:val="both"/>
              <w:rPr>
                <w:bCs/>
                <w:sz w:val="24"/>
                <w:szCs w:val="24"/>
              </w:rPr>
            </w:pPr>
            <w:r w:rsidRPr="00940441">
              <w:rPr>
                <w:bCs/>
                <w:sz w:val="24"/>
                <w:szCs w:val="24"/>
              </w:rPr>
              <w:t>- ідентифікацію установки зберігання енергії (тип, модель, серійний номер);</w:t>
            </w:r>
          </w:p>
          <w:p w14:paraId="4C35C2DF" w14:textId="360D6EAC" w:rsidR="00940441" w:rsidRPr="00940441" w:rsidRDefault="00940441" w:rsidP="00C7683F">
            <w:pPr>
              <w:spacing w:after="0" w:line="240" w:lineRule="auto"/>
              <w:ind w:firstLine="220"/>
              <w:jc w:val="both"/>
              <w:rPr>
                <w:bCs/>
                <w:sz w:val="24"/>
                <w:szCs w:val="24"/>
              </w:rPr>
            </w:pPr>
            <w:r>
              <w:rPr>
                <w:bCs/>
                <w:sz w:val="24"/>
                <w:szCs w:val="24"/>
              </w:rPr>
              <w:t>- час, протягом якого проводились комплексні випробування;</w:t>
            </w:r>
          </w:p>
          <w:p w14:paraId="382B51AD" w14:textId="77777777" w:rsidR="00C7683F" w:rsidRPr="00940441" w:rsidRDefault="00C7683F" w:rsidP="00C7683F">
            <w:pPr>
              <w:spacing w:after="0" w:line="240" w:lineRule="auto"/>
              <w:ind w:firstLine="220"/>
              <w:jc w:val="both"/>
              <w:rPr>
                <w:bCs/>
                <w:sz w:val="24"/>
                <w:szCs w:val="24"/>
              </w:rPr>
            </w:pPr>
            <w:r w:rsidRPr="00940441">
              <w:rPr>
                <w:bCs/>
                <w:sz w:val="24"/>
                <w:szCs w:val="24"/>
              </w:rPr>
              <w:t>- результати випробувань, проведених відповідно до технічної документації виробника та умов приєднання;</w:t>
            </w:r>
          </w:p>
          <w:p w14:paraId="70E925E6" w14:textId="06AC342F" w:rsidR="00C7683F" w:rsidRPr="00940441" w:rsidRDefault="00C7683F" w:rsidP="00C7683F">
            <w:pPr>
              <w:spacing w:after="0" w:line="240" w:lineRule="auto"/>
              <w:ind w:firstLine="220"/>
              <w:jc w:val="both"/>
              <w:rPr>
                <w:bCs/>
                <w:sz w:val="24"/>
                <w:szCs w:val="24"/>
              </w:rPr>
            </w:pPr>
            <w:r w:rsidRPr="00940441">
              <w:rPr>
                <w:bCs/>
                <w:sz w:val="24"/>
                <w:szCs w:val="24"/>
              </w:rPr>
              <w:t>- висновок про технічну готовність установки зберігання енергії до експлуатації;</w:t>
            </w:r>
          </w:p>
          <w:p w14:paraId="3B5FD068" w14:textId="21DEF19A" w:rsidR="00C7683F" w:rsidRPr="00095AEC" w:rsidRDefault="00C7683F" w:rsidP="00C7683F">
            <w:pPr>
              <w:pStyle w:val="rvps2"/>
              <w:shd w:val="clear" w:color="auto" w:fill="FFFFFF"/>
              <w:spacing w:before="0" w:beforeAutospacing="0" w:after="0" w:afterAutospacing="0"/>
              <w:ind w:firstLine="220"/>
              <w:jc w:val="both"/>
              <w:rPr>
                <w:b/>
                <w:bCs/>
                <w:i/>
                <w:shd w:val="clear" w:color="auto" w:fill="FFFFFF"/>
                <w:lang w:val="uk-UA"/>
              </w:rPr>
            </w:pPr>
            <w:r w:rsidRPr="00940441">
              <w:rPr>
                <w:bCs/>
                <w:lang w:val="uk-UA"/>
              </w:rPr>
              <w:lastRenderedPageBreak/>
              <w:t>2) копію наказу про введення установки зберігання енергії в експлуатацію</w:t>
            </w:r>
            <w:r w:rsidR="00940441">
              <w:rPr>
                <w:bCs/>
                <w:lang w:val="uk-UA"/>
              </w:rPr>
              <w:t>.</w:t>
            </w:r>
          </w:p>
          <w:p w14:paraId="41154082" w14:textId="77777777" w:rsidR="00E408FE" w:rsidRPr="00095AEC" w:rsidRDefault="00E408FE" w:rsidP="008768E0">
            <w:pPr>
              <w:shd w:val="clear" w:color="auto" w:fill="FFFFFF"/>
              <w:tabs>
                <w:tab w:val="left" w:pos="993"/>
              </w:tabs>
              <w:jc w:val="both"/>
              <w:rPr>
                <w:b/>
                <w:bCs/>
                <w:sz w:val="24"/>
                <w:szCs w:val="24"/>
                <w:shd w:val="clear" w:color="auto" w:fill="FFFFFF"/>
              </w:rPr>
            </w:pPr>
          </w:p>
          <w:p w14:paraId="67588541" w14:textId="77777777" w:rsidR="00E408FE" w:rsidRPr="00095AEC" w:rsidRDefault="00E408FE" w:rsidP="008768E0">
            <w:pPr>
              <w:shd w:val="clear" w:color="auto" w:fill="FFFFFF"/>
              <w:tabs>
                <w:tab w:val="left" w:pos="993"/>
              </w:tabs>
              <w:jc w:val="both"/>
              <w:rPr>
                <w:b/>
                <w:bCs/>
                <w:sz w:val="24"/>
                <w:szCs w:val="24"/>
                <w:shd w:val="clear" w:color="auto" w:fill="FFFFFF"/>
              </w:rPr>
            </w:pPr>
          </w:p>
          <w:p w14:paraId="0E1B4C7D" w14:textId="77777777" w:rsidR="00E408FE" w:rsidRPr="00095AEC" w:rsidRDefault="00E408FE" w:rsidP="008768E0">
            <w:pPr>
              <w:shd w:val="clear" w:color="auto" w:fill="FFFFFF"/>
              <w:tabs>
                <w:tab w:val="left" w:pos="993"/>
              </w:tabs>
              <w:jc w:val="both"/>
              <w:rPr>
                <w:b/>
                <w:bCs/>
                <w:sz w:val="24"/>
                <w:szCs w:val="24"/>
                <w:shd w:val="clear" w:color="auto" w:fill="FFFFFF"/>
              </w:rPr>
            </w:pPr>
          </w:p>
          <w:p w14:paraId="5F3C2E42" w14:textId="77777777" w:rsidR="00737FDF" w:rsidRPr="00095AEC" w:rsidRDefault="00737FDF" w:rsidP="00E408FE">
            <w:pPr>
              <w:shd w:val="clear" w:color="auto" w:fill="FFFFFF"/>
              <w:tabs>
                <w:tab w:val="left" w:pos="993"/>
              </w:tabs>
              <w:spacing w:after="0" w:line="240" w:lineRule="auto"/>
              <w:jc w:val="both"/>
              <w:rPr>
                <w:b/>
                <w:bCs/>
                <w:sz w:val="24"/>
                <w:szCs w:val="24"/>
                <w:shd w:val="clear" w:color="auto" w:fill="FFFFFF"/>
              </w:rPr>
            </w:pPr>
          </w:p>
          <w:p w14:paraId="22C791F0" w14:textId="77777777" w:rsidR="00737FDF" w:rsidRPr="00095AEC" w:rsidRDefault="00737FDF" w:rsidP="00E408FE">
            <w:pPr>
              <w:shd w:val="clear" w:color="auto" w:fill="FFFFFF"/>
              <w:tabs>
                <w:tab w:val="left" w:pos="993"/>
              </w:tabs>
              <w:spacing w:after="0" w:line="240" w:lineRule="auto"/>
              <w:jc w:val="both"/>
              <w:rPr>
                <w:b/>
                <w:bCs/>
                <w:sz w:val="24"/>
                <w:szCs w:val="24"/>
                <w:shd w:val="clear" w:color="auto" w:fill="FFFFFF"/>
              </w:rPr>
            </w:pPr>
          </w:p>
          <w:p w14:paraId="5D36769B" w14:textId="77777777" w:rsidR="00737FDF" w:rsidRPr="00095AEC" w:rsidRDefault="00737FDF" w:rsidP="00E408FE">
            <w:pPr>
              <w:shd w:val="clear" w:color="auto" w:fill="FFFFFF"/>
              <w:tabs>
                <w:tab w:val="left" w:pos="993"/>
              </w:tabs>
              <w:spacing w:after="0" w:line="240" w:lineRule="auto"/>
              <w:jc w:val="both"/>
              <w:rPr>
                <w:b/>
                <w:bCs/>
                <w:sz w:val="24"/>
                <w:szCs w:val="24"/>
                <w:shd w:val="clear" w:color="auto" w:fill="FFFFFF"/>
              </w:rPr>
            </w:pPr>
          </w:p>
          <w:p w14:paraId="45A6B832" w14:textId="46A055F9" w:rsidR="00737FDF" w:rsidRPr="00095AEC" w:rsidRDefault="00737FDF" w:rsidP="00737FDF">
            <w:pPr>
              <w:shd w:val="clear" w:color="auto" w:fill="FFFFFF"/>
              <w:tabs>
                <w:tab w:val="left" w:pos="993"/>
              </w:tabs>
              <w:spacing w:after="0" w:line="240" w:lineRule="auto"/>
              <w:jc w:val="both"/>
              <w:rPr>
                <w:bCs/>
                <w:sz w:val="24"/>
                <w:szCs w:val="24"/>
                <w:shd w:val="clear" w:color="auto" w:fill="FFFFFF"/>
              </w:rPr>
            </w:pPr>
          </w:p>
        </w:tc>
      </w:tr>
      <w:tr w:rsidR="00000B3E" w:rsidRPr="00095AEC" w14:paraId="2874F40F" w14:textId="77777777" w:rsidTr="008768E0">
        <w:tc>
          <w:tcPr>
            <w:tcW w:w="5202" w:type="dxa"/>
          </w:tcPr>
          <w:p w14:paraId="7A62E003" w14:textId="77777777" w:rsidR="00000B3E" w:rsidRPr="00095AEC" w:rsidRDefault="00000B3E" w:rsidP="008768E0">
            <w:pPr>
              <w:spacing w:after="0"/>
              <w:jc w:val="both"/>
              <w:rPr>
                <w:bCs/>
                <w:sz w:val="24"/>
                <w:szCs w:val="24"/>
              </w:rPr>
            </w:pPr>
            <w:r w:rsidRPr="00095AEC">
              <w:rPr>
                <w:bCs/>
                <w:sz w:val="24"/>
                <w:szCs w:val="24"/>
              </w:rPr>
              <w:lastRenderedPageBreak/>
              <w:t>Діюча редакція</w:t>
            </w:r>
          </w:p>
          <w:p w14:paraId="36A80319" w14:textId="54CB091D" w:rsidR="00000B3E" w:rsidRPr="00095AEC" w:rsidRDefault="00000B3E" w:rsidP="00000B3E">
            <w:pPr>
              <w:spacing w:after="0" w:line="240" w:lineRule="auto"/>
              <w:jc w:val="both"/>
              <w:rPr>
                <w:sz w:val="24"/>
                <w:szCs w:val="24"/>
              </w:rPr>
            </w:pPr>
            <w:r w:rsidRPr="00095AEC">
              <w:rPr>
                <w:sz w:val="24"/>
                <w:szCs w:val="24"/>
              </w:rPr>
              <w:t>2.2. При провадженні ліцензованої діяльності ліцензіат повинен дотримуватися таких організаційних вимог:</w:t>
            </w:r>
          </w:p>
          <w:p w14:paraId="0C29840A" w14:textId="52708AB9" w:rsidR="00000B3E" w:rsidRPr="00095AEC" w:rsidRDefault="00000B3E" w:rsidP="00000B3E">
            <w:pPr>
              <w:spacing w:after="0" w:line="240" w:lineRule="auto"/>
              <w:jc w:val="both"/>
              <w:rPr>
                <w:sz w:val="24"/>
                <w:szCs w:val="24"/>
              </w:rPr>
            </w:pPr>
            <w:r w:rsidRPr="00095AEC">
              <w:rPr>
                <w:sz w:val="24"/>
                <w:szCs w:val="24"/>
              </w:rPr>
              <w:t>…</w:t>
            </w:r>
          </w:p>
          <w:p w14:paraId="4286C049" w14:textId="77777777" w:rsidR="00000B3E" w:rsidRPr="00095AEC" w:rsidRDefault="00000B3E" w:rsidP="00000B3E">
            <w:pPr>
              <w:spacing w:after="0" w:line="240" w:lineRule="auto"/>
              <w:jc w:val="both"/>
              <w:rPr>
                <w:sz w:val="24"/>
                <w:szCs w:val="24"/>
              </w:rPr>
            </w:pPr>
          </w:p>
          <w:p w14:paraId="72789AE4" w14:textId="77777777" w:rsidR="00000B3E" w:rsidRPr="00095AEC" w:rsidRDefault="00000B3E" w:rsidP="00000B3E">
            <w:pPr>
              <w:spacing w:after="0" w:line="240" w:lineRule="auto"/>
              <w:jc w:val="both"/>
              <w:rPr>
                <w:sz w:val="24"/>
                <w:szCs w:val="24"/>
              </w:rPr>
            </w:pPr>
            <w:r w:rsidRPr="00095AEC">
              <w:rPr>
                <w:sz w:val="24"/>
                <w:szCs w:val="24"/>
              </w:rPr>
              <w:t>34) здійснювати проєктування та будівництво (нове будівництво, реконструкцію, капітальний ремонт, технічне переоснащення) установок зберігання енергії відповідно до законодавства у сфері містобудівної діяльності;</w:t>
            </w:r>
          </w:p>
          <w:p w14:paraId="484982B0" w14:textId="54A3AE43" w:rsidR="00000B3E" w:rsidRPr="00095AEC" w:rsidRDefault="00000B3E" w:rsidP="00000B3E">
            <w:pPr>
              <w:spacing w:after="0" w:line="240" w:lineRule="auto"/>
              <w:jc w:val="both"/>
              <w:rPr>
                <w:bCs/>
                <w:sz w:val="24"/>
                <w:szCs w:val="24"/>
              </w:rPr>
            </w:pPr>
            <w:r w:rsidRPr="00095AEC">
              <w:rPr>
                <w:bCs/>
                <w:sz w:val="24"/>
                <w:szCs w:val="24"/>
              </w:rPr>
              <w:t>…</w:t>
            </w:r>
          </w:p>
        </w:tc>
        <w:tc>
          <w:tcPr>
            <w:tcW w:w="5141" w:type="dxa"/>
          </w:tcPr>
          <w:p w14:paraId="320918E9" w14:textId="77777777" w:rsidR="00000B3E" w:rsidRPr="00095AEC" w:rsidRDefault="00000B3E" w:rsidP="00000B3E">
            <w:pPr>
              <w:pStyle w:val="rvps2"/>
              <w:shd w:val="clear" w:color="auto" w:fill="FFFFFF"/>
              <w:spacing w:before="0" w:beforeAutospacing="0" w:after="0" w:afterAutospacing="0"/>
              <w:ind w:firstLine="220"/>
              <w:jc w:val="both"/>
              <w:rPr>
                <w:b/>
                <w:lang w:val="uk-UA"/>
              </w:rPr>
            </w:pPr>
          </w:p>
          <w:p w14:paraId="75EFA672" w14:textId="77777777" w:rsidR="00000B3E" w:rsidRPr="00095AEC" w:rsidRDefault="00000B3E" w:rsidP="00000B3E">
            <w:pPr>
              <w:pStyle w:val="rvps2"/>
              <w:shd w:val="clear" w:color="auto" w:fill="FFFFFF"/>
              <w:spacing w:before="0" w:beforeAutospacing="0" w:after="0" w:afterAutospacing="0"/>
              <w:ind w:firstLine="220"/>
              <w:jc w:val="both"/>
              <w:rPr>
                <w:b/>
                <w:lang w:val="uk-UA"/>
              </w:rPr>
            </w:pPr>
          </w:p>
          <w:p w14:paraId="4CA838FD" w14:textId="77777777" w:rsidR="00000B3E" w:rsidRPr="00095AEC" w:rsidRDefault="00000B3E" w:rsidP="00000B3E">
            <w:pPr>
              <w:pStyle w:val="rvps2"/>
              <w:shd w:val="clear" w:color="auto" w:fill="FFFFFF"/>
              <w:spacing w:before="0" w:beforeAutospacing="0" w:after="0" w:afterAutospacing="0"/>
              <w:ind w:firstLine="220"/>
              <w:jc w:val="both"/>
              <w:rPr>
                <w:b/>
                <w:lang w:val="uk-UA"/>
              </w:rPr>
            </w:pPr>
          </w:p>
          <w:p w14:paraId="5B5CA198" w14:textId="05D161F9" w:rsidR="00000B3E" w:rsidRPr="00095AEC" w:rsidRDefault="00000B3E" w:rsidP="00000B3E">
            <w:pPr>
              <w:pStyle w:val="rvps2"/>
              <w:shd w:val="clear" w:color="auto" w:fill="FFFFFF"/>
              <w:spacing w:before="0" w:beforeAutospacing="0" w:after="0" w:afterAutospacing="0"/>
              <w:ind w:firstLine="220"/>
              <w:jc w:val="both"/>
              <w:rPr>
                <w:b/>
                <w:lang w:val="uk-UA"/>
              </w:rPr>
            </w:pPr>
            <w:r w:rsidRPr="00095AEC">
              <w:rPr>
                <w:b/>
                <w:lang w:val="uk-UA"/>
              </w:rPr>
              <w:t>ГС «УВЕА»</w:t>
            </w:r>
          </w:p>
          <w:p w14:paraId="0BB03883" w14:textId="66921A18" w:rsidR="00000B3E" w:rsidRPr="00095AEC" w:rsidRDefault="00000B3E" w:rsidP="00000B3E">
            <w:pPr>
              <w:pStyle w:val="rvps2"/>
              <w:shd w:val="clear" w:color="auto" w:fill="FFFFFF"/>
              <w:spacing w:before="0" w:beforeAutospacing="0" w:after="0" w:afterAutospacing="0"/>
              <w:ind w:firstLine="220"/>
              <w:jc w:val="both"/>
              <w:rPr>
                <w:lang w:val="uk-UA"/>
              </w:rPr>
            </w:pPr>
            <w:r w:rsidRPr="00095AEC">
              <w:rPr>
                <w:b/>
                <w:i/>
                <w:u w:val="single"/>
                <w:lang w:val="uk-UA"/>
              </w:rPr>
              <w:t>Пропозиції</w:t>
            </w:r>
            <w:r w:rsidRPr="00095AEC">
              <w:rPr>
                <w:b/>
                <w:u w:val="single"/>
                <w:lang w:val="uk-UA"/>
              </w:rPr>
              <w:t>:</w:t>
            </w:r>
            <w:r w:rsidRPr="00095AEC">
              <w:rPr>
                <w:lang w:val="uk-UA"/>
              </w:rPr>
              <w:t xml:space="preserve"> підпункт 34 пункту 2.2 </w:t>
            </w:r>
            <w:r w:rsidRPr="00095AEC">
              <w:rPr>
                <w:bCs/>
                <w:lang w:val="uk-UA"/>
              </w:rPr>
              <w:t>викласти в такій редакції:</w:t>
            </w:r>
          </w:p>
          <w:p w14:paraId="38DBE931" w14:textId="77777777" w:rsidR="00000B3E" w:rsidRPr="00095AEC" w:rsidRDefault="00000B3E" w:rsidP="00000B3E">
            <w:pPr>
              <w:shd w:val="clear" w:color="auto" w:fill="FFFFFF"/>
              <w:tabs>
                <w:tab w:val="left" w:pos="0"/>
                <w:tab w:val="left" w:pos="993"/>
              </w:tabs>
              <w:spacing w:after="0"/>
              <w:ind w:firstLine="220"/>
              <w:jc w:val="both"/>
              <w:rPr>
                <w:b/>
                <w:bCs/>
                <w:sz w:val="24"/>
                <w:szCs w:val="24"/>
              </w:rPr>
            </w:pPr>
            <w:r w:rsidRPr="00095AEC">
              <w:rPr>
                <w:sz w:val="24"/>
                <w:szCs w:val="24"/>
              </w:rPr>
              <w:t xml:space="preserve">34) здійснювати проєктування та будівництво (нове будівництво, реконструкцію, капітальний ремонт, технічне переоснащення) установок зберігання енергії відповідно до законодавства у сфері містобудівної діяльності </w:t>
            </w:r>
            <w:r w:rsidRPr="00095AEC">
              <w:rPr>
                <w:b/>
                <w:bCs/>
                <w:sz w:val="24"/>
                <w:szCs w:val="24"/>
              </w:rPr>
              <w:t xml:space="preserve">— для об'єктів будівництва або нерухомого майна; або забезпечити встановлення установок зберігання енергії, введення їх в експлуатацію відповідно до технічної документації виробника, умов приєднання та вимог нормативно-технічних документів, що </w:t>
            </w:r>
            <w:r w:rsidRPr="00095AEC">
              <w:rPr>
                <w:b/>
                <w:bCs/>
                <w:sz w:val="24"/>
                <w:szCs w:val="24"/>
              </w:rPr>
              <w:lastRenderedPageBreak/>
              <w:t>регулюють експлуатацію електроустановок - для установок зберігання енергії,</w:t>
            </w:r>
            <w:r w:rsidRPr="00095AEC">
              <w:rPr>
                <w:b/>
                <w:sz w:val="24"/>
                <w:szCs w:val="24"/>
              </w:rPr>
              <w:t xml:space="preserve"> </w:t>
            </w:r>
            <w:r w:rsidRPr="00095AEC">
              <w:rPr>
                <w:b/>
                <w:bCs/>
                <w:sz w:val="24"/>
                <w:szCs w:val="24"/>
              </w:rPr>
              <w:t>які можуть бути переміщені без їх знецінення, заподіяння їм шкоди та зміни їх призначення (є рухомим майном).</w:t>
            </w:r>
          </w:p>
          <w:p w14:paraId="461452E6" w14:textId="77777777" w:rsidR="00000B3E" w:rsidRPr="00095AEC" w:rsidRDefault="00000B3E" w:rsidP="00000B3E">
            <w:pPr>
              <w:shd w:val="clear" w:color="auto" w:fill="FFFFFF"/>
              <w:tabs>
                <w:tab w:val="left" w:pos="0"/>
                <w:tab w:val="left" w:pos="993"/>
              </w:tabs>
              <w:spacing w:after="0"/>
              <w:ind w:firstLine="220"/>
              <w:jc w:val="both"/>
              <w:rPr>
                <w:b/>
                <w:bCs/>
                <w:sz w:val="24"/>
                <w:szCs w:val="24"/>
                <w:u w:val="single"/>
                <w:shd w:val="clear" w:color="auto" w:fill="FFFFFF"/>
              </w:rPr>
            </w:pPr>
          </w:p>
          <w:p w14:paraId="472775E0" w14:textId="3EDCBD7E" w:rsidR="00000B3E" w:rsidRPr="00095AEC" w:rsidRDefault="00000B3E" w:rsidP="00000B3E">
            <w:pPr>
              <w:shd w:val="clear" w:color="auto" w:fill="FFFFFF"/>
              <w:tabs>
                <w:tab w:val="left" w:pos="0"/>
                <w:tab w:val="left" w:pos="993"/>
              </w:tabs>
              <w:spacing w:after="0"/>
              <w:ind w:firstLine="220"/>
              <w:jc w:val="both"/>
              <w:rPr>
                <w:sz w:val="24"/>
                <w:szCs w:val="24"/>
              </w:rPr>
            </w:pPr>
            <w:r w:rsidRPr="00095AEC">
              <w:rPr>
                <w:bCs/>
                <w:i/>
                <w:sz w:val="24"/>
                <w:szCs w:val="24"/>
                <w:u w:val="single"/>
                <w:shd w:val="clear" w:color="auto" w:fill="FFFFFF"/>
              </w:rPr>
              <w:t>Обґрунтування</w:t>
            </w:r>
            <w:r w:rsidRPr="00095AEC">
              <w:rPr>
                <w:bCs/>
                <w:sz w:val="24"/>
                <w:szCs w:val="24"/>
                <w:shd w:val="clear" w:color="auto" w:fill="FFFFFF"/>
              </w:rPr>
              <w:t xml:space="preserve">: </w:t>
            </w:r>
            <w:r w:rsidRPr="00095AEC">
              <w:rPr>
                <w:sz w:val="24"/>
                <w:szCs w:val="24"/>
              </w:rPr>
              <w:t>необхідність уточнення обумовлена метою приведення його у відповідність до різної природи  УЗЕ (рухоме майно і нерухомість). Запропоновані зміни забезпечують юридичну визначеність.</w:t>
            </w:r>
          </w:p>
        </w:tc>
        <w:tc>
          <w:tcPr>
            <w:tcW w:w="4910" w:type="dxa"/>
          </w:tcPr>
          <w:p w14:paraId="7C3D78EB" w14:textId="77777777" w:rsidR="00000B3E" w:rsidRDefault="00000B3E" w:rsidP="008768E0">
            <w:pPr>
              <w:shd w:val="clear" w:color="auto" w:fill="FFFFFF"/>
              <w:tabs>
                <w:tab w:val="left" w:pos="993"/>
              </w:tabs>
              <w:jc w:val="both"/>
              <w:rPr>
                <w:b/>
                <w:bCs/>
                <w:sz w:val="24"/>
                <w:szCs w:val="24"/>
                <w:shd w:val="clear" w:color="auto" w:fill="FFFFFF"/>
              </w:rPr>
            </w:pPr>
          </w:p>
          <w:p w14:paraId="4FE1E758" w14:textId="6B0B50D5" w:rsidR="007834BC" w:rsidRPr="00940441" w:rsidRDefault="00940441" w:rsidP="00D24100">
            <w:pPr>
              <w:shd w:val="clear" w:color="auto" w:fill="FFFFFF"/>
              <w:tabs>
                <w:tab w:val="left" w:pos="993"/>
              </w:tabs>
              <w:jc w:val="both"/>
              <w:rPr>
                <w:b/>
                <w:bCs/>
                <w:sz w:val="24"/>
                <w:szCs w:val="24"/>
                <w:shd w:val="clear" w:color="auto" w:fill="FFFFFF"/>
              </w:rPr>
            </w:pPr>
            <w:r>
              <w:rPr>
                <w:b/>
                <w:sz w:val="24"/>
                <w:szCs w:val="24"/>
                <w:shd w:val="clear" w:color="auto" w:fill="FFFFFF"/>
              </w:rPr>
              <w:t>Потребує обговорення</w:t>
            </w:r>
          </w:p>
        </w:tc>
      </w:tr>
    </w:tbl>
    <w:p w14:paraId="7660D763" w14:textId="77777777" w:rsidR="0036459A" w:rsidRDefault="0036459A"/>
    <w:sectPr w:rsidR="0036459A" w:rsidSect="0088383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AA7672"/>
    <w:multiLevelType w:val="hybridMultilevel"/>
    <w:tmpl w:val="4B14AEF0"/>
    <w:lvl w:ilvl="0" w:tplc="9D7AC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3A"/>
    <w:rsid w:val="00000B3E"/>
    <w:rsid w:val="00001158"/>
    <w:rsid w:val="00003F36"/>
    <w:rsid w:val="000121D3"/>
    <w:rsid w:val="00015D17"/>
    <w:rsid w:val="000163EF"/>
    <w:rsid w:val="00020F7B"/>
    <w:rsid w:val="00031802"/>
    <w:rsid w:val="0007092C"/>
    <w:rsid w:val="00071718"/>
    <w:rsid w:val="00071B10"/>
    <w:rsid w:val="000734A9"/>
    <w:rsid w:val="00073722"/>
    <w:rsid w:val="00077671"/>
    <w:rsid w:val="00080D57"/>
    <w:rsid w:val="00095ADC"/>
    <w:rsid w:val="00095AEC"/>
    <w:rsid w:val="000B752B"/>
    <w:rsid w:val="000C0609"/>
    <w:rsid w:val="000C3EDC"/>
    <w:rsid w:val="000D724B"/>
    <w:rsid w:val="000E08F7"/>
    <w:rsid w:val="000E27E9"/>
    <w:rsid w:val="000E2A35"/>
    <w:rsid w:val="000E4C7B"/>
    <w:rsid w:val="000E73B9"/>
    <w:rsid w:val="000E78A9"/>
    <w:rsid w:val="00101F16"/>
    <w:rsid w:val="00111A76"/>
    <w:rsid w:val="00113DC4"/>
    <w:rsid w:val="001161F7"/>
    <w:rsid w:val="00116481"/>
    <w:rsid w:val="00120245"/>
    <w:rsid w:val="00120FAC"/>
    <w:rsid w:val="00126486"/>
    <w:rsid w:val="0013138A"/>
    <w:rsid w:val="00134491"/>
    <w:rsid w:val="00150B28"/>
    <w:rsid w:val="00151365"/>
    <w:rsid w:val="00164D3C"/>
    <w:rsid w:val="00167A0D"/>
    <w:rsid w:val="0017181A"/>
    <w:rsid w:val="00173124"/>
    <w:rsid w:val="001779F5"/>
    <w:rsid w:val="00177E90"/>
    <w:rsid w:val="00180191"/>
    <w:rsid w:val="00181FFC"/>
    <w:rsid w:val="0019709F"/>
    <w:rsid w:val="001A29F4"/>
    <w:rsid w:val="001A2BB2"/>
    <w:rsid w:val="001B1CC6"/>
    <w:rsid w:val="001B6075"/>
    <w:rsid w:val="001D12DA"/>
    <w:rsid w:val="001E7227"/>
    <w:rsid w:val="001F77CC"/>
    <w:rsid w:val="00201197"/>
    <w:rsid w:val="00204BD3"/>
    <w:rsid w:val="002068A6"/>
    <w:rsid w:val="00212067"/>
    <w:rsid w:val="00215A95"/>
    <w:rsid w:val="00220F90"/>
    <w:rsid w:val="00221CB5"/>
    <w:rsid w:val="002240D6"/>
    <w:rsid w:val="00226F8B"/>
    <w:rsid w:val="0023097B"/>
    <w:rsid w:val="0023299C"/>
    <w:rsid w:val="00232E62"/>
    <w:rsid w:val="002408C9"/>
    <w:rsid w:val="00246A6B"/>
    <w:rsid w:val="00256D0D"/>
    <w:rsid w:val="00257A6C"/>
    <w:rsid w:val="00262FB3"/>
    <w:rsid w:val="00265C9B"/>
    <w:rsid w:val="002710D7"/>
    <w:rsid w:val="00272D76"/>
    <w:rsid w:val="00280F9C"/>
    <w:rsid w:val="0028273A"/>
    <w:rsid w:val="00286ADB"/>
    <w:rsid w:val="00291990"/>
    <w:rsid w:val="002A3368"/>
    <w:rsid w:val="002A48A4"/>
    <w:rsid w:val="002C21AE"/>
    <w:rsid w:val="002C36C4"/>
    <w:rsid w:val="002C3718"/>
    <w:rsid w:val="002D322C"/>
    <w:rsid w:val="002D4939"/>
    <w:rsid w:val="002D5889"/>
    <w:rsid w:val="002E21DD"/>
    <w:rsid w:val="002E66FA"/>
    <w:rsid w:val="002F0D2D"/>
    <w:rsid w:val="002F1E37"/>
    <w:rsid w:val="0030299D"/>
    <w:rsid w:val="00306F32"/>
    <w:rsid w:val="00307CEF"/>
    <w:rsid w:val="003223DC"/>
    <w:rsid w:val="0032279C"/>
    <w:rsid w:val="0032650D"/>
    <w:rsid w:val="003330BD"/>
    <w:rsid w:val="00333572"/>
    <w:rsid w:val="00333B35"/>
    <w:rsid w:val="00347438"/>
    <w:rsid w:val="00355571"/>
    <w:rsid w:val="003555EB"/>
    <w:rsid w:val="00362A66"/>
    <w:rsid w:val="0036459A"/>
    <w:rsid w:val="003729EB"/>
    <w:rsid w:val="00375D7B"/>
    <w:rsid w:val="0038078F"/>
    <w:rsid w:val="003828A6"/>
    <w:rsid w:val="00382E78"/>
    <w:rsid w:val="00385214"/>
    <w:rsid w:val="0039576F"/>
    <w:rsid w:val="003A0684"/>
    <w:rsid w:val="003A2862"/>
    <w:rsid w:val="003A3805"/>
    <w:rsid w:val="003A5EE2"/>
    <w:rsid w:val="003B2E6B"/>
    <w:rsid w:val="003B35CC"/>
    <w:rsid w:val="003B5E93"/>
    <w:rsid w:val="003B727B"/>
    <w:rsid w:val="003C0489"/>
    <w:rsid w:val="003C0D15"/>
    <w:rsid w:val="003C1CCD"/>
    <w:rsid w:val="003C214D"/>
    <w:rsid w:val="003C3DC1"/>
    <w:rsid w:val="003C5404"/>
    <w:rsid w:val="003D4D81"/>
    <w:rsid w:val="003E1B95"/>
    <w:rsid w:val="003E2F8D"/>
    <w:rsid w:val="003E6D77"/>
    <w:rsid w:val="00402309"/>
    <w:rsid w:val="00403571"/>
    <w:rsid w:val="004062D5"/>
    <w:rsid w:val="00430D7E"/>
    <w:rsid w:val="00430EDD"/>
    <w:rsid w:val="0043129F"/>
    <w:rsid w:val="00435097"/>
    <w:rsid w:val="00436592"/>
    <w:rsid w:val="00437C27"/>
    <w:rsid w:val="004402FA"/>
    <w:rsid w:val="004423DE"/>
    <w:rsid w:val="0044478B"/>
    <w:rsid w:val="00447114"/>
    <w:rsid w:val="00450B0E"/>
    <w:rsid w:val="004527E1"/>
    <w:rsid w:val="00452867"/>
    <w:rsid w:val="00461A86"/>
    <w:rsid w:val="00464D22"/>
    <w:rsid w:val="00470AFB"/>
    <w:rsid w:val="00475DD2"/>
    <w:rsid w:val="00482C70"/>
    <w:rsid w:val="00484534"/>
    <w:rsid w:val="004970BA"/>
    <w:rsid w:val="004A263A"/>
    <w:rsid w:val="004A4502"/>
    <w:rsid w:val="004B4428"/>
    <w:rsid w:val="004C4085"/>
    <w:rsid w:val="004C5B30"/>
    <w:rsid w:val="004D2EF6"/>
    <w:rsid w:val="004D3924"/>
    <w:rsid w:val="004D4F19"/>
    <w:rsid w:val="004F272A"/>
    <w:rsid w:val="004F5F22"/>
    <w:rsid w:val="004F5F48"/>
    <w:rsid w:val="00503AF2"/>
    <w:rsid w:val="005070B7"/>
    <w:rsid w:val="00526CA1"/>
    <w:rsid w:val="00531D99"/>
    <w:rsid w:val="00533A93"/>
    <w:rsid w:val="00533C7F"/>
    <w:rsid w:val="0054001D"/>
    <w:rsid w:val="005426FC"/>
    <w:rsid w:val="005433D1"/>
    <w:rsid w:val="00546BF0"/>
    <w:rsid w:val="00552B43"/>
    <w:rsid w:val="00556670"/>
    <w:rsid w:val="00572E2E"/>
    <w:rsid w:val="005765FE"/>
    <w:rsid w:val="005818F5"/>
    <w:rsid w:val="00590692"/>
    <w:rsid w:val="00591099"/>
    <w:rsid w:val="00594F6D"/>
    <w:rsid w:val="005956A2"/>
    <w:rsid w:val="0059739A"/>
    <w:rsid w:val="005A02AA"/>
    <w:rsid w:val="005B3088"/>
    <w:rsid w:val="005C20EB"/>
    <w:rsid w:val="005D2850"/>
    <w:rsid w:val="005E0954"/>
    <w:rsid w:val="005E58A1"/>
    <w:rsid w:val="005E7B9F"/>
    <w:rsid w:val="005F6B85"/>
    <w:rsid w:val="00611312"/>
    <w:rsid w:val="00615958"/>
    <w:rsid w:val="00623411"/>
    <w:rsid w:val="00626FDF"/>
    <w:rsid w:val="006322BE"/>
    <w:rsid w:val="00636372"/>
    <w:rsid w:val="0064018E"/>
    <w:rsid w:val="0064239E"/>
    <w:rsid w:val="00653DAA"/>
    <w:rsid w:val="006541BA"/>
    <w:rsid w:val="006558ED"/>
    <w:rsid w:val="006562D9"/>
    <w:rsid w:val="006569EB"/>
    <w:rsid w:val="00671E3A"/>
    <w:rsid w:val="00675EE7"/>
    <w:rsid w:val="00677C23"/>
    <w:rsid w:val="00687502"/>
    <w:rsid w:val="00687DE3"/>
    <w:rsid w:val="0069654D"/>
    <w:rsid w:val="006A1D9D"/>
    <w:rsid w:val="006B0596"/>
    <w:rsid w:val="006B0713"/>
    <w:rsid w:val="006D7660"/>
    <w:rsid w:val="006D7F0E"/>
    <w:rsid w:val="006F2820"/>
    <w:rsid w:val="006F3EFD"/>
    <w:rsid w:val="006F5D2F"/>
    <w:rsid w:val="00706DBC"/>
    <w:rsid w:val="0071246C"/>
    <w:rsid w:val="007300A2"/>
    <w:rsid w:val="00732B28"/>
    <w:rsid w:val="007345AB"/>
    <w:rsid w:val="00737FDF"/>
    <w:rsid w:val="00741BA1"/>
    <w:rsid w:val="00747FED"/>
    <w:rsid w:val="00756450"/>
    <w:rsid w:val="0076043E"/>
    <w:rsid w:val="00765BD3"/>
    <w:rsid w:val="00766CA4"/>
    <w:rsid w:val="00767F02"/>
    <w:rsid w:val="007708FB"/>
    <w:rsid w:val="00773C66"/>
    <w:rsid w:val="007834BC"/>
    <w:rsid w:val="00790182"/>
    <w:rsid w:val="007B1854"/>
    <w:rsid w:val="007B32A5"/>
    <w:rsid w:val="007B640F"/>
    <w:rsid w:val="007C27AB"/>
    <w:rsid w:val="007C40AF"/>
    <w:rsid w:val="007C7BD9"/>
    <w:rsid w:val="007D12E4"/>
    <w:rsid w:val="007D1F96"/>
    <w:rsid w:val="007D35DB"/>
    <w:rsid w:val="007D38F5"/>
    <w:rsid w:val="007D5F23"/>
    <w:rsid w:val="007F0736"/>
    <w:rsid w:val="007F150C"/>
    <w:rsid w:val="007F1844"/>
    <w:rsid w:val="007F59F6"/>
    <w:rsid w:val="007F5F4D"/>
    <w:rsid w:val="007F790A"/>
    <w:rsid w:val="00810977"/>
    <w:rsid w:val="00810C59"/>
    <w:rsid w:val="008113DB"/>
    <w:rsid w:val="008140CC"/>
    <w:rsid w:val="008164A9"/>
    <w:rsid w:val="0082065D"/>
    <w:rsid w:val="008210A6"/>
    <w:rsid w:val="008261D0"/>
    <w:rsid w:val="00826B65"/>
    <w:rsid w:val="008403AA"/>
    <w:rsid w:val="00862EB6"/>
    <w:rsid w:val="00866EDA"/>
    <w:rsid w:val="008725A5"/>
    <w:rsid w:val="00882591"/>
    <w:rsid w:val="0088383A"/>
    <w:rsid w:val="0088579D"/>
    <w:rsid w:val="00885D30"/>
    <w:rsid w:val="008867A8"/>
    <w:rsid w:val="008902F5"/>
    <w:rsid w:val="00892878"/>
    <w:rsid w:val="00894563"/>
    <w:rsid w:val="008A3999"/>
    <w:rsid w:val="008A5BA6"/>
    <w:rsid w:val="008A716A"/>
    <w:rsid w:val="008C45E8"/>
    <w:rsid w:val="008D3181"/>
    <w:rsid w:val="008D4525"/>
    <w:rsid w:val="008D5F25"/>
    <w:rsid w:val="008D710C"/>
    <w:rsid w:val="008E6223"/>
    <w:rsid w:val="008F47BB"/>
    <w:rsid w:val="009021F2"/>
    <w:rsid w:val="00903EC2"/>
    <w:rsid w:val="00915F42"/>
    <w:rsid w:val="00930CC0"/>
    <w:rsid w:val="00934093"/>
    <w:rsid w:val="0093578D"/>
    <w:rsid w:val="00936CD9"/>
    <w:rsid w:val="00940441"/>
    <w:rsid w:val="0094083F"/>
    <w:rsid w:val="00953835"/>
    <w:rsid w:val="00964BC0"/>
    <w:rsid w:val="00964D2B"/>
    <w:rsid w:val="0096641E"/>
    <w:rsid w:val="00983F2E"/>
    <w:rsid w:val="009A1A3E"/>
    <w:rsid w:val="009A2186"/>
    <w:rsid w:val="009A23D7"/>
    <w:rsid w:val="009A2C6F"/>
    <w:rsid w:val="009B0D11"/>
    <w:rsid w:val="009B3D71"/>
    <w:rsid w:val="009B581F"/>
    <w:rsid w:val="009B605A"/>
    <w:rsid w:val="009C3077"/>
    <w:rsid w:val="009C75E1"/>
    <w:rsid w:val="009D0005"/>
    <w:rsid w:val="009D3FCE"/>
    <w:rsid w:val="009D65B5"/>
    <w:rsid w:val="009D695F"/>
    <w:rsid w:val="009D73B3"/>
    <w:rsid w:val="009E46C4"/>
    <w:rsid w:val="00A03333"/>
    <w:rsid w:val="00A07D9F"/>
    <w:rsid w:val="00A11143"/>
    <w:rsid w:val="00A21F08"/>
    <w:rsid w:val="00A21FDF"/>
    <w:rsid w:val="00A25322"/>
    <w:rsid w:val="00A31F73"/>
    <w:rsid w:val="00A32375"/>
    <w:rsid w:val="00A324D9"/>
    <w:rsid w:val="00A33E8E"/>
    <w:rsid w:val="00A35DCD"/>
    <w:rsid w:val="00A47033"/>
    <w:rsid w:val="00A53914"/>
    <w:rsid w:val="00A54BDE"/>
    <w:rsid w:val="00A6612C"/>
    <w:rsid w:val="00A72A94"/>
    <w:rsid w:val="00A72C45"/>
    <w:rsid w:val="00A74D64"/>
    <w:rsid w:val="00A766CF"/>
    <w:rsid w:val="00A80F7D"/>
    <w:rsid w:val="00A93076"/>
    <w:rsid w:val="00AA1942"/>
    <w:rsid w:val="00AA1EB7"/>
    <w:rsid w:val="00AA3386"/>
    <w:rsid w:val="00AA7E44"/>
    <w:rsid w:val="00AB0A6A"/>
    <w:rsid w:val="00AB2124"/>
    <w:rsid w:val="00AB37F2"/>
    <w:rsid w:val="00AC7A24"/>
    <w:rsid w:val="00AE7B79"/>
    <w:rsid w:val="00AF2166"/>
    <w:rsid w:val="00AF4B49"/>
    <w:rsid w:val="00AF62F1"/>
    <w:rsid w:val="00B00448"/>
    <w:rsid w:val="00B0370D"/>
    <w:rsid w:val="00B1437F"/>
    <w:rsid w:val="00B21779"/>
    <w:rsid w:val="00B242D4"/>
    <w:rsid w:val="00B41504"/>
    <w:rsid w:val="00B46B9F"/>
    <w:rsid w:val="00B50F8B"/>
    <w:rsid w:val="00B52098"/>
    <w:rsid w:val="00B53CDC"/>
    <w:rsid w:val="00B6008E"/>
    <w:rsid w:val="00B67246"/>
    <w:rsid w:val="00B74578"/>
    <w:rsid w:val="00B7534F"/>
    <w:rsid w:val="00BA1364"/>
    <w:rsid w:val="00BA3989"/>
    <w:rsid w:val="00BB4B05"/>
    <w:rsid w:val="00BB4FB7"/>
    <w:rsid w:val="00BB66FC"/>
    <w:rsid w:val="00BB7E51"/>
    <w:rsid w:val="00BC1ADC"/>
    <w:rsid w:val="00BC6055"/>
    <w:rsid w:val="00BD5238"/>
    <w:rsid w:val="00BD62A0"/>
    <w:rsid w:val="00BD792F"/>
    <w:rsid w:val="00BD7A52"/>
    <w:rsid w:val="00BE0147"/>
    <w:rsid w:val="00BE4BC5"/>
    <w:rsid w:val="00BE6141"/>
    <w:rsid w:val="00BF32A4"/>
    <w:rsid w:val="00BF3563"/>
    <w:rsid w:val="00BF51C6"/>
    <w:rsid w:val="00BF689C"/>
    <w:rsid w:val="00BF742F"/>
    <w:rsid w:val="00C10525"/>
    <w:rsid w:val="00C10B85"/>
    <w:rsid w:val="00C200CF"/>
    <w:rsid w:val="00C27F80"/>
    <w:rsid w:val="00C3301B"/>
    <w:rsid w:val="00C36A72"/>
    <w:rsid w:val="00C56586"/>
    <w:rsid w:val="00C60293"/>
    <w:rsid w:val="00C64421"/>
    <w:rsid w:val="00C70367"/>
    <w:rsid w:val="00C72FF8"/>
    <w:rsid w:val="00C7683F"/>
    <w:rsid w:val="00C81EF0"/>
    <w:rsid w:val="00C82F24"/>
    <w:rsid w:val="00C87706"/>
    <w:rsid w:val="00C92328"/>
    <w:rsid w:val="00C935CE"/>
    <w:rsid w:val="00C9471E"/>
    <w:rsid w:val="00C9506D"/>
    <w:rsid w:val="00CB2C8D"/>
    <w:rsid w:val="00CB3F99"/>
    <w:rsid w:val="00CB7ADD"/>
    <w:rsid w:val="00CC22FA"/>
    <w:rsid w:val="00CC52ED"/>
    <w:rsid w:val="00CD0A0A"/>
    <w:rsid w:val="00CE4ED5"/>
    <w:rsid w:val="00CE556F"/>
    <w:rsid w:val="00CF2143"/>
    <w:rsid w:val="00CF3EA6"/>
    <w:rsid w:val="00CF577E"/>
    <w:rsid w:val="00D00A5A"/>
    <w:rsid w:val="00D04533"/>
    <w:rsid w:val="00D07C3F"/>
    <w:rsid w:val="00D1216A"/>
    <w:rsid w:val="00D128FF"/>
    <w:rsid w:val="00D148DA"/>
    <w:rsid w:val="00D1499D"/>
    <w:rsid w:val="00D17AD1"/>
    <w:rsid w:val="00D216AC"/>
    <w:rsid w:val="00D24100"/>
    <w:rsid w:val="00D30692"/>
    <w:rsid w:val="00D32646"/>
    <w:rsid w:val="00D36E1A"/>
    <w:rsid w:val="00D40868"/>
    <w:rsid w:val="00D43597"/>
    <w:rsid w:val="00D44D14"/>
    <w:rsid w:val="00D45AD9"/>
    <w:rsid w:val="00D62955"/>
    <w:rsid w:val="00D736B1"/>
    <w:rsid w:val="00D73A84"/>
    <w:rsid w:val="00D827F1"/>
    <w:rsid w:val="00D86B02"/>
    <w:rsid w:val="00D8774B"/>
    <w:rsid w:val="00D90D17"/>
    <w:rsid w:val="00D924A5"/>
    <w:rsid w:val="00DA0762"/>
    <w:rsid w:val="00DA0D36"/>
    <w:rsid w:val="00DA31C2"/>
    <w:rsid w:val="00DC573A"/>
    <w:rsid w:val="00DD0564"/>
    <w:rsid w:val="00DD0898"/>
    <w:rsid w:val="00DD50A7"/>
    <w:rsid w:val="00DD7009"/>
    <w:rsid w:val="00DE3F00"/>
    <w:rsid w:val="00DE406F"/>
    <w:rsid w:val="00DE6C05"/>
    <w:rsid w:val="00DE7E45"/>
    <w:rsid w:val="00E04114"/>
    <w:rsid w:val="00E06228"/>
    <w:rsid w:val="00E10996"/>
    <w:rsid w:val="00E118DF"/>
    <w:rsid w:val="00E15189"/>
    <w:rsid w:val="00E165F8"/>
    <w:rsid w:val="00E31136"/>
    <w:rsid w:val="00E32A2F"/>
    <w:rsid w:val="00E35BE7"/>
    <w:rsid w:val="00E360D9"/>
    <w:rsid w:val="00E408FE"/>
    <w:rsid w:val="00E44A67"/>
    <w:rsid w:val="00E44E91"/>
    <w:rsid w:val="00E459ED"/>
    <w:rsid w:val="00E4691E"/>
    <w:rsid w:val="00E56C86"/>
    <w:rsid w:val="00E6427C"/>
    <w:rsid w:val="00E66C41"/>
    <w:rsid w:val="00E7406A"/>
    <w:rsid w:val="00E7547D"/>
    <w:rsid w:val="00E755F4"/>
    <w:rsid w:val="00E820F1"/>
    <w:rsid w:val="00E83771"/>
    <w:rsid w:val="00E8386B"/>
    <w:rsid w:val="00E872FC"/>
    <w:rsid w:val="00E92D9F"/>
    <w:rsid w:val="00E966AA"/>
    <w:rsid w:val="00EB02D1"/>
    <w:rsid w:val="00EC6820"/>
    <w:rsid w:val="00EC734F"/>
    <w:rsid w:val="00EC7507"/>
    <w:rsid w:val="00ED5895"/>
    <w:rsid w:val="00ED64B9"/>
    <w:rsid w:val="00ED6508"/>
    <w:rsid w:val="00EE09C2"/>
    <w:rsid w:val="00EE5CBF"/>
    <w:rsid w:val="00EF1C6E"/>
    <w:rsid w:val="00EF4DD4"/>
    <w:rsid w:val="00EF67AF"/>
    <w:rsid w:val="00F16361"/>
    <w:rsid w:val="00F20C08"/>
    <w:rsid w:val="00F23408"/>
    <w:rsid w:val="00F267AF"/>
    <w:rsid w:val="00F40252"/>
    <w:rsid w:val="00F44924"/>
    <w:rsid w:val="00F469D5"/>
    <w:rsid w:val="00F640BD"/>
    <w:rsid w:val="00F742E1"/>
    <w:rsid w:val="00F81AC8"/>
    <w:rsid w:val="00F87CE5"/>
    <w:rsid w:val="00F9141B"/>
    <w:rsid w:val="00F94405"/>
    <w:rsid w:val="00F958B3"/>
    <w:rsid w:val="00F97AE6"/>
    <w:rsid w:val="00F97E5D"/>
    <w:rsid w:val="00FA4ADF"/>
    <w:rsid w:val="00FB3B08"/>
    <w:rsid w:val="00FC4E97"/>
    <w:rsid w:val="00FD39CE"/>
    <w:rsid w:val="00FD5A2F"/>
    <w:rsid w:val="00FD6A0E"/>
    <w:rsid w:val="00FE21E1"/>
    <w:rsid w:val="00FE4DFC"/>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9F8D"/>
  <w15:chartTrackingRefBased/>
  <w15:docId w15:val="{30876656-FED5-41E4-8459-AF9FE34D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383A"/>
    <w:pPr>
      <w:spacing w:after="160" w:line="259" w:lineRule="auto"/>
    </w:pPr>
    <w:rPr>
      <w:rFonts w:eastAsiaTheme="minorHAnsi"/>
      <w:sz w:val="28"/>
      <w:szCs w:val="28"/>
      <w:lang w:val="uk-UA"/>
    </w:rPr>
  </w:style>
  <w:style w:type="paragraph" w:styleId="1">
    <w:name w:val="heading 1"/>
    <w:basedOn w:val="a"/>
    <w:next w:val="a"/>
    <w:link w:val="10"/>
    <w:qFormat/>
    <w:rsid w:val="00C3301B"/>
    <w:pPr>
      <w:keepNext/>
      <w:jc w:val="center"/>
      <w:outlineLvl w:val="0"/>
    </w:pPr>
  </w:style>
  <w:style w:type="paragraph" w:styleId="2">
    <w:name w:val="heading 2"/>
    <w:basedOn w:val="a"/>
    <w:next w:val="a"/>
    <w:link w:val="20"/>
    <w:qFormat/>
    <w:rsid w:val="00C3301B"/>
    <w:pPr>
      <w:keepNext/>
      <w:ind w:left="4956" w:firstLine="708"/>
      <w:jc w:val="both"/>
      <w:outlineLvl w:val="1"/>
    </w:pPr>
    <w:rPr>
      <w:b/>
      <w:bCs/>
    </w:rPr>
  </w:style>
  <w:style w:type="paragraph" w:styleId="4">
    <w:name w:val="heading 4"/>
    <w:basedOn w:val="a"/>
    <w:next w:val="a"/>
    <w:link w:val="40"/>
    <w:semiHidden/>
    <w:unhideWhenUsed/>
    <w:qFormat/>
    <w:rsid w:val="00C36A7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88383A"/>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8383A"/>
    <w:pPr>
      <w:spacing w:before="100" w:beforeAutospacing="1" w:after="100" w:afterAutospacing="1" w:line="240" w:lineRule="auto"/>
    </w:pPr>
    <w:rPr>
      <w:rFonts w:eastAsia="Times New Roman"/>
      <w:sz w:val="24"/>
      <w:szCs w:val="24"/>
      <w:lang w:val="ru-RU" w:eastAsia="ru-RU"/>
    </w:rPr>
  </w:style>
  <w:style w:type="character" w:customStyle="1" w:styleId="rvts15">
    <w:name w:val="rvts15"/>
    <w:basedOn w:val="a0"/>
    <w:rsid w:val="0088383A"/>
  </w:style>
  <w:style w:type="paragraph" w:styleId="a4">
    <w:name w:val="List Paragraph"/>
    <w:basedOn w:val="a"/>
    <w:uiPriority w:val="34"/>
    <w:qFormat/>
    <w:rsid w:val="00E408FE"/>
    <w:pPr>
      <w:spacing w:after="0" w:line="240" w:lineRule="auto"/>
      <w:ind w:left="720"/>
      <w:contextualSpacing/>
    </w:pPr>
    <w:rPr>
      <w:rFonts w:eastAsia="Times New Roman"/>
      <w:szCs w:val="20"/>
      <w:lang w:val="ru-RU" w:eastAsia="ru-RU"/>
    </w:rPr>
  </w:style>
  <w:style w:type="character" w:styleId="a5">
    <w:name w:val="Hyperlink"/>
    <w:basedOn w:val="a0"/>
    <w:uiPriority w:val="99"/>
    <w:semiHidden/>
    <w:unhideWhenUsed/>
    <w:rsid w:val="00E408FE"/>
    <w:rPr>
      <w:color w:val="0000FF"/>
      <w:u w:val="single"/>
    </w:rPr>
  </w:style>
  <w:style w:type="paragraph" w:styleId="a6">
    <w:name w:val="Normal (Web)"/>
    <w:basedOn w:val="a"/>
    <w:uiPriority w:val="99"/>
    <w:rsid w:val="00C36A72"/>
    <w:pPr>
      <w:spacing w:before="100" w:beforeAutospacing="1" w:after="100" w:afterAutospacing="1" w:line="240" w:lineRule="auto"/>
    </w:pPr>
    <w:rPr>
      <w:rFonts w:eastAsia="Times New Roman"/>
      <w:sz w:val="24"/>
      <w:szCs w:val="24"/>
      <w:lang w:eastAsia="uk-UA"/>
    </w:rPr>
  </w:style>
  <w:style w:type="character" w:customStyle="1" w:styleId="40">
    <w:name w:val="Заголовок 4 Знак"/>
    <w:basedOn w:val="a0"/>
    <w:link w:val="4"/>
    <w:uiPriority w:val="9"/>
    <w:semiHidden/>
    <w:rsid w:val="00C36A72"/>
    <w:rPr>
      <w:rFonts w:asciiTheme="majorHAnsi" w:eastAsiaTheme="majorEastAsia" w:hAnsiTheme="majorHAnsi" w:cstheme="majorBidi"/>
      <w:i/>
      <w:iCs/>
      <w:color w:val="2F5496" w:themeColor="accent1" w:themeShade="BF"/>
      <w:sz w:val="28"/>
      <w:szCs w:val="28"/>
      <w:lang w:val="uk-UA"/>
    </w:rPr>
  </w:style>
  <w:style w:type="paragraph" w:customStyle="1" w:styleId="11">
    <w:name w:val="Обычный1"/>
    <w:rsid w:val="00095AEC"/>
    <w:pPr>
      <w:spacing w:after="160" w:line="259" w:lineRule="auto"/>
    </w:pPr>
    <w:rPr>
      <w:rFonts w:ascii="Calibri" w:eastAsia="Calibri" w:hAnsi="Calibri" w:cs="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1300</Words>
  <Characters>7410</Characters>
  <Application>Microsoft Office Word</Application>
  <DocSecurity>0</DocSecurity>
  <Lines>61</Lines>
  <Paragraphs>17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2025-05-19T11:25:00Z</dcterms:created>
  <dcterms:modified xsi:type="dcterms:W3CDTF">2025-05-19T11:25:00Z</dcterms:modified>
</cp:coreProperties>
</file>