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6F4EC" w14:textId="77777777" w:rsidR="0088383A" w:rsidRPr="00396449" w:rsidRDefault="0088383A" w:rsidP="0088383A">
      <w:pPr>
        <w:spacing w:after="0" w:line="240" w:lineRule="auto"/>
        <w:jc w:val="center"/>
        <w:rPr>
          <w:rStyle w:val="rvts15"/>
          <w:b/>
          <w:bCs/>
          <w:shd w:val="clear" w:color="auto" w:fill="FFFFFF"/>
        </w:rPr>
      </w:pPr>
      <w:bookmarkStart w:id="0" w:name="_GoBack"/>
      <w:bookmarkEnd w:id="0"/>
      <w:r w:rsidRPr="00396449">
        <w:rPr>
          <w:b/>
          <w:bCs/>
          <w:shd w:val="clear" w:color="auto" w:fill="FFFFFF"/>
        </w:rPr>
        <w:t>УЗАГАЛЬНЕНІ ЗАУВАЖЕННЯ</w:t>
      </w:r>
      <w:r w:rsidRPr="00396449">
        <w:rPr>
          <w:b/>
        </w:rPr>
        <w:br/>
      </w:r>
      <w:r w:rsidRPr="00396449">
        <w:rPr>
          <w:rStyle w:val="rvts15"/>
          <w:b/>
          <w:bCs/>
          <w:shd w:val="clear" w:color="auto" w:fill="FFFFFF"/>
        </w:rPr>
        <w:t xml:space="preserve">та пропозиції до проекту рішення НКРЕКП, що має ознаки регуляторного акта –  </w:t>
      </w:r>
    </w:p>
    <w:p w14:paraId="5A1EDEDE" w14:textId="77777777" w:rsidR="0088383A" w:rsidRPr="00BD5238" w:rsidRDefault="0088383A" w:rsidP="0088383A">
      <w:pPr>
        <w:jc w:val="center"/>
        <w:rPr>
          <w:b/>
        </w:rPr>
      </w:pPr>
      <w:r w:rsidRPr="00BD5238">
        <w:rPr>
          <w:rStyle w:val="rvts15"/>
          <w:b/>
          <w:bCs/>
          <w:shd w:val="clear" w:color="auto" w:fill="FFFFFF"/>
        </w:rPr>
        <w:t>«</w:t>
      </w:r>
      <w:r w:rsidRPr="00BD5238">
        <w:rPr>
          <w:b/>
        </w:rPr>
        <w:t xml:space="preserve">Про затвердження </w:t>
      </w:r>
      <w:r w:rsidR="00BD5238" w:rsidRPr="00BD5238">
        <w:rPr>
          <w:b/>
          <w:bCs/>
          <w:shd w:val="clear" w:color="auto" w:fill="FFFFFF"/>
        </w:rPr>
        <w:t>Ліцензійних умов провадження господарської діяльності зі зберігання енергії</w:t>
      </w:r>
      <w:r w:rsidRPr="00BD5238">
        <w:rPr>
          <w:b/>
          <w:bCs/>
          <w:shd w:val="clear" w:color="auto" w:fill="FFFFFF"/>
        </w:rPr>
        <w:t>»</w:t>
      </w:r>
    </w:p>
    <w:tbl>
      <w:tblPr>
        <w:tblStyle w:val="a3"/>
        <w:tblW w:w="15253" w:type="dxa"/>
        <w:tblLook w:val="04A0" w:firstRow="1" w:lastRow="0" w:firstColumn="1" w:lastColumn="0" w:noHBand="0" w:noVBand="1"/>
      </w:tblPr>
      <w:tblGrid>
        <w:gridCol w:w="5202"/>
        <w:gridCol w:w="5141"/>
        <w:gridCol w:w="4910"/>
      </w:tblGrid>
      <w:tr w:rsidR="0088383A" w:rsidRPr="00D03BEA" w14:paraId="65F119DE" w14:textId="77777777" w:rsidTr="008768E0">
        <w:trPr>
          <w:trHeight w:val="847"/>
        </w:trPr>
        <w:tc>
          <w:tcPr>
            <w:tcW w:w="5202" w:type="dxa"/>
          </w:tcPr>
          <w:p w14:paraId="6D58E262" w14:textId="77777777" w:rsidR="0088383A" w:rsidRPr="00D03BEA" w:rsidRDefault="0088383A" w:rsidP="008768E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03BEA">
              <w:rPr>
                <w:b/>
                <w:sz w:val="24"/>
                <w:szCs w:val="24"/>
                <w:shd w:val="clear" w:color="auto" w:fill="FFFFFF"/>
              </w:rPr>
              <w:t>Редакція проекту рішення НКРЕКП</w:t>
            </w:r>
            <w:r w:rsidRPr="00D03BEA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5F1AD7C" w14:textId="77777777" w:rsidR="0088383A" w:rsidRPr="00D03BEA" w:rsidRDefault="0088383A" w:rsidP="008768E0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141" w:type="dxa"/>
          </w:tcPr>
          <w:p w14:paraId="23992678" w14:textId="77777777" w:rsidR="0088383A" w:rsidRPr="00D03BEA" w:rsidRDefault="0088383A" w:rsidP="008768E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03BEA">
              <w:rPr>
                <w:b/>
                <w:sz w:val="24"/>
                <w:szCs w:val="24"/>
                <w:shd w:val="clear" w:color="auto" w:fill="FFFFFF"/>
              </w:rPr>
              <w:t>Зауваження та пропозиції до проекту рішення НКРЕКП</w:t>
            </w:r>
            <w:r w:rsidRPr="00D03BEA">
              <w:rPr>
                <w:b/>
                <w:bCs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910" w:type="dxa"/>
          </w:tcPr>
          <w:p w14:paraId="45659AD1" w14:textId="77777777" w:rsidR="0088383A" w:rsidRPr="00D03BEA" w:rsidRDefault="0088383A" w:rsidP="008768E0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D03BEA">
              <w:rPr>
                <w:b/>
                <w:sz w:val="24"/>
                <w:szCs w:val="24"/>
                <w:shd w:val="clear" w:color="auto" w:fill="FFFFFF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88383A" w:rsidRPr="00E408FE" w14:paraId="27F525AA" w14:textId="77777777" w:rsidTr="008768E0">
        <w:tc>
          <w:tcPr>
            <w:tcW w:w="5202" w:type="dxa"/>
          </w:tcPr>
          <w:p w14:paraId="6D7A4099" w14:textId="77777777" w:rsidR="0088383A" w:rsidRDefault="0088383A" w:rsidP="008768E0">
            <w:pPr>
              <w:spacing w:after="0"/>
              <w:jc w:val="both"/>
              <w:rPr>
                <w:bCs/>
                <w:sz w:val="24"/>
                <w:szCs w:val="24"/>
              </w:rPr>
            </w:pPr>
          </w:p>
          <w:p w14:paraId="060D1D74" w14:textId="77777777" w:rsidR="00E408FE" w:rsidRPr="00E408FE" w:rsidRDefault="00E408FE" w:rsidP="00E408FE">
            <w:pPr>
              <w:shd w:val="clear" w:color="auto" w:fill="FFFFFF"/>
              <w:tabs>
                <w:tab w:val="left" w:pos="709"/>
                <w:tab w:val="left" w:pos="993"/>
              </w:tabs>
              <w:spacing w:after="0" w:line="240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     1</w:t>
            </w:r>
            <w:r w:rsidRPr="00E408FE">
              <w:rPr>
                <w:bCs/>
                <w:sz w:val="24"/>
                <w:szCs w:val="24"/>
                <w:shd w:val="clear" w:color="auto" w:fill="FFFFFF"/>
              </w:rPr>
              <w:t>) підпункти 2 та 3 пункту 1.3 замінити новими підпунктами 2 – 5 такого змісту:</w:t>
            </w:r>
          </w:p>
          <w:p w14:paraId="402FA5F6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bCs/>
                <w:shd w:val="clear" w:color="auto" w:fill="FFFFFF"/>
                <w:lang w:val="uk-UA"/>
              </w:rPr>
              <w:t xml:space="preserve">«2) </w:t>
            </w:r>
            <w:r w:rsidRPr="00E408FE">
              <w:rPr>
                <w:lang w:val="uk-UA"/>
              </w:rPr>
              <w:t>виробниками електричної енергії, що виробляють електричну енергію з альтернативних джерел енергії,  яким встановлено «зелений» тариф та які перебувають у балансуючій групі гарантованого покупця, за таких умов:</w:t>
            </w:r>
          </w:p>
          <w:p w14:paraId="7EFE9865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відбір електричної енергії здійснюється установкою зберігання енергії виключно від власних генеруючих установок у місці провадження ліцензованої діяльності з виробництва електричної енергії;</w:t>
            </w:r>
          </w:p>
          <w:p w14:paraId="08294638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у будь-який момент часу потужність, з якою здійснюється відпуск електричної енергії, не перевищує встановлену потужність електроустановок такого виробника відповідно до ліцензії на провадження господарської діяльності з виробництва електричної енергії;</w:t>
            </w:r>
          </w:p>
          <w:p w14:paraId="327778A2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 xml:space="preserve">наявності окремого комерційного обліку електричної енергії, перетікання якої здійснено до/з установки зберігання енергії, відповідно до вимог Кодексу комерційного обліку електричної енергії, затвердженого постановою НКРЕКП від </w:t>
            </w:r>
            <w:r w:rsidRPr="00E408FE">
              <w:rPr>
                <w:lang w:val="uk-UA"/>
              </w:rPr>
              <w:lastRenderedPageBreak/>
              <w:t>14 березня 2018 року № 311 (далі - Кодекс комерційного обліку);</w:t>
            </w:r>
          </w:p>
          <w:p w14:paraId="2C5BB1B9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</w:p>
          <w:p w14:paraId="54BDDC00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3) виробниками електричної енергії, що виробляють електричну енергію з альтернативних джерел енергії, яким встановлено «зелений» тариф та які не входять до складу балансуючої групи гарантованого покупця, за таких умов:</w:t>
            </w:r>
          </w:p>
          <w:p w14:paraId="12ADC505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відбору електричної енергії установкою зберігання енергії від його власних генеруючих установок та/або з мереж оператора системи передачі чи оператора системи розподілу у місці провадження ліцензованої діяльності з виробництва, якщо в будь-який момент часу сумарна потужність,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електричної енергії, не перевищує замовленої до приєднання потужності, з урахуванням дозволеної (договірної) потужності електроустановок такого виробника в місці провадження ліцензованої діяльності згідно з договором про приєднання;</w:t>
            </w:r>
          </w:p>
          <w:p w14:paraId="2F6BFC34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наявності окремого комерційного обліку електричної енергії, перетікання якої здійснено до/з установки зберігання енергії, відповідно до вимог Кодексу комерційного обліку;</w:t>
            </w:r>
          </w:p>
          <w:p w14:paraId="5CB710E2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val="uk-UA"/>
              </w:rPr>
            </w:pPr>
          </w:p>
          <w:p w14:paraId="760F9E91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 xml:space="preserve">4) виробниками електричної енергії, що виробляють електричну енергію з </w:t>
            </w:r>
            <w:r w:rsidRPr="00E408FE">
              <w:rPr>
                <w:lang w:val="uk-UA"/>
              </w:rPr>
              <w:lastRenderedPageBreak/>
              <w:t>альтернативних джерел енергії,  які за результатами аукціону набули право на підтримку, та виробниками електричної енергії, які не мають права на підтримку, у місці провадження ліцензованої діяльності з виробництва електричної енергії за таких умов:</w:t>
            </w:r>
          </w:p>
          <w:p w14:paraId="5043132A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відбору електричної енергії установкою зберігання енергії від їх власних генеруючих установок та/або з мереж оператора системи передачі чи оператора системи розподілу, якщо в будь-який момент часу сумарна потужність,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електричної енергії, не перевищує замовленої до приєднання потужності з урахуванням дозволеної (договірної) потужності електроустановок такого виробника в місці провадження ліцензованої діяльності згідно з договором про приєднання;</w:t>
            </w:r>
          </w:p>
          <w:p w14:paraId="38432114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наявності окремого комерційного обліку електричної енергії, перетікання якої здійснено до/з установки зберігання енергії, відповідно до вимог Кодексу комерційного обліку;</w:t>
            </w:r>
          </w:p>
          <w:p w14:paraId="0258C88C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lang w:val="uk-UA"/>
              </w:rPr>
            </w:pPr>
          </w:p>
          <w:p w14:paraId="231252E4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 xml:space="preserve">5) </w:t>
            </w:r>
            <w:r w:rsidRPr="00E408FE">
              <w:rPr>
                <w:b/>
                <w:lang w:val="uk-UA"/>
              </w:rPr>
              <w:t>іншими</w:t>
            </w:r>
            <w:r w:rsidRPr="00E408FE">
              <w:rPr>
                <w:lang w:val="uk-UA"/>
              </w:rPr>
              <w:t xml:space="preserve"> виробниками електричної енергії в місці провадження ліцензованої діяльності з виробництва електричної енергії, за таких умов:</w:t>
            </w:r>
          </w:p>
          <w:p w14:paraId="1102B8DE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 xml:space="preserve">відбору електричної енергії установкою зберігання енергії від їх власних генеруючих установок та/або з мереж оператора системи розподілу чи оператора системи передачі, якщо </w:t>
            </w:r>
            <w:r w:rsidRPr="00E408FE">
              <w:rPr>
                <w:lang w:val="uk-UA"/>
              </w:rPr>
              <w:lastRenderedPageBreak/>
              <w:t>в будь-який момент часу сумарна потужність,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енергії, не перевищує замовленої до приєднання потужності, з урахуванням дозволеної (договірної) потужності виробництва та споживання електричної енергії (відповідно) електроустановок такого виробника в місці провадження ліцензованої діяльності згідно з договором про приєднання таких електроустановок;</w:t>
            </w:r>
          </w:p>
          <w:p w14:paraId="307AE46E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наявності окремого комерційного обліку електричної енергії, перетікання якої здійснюється до/з установки зберігання енергії, відповідно до вимог Кодексу комерційного обліку;».</w:t>
            </w:r>
          </w:p>
          <w:p w14:paraId="759A2A3F" w14:textId="77777777" w:rsidR="0088383A" w:rsidRPr="008210A6" w:rsidRDefault="0088383A" w:rsidP="00BD792F">
            <w:pPr>
              <w:spacing w:after="0"/>
              <w:ind w:firstLine="306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141" w:type="dxa"/>
          </w:tcPr>
          <w:p w14:paraId="3653AE5F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355332D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69915D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9E6F647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C82C53B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FD52E3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059EBC4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4B66923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4EC40A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6781CF5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8FBACE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A2437B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A792FC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629F0A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201317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72D2BDE6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9CC187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5D2728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57F9555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7A90A8E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AABB92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8E9BDFE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A2A8A0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CFEC0DB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4396AE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9C5DAA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66148B9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D2FD32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EC52363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BEB7617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31E242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65CBC4F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EB116FD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ACBBE27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54ABAA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7EE691DE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E76FA9D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5795AB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7B9AC85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7C03CC73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8C74FE3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15097E6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BE023A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00C39F8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BCA93F7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59B59D9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3D2CD99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0926326A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968B918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191841D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68647CB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087D08DF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FCA097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4DAB5E9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58179A6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3248C27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C218C8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E1836F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20240A2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B764D95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48B38F4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C14AACD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FE9633A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79058FF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7B31FED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0DDCB984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67C5BE7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827C573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8CEA2C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A4833AA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4EF2EC81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867F258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6C8FFE0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080CE90E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725565CC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12F274A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1903162E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2676A373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30694A38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52511F35" w14:textId="77777777" w:rsidR="00E408FE" w:rsidRDefault="00E408FE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  <w:p w14:paraId="0D271E6E" w14:textId="77777777" w:rsidR="0088383A" w:rsidRPr="00022C2F" w:rsidRDefault="0088383A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  <w:r w:rsidRPr="00022C2F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ТОВ 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«</w:t>
            </w:r>
            <w:r w:rsidRPr="0088383A">
              <w:rPr>
                <w:b/>
                <w:sz w:val="24"/>
                <w:szCs w:val="24"/>
                <w:u w:val="single"/>
              </w:rPr>
              <w:t>ГС-ТРЕЙДИНГ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»</w:t>
            </w:r>
          </w:p>
          <w:p w14:paraId="30C72433" w14:textId="77777777" w:rsidR="0088383A" w:rsidRPr="00E408FE" w:rsidRDefault="0088383A" w:rsidP="00E408FE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sz w:val="24"/>
                <w:szCs w:val="24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 xml:space="preserve">Пропозиції:  підпункт  5 </w:t>
            </w:r>
            <w:r w:rsidRPr="00E408FE">
              <w:rPr>
                <w:b/>
                <w:sz w:val="24"/>
                <w:szCs w:val="24"/>
              </w:rPr>
              <w:t>викласти в такій редакції:</w:t>
            </w:r>
          </w:p>
          <w:p w14:paraId="62C481E1" w14:textId="77777777" w:rsidR="00E408FE" w:rsidRPr="00E408FE" w:rsidRDefault="0088383A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  <w:r w:rsidRPr="00E408FE">
              <w:rPr>
                <w:bCs/>
                <w:lang w:val="uk-UA"/>
              </w:rPr>
              <w:t xml:space="preserve">«5) </w:t>
            </w:r>
            <w:r w:rsidR="00E408FE" w:rsidRPr="00E408FE">
              <w:rPr>
                <w:b/>
                <w:strike/>
                <w:lang w:val="uk-UA"/>
              </w:rPr>
              <w:t>іншими</w:t>
            </w:r>
            <w:r w:rsidR="00E408FE" w:rsidRPr="00E408FE">
              <w:rPr>
                <w:lang w:val="uk-UA"/>
              </w:rPr>
              <w:t xml:space="preserve"> виробниками електричної енергії в місці провадження ліцензованої діяльності з виробництва електричної енергії, за таких умов:</w:t>
            </w:r>
          </w:p>
          <w:p w14:paraId="27B78E46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lastRenderedPageBreak/>
              <w:t>відбору електричної енергії установкою зберігання енергії від їх власних генеруючих установок та/або з мереж оператора системи розподілу чи оператора системи передачі, якщо в будь-який момент часу сумарна потужність,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енергії, не перевищує замовленої до приєднання потужності, з урахуванням дозволеної (договірної) потужності виробництва та споживання електричної енергії (відповідно) електроустановок такого виробника в місці провадження ліцензованої діяльності згідно з договором про приєднання таких електроустановок;</w:t>
            </w:r>
          </w:p>
          <w:p w14:paraId="47D9DEBC" w14:textId="77777777" w:rsidR="0088383A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наявності окремого комерційного обліку електричної енергії, перетікання якої здійснюється до/з установки зберігання енергії, відповідно до вимог Кодексу комерційного обліку;».</w:t>
            </w:r>
          </w:p>
          <w:p w14:paraId="0C429AD5" w14:textId="77777777" w:rsidR="00E408FE" w:rsidRPr="00E408FE" w:rsidRDefault="00E408FE" w:rsidP="00E408FE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</w:p>
          <w:p w14:paraId="723A8A42" w14:textId="77777777" w:rsidR="0088383A" w:rsidRDefault="0088383A" w:rsidP="0088383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sz w:val="22"/>
                <w:szCs w:val="22"/>
                <w:lang w:val="uk-UA"/>
              </w:rPr>
            </w:pPr>
            <w:r w:rsidRPr="00022C2F">
              <w:rPr>
                <w:bCs/>
                <w:i/>
                <w:u w:val="single"/>
                <w:shd w:val="clear" w:color="auto" w:fill="FFFFFF"/>
                <w:lang w:val="uk-UA"/>
              </w:rPr>
              <w:t>Обґрунтування</w:t>
            </w:r>
            <w:r w:rsidRPr="00022C2F">
              <w:rPr>
                <w:bCs/>
                <w:shd w:val="clear" w:color="auto" w:fill="FFFFFF"/>
                <w:lang w:val="uk-UA"/>
              </w:rPr>
              <w:t xml:space="preserve">: </w:t>
            </w:r>
            <w:bookmarkStart w:id="1" w:name="n276"/>
            <w:bookmarkEnd w:id="1"/>
            <w:r>
              <w:rPr>
                <w:bCs/>
                <w:shd w:val="clear" w:color="auto" w:fill="FFFFFF"/>
                <w:lang w:val="uk-UA"/>
              </w:rPr>
              <w:t>з</w:t>
            </w:r>
            <w:r w:rsidRPr="00E95F04">
              <w:rPr>
                <w:sz w:val="22"/>
                <w:szCs w:val="22"/>
                <w:lang w:val="uk-UA"/>
              </w:rPr>
              <w:t xml:space="preserve"> огляду на зазначене, пропонуємо внести корективи в поточну редакцію</w:t>
            </w:r>
            <w:r>
              <w:rPr>
                <w:sz w:val="22"/>
                <w:szCs w:val="22"/>
                <w:lang w:val="uk-UA"/>
              </w:rPr>
              <w:t xml:space="preserve"> проєкту</w:t>
            </w:r>
            <w:r w:rsidRPr="00E95F04">
              <w:rPr>
                <w:sz w:val="22"/>
                <w:szCs w:val="22"/>
                <w:lang w:val="uk-UA"/>
              </w:rPr>
              <w:t xml:space="preserve">, </w:t>
            </w:r>
            <w:r>
              <w:rPr>
                <w:sz w:val="22"/>
                <w:szCs w:val="22"/>
                <w:lang w:val="uk-UA"/>
              </w:rPr>
              <w:t>тим самим</w:t>
            </w:r>
            <w:r w:rsidRPr="00E95F04">
              <w:rPr>
                <w:sz w:val="22"/>
                <w:szCs w:val="22"/>
                <w:lang w:val="uk-UA"/>
              </w:rPr>
              <w:t xml:space="preserve"> врахува</w:t>
            </w:r>
            <w:r>
              <w:rPr>
                <w:sz w:val="22"/>
                <w:szCs w:val="22"/>
                <w:lang w:val="uk-UA"/>
              </w:rPr>
              <w:t>вши</w:t>
            </w:r>
            <w:r w:rsidRPr="00E95F04">
              <w:rPr>
                <w:sz w:val="22"/>
                <w:szCs w:val="22"/>
                <w:lang w:val="uk-UA"/>
              </w:rPr>
              <w:t xml:space="preserve"> інтереси малих виробників</w:t>
            </w:r>
            <w:r>
              <w:rPr>
                <w:sz w:val="22"/>
                <w:szCs w:val="22"/>
                <w:lang w:val="uk-UA"/>
              </w:rPr>
              <w:t>, що дозволить</w:t>
            </w:r>
            <w:r w:rsidRPr="00E95F04">
              <w:rPr>
                <w:sz w:val="22"/>
                <w:szCs w:val="22"/>
                <w:lang w:val="uk-UA"/>
              </w:rPr>
              <w:t xml:space="preserve"> змен</w:t>
            </w:r>
            <w:r>
              <w:rPr>
                <w:sz w:val="22"/>
                <w:szCs w:val="22"/>
                <w:lang w:val="uk-UA"/>
              </w:rPr>
              <w:t>шити</w:t>
            </w:r>
            <w:r w:rsidRPr="00E95F04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адміністративне навантаження на </w:t>
            </w:r>
            <w:proofErr w:type="spellStart"/>
            <w:r>
              <w:rPr>
                <w:sz w:val="22"/>
                <w:szCs w:val="22"/>
                <w:lang w:val="uk-UA"/>
              </w:rPr>
              <w:t>невиликих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виробників електроенергії та стимулюватиме розвиток УЗЕ невеликої потужності.</w:t>
            </w:r>
          </w:p>
          <w:p w14:paraId="4AD6FE9C" w14:textId="77777777" w:rsidR="00737FDF" w:rsidRDefault="00737FDF" w:rsidP="0088383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  <w:lang w:val="uk-UA" w:eastAsia="uk-UA"/>
              </w:rPr>
            </w:pPr>
          </w:p>
          <w:p w14:paraId="34F29198" w14:textId="77777777" w:rsidR="00737FDF" w:rsidRDefault="00737FDF" w:rsidP="0088383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  <w:lang w:val="uk-UA" w:eastAsia="uk-UA"/>
              </w:rPr>
            </w:pPr>
          </w:p>
          <w:p w14:paraId="58C855C6" w14:textId="77777777" w:rsidR="00737FDF" w:rsidRDefault="00737FDF" w:rsidP="0088383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  <w:lang w:val="uk-UA" w:eastAsia="uk-UA"/>
              </w:rPr>
            </w:pPr>
          </w:p>
          <w:p w14:paraId="188F79CE" w14:textId="77777777" w:rsidR="00737FDF" w:rsidRPr="00022C2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lastRenderedPageBreak/>
              <w:t>НЕК</w:t>
            </w:r>
            <w:r w:rsidRPr="00022C2F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«</w:t>
            </w:r>
            <w:r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УКРЕНЕРГО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»</w:t>
            </w:r>
          </w:p>
          <w:p w14:paraId="53408463" w14:textId="77777777" w:rsidR="00737FD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sz w:val="24"/>
                <w:szCs w:val="24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 xml:space="preserve">Пропозиції:  підпункт  5 </w:t>
            </w:r>
            <w:r w:rsidRPr="00E408FE">
              <w:rPr>
                <w:b/>
                <w:sz w:val="24"/>
                <w:szCs w:val="24"/>
              </w:rPr>
              <w:t>викласти в такій редакції:</w:t>
            </w:r>
          </w:p>
          <w:p w14:paraId="6D23BEC7" w14:textId="77777777" w:rsidR="00737FDF" w:rsidRPr="00E408FE" w:rsidRDefault="00737FDF" w:rsidP="00737FDF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  <w:r w:rsidRPr="00E408FE">
              <w:rPr>
                <w:bCs/>
                <w:lang w:val="uk-UA"/>
              </w:rPr>
              <w:t xml:space="preserve">5) </w:t>
            </w:r>
            <w:r w:rsidRPr="00737FDF">
              <w:rPr>
                <w:lang w:val="uk-UA"/>
              </w:rPr>
              <w:t>іншими</w:t>
            </w:r>
            <w:r w:rsidRPr="00E408FE">
              <w:rPr>
                <w:lang w:val="uk-UA"/>
              </w:rPr>
              <w:t xml:space="preserve"> виробниками електричної енергії в місці провадження ліцензованої діяльності з виробництва електричної енергії, за таких умов:</w:t>
            </w:r>
          </w:p>
          <w:p w14:paraId="0F5AB8F4" w14:textId="77777777" w:rsidR="00737FDF" w:rsidRPr="00E408FE" w:rsidRDefault="00737FDF" w:rsidP="00737FDF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відбору електричної енергії установкою зберігання енергії від їх власних генеруючих установок та/або з мереж оператора системи розподілу чи оператора системи передачі, якщо в будь-який момент часу сумарна потужність,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енергії, не перевищує замовленої до приєднання потужності, з урахуванням дозволеної (договірної) потужності виробництва та споживання електричної енергії (відповідно) електроустановок такого виробника в місці провадження ліцензованої діяльності згідно з договором про приєднання таких електроустановок;</w:t>
            </w:r>
          </w:p>
          <w:p w14:paraId="26762868" w14:textId="77777777" w:rsidR="00737FDF" w:rsidRDefault="00737FDF" w:rsidP="00737FDF">
            <w:pPr>
              <w:pStyle w:val="rvps2"/>
              <w:shd w:val="clear" w:color="auto" w:fill="FFFFFF"/>
              <w:spacing w:before="0" w:beforeAutospacing="0" w:after="0" w:afterAutospacing="0"/>
              <w:ind w:firstLine="361"/>
              <w:jc w:val="both"/>
              <w:rPr>
                <w:lang w:val="uk-UA"/>
              </w:rPr>
            </w:pPr>
            <w:r w:rsidRPr="00E408FE">
              <w:rPr>
                <w:lang w:val="uk-UA"/>
              </w:rPr>
              <w:t>наявності окремого комерційного обліку електричної енергії, перетікання якої здійснюється до/з установки зберігання енергії, відповідно до вимог Кодексу комерційного обліку;</w:t>
            </w:r>
            <w:r w:rsidRPr="00737FDF">
              <w:rPr>
                <w:b/>
                <w:strike/>
                <w:lang w:val="uk-UA"/>
              </w:rPr>
              <w:t>».</w:t>
            </w:r>
          </w:p>
          <w:p w14:paraId="1DF8E75D" w14:textId="77777777" w:rsidR="00737FD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sz w:val="24"/>
                <w:szCs w:val="24"/>
              </w:rPr>
            </w:pPr>
          </w:p>
          <w:p w14:paraId="70D09C7F" w14:textId="77777777" w:rsidR="00737FDF" w:rsidRPr="00737FD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sz w:val="24"/>
                <w:szCs w:val="24"/>
              </w:rPr>
            </w:pPr>
            <w:r w:rsidRPr="00737FDF">
              <w:rPr>
                <w:bCs/>
                <w:i/>
                <w:sz w:val="24"/>
                <w:szCs w:val="24"/>
                <w:u w:val="single"/>
                <w:shd w:val="clear" w:color="auto" w:fill="FFFFFF"/>
              </w:rPr>
              <w:t>Обґрунтування</w:t>
            </w:r>
            <w:r w:rsidRPr="00737FDF">
              <w:rPr>
                <w:bCs/>
                <w:sz w:val="24"/>
                <w:szCs w:val="24"/>
                <w:shd w:val="clear" w:color="auto" w:fill="FFFFFF"/>
              </w:rPr>
              <w:t>: редакційна правка</w:t>
            </w:r>
          </w:p>
          <w:p w14:paraId="0E109971" w14:textId="77777777" w:rsidR="00737FDF" w:rsidRPr="0088383A" w:rsidRDefault="00737FDF" w:rsidP="0088383A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333333"/>
                <w:lang w:val="uk-UA" w:eastAsia="uk-UA"/>
              </w:rPr>
            </w:pPr>
          </w:p>
        </w:tc>
        <w:tc>
          <w:tcPr>
            <w:tcW w:w="4910" w:type="dxa"/>
          </w:tcPr>
          <w:p w14:paraId="2DDB4DB5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140E16F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1154082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7588541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9FCFA23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914DD4C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07A5227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FAE55B7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E1B4C7D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85211EE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F86ABFC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C8091D4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B673D18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29F9BB5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0254E5D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23C16EF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6489DCC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ADA862E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C5A8248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744C965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4EED4DF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9695D29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A27A1F9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D7D8A26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429B296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EB51C14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5030135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F523535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FCFFBE8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8FFE253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B9A6B56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E148C46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5561E97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3E0536F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FED953B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882ABFB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80CBB30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B75F5C8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762CF39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4B4A82E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1A4CAD2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A05B987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8AB1E59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7B81FEA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DAD16D8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4523735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11CC4D2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7B77A97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4E6C594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43686A0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AD76306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3FE87D1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6AD1DF6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4A6359AE" w14:textId="77777777" w:rsidR="00E408FE" w:rsidRPr="00E408FE" w:rsidRDefault="00E408FE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 xml:space="preserve">   </w:t>
            </w:r>
          </w:p>
          <w:p w14:paraId="607456F4" w14:textId="77777777" w:rsidR="0088383A" w:rsidRPr="00E408FE" w:rsidRDefault="0088383A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>Не враховано</w:t>
            </w:r>
            <w:r w:rsidR="00737FDF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  <w:p w14:paraId="6A38BA4F" w14:textId="77777777" w:rsidR="00E408FE" w:rsidRDefault="00E408FE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>Пропозиція не узгоджується з вимогами абз.3 часини першої статті 30 Закону України «Про ринок електричної енергії», відповідно до якої</w:t>
            </w:r>
            <w:r w:rsidR="00737FDF">
              <w:rPr>
                <w:b/>
                <w:bCs/>
                <w:sz w:val="24"/>
                <w:szCs w:val="24"/>
                <w:shd w:val="clear" w:color="auto" w:fill="FFFFFF"/>
              </w:rPr>
              <w:t>: «</w:t>
            </w:r>
            <w:r w:rsidR="00737FDF">
              <w:rPr>
                <w:sz w:val="24"/>
                <w:szCs w:val="24"/>
                <w:shd w:val="clear" w:color="auto" w:fill="FFFFFF"/>
              </w:rPr>
              <w:t>К</w:t>
            </w:r>
            <w:r w:rsidRPr="00E408FE">
              <w:rPr>
                <w:sz w:val="24"/>
                <w:szCs w:val="24"/>
                <w:shd w:val="clear" w:color="auto" w:fill="FFFFFF"/>
              </w:rPr>
              <w:t>рім випадків, визначених </w:t>
            </w:r>
            <w:hyperlink r:id="rId5" w:anchor="n2699" w:history="1">
              <w:r w:rsidRPr="00E408FE">
                <w:rPr>
                  <w:rStyle w:val="a5"/>
                  <w:color w:val="auto"/>
                  <w:sz w:val="24"/>
                  <w:szCs w:val="24"/>
                  <w:shd w:val="clear" w:color="auto" w:fill="FFFFFF"/>
                </w:rPr>
                <w:t>частиною восьмою</w:t>
              </w:r>
            </w:hyperlink>
            <w:r w:rsidRPr="00E408FE">
              <w:rPr>
                <w:sz w:val="24"/>
                <w:szCs w:val="24"/>
                <w:shd w:val="clear" w:color="auto" w:fill="FFFFFF"/>
              </w:rPr>
              <w:t xml:space="preserve"> статті 71 </w:t>
            </w:r>
            <w:r w:rsidRPr="00E408FE">
              <w:rPr>
                <w:sz w:val="24"/>
                <w:szCs w:val="24"/>
                <w:shd w:val="clear" w:color="auto" w:fill="FFFFFF"/>
              </w:rPr>
              <w:lastRenderedPageBreak/>
              <w:t xml:space="preserve">цього Закону, виробник має право здійснювати відбір електричної енергії установкою зберігання енергії від власних генеруючих установок та/або з мереж оператора системи розподілу чи оператора системи передачі у місці провадження ліцензованої діяльності з виробництва без отримання ліцензії на провадження господарської діяльності із зберігання енергії, якщо в будь-який момент часу сумарна потужність,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енергії, не перевищує замовленої до приєднання потужності, з урахуванням дозволеної (договірної) потужності виробництва та споживання електричної енергії (відповідно) електроустановок такого виробника в місці провадження ліцензованої діяльності згідно з договором про приєднання таких електроустановок та за наявності окремого комерційного обліку електричної енергії, перетікання якої здійснюється до/з установки зберігання енергії, відповідно </w:t>
            </w:r>
            <w:r w:rsidRPr="00E408FE">
              <w:rPr>
                <w:color w:val="333333"/>
                <w:sz w:val="24"/>
                <w:szCs w:val="24"/>
                <w:shd w:val="clear" w:color="auto" w:fill="FFFFFF"/>
              </w:rPr>
              <w:t>до вимог </w:t>
            </w:r>
            <w:hyperlink r:id="rId6" w:anchor="n9" w:tgtFrame="_blank" w:history="1">
              <w:r w:rsidRPr="00E408FE">
                <w:rPr>
                  <w:rStyle w:val="a5"/>
                  <w:color w:val="000099"/>
                  <w:sz w:val="24"/>
                  <w:szCs w:val="24"/>
                  <w:shd w:val="clear" w:color="auto" w:fill="FFFFFF"/>
                </w:rPr>
                <w:t>кодексу комерційного обліку</w:t>
              </w:r>
            </w:hyperlink>
            <w:r w:rsidRPr="00E408FE">
              <w:rPr>
                <w:color w:val="333333"/>
                <w:sz w:val="24"/>
                <w:szCs w:val="24"/>
                <w:shd w:val="clear" w:color="auto" w:fill="FFFFFF"/>
              </w:rPr>
              <w:t>.</w:t>
            </w:r>
            <w:r w:rsidR="00737FDF">
              <w:rPr>
                <w:color w:val="333333"/>
                <w:sz w:val="24"/>
                <w:szCs w:val="24"/>
                <w:shd w:val="clear" w:color="auto" w:fill="FFFFFF"/>
              </w:rPr>
              <w:t>»</w:t>
            </w:r>
          </w:p>
          <w:p w14:paraId="1D506994" w14:textId="77777777" w:rsidR="00737FDF" w:rsidRDefault="00737FDF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0EF166D" w14:textId="77777777" w:rsidR="00737FDF" w:rsidRDefault="00737FDF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F3C2E42" w14:textId="77777777" w:rsidR="00737FDF" w:rsidRDefault="00737FDF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2C791F0" w14:textId="77777777" w:rsidR="00737FDF" w:rsidRDefault="00737FDF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D36769B" w14:textId="77777777" w:rsidR="00737FDF" w:rsidRDefault="00737FDF" w:rsidP="00E408FE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D711105" w14:textId="77777777" w:rsidR="00737FDF" w:rsidRPr="00E408FE" w:rsidRDefault="00737FDF" w:rsidP="00737FDF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lastRenderedPageBreak/>
              <w:t>Не враховано</w:t>
            </w:r>
          </w:p>
          <w:p w14:paraId="45A6B832" w14:textId="7F5EC4CD" w:rsidR="00737FDF" w:rsidRPr="00737FDF" w:rsidRDefault="00737FDF" w:rsidP="00737FDF">
            <w:pPr>
              <w:shd w:val="clear" w:color="auto" w:fill="FFFFFF"/>
              <w:tabs>
                <w:tab w:val="left" w:pos="993"/>
              </w:tabs>
              <w:spacing w:after="0" w:line="240" w:lineRule="auto"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Запропонована правка не відповідає </w:t>
            </w:r>
            <w:r w:rsidR="008210A6" w:rsidRPr="008210A6">
              <w:rPr>
                <w:b/>
                <w:bCs/>
                <w:sz w:val="24"/>
                <w:szCs w:val="24"/>
                <w:shd w:val="clear" w:color="auto" w:fill="FFFFFF"/>
              </w:rPr>
              <w:t>дотриманн</w:t>
            </w:r>
            <w:r w:rsidR="008210A6">
              <w:rPr>
                <w:b/>
                <w:bCs/>
                <w:sz w:val="24"/>
                <w:szCs w:val="24"/>
                <w:shd w:val="clear" w:color="auto" w:fill="FFFFFF"/>
              </w:rPr>
              <w:t>ю</w:t>
            </w:r>
            <w:r w:rsidR="008210A6" w:rsidRPr="008210A6">
              <w:rPr>
                <w:b/>
                <w:bCs/>
                <w:sz w:val="24"/>
                <w:szCs w:val="24"/>
                <w:shd w:val="clear" w:color="auto" w:fill="FFFFFF"/>
              </w:rPr>
              <w:t xml:space="preserve"> вимог нормопроектної техніки</w:t>
            </w:r>
            <w:r w:rsidR="008210A6">
              <w:rPr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737FDF" w:rsidRPr="00E408FE" w14:paraId="5A75DB09" w14:textId="77777777" w:rsidTr="008768E0">
        <w:tc>
          <w:tcPr>
            <w:tcW w:w="5202" w:type="dxa"/>
          </w:tcPr>
          <w:p w14:paraId="02B2B9E3" w14:textId="77777777" w:rsidR="00737FDF" w:rsidRPr="00737FDF" w:rsidRDefault="00737FDF" w:rsidP="00737FDF">
            <w:pPr>
              <w:pStyle w:val="a4"/>
              <w:numPr>
                <w:ilvl w:val="0"/>
                <w:numId w:val="1"/>
              </w:numPr>
              <w:shd w:val="clear" w:color="auto" w:fill="FFFFFF"/>
              <w:tabs>
                <w:tab w:val="left" w:pos="709"/>
                <w:tab w:val="left" w:pos="1134"/>
              </w:tabs>
              <w:ind w:left="0" w:firstLine="306"/>
              <w:jc w:val="both"/>
              <w:rPr>
                <w:sz w:val="24"/>
                <w:szCs w:val="24"/>
                <w:lang w:val="uk-UA"/>
              </w:rPr>
            </w:pPr>
            <w:r w:rsidRPr="00737FDF">
              <w:rPr>
                <w:sz w:val="24"/>
                <w:szCs w:val="24"/>
                <w:lang w:val="uk-UA"/>
              </w:rPr>
              <w:lastRenderedPageBreak/>
              <w:t>пункт 1.4 після абзацу четвертого доповнити новим абзацом п’ятим такого змісту:</w:t>
            </w:r>
          </w:p>
          <w:p w14:paraId="1D91E5C0" w14:textId="77777777" w:rsidR="00737FDF" w:rsidRPr="00737FDF" w:rsidRDefault="00737FDF" w:rsidP="00737FDF">
            <w:pPr>
              <w:pStyle w:val="rvps2"/>
              <w:shd w:val="clear" w:color="auto" w:fill="FFFFFF"/>
              <w:spacing w:before="0" w:beforeAutospacing="0" w:after="0" w:afterAutospacing="0"/>
              <w:ind w:firstLine="306"/>
              <w:jc w:val="both"/>
              <w:rPr>
                <w:lang w:val="uk-UA"/>
              </w:rPr>
            </w:pPr>
            <w:r w:rsidRPr="00737FDF">
              <w:rPr>
                <w:lang w:val="uk-UA"/>
              </w:rPr>
              <w:t xml:space="preserve"> «номінальна (встановлена) потужність установки зберігання електричної енергії – максимальна довготривала активна потужність, визначена заводом-виробником, з якою установка зберігання електричної енергії технічно спроможна здійснювати відпуск або відбір електричної енергії  (визначається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енергії, які визначаються заводом-виробником).».</w:t>
            </w:r>
          </w:p>
          <w:p w14:paraId="0127B7A5" w14:textId="77777777" w:rsidR="00737FDF" w:rsidRPr="008210A6" w:rsidRDefault="00737FDF" w:rsidP="008768E0">
            <w:pPr>
              <w:spacing w:after="0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41" w:type="dxa"/>
          </w:tcPr>
          <w:p w14:paraId="6BBCE498" w14:textId="77777777" w:rsidR="00737FDF" w:rsidRPr="00022C2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НЕК</w:t>
            </w:r>
            <w:r w:rsidRPr="00022C2F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«</w:t>
            </w:r>
            <w:r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УКРЕНЕРГО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»</w:t>
            </w:r>
          </w:p>
          <w:p w14:paraId="489A8924" w14:textId="77777777" w:rsidR="00737FD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 xml:space="preserve">Пропозиції:  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>новий абзац п’ятий</w:t>
            </w:r>
            <w:r w:rsidR="00BD523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пункту 1.4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виключити</w:t>
            </w:r>
          </w:p>
          <w:p w14:paraId="6B8BFB13" w14:textId="77777777" w:rsidR="00737FDF" w:rsidRDefault="00737FDF" w:rsidP="00737FDF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42BEF4D" w14:textId="77777777" w:rsidR="00BD5238" w:rsidRPr="00BD5238" w:rsidRDefault="00737FDF" w:rsidP="00BD5238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D5238">
              <w:rPr>
                <w:bCs/>
                <w:i/>
                <w:sz w:val="24"/>
                <w:szCs w:val="24"/>
                <w:u w:val="single"/>
                <w:shd w:val="clear" w:color="auto" w:fill="FFFFFF"/>
              </w:rPr>
              <w:t>Обґрунтування</w:t>
            </w:r>
            <w:r w:rsidRPr="00BD5238">
              <w:rPr>
                <w:bCs/>
                <w:sz w:val="24"/>
                <w:szCs w:val="24"/>
                <w:shd w:val="clear" w:color="auto" w:fill="FFFFFF"/>
              </w:rPr>
              <w:t xml:space="preserve">: </w:t>
            </w:r>
            <w:r w:rsidR="00BD5238" w:rsidRPr="00BD5238">
              <w:rPr>
                <w:bCs/>
                <w:sz w:val="24"/>
                <w:szCs w:val="24"/>
                <w:shd w:val="clear" w:color="auto" w:fill="FFFFFF"/>
              </w:rPr>
              <w:t>п</w:t>
            </w:r>
            <w:r w:rsidR="00BD5238"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унктом 1.4 Кодексу системи передачі наразі передбачено термін: «номінальна (встановлена) потужність УЗЕ </w:t>
            </w:r>
            <w:r w:rsidR="00BD5238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                </w:t>
            </w:r>
            <w:r w:rsidR="00BD5238"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(P </w:t>
            </w:r>
            <w:proofErr w:type="spellStart"/>
            <w:r w:rsidR="00BD5238"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>nom</w:t>
            </w:r>
            <w:proofErr w:type="spellEnd"/>
            <w:r w:rsidR="00BD5238"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>.) - максимальна довготривала активна потужність, визначена заводом-виробником, з якою УЗЕ технічно спроможна здійснювати відпуск або відбір електричної енергії».</w:t>
            </w:r>
          </w:p>
          <w:p w14:paraId="54885049" w14:textId="77777777" w:rsidR="00BD5238" w:rsidRPr="00BD5238" w:rsidRDefault="00BD5238" w:rsidP="00BD5238">
            <w:pPr>
              <w:spacing w:after="0" w:line="240" w:lineRule="auto"/>
              <w:ind w:firstLine="220"/>
              <w:jc w:val="both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  <w:r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 xml:space="preserve">Таким чином, наразі номінальна (встановлена) потужність УЗЕ згідно з КСП може бути визначена </w:t>
            </w:r>
            <w:r w:rsidRPr="00BD5238">
              <w:rPr>
                <w:rFonts w:eastAsia="Times New Roman" w:cstheme="minorHAnsi"/>
                <w:b/>
                <w:sz w:val="24"/>
                <w:szCs w:val="24"/>
                <w:u w:val="single"/>
                <w:lang w:eastAsia="ru-RU"/>
              </w:rPr>
              <w:t>за найбільшим</w:t>
            </w:r>
            <w:r w:rsidRPr="00BD5238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 xml:space="preserve"> показником між потужністю обладнання для відбору і відпуску електричної енергії та потужністю обладнання для перетворення і зберігання енергії, які визначаються заводом-виробником.</w:t>
            </w:r>
          </w:p>
          <w:p w14:paraId="0C7CEF58" w14:textId="77777777" w:rsidR="00BD5238" w:rsidRPr="00BD5238" w:rsidRDefault="00BD5238" w:rsidP="00BD5238">
            <w:pPr>
              <w:spacing w:after="0" w:line="240" w:lineRule="auto"/>
              <w:ind w:firstLine="220"/>
              <w:jc w:val="both"/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</w:pPr>
            <w:r w:rsidRPr="00BD5238">
              <w:rPr>
                <w:rFonts w:eastAsia="Times New Roman" w:cstheme="minorHAnsi"/>
                <w:bCs/>
                <w:sz w:val="24"/>
                <w:szCs w:val="24"/>
                <w:lang w:eastAsia="ru-RU"/>
              </w:rPr>
              <w:t>Зазначений термін концептуально відрізняється від вже наявного терміну у КСП, що може спричинити правову колізію.</w:t>
            </w:r>
          </w:p>
          <w:p w14:paraId="2FF6A8E2" w14:textId="77777777" w:rsidR="00BD5238" w:rsidRPr="00BD5238" w:rsidRDefault="00BD5238" w:rsidP="00BD5238">
            <w:pPr>
              <w:spacing w:after="0" w:line="240" w:lineRule="auto"/>
              <w:ind w:firstLine="220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>З метою уникнення правової колізії пропонуємо розглянути питання щодо внесення відповідних змін  до терміну, визначеному КСП.</w:t>
            </w:r>
          </w:p>
          <w:p w14:paraId="24B9BC7F" w14:textId="77777777" w:rsid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 w:line="240" w:lineRule="auto"/>
              <w:ind w:firstLine="220"/>
              <w:jc w:val="both"/>
              <w:rPr>
                <w:rFonts w:eastAsia="Times New Roman" w:cstheme="minorHAnsi"/>
                <w:sz w:val="24"/>
                <w:szCs w:val="24"/>
                <w:lang w:eastAsia="ru-RU"/>
              </w:rPr>
            </w:pPr>
            <w:r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>Окремо зазначаємо, що у наступному абзаці: "Інші визначення та терміни вживаються в цих Ліцензійних умовах у значеннях, наведених у ...</w:t>
            </w:r>
            <w:hyperlink r:id="rId7" w:anchor="n23" w:tgtFrame="_blank" w:tooltip="https://zakon.rada.gov.ua/rada/show/v0309874-18#n23" w:history="1">
              <w:r w:rsidRPr="00BD5238">
                <w:rPr>
                  <w:rStyle w:val="a5"/>
                  <w:rFonts w:eastAsia="Times New Roman" w:cstheme="minorHAnsi"/>
                  <w:sz w:val="24"/>
                  <w:szCs w:val="24"/>
                  <w:lang w:eastAsia="ru-RU"/>
                </w:rPr>
                <w:t>Кодексі системи передачі</w:t>
              </w:r>
            </w:hyperlink>
            <w:r w:rsidRPr="00BD5238">
              <w:rPr>
                <w:rFonts w:eastAsia="Times New Roman" w:cstheme="minorHAnsi"/>
                <w:sz w:val="24"/>
                <w:szCs w:val="24"/>
                <w:lang w:eastAsia="ru-RU"/>
              </w:rPr>
              <w:t>, затвердженому постановою НКРЕКП від 14 березня 2018 року № 309 (далі - Кодекс системи передачі),...".</w:t>
            </w:r>
          </w:p>
          <w:p w14:paraId="0481182D" w14:textId="77777777" w:rsid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 w:line="240" w:lineRule="auto"/>
              <w:ind w:firstLine="22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7892720" w14:textId="77777777" w:rsid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 w:line="240" w:lineRule="auto"/>
              <w:ind w:firstLine="22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3AED9FC" w14:textId="77777777" w:rsid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 w:line="240" w:lineRule="auto"/>
              <w:ind w:firstLine="22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5ED467B" w14:textId="77777777" w:rsidR="00BD5238" w:rsidRPr="00022C2F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lastRenderedPageBreak/>
              <w:t>УВЕА</w:t>
            </w:r>
            <w:r w:rsidRPr="0088383A"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  <w:t>»</w:t>
            </w:r>
          </w:p>
          <w:p w14:paraId="6AB59D6B" w14:textId="77777777" w:rsid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sz w:val="24"/>
                <w:szCs w:val="24"/>
              </w:rPr>
            </w:pPr>
            <w:r w:rsidRPr="00E408FE">
              <w:rPr>
                <w:b/>
                <w:bCs/>
                <w:sz w:val="24"/>
                <w:szCs w:val="24"/>
                <w:shd w:val="clear" w:color="auto" w:fill="FFFFFF"/>
              </w:rPr>
              <w:t xml:space="preserve">Пропозиції:  </w:t>
            </w: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новий абзац п’ятий пункту 1.4 викласти </w:t>
            </w:r>
            <w:r w:rsidRPr="00E408FE">
              <w:rPr>
                <w:b/>
                <w:sz w:val="24"/>
                <w:szCs w:val="24"/>
              </w:rPr>
              <w:t>в такій редакції:</w:t>
            </w:r>
          </w:p>
          <w:p w14:paraId="54650FAD" w14:textId="77777777" w:rsidR="00BD5238" w:rsidRDefault="00BD5238" w:rsidP="00BD523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lang w:val="uk-UA"/>
              </w:rPr>
            </w:pPr>
            <w:bookmarkStart w:id="2" w:name="_Hlk193964283"/>
            <w:r>
              <w:rPr>
                <w:bCs/>
                <w:lang w:val="uk-UA"/>
              </w:rPr>
              <w:t>«</w:t>
            </w:r>
            <w:r w:rsidRPr="00BD5238">
              <w:rPr>
                <w:b/>
                <w:bCs/>
                <w:lang w:val="uk-UA"/>
              </w:rPr>
              <w:t>номінальна (встановлена) потужність установки зберігання електричної енергії – максимальна довготривала активна потужність, визначена заводом-виробником, з якою установка зберігання електричної енергії технічно спроможна здійснювати відпуск або відбір електричної енергії</w:t>
            </w:r>
            <w:r w:rsidRPr="00501879">
              <w:rPr>
                <w:bCs/>
                <w:lang w:val="uk-UA"/>
              </w:rPr>
              <w:t xml:space="preserve">  (</w:t>
            </w:r>
            <w:r w:rsidRPr="0036040B">
              <w:rPr>
                <w:b/>
                <w:strike/>
                <w:lang w:val="uk-UA"/>
              </w:rPr>
              <w:t>визначається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енергії, які визначаються заводом-виробником</w:t>
            </w:r>
            <w:r w:rsidRPr="00501879">
              <w:rPr>
                <w:bCs/>
                <w:lang w:val="uk-UA"/>
              </w:rPr>
              <w:t>)</w:t>
            </w:r>
            <w:bookmarkEnd w:id="2"/>
            <w:r>
              <w:rPr>
                <w:bCs/>
                <w:lang w:val="uk-UA"/>
              </w:rPr>
              <w:t>.».</w:t>
            </w:r>
          </w:p>
          <w:p w14:paraId="441738B6" w14:textId="77777777" w:rsidR="00BD5238" w:rsidRDefault="00BD5238" w:rsidP="00BD5238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bCs/>
                <w:lang w:val="uk-UA"/>
              </w:rPr>
            </w:pPr>
          </w:p>
          <w:p w14:paraId="49E7884A" w14:textId="77777777" w:rsidR="00BD5238" w:rsidRP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BD5238">
              <w:rPr>
                <w:bCs/>
                <w:i/>
                <w:sz w:val="24"/>
                <w:szCs w:val="24"/>
                <w:u w:val="single"/>
                <w:shd w:val="clear" w:color="auto" w:fill="FFFFFF"/>
              </w:rPr>
              <w:t>Обґрунтування</w:t>
            </w:r>
            <w:r w:rsidRPr="00BD5238">
              <w:rPr>
                <w:bCs/>
                <w:sz w:val="24"/>
                <w:szCs w:val="24"/>
                <w:shd w:val="clear" w:color="auto" w:fill="FFFFFF"/>
              </w:rPr>
              <w:t xml:space="preserve">: </w:t>
            </w:r>
            <w:r w:rsidRPr="00BD5238">
              <w:rPr>
                <w:bCs/>
                <w:i/>
                <w:iCs/>
                <w:sz w:val="24"/>
                <w:szCs w:val="24"/>
              </w:rPr>
              <w:t xml:space="preserve">в запропонованій в </w:t>
            </w:r>
            <w:proofErr w:type="spellStart"/>
            <w:r w:rsidRPr="00BD5238">
              <w:rPr>
                <w:bCs/>
                <w:i/>
                <w:iCs/>
                <w:sz w:val="24"/>
                <w:szCs w:val="24"/>
              </w:rPr>
              <w:t>проєкті</w:t>
            </w:r>
            <w:proofErr w:type="spellEnd"/>
            <w:r w:rsidRPr="00BD5238">
              <w:rPr>
                <w:bCs/>
                <w:i/>
                <w:iCs/>
                <w:sz w:val="24"/>
                <w:szCs w:val="24"/>
              </w:rPr>
              <w:t xml:space="preserve"> редакції наявна колізія у визначенні номінальної потужності. Пропонуємо визначити, що потужність визначається заводом-виробником. Щоб визначення не відрізнялось від визначення в КСП.</w:t>
            </w:r>
          </w:p>
          <w:p w14:paraId="5264677B" w14:textId="77777777" w:rsidR="00BD5238" w:rsidRDefault="00BD5238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0E2C966" w14:textId="77777777" w:rsidR="00737FDF" w:rsidRPr="00BD5238" w:rsidRDefault="00737FDF" w:rsidP="00BD5238">
            <w:pPr>
              <w:shd w:val="clear" w:color="auto" w:fill="FFFFFF"/>
              <w:tabs>
                <w:tab w:val="left" w:pos="0"/>
                <w:tab w:val="left" w:pos="993"/>
              </w:tabs>
              <w:spacing w:after="0" w:line="240" w:lineRule="auto"/>
              <w:ind w:firstLine="220"/>
              <w:jc w:val="both"/>
              <w:rPr>
                <w:b/>
                <w:sz w:val="24"/>
                <w:szCs w:val="24"/>
              </w:rPr>
            </w:pPr>
            <w:r w:rsidRPr="00BD5238">
              <w:rPr>
                <w:b/>
                <w:bCs/>
                <w:sz w:val="24"/>
                <w:szCs w:val="24"/>
                <w:shd w:val="clear" w:color="auto" w:fill="FFFFFF"/>
              </w:rPr>
              <w:t xml:space="preserve">  </w:t>
            </w:r>
          </w:p>
          <w:p w14:paraId="47554797" w14:textId="77777777" w:rsidR="00737FDF" w:rsidRDefault="00737FDF" w:rsidP="008768E0">
            <w:pPr>
              <w:shd w:val="clear" w:color="auto" w:fill="FFFFFF"/>
              <w:tabs>
                <w:tab w:val="left" w:pos="0"/>
                <w:tab w:val="left" w:pos="993"/>
              </w:tabs>
              <w:spacing w:after="0"/>
              <w:jc w:val="both"/>
              <w:rPr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4910" w:type="dxa"/>
          </w:tcPr>
          <w:p w14:paraId="2DA8374F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95EA82B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 xml:space="preserve">  Потребує обговорення</w:t>
            </w:r>
          </w:p>
          <w:p w14:paraId="2F6644A0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1638126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15E4C2B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99D04C1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7CC6470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735EE23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AFD7934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391F741E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6B66D88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F94AA96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25610E77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774BA22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4156817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4472DF8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9BB676C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57B7C77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D62C016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0700A8C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5516EC1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5012D068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CD20E01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sz w:val="24"/>
                <w:szCs w:val="24"/>
                <w:shd w:val="clear" w:color="auto" w:fill="FFFFFF"/>
              </w:rPr>
              <w:t>Потребує обговорення</w:t>
            </w:r>
          </w:p>
          <w:p w14:paraId="21702F9B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67DF0EDE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734A5860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062D5324" w14:textId="77777777" w:rsidR="00BD5238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  <w:p w14:paraId="13DB2DB9" w14:textId="77777777" w:rsidR="00BD5238" w:rsidRPr="00E408FE" w:rsidRDefault="00BD5238" w:rsidP="008768E0">
            <w:pPr>
              <w:shd w:val="clear" w:color="auto" w:fill="FFFFFF"/>
              <w:tabs>
                <w:tab w:val="left" w:pos="993"/>
              </w:tabs>
              <w:jc w:val="both"/>
              <w:rPr>
                <w:b/>
                <w:bCs/>
                <w:sz w:val="24"/>
                <w:szCs w:val="24"/>
                <w:shd w:val="clear" w:color="auto" w:fill="FFFFFF"/>
              </w:rPr>
            </w:pPr>
          </w:p>
        </w:tc>
      </w:tr>
    </w:tbl>
    <w:p w14:paraId="7660D763" w14:textId="77777777" w:rsidR="0036459A" w:rsidRDefault="0036459A"/>
    <w:sectPr w:rsidR="0036459A" w:rsidSect="0088383A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AA7672"/>
    <w:multiLevelType w:val="hybridMultilevel"/>
    <w:tmpl w:val="4B14AEF0"/>
    <w:lvl w:ilvl="0" w:tplc="9D7AC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3A"/>
    <w:rsid w:val="00071718"/>
    <w:rsid w:val="0036459A"/>
    <w:rsid w:val="00430D7E"/>
    <w:rsid w:val="00737FDF"/>
    <w:rsid w:val="008210A6"/>
    <w:rsid w:val="0088383A"/>
    <w:rsid w:val="009B605A"/>
    <w:rsid w:val="00BD5238"/>
    <w:rsid w:val="00BD792F"/>
    <w:rsid w:val="00C3301B"/>
    <w:rsid w:val="00E40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9F8D"/>
  <w15:chartTrackingRefBased/>
  <w15:docId w15:val="{30876656-FED5-41E4-8459-AF9FE34D8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383A"/>
    <w:pPr>
      <w:spacing w:after="160" w:line="259" w:lineRule="auto"/>
    </w:pPr>
    <w:rPr>
      <w:rFonts w:eastAsiaTheme="minorHAnsi"/>
      <w:sz w:val="28"/>
      <w:szCs w:val="28"/>
      <w:lang w:val="uk-UA"/>
    </w:rPr>
  </w:style>
  <w:style w:type="paragraph" w:styleId="1">
    <w:name w:val="heading 1"/>
    <w:basedOn w:val="a"/>
    <w:next w:val="a"/>
    <w:link w:val="10"/>
    <w:qFormat/>
    <w:rsid w:val="00C3301B"/>
    <w:pPr>
      <w:keepNext/>
      <w:jc w:val="center"/>
      <w:outlineLvl w:val="0"/>
    </w:pPr>
  </w:style>
  <w:style w:type="paragraph" w:styleId="2">
    <w:name w:val="heading 2"/>
    <w:basedOn w:val="a"/>
    <w:next w:val="a"/>
    <w:link w:val="20"/>
    <w:qFormat/>
    <w:rsid w:val="00C3301B"/>
    <w:pPr>
      <w:keepNext/>
      <w:ind w:left="4956" w:firstLine="708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01B"/>
    <w:rPr>
      <w:sz w:val="28"/>
      <w:lang w:val="uk-UA" w:eastAsia="ru-RU"/>
    </w:rPr>
  </w:style>
  <w:style w:type="character" w:customStyle="1" w:styleId="20">
    <w:name w:val="Заголовок 2 Знак"/>
    <w:basedOn w:val="a0"/>
    <w:link w:val="2"/>
    <w:rsid w:val="00C3301B"/>
    <w:rPr>
      <w:b/>
      <w:bCs/>
      <w:sz w:val="28"/>
      <w:lang w:val="uk-UA" w:eastAsia="ru-RU"/>
    </w:rPr>
  </w:style>
  <w:style w:type="table" w:styleId="a3">
    <w:name w:val="Table Grid"/>
    <w:basedOn w:val="a1"/>
    <w:uiPriority w:val="39"/>
    <w:rsid w:val="0088383A"/>
    <w:rPr>
      <w:rFonts w:eastAsiaTheme="minorHAnsi"/>
      <w:sz w:val="28"/>
      <w:szCs w:val="28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8383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character" w:customStyle="1" w:styleId="rvts15">
    <w:name w:val="rvts15"/>
    <w:basedOn w:val="a0"/>
    <w:rsid w:val="0088383A"/>
  </w:style>
  <w:style w:type="paragraph" w:styleId="a4">
    <w:name w:val="List Paragraph"/>
    <w:basedOn w:val="a"/>
    <w:uiPriority w:val="34"/>
    <w:qFormat/>
    <w:rsid w:val="00E408FE"/>
    <w:pPr>
      <w:spacing w:after="0" w:line="240" w:lineRule="auto"/>
      <w:ind w:left="720"/>
      <w:contextualSpacing/>
    </w:pPr>
    <w:rPr>
      <w:rFonts w:eastAsia="Times New Roman"/>
      <w:szCs w:val="20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E408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v0309874-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v0311874-18" TargetMode="External"/><Relationship Id="rId5" Type="http://schemas.openxmlformats.org/officeDocument/2006/relationships/hyperlink" Target="https://zakon.rada.gov.ua/laws/show/2019-1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1772</Words>
  <Characters>10102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Саківська</dc:creator>
  <cp:keywords/>
  <dc:description/>
  <cp:lastModifiedBy>Анастасія Саківська</cp:lastModifiedBy>
  <cp:revision>2</cp:revision>
  <dcterms:created xsi:type="dcterms:W3CDTF">2025-04-07T09:22:00Z</dcterms:created>
  <dcterms:modified xsi:type="dcterms:W3CDTF">2025-04-07T09:22:00Z</dcterms:modified>
</cp:coreProperties>
</file>