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D49528" w14:textId="77777777" w:rsidR="00B36423" w:rsidRPr="00B36423" w:rsidRDefault="00B36423" w:rsidP="00914EED">
      <w:pPr>
        <w:spacing w:after="0" w:line="240" w:lineRule="auto"/>
        <w:ind w:right="11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6423">
        <w:rPr>
          <w:rFonts w:ascii="Times New Roman" w:hAnsi="Times New Roman" w:cs="Times New Roman"/>
          <w:b/>
          <w:sz w:val="28"/>
          <w:szCs w:val="28"/>
        </w:rPr>
        <w:t xml:space="preserve">Узагальнені зауваження та пропозиції </w:t>
      </w:r>
    </w:p>
    <w:p w14:paraId="3E347183" w14:textId="56B7682B" w:rsidR="00914EED" w:rsidRPr="00B36423" w:rsidRDefault="00B36423" w:rsidP="00914EED">
      <w:pPr>
        <w:spacing w:after="0" w:line="240" w:lineRule="auto"/>
        <w:ind w:right="112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36423">
        <w:rPr>
          <w:rFonts w:ascii="Times New Roman" w:hAnsi="Times New Roman" w:cs="Times New Roman"/>
          <w:b/>
          <w:sz w:val="28"/>
          <w:szCs w:val="28"/>
        </w:rPr>
        <w:t xml:space="preserve">до проєкту рішення НКРЕКП, що має ознаки регуляторного акта, – проєкту постанови НКРЕКП «Про затвердження Змін до Кодексу систем розподілу» </w:t>
      </w:r>
      <w:r w:rsidR="00914EED" w:rsidRPr="00B36423">
        <w:rPr>
          <w:rFonts w:ascii="Times New Roman" w:hAnsi="Times New Roman" w:cs="Times New Roman"/>
          <w:i/>
          <w:sz w:val="28"/>
          <w:szCs w:val="28"/>
        </w:rPr>
        <w:t>(щодо приведення термінології у відповідність до Закону України «</w:t>
      </w:r>
      <w:r w:rsidR="00914EED" w:rsidRPr="00B36423">
        <w:rPr>
          <w:rFonts w:ascii="Times New Roman" w:eastAsia="Times New Roman" w:hAnsi="Times New Roman" w:cs="Times New Roman"/>
          <w:i/>
          <w:color w:val="000000"/>
          <w:kern w:val="24"/>
          <w:sz w:val="28"/>
          <w:szCs w:val="28"/>
          <w:lang w:eastAsia="uk-UA"/>
          <w14:ligatures w14:val="none"/>
        </w:rPr>
        <w:t xml:space="preserve">Про доступ до об'єктів будівництва, транспорту, електроенергетики з метою розвитку </w:t>
      </w:r>
      <w:r w:rsidR="00914EED" w:rsidRPr="00B36423">
        <w:rPr>
          <w:rFonts w:ascii="Times New Roman" w:eastAsia="Times New Roman" w:hAnsi="Times New Roman" w:cs="Times New Roman"/>
          <w:bCs/>
          <w:i/>
          <w:color w:val="000000"/>
          <w:kern w:val="24"/>
          <w:sz w:val="28"/>
          <w:szCs w:val="28"/>
          <w:lang w:eastAsia="uk-UA"/>
          <w14:ligatures w14:val="none"/>
        </w:rPr>
        <w:t>електронних комунікаційних</w:t>
      </w:r>
      <w:r w:rsidR="00914EED" w:rsidRPr="00B36423">
        <w:rPr>
          <w:rFonts w:ascii="Times New Roman" w:eastAsia="Times New Roman" w:hAnsi="Times New Roman" w:cs="Times New Roman"/>
          <w:i/>
          <w:color w:val="000000"/>
          <w:kern w:val="24"/>
          <w:sz w:val="28"/>
          <w:szCs w:val="28"/>
          <w:lang w:eastAsia="uk-UA"/>
          <w14:ligatures w14:val="none"/>
        </w:rPr>
        <w:t xml:space="preserve"> мереж»</w:t>
      </w:r>
      <w:r w:rsidR="00914EED" w:rsidRPr="00B36423">
        <w:rPr>
          <w:rFonts w:ascii="Times New Roman" w:hAnsi="Times New Roman" w:cs="Times New Roman"/>
          <w:i/>
          <w:sz w:val="28"/>
          <w:szCs w:val="28"/>
        </w:rPr>
        <w:t>)</w:t>
      </w:r>
    </w:p>
    <w:p w14:paraId="55242EBC" w14:textId="6821B876" w:rsidR="00B36423" w:rsidRPr="00B36423" w:rsidRDefault="00B36423" w:rsidP="00B36423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</w:p>
    <w:p w14:paraId="0885F175" w14:textId="77777777" w:rsidR="00B36423" w:rsidRPr="00B36423" w:rsidRDefault="00B36423" w:rsidP="00B3642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36423">
        <w:rPr>
          <w:rFonts w:ascii="Times New Roman" w:hAnsi="Times New Roman" w:cs="Times New Roman"/>
          <w:sz w:val="26"/>
          <w:szCs w:val="26"/>
        </w:rPr>
        <w:t>* - зміни виділені за принципом:</w:t>
      </w:r>
    </w:p>
    <w:p w14:paraId="158CBE31" w14:textId="77777777" w:rsidR="00B36423" w:rsidRPr="00B36423" w:rsidRDefault="00B36423" w:rsidP="00B3642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36423">
        <w:rPr>
          <w:rFonts w:ascii="Times New Roman" w:hAnsi="Times New Roman" w:cs="Times New Roman"/>
          <w:sz w:val="26"/>
          <w:szCs w:val="26"/>
        </w:rPr>
        <w:t xml:space="preserve">новий текст редакції НКРЕКП проєкту – </w:t>
      </w:r>
      <w:r w:rsidRPr="00B36423">
        <w:rPr>
          <w:rFonts w:ascii="Times New Roman" w:hAnsi="Times New Roman" w:cs="Times New Roman"/>
          <w:b/>
          <w:color w:val="7030A0"/>
          <w:sz w:val="26"/>
          <w:szCs w:val="26"/>
        </w:rPr>
        <w:t>напівжирним шрифтом</w:t>
      </w:r>
      <w:r w:rsidRPr="00B36423">
        <w:rPr>
          <w:rFonts w:ascii="Times New Roman" w:hAnsi="Times New Roman" w:cs="Times New Roman"/>
          <w:sz w:val="26"/>
          <w:szCs w:val="26"/>
        </w:rPr>
        <w:t xml:space="preserve"> (слова, що виключені -</w:t>
      </w:r>
      <w:r w:rsidRPr="00B36423">
        <w:rPr>
          <w:rFonts w:ascii="Times New Roman" w:hAnsi="Times New Roman" w:cs="Times New Roman"/>
          <w:color w:val="0070C0"/>
          <w:sz w:val="26"/>
          <w:szCs w:val="26"/>
        </w:rPr>
        <w:t xml:space="preserve"> </w:t>
      </w:r>
      <w:r w:rsidRPr="00B36423">
        <w:rPr>
          <w:rFonts w:ascii="Times New Roman" w:hAnsi="Times New Roman" w:cs="Times New Roman"/>
          <w:strike/>
          <w:color w:val="7030A0"/>
          <w:sz w:val="26"/>
          <w:szCs w:val="26"/>
        </w:rPr>
        <w:t>закресленим напівжирним</w:t>
      </w:r>
      <w:r w:rsidRPr="00B36423">
        <w:rPr>
          <w:rFonts w:ascii="Times New Roman" w:hAnsi="Times New Roman" w:cs="Times New Roman"/>
          <w:sz w:val="26"/>
          <w:szCs w:val="26"/>
        </w:rPr>
        <w:t>);</w:t>
      </w:r>
    </w:p>
    <w:p w14:paraId="5369297A" w14:textId="77777777" w:rsidR="00B36423" w:rsidRPr="00B36423" w:rsidRDefault="00B36423" w:rsidP="00B3642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36423">
        <w:rPr>
          <w:rFonts w:ascii="Times New Roman" w:hAnsi="Times New Roman" w:cs="Times New Roman"/>
          <w:sz w:val="26"/>
          <w:szCs w:val="26"/>
        </w:rPr>
        <w:t xml:space="preserve">новий текст редакції пропозицій - </w:t>
      </w:r>
      <w:r w:rsidRPr="00B36423">
        <w:rPr>
          <w:rFonts w:ascii="Times New Roman" w:hAnsi="Times New Roman" w:cs="Times New Roman"/>
          <w:b/>
          <w:color w:val="0070C0"/>
          <w:sz w:val="26"/>
          <w:szCs w:val="26"/>
        </w:rPr>
        <w:t>напівжирним шрифтом (</w:t>
      </w:r>
      <w:r w:rsidRPr="00B36423">
        <w:rPr>
          <w:rFonts w:ascii="Times New Roman" w:hAnsi="Times New Roman" w:cs="Times New Roman"/>
          <w:sz w:val="26"/>
          <w:szCs w:val="26"/>
        </w:rPr>
        <w:t>слова, що пропонується виключити -</w:t>
      </w:r>
      <w:r w:rsidRPr="00B36423">
        <w:rPr>
          <w:rFonts w:ascii="Times New Roman" w:hAnsi="Times New Roman" w:cs="Times New Roman"/>
          <w:color w:val="0070C0"/>
          <w:sz w:val="26"/>
          <w:szCs w:val="26"/>
        </w:rPr>
        <w:t xml:space="preserve"> </w:t>
      </w:r>
      <w:r w:rsidRPr="00B36423">
        <w:rPr>
          <w:rFonts w:ascii="Times New Roman" w:hAnsi="Times New Roman" w:cs="Times New Roman"/>
          <w:strike/>
          <w:color w:val="0070C0"/>
          <w:sz w:val="26"/>
          <w:szCs w:val="26"/>
        </w:rPr>
        <w:t>закресленим напівжирним</w:t>
      </w:r>
      <w:r w:rsidRPr="00B36423">
        <w:rPr>
          <w:rFonts w:ascii="Times New Roman" w:hAnsi="Times New Roman" w:cs="Times New Roman"/>
          <w:sz w:val="26"/>
          <w:szCs w:val="26"/>
        </w:rPr>
        <w:t>)</w:t>
      </w:r>
    </w:p>
    <w:p w14:paraId="046918B2" w14:textId="77777777" w:rsidR="00B36423" w:rsidRPr="00B36423" w:rsidRDefault="00B36423" w:rsidP="00B3642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36423">
        <w:rPr>
          <w:rFonts w:ascii="Times New Roman" w:hAnsi="Times New Roman" w:cs="Times New Roman"/>
          <w:sz w:val="26"/>
          <w:szCs w:val="26"/>
        </w:rPr>
        <w:t xml:space="preserve">редакція за результатом отриманих пропозицій– </w:t>
      </w:r>
      <w:r w:rsidRPr="00B36423">
        <w:rPr>
          <w:rFonts w:ascii="Times New Roman" w:hAnsi="Times New Roman" w:cs="Times New Roman"/>
          <w:b/>
          <w:color w:val="00B050"/>
          <w:sz w:val="26"/>
          <w:szCs w:val="26"/>
        </w:rPr>
        <w:t>жирним</w:t>
      </w:r>
      <w:r w:rsidRPr="00B3642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B36423">
        <w:rPr>
          <w:rFonts w:ascii="Times New Roman" w:hAnsi="Times New Roman" w:cs="Times New Roman"/>
          <w:b/>
          <w:color w:val="00B050"/>
          <w:sz w:val="26"/>
          <w:szCs w:val="26"/>
        </w:rPr>
        <w:t>шрифтом та виділені зеленим кольором</w:t>
      </w:r>
      <w:r w:rsidRPr="00B36423">
        <w:rPr>
          <w:rFonts w:ascii="Times New Roman" w:hAnsi="Times New Roman" w:cs="Times New Roman"/>
          <w:b/>
          <w:sz w:val="26"/>
          <w:szCs w:val="26"/>
        </w:rPr>
        <w:t>.</w:t>
      </w:r>
    </w:p>
    <w:p w14:paraId="70AE82B9" w14:textId="77777777" w:rsidR="00B36423" w:rsidRPr="00B36423" w:rsidRDefault="00B36423" w:rsidP="00B36423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</w:p>
    <w:tbl>
      <w:tblPr>
        <w:tblStyle w:val="ae"/>
        <w:tblW w:w="15735" w:type="dxa"/>
        <w:tblLayout w:type="fixed"/>
        <w:tblLook w:val="04A0" w:firstRow="1" w:lastRow="0" w:firstColumn="1" w:lastColumn="0" w:noHBand="0" w:noVBand="1"/>
      </w:tblPr>
      <w:tblGrid>
        <w:gridCol w:w="4111"/>
        <w:gridCol w:w="4111"/>
        <w:gridCol w:w="3969"/>
        <w:gridCol w:w="3544"/>
      </w:tblGrid>
      <w:tr w:rsidR="00526971" w:rsidRPr="0063623A" w14:paraId="3EF5C109" w14:textId="3C7E4B57" w:rsidTr="00702255">
        <w:tc>
          <w:tcPr>
            <w:tcW w:w="4111" w:type="dxa"/>
            <w:vMerge w:val="restart"/>
          </w:tcPr>
          <w:p w14:paraId="06E232A6" w14:textId="3D0E06EA" w:rsidR="00526971" w:rsidRPr="00293CB6" w:rsidRDefault="00526971" w:rsidP="0052697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24"/>
                <w:sz w:val="24"/>
                <w:szCs w:val="24"/>
                <w:lang w:eastAsia="uk-UA"/>
                <w14:ligatures w14:val="none"/>
              </w:rPr>
            </w:pPr>
            <w:r w:rsidRPr="00293CB6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uk-UA"/>
                <w14:ligatures w14:val="none"/>
              </w:rPr>
              <w:t>Зміст відповідного положення проекту акта</w:t>
            </w:r>
          </w:p>
        </w:tc>
        <w:tc>
          <w:tcPr>
            <w:tcW w:w="8080" w:type="dxa"/>
            <w:gridSpan w:val="2"/>
          </w:tcPr>
          <w:p w14:paraId="677949DA" w14:textId="0CAC9677" w:rsidR="00526971" w:rsidRPr="00293CB6" w:rsidRDefault="00526971" w:rsidP="0052697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uk-UA"/>
                <w14:ligatures w14:val="none"/>
              </w:rPr>
            </w:pPr>
            <w:r w:rsidRPr="00293CB6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uk-UA"/>
                <w14:ligatures w14:val="none"/>
              </w:rPr>
              <w:t>Зауваження та пропозиції до проєкту рішення НКРЕКП</w:t>
            </w:r>
          </w:p>
        </w:tc>
        <w:tc>
          <w:tcPr>
            <w:tcW w:w="3544" w:type="dxa"/>
            <w:vMerge w:val="restart"/>
          </w:tcPr>
          <w:p w14:paraId="541D163B" w14:textId="116DAE7C" w:rsidR="00526971" w:rsidRPr="00293CB6" w:rsidRDefault="00FD134A" w:rsidP="0052697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uk-UA"/>
                <w14:ligatures w14:val="none"/>
              </w:rPr>
            </w:pPr>
            <w:r w:rsidRPr="00293CB6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uk-UA"/>
                <w14:ligatures w14:val="none"/>
              </w:rPr>
              <w:t>Спосіб врахування або мотиви відхилення зауважень (пропозицій)</w:t>
            </w:r>
          </w:p>
        </w:tc>
      </w:tr>
      <w:tr w:rsidR="00526971" w:rsidRPr="0063623A" w14:paraId="75DA1D70" w14:textId="77777777" w:rsidTr="00737399">
        <w:trPr>
          <w:trHeight w:val="440"/>
        </w:trPr>
        <w:tc>
          <w:tcPr>
            <w:tcW w:w="4111" w:type="dxa"/>
            <w:vMerge/>
          </w:tcPr>
          <w:p w14:paraId="545C58DD" w14:textId="77777777" w:rsidR="00526971" w:rsidRPr="00293CB6" w:rsidRDefault="00526971" w:rsidP="0052697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4111" w:type="dxa"/>
          </w:tcPr>
          <w:p w14:paraId="75CA0267" w14:textId="4FA9EFB2" w:rsidR="00526971" w:rsidRPr="00293CB6" w:rsidRDefault="00526971" w:rsidP="0052697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uk-UA"/>
                <w14:ligatures w14:val="none"/>
              </w:rPr>
            </w:pPr>
            <w:r w:rsidRPr="00293CB6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uk-UA"/>
                <w14:ligatures w14:val="none"/>
              </w:rPr>
              <w:t>зміст зауваження або пропозиції</w:t>
            </w:r>
          </w:p>
        </w:tc>
        <w:tc>
          <w:tcPr>
            <w:tcW w:w="3969" w:type="dxa"/>
          </w:tcPr>
          <w:p w14:paraId="61CB2DBD" w14:textId="64712D1A" w:rsidR="00526971" w:rsidRPr="00293CB6" w:rsidRDefault="00526971" w:rsidP="0052697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uk-UA"/>
                <w14:ligatures w14:val="none"/>
              </w:rPr>
            </w:pPr>
            <w:r w:rsidRPr="00293CB6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uk-UA"/>
                <w14:ligatures w14:val="none"/>
              </w:rPr>
              <w:t>Обґрунтування до зауваження або пропозиції</w:t>
            </w:r>
          </w:p>
        </w:tc>
        <w:tc>
          <w:tcPr>
            <w:tcW w:w="3544" w:type="dxa"/>
            <w:vMerge/>
          </w:tcPr>
          <w:p w14:paraId="4AA6A378" w14:textId="77777777" w:rsidR="00526971" w:rsidRPr="00233F5C" w:rsidRDefault="00526971" w:rsidP="0052697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uk-UA"/>
                <w14:ligatures w14:val="none"/>
              </w:rPr>
            </w:pPr>
          </w:p>
        </w:tc>
      </w:tr>
      <w:tr w:rsidR="00526971" w:rsidRPr="0063623A" w14:paraId="1B2C7D5F" w14:textId="7AEAB62A" w:rsidTr="00737399">
        <w:trPr>
          <w:trHeight w:val="224"/>
        </w:trPr>
        <w:tc>
          <w:tcPr>
            <w:tcW w:w="15735" w:type="dxa"/>
            <w:gridSpan w:val="4"/>
          </w:tcPr>
          <w:p w14:paraId="195B5635" w14:textId="54B369B0" w:rsidR="00526971" w:rsidRPr="00233F5C" w:rsidRDefault="00526971" w:rsidP="0063623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  <w:lang w:eastAsia="uk-UA"/>
                <w14:ligatures w14:val="none"/>
              </w:rPr>
            </w:pPr>
            <w:r w:rsidRPr="00233F5C"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  <w:lang w:eastAsia="uk-UA"/>
                <w14:ligatures w14:val="none"/>
              </w:rPr>
              <w:t>II. Терміни та визначення</w:t>
            </w:r>
          </w:p>
        </w:tc>
      </w:tr>
      <w:tr w:rsidR="00EE66A2" w:rsidRPr="0063623A" w14:paraId="2759FDA2" w14:textId="6006E6ED" w:rsidTr="00702255">
        <w:tc>
          <w:tcPr>
            <w:tcW w:w="4111" w:type="dxa"/>
          </w:tcPr>
          <w:p w14:paraId="6786B3FF" w14:textId="77777777" w:rsidR="00526971" w:rsidRPr="00F20D32" w:rsidRDefault="00526971" w:rsidP="00526971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</w:pPr>
            <w:r w:rsidRPr="00F20D3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>2.1. У цьому Кодексі терміни вживаються в таких значеннях:</w:t>
            </w:r>
          </w:p>
          <w:p w14:paraId="35B43B84" w14:textId="77777777" w:rsidR="00526971" w:rsidRPr="00F20D32" w:rsidRDefault="00526971" w:rsidP="00526971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</w:pPr>
            <w:r w:rsidRPr="00F20D3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>…</w:t>
            </w:r>
          </w:p>
          <w:p w14:paraId="34D5C623" w14:textId="5E5C16C9" w:rsidR="00EE66A2" w:rsidRPr="00F20D32" w:rsidRDefault="00526971" w:rsidP="00526971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</w:pPr>
            <w:r w:rsidRPr="00F20D3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 xml:space="preserve">Інші терміни в цьому Кодексі вживаються у значеннях, наведених у Цивільному кодексі України, законах України «Про ринок електричної енергії», «Про індустріальні парки», «Про регулювання містобудівної діяльності», «Про доступ до об'єктів будівництва, транспорту, електроенергетики з метою розвитку </w:t>
            </w:r>
            <w:r w:rsidRPr="00F20D3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>електронних комунікаційних</w:t>
            </w:r>
            <w:r w:rsidRPr="00F20D3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 xml:space="preserve"> мереж», «Про архітектурну діяльність» та Правилах роздрібного ринку електричної енергії, затверджених постановою Національної комісії, що здійснює державне регулювання у сферах </w:t>
            </w:r>
            <w:r w:rsidRPr="00F20D3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lastRenderedPageBreak/>
              <w:t>енергетики та комунальних послуг, від 14 березня 2018 року № 312.</w:t>
            </w:r>
          </w:p>
        </w:tc>
        <w:tc>
          <w:tcPr>
            <w:tcW w:w="4111" w:type="dxa"/>
          </w:tcPr>
          <w:p w14:paraId="081EF998" w14:textId="21C3970E" w:rsidR="00EE66A2" w:rsidRPr="00F20D32" w:rsidRDefault="00EE66A2" w:rsidP="0063623A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kern w:val="24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3969" w:type="dxa"/>
          </w:tcPr>
          <w:p w14:paraId="47B3FB79" w14:textId="77777777" w:rsidR="00EE66A2" w:rsidRPr="00F20D32" w:rsidRDefault="00EE66A2" w:rsidP="0063623A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3544" w:type="dxa"/>
          </w:tcPr>
          <w:p w14:paraId="03D5EA5E" w14:textId="77777777" w:rsidR="00EE66A2" w:rsidRPr="00F20D32" w:rsidRDefault="00EE66A2" w:rsidP="0063623A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</w:pPr>
          </w:p>
        </w:tc>
      </w:tr>
      <w:tr w:rsidR="00526971" w:rsidRPr="0063623A" w14:paraId="2A7607C2" w14:textId="408CCA93" w:rsidTr="00702255">
        <w:trPr>
          <w:trHeight w:val="199"/>
        </w:trPr>
        <w:tc>
          <w:tcPr>
            <w:tcW w:w="15735" w:type="dxa"/>
            <w:gridSpan w:val="4"/>
          </w:tcPr>
          <w:p w14:paraId="74444C9B" w14:textId="1F56965B" w:rsidR="00526971" w:rsidRPr="00233F5C" w:rsidRDefault="0071279E" w:rsidP="0063623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  <w:lang w:eastAsia="uk-UA"/>
                <w14:ligatures w14:val="none"/>
              </w:rPr>
            </w:pPr>
            <w:r w:rsidRPr="0071279E"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  <w:lang w:eastAsia="uk-UA"/>
                <w14:ligatures w14:val="none"/>
              </w:rPr>
              <w:t>ІV. Порядок приєднання до систем розподілу</w:t>
            </w:r>
          </w:p>
        </w:tc>
      </w:tr>
      <w:tr w:rsidR="00526971" w:rsidRPr="0063623A" w14:paraId="4D00D9ED" w14:textId="7B3BC307" w:rsidTr="00702255">
        <w:tc>
          <w:tcPr>
            <w:tcW w:w="15735" w:type="dxa"/>
            <w:gridSpan w:val="4"/>
          </w:tcPr>
          <w:p w14:paraId="3EB5D2F6" w14:textId="3861DC44" w:rsidR="00526971" w:rsidRPr="00233F5C" w:rsidRDefault="0071279E" w:rsidP="0063623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  <w:lang w:eastAsia="uk-UA"/>
                <w14:ligatures w14:val="none"/>
              </w:rPr>
            </w:pPr>
            <w:r w:rsidRPr="0071279E"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  <w:lang w:eastAsia="uk-UA"/>
                <w14:ligatures w14:val="none"/>
              </w:rPr>
              <w:t>4.1. Загальні положення</w:t>
            </w:r>
          </w:p>
        </w:tc>
      </w:tr>
      <w:tr w:rsidR="00037767" w:rsidRPr="0063623A" w14:paraId="05D7A6EA" w14:textId="606B051A" w:rsidTr="00702255">
        <w:tc>
          <w:tcPr>
            <w:tcW w:w="4111" w:type="dxa"/>
            <w:vMerge w:val="restart"/>
          </w:tcPr>
          <w:p w14:paraId="34F4643D" w14:textId="77777777" w:rsidR="00037767" w:rsidRPr="008F1D55" w:rsidRDefault="00037767" w:rsidP="00526971">
            <w:pPr>
              <w:pStyle w:val="tj"/>
              <w:spacing w:before="40" w:beforeAutospacing="0" w:after="40" w:afterAutospacing="0"/>
              <w:ind w:firstLine="284"/>
              <w:jc w:val="both"/>
              <w:rPr>
                <w:color w:val="000000"/>
                <w:kern w:val="24"/>
              </w:rPr>
            </w:pPr>
            <w:r w:rsidRPr="008F1D55">
              <w:rPr>
                <w:color w:val="000000"/>
                <w:kern w:val="24"/>
              </w:rPr>
              <w:t>4.1.2. ОСР не має права відмовити в приєднанні електроустановок </w:t>
            </w:r>
            <w:r w:rsidRPr="008F1D55">
              <w:rPr>
                <w:rFonts w:eastAsiaTheme="majorEastAsia"/>
                <w:color w:val="000000"/>
                <w:kern w:val="24"/>
              </w:rPr>
              <w:t>замовника</w:t>
            </w:r>
            <w:r w:rsidRPr="008F1D55">
              <w:rPr>
                <w:color w:val="000000"/>
                <w:kern w:val="24"/>
              </w:rPr>
              <w:t> до системи розподілу за умови дотримання </w:t>
            </w:r>
            <w:r w:rsidRPr="008F1D55">
              <w:rPr>
                <w:rFonts w:eastAsiaTheme="majorEastAsia"/>
                <w:color w:val="000000"/>
                <w:kern w:val="24"/>
              </w:rPr>
              <w:t>замовником</w:t>
            </w:r>
            <w:r w:rsidRPr="008F1D55">
              <w:rPr>
                <w:color w:val="000000"/>
                <w:kern w:val="24"/>
              </w:rPr>
              <w:t> вимог </w:t>
            </w:r>
            <w:r w:rsidRPr="008F1D55">
              <w:rPr>
                <w:rFonts w:eastAsiaTheme="majorEastAsia"/>
                <w:color w:val="000000"/>
                <w:kern w:val="24"/>
              </w:rPr>
              <w:t>та процедури приєднання, визначених у цьому розділі</w:t>
            </w:r>
            <w:r w:rsidRPr="008F1D55">
              <w:rPr>
                <w:color w:val="000000"/>
                <w:kern w:val="24"/>
              </w:rPr>
              <w:t>.</w:t>
            </w:r>
          </w:p>
          <w:p w14:paraId="1EB640C5" w14:textId="77777777" w:rsidR="00037767" w:rsidRPr="008F1D55" w:rsidRDefault="00037767" w:rsidP="00526971">
            <w:pPr>
              <w:pStyle w:val="tj"/>
              <w:spacing w:before="40" w:beforeAutospacing="0" w:after="40" w:afterAutospacing="0"/>
              <w:ind w:firstLine="284"/>
              <w:jc w:val="both"/>
              <w:rPr>
                <w:color w:val="000000"/>
                <w:kern w:val="24"/>
              </w:rPr>
            </w:pPr>
            <w:r w:rsidRPr="008F1D55">
              <w:rPr>
                <w:color w:val="000000"/>
                <w:kern w:val="24"/>
              </w:rPr>
              <w:t>…</w:t>
            </w:r>
          </w:p>
          <w:p w14:paraId="50DF796B" w14:textId="77777777" w:rsidR="00037767" w:rsidRPr="008F1D55" w:rsidRDefault="00037767" w:rsidP="00526971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</w:pPr>
            <w:r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>Цим розділом визначаються особливості:</w:t>
            </w:r>
          </w:p>
          <w:p w14:paraId="2841CC06" w14:textId="77777777" w:rsidR="00037767" w:rsidRPr="008F1D55" w:rsidRDefault="00037767" w:rsidP="00526971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</w:pPr>
            <w:r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>…</w:t>
            </w:r>
          </w:p>
          <w:p w14:paraId="7F3CC6F6" w14:textId="77777777" w:rsidR="00037767" w:rsidRPr="008F1D55" w:rsidRDefault="00037767" w:rsidP="00526971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</w:pPr>
            <w:r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 xml:space="preserve">6) приєднання </w:t>
            </w:r>
            <w:r w:rsidRPr="008F1D55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>технічних засобів електронних комунікацій, розташованих на об’єктах архітектури, земельних ділянках,</w:t>
            </w:r>
            <w:r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 xml:space="preserve"> а також елементах інфраструктури об'єктів електроенергетики;</w:t>
            </w:r>
          </w:p>
          <w:p w14:paraId="5C6FADE2" w14:textId="59A9C1D4" w:rsidR="00037767" w:rsidRPr="008F1D55" w:rsidRDefault="00037767" w:rsidP="00526971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</w:pPr>
            <w:r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>…</w:t>
            </w:r>
          </w:p>
        </w:tc>
        <w:tc>
          <w:tcPr>
            <w:tcW w:w="4111" w:type="dxa"/>
          </w:tcPr>
          <w:p w14:paraId="5046E833" w14:textId="443E046A" w:rsidR="00037767" w:rsidRPr="008F1D55" w:rsidRDefault="00037767" w:rsidP="009E0F4A">
            <w:pPr>
              <w:spacing w:before="40" w:after="40"/>
              <w:ind w:firstLine="284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</w:pPr>
            <w:r w:rsidRPr="008F1D55">
              <w:rPr>
                <w:rFonts w:ascii="Times New Roman" w:eastAsia="Times New Roman" w:hAnsi="Times New Roman" w:cs="Times New Roman"/>
                <w:b/>
                <w:bCs/>
                <w:color w:val="333333"/>
                <w:kern w:val="24"/>
                <w:sz w:val="24"/>
                <w:szCs w:val="24"/>
                <w:lang w:eastAsia="uk-UA"/>
                <w14:ligatures w14:val="none"/>
              </w:rPr>
              <w:t>ТОВ «ЮНС»</w:t>
            </w:r>
          </w:p>
          <w:p w14:paraId="63F7C1AD" w14:textId="161387FD" w:rsidR="00037767" w:rsidRPr="008F1D55" w:rsidRDefault="00037767" w:rsidP="005F76BB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</w:pPr>
            <w:r w:rsidRPr="008F1D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>…</w:t>
            </w:r>
          </w:p>
          <w:p w14:paraId="436E9F07" w14:textId="439911FD" w:rsidR="00037767" w:rsidRPr="008F1D55" w:rsidRDefault="00037767" w:rsidP="00037767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</w:pPr>
            <w:r w:rsidRPr="008F1D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 xml:space="preserve">6) приєднання </w:t>
            </w:r>
            <w:r w:rsidRPr="008F1D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 xml:space="preserve">технічних засобів електронних комунікацій, </w:t>
            </w:r>
            <w:r w:rsidRPr="008F1D55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UA"/>
                <w14:ligatures w14:val="none"/>
              </w:rPr>
              <w:t xml:space="preserve">розташованих на об’єктах архітектури, земельних ділянках, </w:t>
            </w:r>
            <w:r w:rsidRPr="008F1D55">
              <w:rPr>
                <w:rFonts w:ascii="Times New Roman" w:eastAsia="Times New Roman" w:hAnsi="Times New Roman" w:cs="Times New Roman"/>
                <w:b/>
                <w:color w:val="0070C0"/>
                <w:kern w:val="0"/>
                <w:sz w:val="24"/>
                <w:szCs w:val="24"/>
                <w:lang w:eastAsia="ru-UA"/>
                <w14:ligatures w14:val="none"/>
              </w:rPr>
              <w:t>в тому числі переданих Замовнику у користування згідно Порядку розміщення об’єктів і споруд електронних комунікацій на  земельних ділянках та інших об’єктах нерухомого майна державної та комунальної власності під час воєнного стану, затвердженого Постановою Кабінету Міністрів України №555 від 13.05.2025</w:t>
            </w:r>
            <w:r w:rsidRPr="008F1D55">
              <w:rPr>
                <w:rFonts w:ascii="Times New Roman" w:eastAsia="Times New Roman" w:hAnsi="Times New Roman" w:cs="Times New Roman"/>
                <w:b/>
                <w:bCs/>
                <w:color w:val="0070C0"/>
                <w:kern w:val="0"/>
                <w:sz w:val="24"/>
                <w:szCs w:val="24"/>
                <w:lang w:eastAsia="ru-UA"/>
                <w14:ligatures w14:val="none"/>
              </w:rPr>
              <w:t>,</w:t>
            </w:r>
            <w:r w:rsidRPr="008F1D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 xml:space="preserve"> </w:t>
            </w:r>
            <w:r w:rsidRPr="008F1D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>а також елементах інфраструктури об'єктів електроенергетики;</w:t>
            </w:r>
          </w:p>
        </w:tc>
        <w:tc>
          <w:tcPr>
            <w:tcW w:w="3969" w:type="dxa"/>
          </w:tcPr>
          <w:p w14:paraId="76122BDC" w14:textId="77777777" w:rsidR="00037767" w:rsidRPr="008F1D55" w:rsidRDefault="00037767" w:rsidP="009E0F4A">
            <w:pPr>
              <w:pStyle w:val="tj"/>
              <w:spacing w:before="40" w:beforeAutospacing="0" w:after="40" w:afterAutospacing="0"/>
              <w:ind w:firstLine="284"/>
              <w:jc w:val="center"/>
              <w:rPr>
                <w:b/>
                <w:bCs/>
                <w:color w:val="333333"/>
                <w:kern w:val="24"/>
              </w:rPr>
            </w:pPr>
            <w:r w:rsidRPr="008F1D55">
              <w:rPr>
                <w:b/>
                <w:bCs/>
                <w:color w:val="333333"/>
                <w:kern w:val="24"/>
              </w:rPr>
              <w:t>ТОВ «ЮНС»</w:t>
            </w:r>
          </w:p>
          <w:p w14:paraId="7AD2185B" w14:textId="003A55EC" w:rsidR="00037767" w:rsidRPr="008F1D55" w:rsidRDefault="00037767" w:rsidP="005F76BB">
            <w:pPr>
              <w:pStyle w:val="tj"/>
              <w:spacing w:before="0" w:beforeAutospacing="0" w:after="0" w:afterAutospacing="0"/>
              <w:ind w:firstLine="284"/>
              <w:jc w:val="both"/>
              <w:rPr>
                <w:color w:val="000000"/>
                <w:kern w:val="24"/>
              </w:rPr>
            </w:pPr>
            <w:r w:rsidRPr="008F1D55">
              <w:rPr>
                <w:color w:val="000000"/>
                <w:kern w:val="24"/>
              </w:rPr>
              <w:t>…</w:t>
            </w:r>
          </w:p>
          <w:p w14:paraId="5F63E9CF" w14:textId="455A5050" w:rsidR="00037767" w:rsidRPr="008F1D55" w:rsidRDefault="00037767" w:rsidP="009E0F4A">
            <w:pPr>
              <w:pStyle w:val="tj"/>
              <w:spacing w:before="0" w:beforeAutospacing="0" w:after="0" w:afterAutospacing="0"/>
              <w:ind w:firstLine="284"/>
              <w:jc w:val="both"/>
              <w:rPr>
                <w:color w:val="000000"/>
                <w:kern w:val="24"/>
              </w:rPr>
            </w:pPr>
            <w:r w:rsidRPr="008F1D55">
              <w:rPr>
                <w:color w:val="000000"/>
                <w:kern w:val="24"/>
              </w:rPr>
              <w:t>Пропозиція додати уточнення щодо технічних засобів електронних комунікацій, які розміщуються на земельних ділянках відповідно до Порядку, передбаченого 555-ю  постановою. Це потрібно, щоб отримувати технічні умови на приєднання щодо об’єктів, що будуються на земельних ділянках згідно зазначеної постанови.</w:t>
            </w:r>
          </w:p>
        </w:tc>
        <w:tc>
          <w:tcPr>
            <w:tcW w:w="3544" w:type="dxa"/>
            <w:vMerge w:val="restart"/>
          </w:tcPr>
          <w:p w14:paraId="4AAEC3B6" w14:textId="77777777" w:rsidR="00037767" w:rsidRDefault="00B25BE6" w:rsidP="00B25BE6">
            <w:pPr>
              <w:pStyle w:val="tj"/>
              <w:spacing w:before="40" w:beforeAutospacing="0" w:after="40" w:afterAutospacing="0"/>
              <w:jc w:val="center"/>
              <w:rPr>
                <w:b/>
                <w:color w:val="000000"/>
                <w:kern w:val="24"/>
              </w:rPr>
            </w:pPr>
            <w:r w:rsidRPr="00B25BE6">
              <w:rPr>
                <w:b/>
                <w:color w:val="000000"/>
                <w:kern w:val="24"/>
              </w:rPr>
              <w:t>Пропонується враховувати</w:t>
            </w:r>
            <w:r w:rsidR="006C0FAD">
              <w:rPr>
                <w:b/>
                <w:color w:val="000000"/>
                <w:kern w:val="24"/>
              </w:rPr>
              <w:t xml:space="preserve"> у такій редакції</w:t>
            </w:r>
          </w:p>
          <w:p w14:paraId="30C75D56" w14:textId="77777777" w:rsidR="006C0FAD" w:rsidRPr="008F1D55" w:rsidRDefault="006C0FAD" w:rsidP="006C0FAD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</w:pPr>
            <w:r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>Цим розділом визначаються особливості:</w:t>
            </w:r>
          </w:p>
          <w:p w14:paraId="6B547CB6" w14:textId="77777777" w:rsidR="006C0FAD" w:rsidRPr="008F1D55" w:rsidRDefault="006C0FAD" w:rsidP="006C0FAD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</w:pPr>
            <w:r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>…</w:t>
            </w:r>
          </w:p>
          <w:p w14:paraId="23415578" w14:textId="228CDBDC" w:rsidR="006C0FAD" w:rsidRPr="008F1D55" w:rsidRDefault="006C0FAD" w:rsidP="006C0FAD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</w:pPr>
            <w:r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 xml:space="preserve">6) приєднання </w:t>
            </w:r>
            <w:r w:rsidRPr="006C0FAD">
              <w:rPr>
                <w:rFonts w:ascii="Times New Roman" w:eastAsia="Times New Roman" w:hAnsi="Times New Roman" w:cs="Times New Roman"/>
                <w:b/>
                <w:color w:val="0070C0"/>
                <w:kern w:val="24"/>
                <w:sz w:val="24"/>
                <w:szCs w:val="24"/>
                <w:lang w:eastAsia="uk-UA"/>
                <w14:ligatures w14:val="none"/>
              </w:rPr>
              <w:t xml:space="preserve">технічних засобів електронних комунікацій, </w:t>
            </w:r>
            <w:r w:rsidRPr="00BA1F37">
              <w:rPr>
                <w:rFonts w:ascii="Times New Roman" w:eastAsia="Times New Roman" w:hAnsi="Times New Roman" w:cs="Times New Roman"/>
                <w:b/>
                <w:color w:val="00B050"/>
                <w:kern w:val="24"/>
                <w:sz w:val="24"/>
                <w:szCs w:val="24"/>
                <w:lang w:eastAsia="uk-UA"/>
                <w14:ligatures w14:val="none"/>
              </w:rPr>
              <w:t>роз</w:t>
            </w:r>
            <w:r w:rsidR="00BA1F37" w:rsidRPr="00BA1F37">
              <w:rPr>
                <w:rFonts w:ascii="Times New Roman" w:eastAsia="Times New Roman" w:hAnsi="Times New Roman" w:cs="Times New Roman"/>
                <w:b/>
                <w:color w:val="00B050"/>
                <w:kern w:val="24"/>
                <w:sz w:val="24"/>
                <w:szCs w:val="24"/>
                <w:lang w:eastAsia="uk-UA"/>
                <w14:ligatures w14:val="none"/>
              </w:rPr>
              <w:t>міщених</w:t>
            </w:r>
            <w:r w:rsidR="00BA1F37">
              <w:rPr>
                <w:rFonts w:ascii="Times New Roman" w:eastAsia="Times New Roman" w:hAnsi="Times New Roman" w:cs="Times New Roman"/>
                <w:b/>
                <w:color w:val="0070C0"/>
                <w:kern w:val="24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="00BA1F37" w:rsidRPr="00BA1F37">
              <w:rPr>
                <w:rFonts w:ascii="Times New Roman" w:eastAsia="Times New Roman" w:hAnsi="Times New Roman" w:cs="Times New Roman"/>
                <w:b/>
                <w:color w:val="00B050"/>
                <w:kern w:val="24"/>
                <w:sz w:val="24"/>
                <w:szCs w:val="24"/>
                <w:lang w:eastAsia="uk-UA"/>
                <w14:ligatures w14:val="none"/>
              </w:rPr>
              <w:t>у тому числі</w:t>
            </w:r>
            <w:r w:rsidRPr="00BA1F37">
              <w:rPr>
                <w:rFonts w:ascii="Times New Roman" w:eastAsia="Times New Roman" w:hAnsi="Times New Roman" w:cs="Times New Roman"/>
                <w:b/>
                <w:color w:val="00B050"/>
                <w:kern w:val="24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Pr="006C0FAD">
              <w:rPr>
                <w:rFonts w:ascii="Times New Roman" w:eastAsia="Times New Roman" w:hAnsi="Times New Roman" w:cs="Times New Roman"/>
                <w:b/>
                <w:color w:val="0070C0"/>
                <w:kern w:val="24"/>
                <w:sz w:val="24"/>
                <w:szCs w:val="24"/>
                <w:lang w:eastAsia="uk-UA"/>
                <w14:ligatures w14:val="none"/>
              </w:rPr>
              <w:t>на об’єктах архітектури, земельних ділянках,</w:t>
            </w:r>
            <w:r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 xml:space="preserve"> а також елементах інфраструктури об'єктів електроенергетики;</w:t>
            </w:r>
          </w:p>
          <w:p w14:paraId="04AF9934" w14:textId="691AF826" w:rsidR="006C0FAD" w:rsidRPr="00B25BE6" w:rsidRDefault="006C0FAD" w:rsidP="00B25BE6">
            <w:pPr>
              <w:pStyle w:val="tj"/>
              <w:spacing w:before="40" w:beforeAutospacing="0" w:after="40" w:afterAutospacing="0"/>
              <w:jc w:val="center"/>
              <w:rPr>
                <w:b/>
                <w:color w:val="000000"/>
                <w:kern w:val="24"/>
              </w:rPr>
            </w:pPr>
          </w:p>
        </w:tc>
      </w:tr>
      <w:tr w:rsidR="00037767" w:rsidRPr="0063623A" w14:paraId="4DE0A582" w14:textId="77777777" w:rsidTr="00702255">
        <w:tc>
          <w:tcPr>
            <w:tcW w:w="4111" w:type="dxa"/>
            <w:vMerge/>
          </w:tcPr>
          <w:p w14:paraId="50683FF3" w14:textId="77777777" w:rsidR="00037767" w:rsidRPr="005F76BB" w:rsidRDefault="00037767" w:rsidP="00526971">
            <w:pPr>
              <w:pStyle w:val="tj"/>
              <w:spacing w:before="40" w:beforeAutospacing="0" w:after="40" w:afterAutospacing="0"/>
              <w:ind w:firstLine="284"/>
              <w:jc w:val="both"/>
              <w:rPr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4111" w:type="dxa"/>
          </w:tcPr>
          <w:p w14:paraId="618D833A" w14:textId="1BDB7CDE" w:rsidR="000B68A8" w:rsidRPr="001A2506" w:rsidRDefault="000B68A8" w:rsidP="009E0F4A">
            <w:pPr>
              <w:spacing w:before="40" w:after="40"/>
              <w:ind w:firstLine="284"/>
              <w:jc w:val="center"/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uk-UA"/>
                <w14:ligatures w14:val="none"/>
              </w:rPr>
            </w:pPr>
            <w:r w:rsidRPr="001A2506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uk-UA"/>
                <w14:ligatures w14:val="none"/>
              </w:rPr>
              <w:t xml:space="preserve">Міністерство цифрової трансформації України </w:t>
            </w:r>
          </w:p>
          <w:p w14:paraId="35A559F1" w14:textId="35D52084" w:rsidR="000B68A8" w:rsidRPr="001A2506" w:rsidRDefault="000B68A8" w:rsidP="000B68A8">
            <w:pPr>
              <w:spacing w:before="40" w:after="40"/>
              <w:ind w:firstLine="284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UA"/>
                <w14:ligatures w14:val="none"/>
              </w:rPr>
            </w:pPr>
            <w:r w:rsidRPr="001A2506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uk-UA"/>
                <w14:ligatures w14:val="none"/>
              </w:rPr>
              <w:t>Підтримують позиції ПрАТ «Київстар»</w:t>
            </w:r>
            <w:r w:rsidRPr="001A25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UA"/>
                <w14:ligatures w14:val="none"/>
              </w:rPr>
              <w:t xml:space="preserve"> та просять її врахувати </w:t>
            </w:r>
          </w:p>
          <w:p w14:paraId="4E521F8C" w14:textId="4E2339AE" w:rsidR="000B68A8" w:rsidRPr="001A2506" w:rsidRDefault="000B68A8" w:rsidP="009E0F4A">
            <w:pPr>
              <w:spacing w:before="40" w:after="40"/>
              <w:ind w:firstLine="284"/>
              <w:jc w:val="center"/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uk-UA"/>
                <w14:ligatures w14:val="none"/>
              </w:rPr>
            </w:pPr>
          </w:p>
          <w:p w14:paraId="161FBFF5" w14:textId="51346181" w:rsidR="00037767" w:rsidRPr="001A2506" w:rsidRDefault="00037767" w:rsidP="009E0F4A">
            <w:pPr>
              <w:spacing w:before="40" w:after="40"/>
              <w:ind w:firstLine="284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UA"/>
                <w14:ligatures w14:val="none"/>
              </w:rPr>
            </w:pPr>
            <w:r w:rsidRPr="001A2506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uk-UA"/>
                <w14:ligatures w14:val="none"/>
              </w:rPr>
              <w:t>ПрАТ «Київстар»</w:t>
            </w:r>
            <w:r w:rsidRPr="001A25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UA"/>
                <w14:ligatures w14:val="none"/>
              </w:rPr>
              <w:t xml:space="preserve"> </w:t>
            </w:r>
          </w:p>
          <w:p w14:paraId="0C655728" w14:textId="77777777" w:rsidR="000B68A8" w:rsidRPr="001A2506" w:rsidRDefault="00037767" w:rsidP="00152CE6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UA"/>
                <w14:ligatures w14:val="none"/>
              </w:rPr>
            </w:pPr>
            <w:r w:rsidRPr="001A25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UA"/>
                <w14:ligatures w14:val="none"/>
              </w:rPr>
              <w:t>4.1.2. ОСР не має права відмовити в</w:t>
            </w:r>
            <w:r w:rsidR="000B68A8" w:rsidRPr="001A25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UA"/>
                <w14:ligatures w14:val="none"/>
              </w:rPr>
              <w:t xml:space="preserve"> </w:t>
            </w:r>
            <w:r w:rsidRPr="001A25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UA"/>
                <w14:ligatures w14:val="none"/>
              </w:rPr>
              <w:t>приєднанні електроустановок замовника до</w:t>
            </w:r>
            <w:r w:rsidR="000B68A8" w:rsidRPr="001A25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UA"/>
                <w14:ligatures w14:val="none"/>
              </w:rPr>
              <w:t xml:space="preserve"> </w:t>
            </w:r>
            <w:r w:rsidRPr="001A25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UA"/>
                <w14:ligatures w14:val="none"/>
              </w:rPr>
              <w:t>системи розподілу за умови</w:t>
            </w:r>
            <w:r w:rsidR="000B68A8" w:rsidRPr="001A25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UA"/>
                <w14:ligatures w14:val="none"/>
              </w:rPr>
              <w:t xml:space="preserve"> </w:t>
            </w:r>
            <w:r w:rsidRPr="001A25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UA"/>
                <w14:ligatures w14:val="none"/>
              </w:rPr>
              <w:t>дотримання замовником вимог та</w:t>
            </w:r>
            <w:r w:rsidR="000B68A8" w:rsidRPr="001A25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UA"/>
                <w14:ligatures w14:val="none"/>
              </w:rPr>
              <w:t xml:space="preserve"> </w:t>
            </w:r>
            <w:r w:rsidRPr="001A25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UA"/>
                <w14:ligatures w14:val="none"/>
              </w:rPr>
              <w:t>процедури приєднання, визначених у цьому</w:t>
            </w:r>
            <w:r w:rsidR="000B68A8" w:rsidRPr="001A25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UA"/>
                <w14:ligatures w14:val="none"/>
              </w:rPr>
              <w:t xml:space="preserve"> </w:t>
            </w:r>
            <w:r w:rsidRPr="001A25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UA"/>
                <w14:ligatures w14:val="none"/>
              </w:rPr>
              <w:t>розділі.</w:t>
            </w:r>
          </w:p>
          <w:p w14:paraId="56BDEF5F" w14:textId="77777777" w:rsidR="000B68A8" w:rsidRPr="001A2506" w:rsidRDefault="00037767" w:rsidP="00152CE6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UA"/>
                <w14:ligatures w14:val="none"/>
              </w:rPr>
            </w:pPr>
            <w:r w:rsidRPr="001A25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UA"/>
                <w14:ligatures w14:val="none"/>
              </w:rPr>
              <w:lastRenderedPageBreak/>
              <w:t>…</w:t>
            </w:r>
            <w:r w:rsidRPr="001A25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UA"/>
                <w14:ligatures w14:val="none"/>
              </w:rPr>
              <w:br/>
              <w:t>Цим розділом визначаються особливості</w:t>
            </w:r>
            <w:r w:rsidR="000B68A8" w:rsidRPr="001A25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UA"/>
                <w14:ligatures w14:val="none"/>
              </w:rPr>
              <w:t>:</w:t>
            </w:r>
          </w:p>
          <w:p w14:paraId="109AECE3" w14:textId="77777777" w:rsidR="000B68A8" w:rsidRPr="001A2506" w:rsidRDefault="000B68A8" w:rsidP="00152CE6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UA"/>
                <w14:ligatures w14:val="none"/>
              </w:rPr>
            </w:pPr>
            <w:r w:rsidRPr="001A25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UA"/>
                <w14:ligatures w14:val="none"/>
              </w:rPr>
              <w:t>…</w:t>
            </w:r>
          </w:p>
          <w:p w14:paraId="4A6A3547" w14:textId="2E18A9DB" w:rsidR="00037767" w:rsidRPr="001A2506" w:rsidRDefault="00037767" w:rsidP="00152CE6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uk-UA"/>
                <w14:ligatures w14:val="none"/>
              </w:rPr>
            </w:pPr>
            <w:r w:rsidRPr="001A25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UA"/>
                <w14:ligatures w14:val="none"/>
              </w:rPr>
              <w:t xml:space="preserve">6) приєднання </w:t>
            </w:r>
            <w:r w:rsidRPr="001A250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UA"/>
                <w14:ligatures w14:val="none"/>
              </w:rPr>
              <w:t>технічних засобів</w:t>
            </w:r>
            <w:r w:rsidR="000B68A8" w:rsidRPr="001A250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UA"/>
                <w14:ligatures w14:val="none"/>
              </w:rPr>
              <w:t xml:space="preserve"> </w:t>
            </w:r>
            <w:r w:rsidRPr="001A250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UA"/>
                <w14:ligatures w14:val="none"/>
              </w:rPr>
              <w:t xml:space="preserve">електронних комунікацій, </w:t>
            </w:r>
            <w:r w:rsidRPr="001A2506">
              <w:rPr>
                <w:rFonts w:ascii="Times New Roman" w:eastAsia="Times New Roman" w:hAnsi="Times New Roman" w:cs="Times New Roman"/>
                <w:b/>
                <w:bCs/>
                <w:color w:val="0070C0"/>
                <w:kern w:val="0"/>
                <w:sz w:val="24"/>
                <w:szCs w:val="24"/>
                <w:lang w:eastAsia="ru-UA"/>
                <w14:ligatures w14:val="none"/>
              </w:rPr>
              <w:t>розміщених на</w:t>
            </w:r>
            <w:r w:rsidR="000B68A8" w:rsidRPr="001A2506">
              <w:rPr>
                <w:rFonts w:ascii="Times New Roman" w:eastAsia="Times New Roman" w:hAnsi="Times New Roman" w:cs="Times New Roman"/>
                <w:b/>
                <w:bCs/>
                <w:color w:val="0070C0"/>
                <w:kern w:val="0"/>
                <w:sz w:val="24"/>
                <w:szCs w:val="24"/>
                <w:lang w:eastAsia="ru-UA"/>
                <w14:ligatures w14:val="none"/>
              </w:rPr>
              <w:t xml:space="preserve"> </w:t>
            </w:r>
            <w:r w:rsidRPr="001A2506">
              <w:rPr>
                <w:rFonts w:ascii="Times New Roman" w:eastAsia="Times New Roman" w:hAnsi="Times New Roman" w:cs="Times New Roman"/>
                <w:b/>
                <w:bCs/>
                <w:color w:val="0070C0"/>
                <w:kern w:val="0"/>
                <w:sz w:val="24"/>
                <w:szCs w:val="24"/>
                <w:lang w:eastAsia="ru-UA"/>
                <w14:ligatures w14:val="none"/>
              </w:rPr>
              <w:t>елементах інфраструктури об’єкта</w:t>
            </w:r>
            <w:r w:rsidR="000B68A8" w:rsidRPr="001A2506">
              <w:rPr>
                <w:rFonts w:ascii="Times New Roman" w:eastAsia="Times New Roman" w:hAnsi="Times New Roman" w:cs="Times New Roman"/>
                <w:b/>
                <w:bCs/>
                <w:color w:val="0070C0"/>
                <w:kern w:val="0"/>
                <w:sz w:val="24"/>
                <w:szCs w:val="24"/>
                <w:lang w:eastAsia="ru-UA"/>
                <w14:ligatures w14:val="none"/>
              </w:rPr>
              <w:t xml:space="preserve"> </w:t>
            </w:r>
            <w:r w:rsidRPr="001A2506">
              <w:rPr>
                <w:rFonts w:ascii="Times New Roman" w:eastAsia="Times New Roman" w:hAnsi="Times New Roman" w:cs="Times New Roman"/>
                <w:b/>
                <w:bCs/>
                <w:color w:val="0070C0"/>
                <w:kern w:val="0"/>
                <w:sz w:val="24"/>
                <w:szCs w:val="24"/>
                <w:lang w:eastAsia="ru-UA"/>
                <w14:ligatures w14:val="none"/>
              </w:rPr>
              <w:t>доступу чи на земельних ділянках</w:t>
            </w:r>
            <w:r w:rsidRPr="001A250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UA"/>
                <w14:ligatures w14:val="none"/>
              </w:rPr>
              <w:t>;</w:t>
            </w:r>
          </w:p>
        </w:tc>
        <w:tc>
          <w:tcPr>
            <w:tcW w:w="3969" w:type="dxa"/>
          </w:tcPr>
          <w:p w14:paraId="61C83864" w14:textId="77777777" w:rsidR="000B68A8" w:rsidRPr="001A2506" w:rsidRDefault="000B68A8" w:rsidP="000B68A8">
            <w:pPr>
              <w:spacing w:before="40" w:after="40"/>
              <w:ind w:firstLine="284"/>
              <w:jc w:val="center"/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uk-UA"/>
                <w14:ligatures w14:val="none"/>
              </w:rPr>
            </w:pPr>
            <w:r w:rsidRPr="001A2506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uk-UA"/>
                <w14:ligatures w14:val="none"/>
              </w:rPr>
              <w:lastRenderedPageBreak/>
              <w:t xml:space="preserve">Міністерство цифрової трансформації України </w:t>
            </w:r>
          </w:p>
          <w:p w14:paraId="59283C1A" w14:textId="77777777" w:rsidR="000B68A8" w:rsidRPr="001A2506" w:rsidRDefault="000B68A8" w:rsidP="000B68A8">
            <w:pPr>
              <w:spacing w:before="40" w:after="40"/>
              <w:ind w:firstLine="284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UA"/>
                <w14:ligatures w14:val="none"/>
              </w:rPr>
            </w:pPr>
            <w:r w:rsidRPr="001A2506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uk-UA"/>
                <w14:ligatures w14:val="none"/>
              </w:rPr>
              <w:t>Підтримують позиції ПрАТ «Київстар»</w:t>
            </w:r>
            <w:r w:rsidRPr="001A25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UA"/>
                <w14:ligatures w14:val="none"/>
              </w:rPr>
              <w:t xml:space="preserve"> та просять її врахувати </w:t>
            </w:r>
          </w:p>
          <w:p w14:paraId="68B47B4C" w14:textId="77777777" w:rsidR="000B68A8" w:rsidRPr="001A2506" w:rsidRDefault="000B68A8" w:rsidP="00152CE6">
            <w:pPr>
              <w:pStyle w:val="tj"/>
              <w:spacing w:before="40" w:beforeAutospacing="0" w:after="40" w:afterAutospacing="0"/>
              <w:ind w:firstLine="284"/>
              <w:jc w:val="both"/>
              <w:rPr>
                <w:b/>
                <w:bCs/>
                <w:kern w:val="24"/>
              </w:rPr>
            </w:pPr>
          </w:p>
          <w:p w14:paraId="62CCA936" w14:textId="7796A13C" w:rsidR="00152CE6" w:rsidRPr="001A2506" w:rsidRDefault="00C747C9" w:rsidP="000B68A8">
            <w:pPr>
              <w:pStyle w:val="tj"/>
              <w:spacing w:before="40" w:beforeAutospacing="0" w:after="40" w:afterAutospacing="0"/>
              <w:ind w:firstLine="284"/>
              <w:jc w:val="center"/>
              <w:rPr>
                <w:b/>
                <w:bCs/>
                <w:kern w:val="24"/>
              </w:rPr>
            </w:pPr>
            <w:r w:rsidRPr="001A2506">
              <w:rPr>
                <w:b/>
                <w:bCs/>
                <w:kern w:val="24"/>
              </w:rPr>
              <w:t>ПрАТ «Київстар»</w:t>
            </w:r>
          </w:p>
          <w:p w14:paraId="4AA59ABD" w14:textId="77777777" w:rsidR="000B68A8" w:rsidRPr="001A2506" w:rsidRDefault="00037767" w:rsidP="00152CE6">
            <w:pPr>
              <w:pStyle w:val="tj"/>
              <w:spacing w:before="40" w:beforeAutospacing="0" w:after="40" w:afterAutospacing="0"/>
              <w:ind w:firstLine="284"/>
              <w:jc w:val="both"/>
              <w:rPr>
                <w:lang w:eastAsia="ru-UA"/>
              </w:rPr>
            </w:pPr>
            <w:r w:rsidRPr="001A2506">
              <w:rPr>
                <w:i/>
                <w:iCs/>
                <w:lang w:eastAsia="ru-UA"/>
              </w:rPr>
              <w:t xml:space="preserve">Пропозиція: </w:t>
            </w:r>
            <w:r w:rsidRPr="001A2506">
              <w:rPr>
                <w:lang w:eastAsia="ru-UA"/>
              </w:rPr>
              <w:t>Уточнити тип об’єктів, які мають свої</w:t>
            </w:r>
            <w:r w:rsidR="000B68A8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особливості розміщення та приєднання до електричних</w:t>
            </w:r>
            <w:r w:rsidR="000B68A8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мереж. Актуалізувати перелік об’єктів (майданчиків), на</w:t>
            </w:r>
            <w:r w:rsidR="000B68A8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 xml:space="preserve">яких розміщуються такі технічні </w:t>
            </w:r>
            <w:r w:rsidRPr="001A2506">
              <w:rPr>
                <w:lang w:eastAsia="ru-UA"/>
              </w:rPr>
              <w:lastRenderedPageBreak/>
              <w:t>засоби з урахуванням</w:t>
            </w:r>
            <w:r w:rsidR="000B68A8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специфіки регулювання розгортання електронних</w:t>
            </w:r>
            <w:r w:rsidR="000B68A8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комунікаційних мереж. У зв’язку з чим положення</w:t>
            </w:r>
            <w:r w:rsidR="000B68A8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Кодексу систем розподілу привести у відповідність із</w:t>
            </w:r>
            <w:r w:rsidR="000B68A8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вимогами чинного законодавства, що регулює відносини</w:t>
            </w:r>
            <w:r w:rsidR="000B68A8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у сфері електронних комунікацій при розгортанні</w:t>
            </w:r>
            <w:r w:rsidR="000B68A8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електронних комунікаційних мереж.</w:t>
            </w:r>
            <w:r w:rsidR="000B68A8" w:rsidRPr="001A2506">
              <w:rPr>
                <w:lang w:eastAsia="ru-UA"/>
              </w:rPr>
              <w:t xml:space="preserve"> </w:t>
            </w:r>
          </w:p>
          <w:p w14:paraId="3B79FBEB" w14:textId="77777777" w:rsidR="000B68A8" w:rsidRPr="001A2506" w:rsidRDefault="00037767" w:rsidP="00152CE6">
            <w:pPr>
              <w:pStyle w:val="tj"/>
              <w:spacing w:before="40" w:beforeAutospacing="0" w:after="40" w:afterAutospacing="0"/>
              <w:ind w:firstLine="284"/>
              <w:jc w:val="both"/>
              <w:rPr>
                <w:i/>
                <w:iCs/>
                <w:lang w:eastAsia="ru-UA"/>
              </w:rPr>
            </w:pPr>
            <w:r w:rsidRPr="001A2506">
              <w:rPr>
                <w:i/>
                <w:iCs/>
                <w:lang w:eastAsia="ru-UA"/>
              </w:rPr>
              <w:t>Обґрунтування:</w:t>
            </w:r>
          </w:p>
          <w:p w14:paraId="1467F202" w14:textId="77777777" w:rsidR="000B68A8" w:rsidRPr="001A2506" w:rsidRDefault="00037767" w:rsidP="000B68A8">
            <w:pPr>
              <w:pStyle w:val="tj"/>
              <w:spacing w:before="40" w:beforeAutospacing="0" w:after="40" w:afterAutospacing="0"/>
              <w:ind w:firstLine="284"/>
              <w:jc w:val="both"/>
              <w:rPr>
                <w:lang w:eastAsia="ru-UA"/>
              </w:rPr>
            </w:pPr>
            <w:r w:rsidRPr="001A2506">
              <w:rPr>
                <w:lang w:eastAsia="ru-UA"/>
              </w:rPr>
              <w:t>У даній нормі пропонується більш детально зафіксувати</w:t>
            </w:r>
            <w:r w:rsidR="000B68A8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особливості приєднання окремих типів об’єктів</w:t>
            </w:r>
            <w:r w:rsidR="000B68A8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замовника. Адже на сьогоднішній день Кодекс систем</w:t>
            </w:r>
            <w:r w:rsidR="000B68A8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розподілу пропонує враховувати особливості</w:t>
            </w:r>
            <w:r w:rsidR="000B68A8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приєднання активних елементів телекомунікаційних</w:t>
            </w:r>
            <w:r w:rsidR="000B68A8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мереж, розташованих лише на елементах інфраструктури</w:t>
            </w:r>
            <w:r w:rsidR="000B68A8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об’єктів електроенергетики, що не відповідає ні</w:t>
            </w:r>
            <w:r w:rsidR="000B68A8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актуальній термінології, ні поточному регулюванню</w:t>
            </w:r>
            <w:r w:rsidR="000B68A8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розміщення технічних засобів електронних комунікацій,</w:t>
            </w:r>
            <w:r w:rsidR="000B68A8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а також не в повній мірі узгоджується з положеннями п.</w:t>
            </w:r>
            <w:r w:rsidR="000B68A8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4.4.2, що визначає перелік документів, які подаються до</w:t>
            </w:r>
            <w:r w:rsidR="000B68A8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заяви про приєднання при приєднанні окремих типів</w:t>
            </w:r>
            <w:r w:rsidR="000B68A8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об’єктів.</w:t>
            </w:r>
          </w:p>
          <w:p w14:paraId="48FEA666" w14:textId="77777777" w:rsidR="000B68A8" w:rsidRPr="001A2506" w:rsidRDefault="00037767" w:rsidP="000B68A8">
            <w:pPr>
              <w:pStyle w:val="tj"/>
              <w:spacing w:before="40" w:beforeAutospacing="0" w:after="40" w:afterAutospacing="0"/>
              <w:ind w:firstLine="284"/>
              <w:jc w:val="both"/>
              <w:rPr>
                <w:lang w:eastAsia="ru-UA"/>
              </w:rPr>
            </w:pPr>
            <w:r w:rsidRPr="001A2506">
              <w:rPr>
                <w:lang w:eastAsia="ru-UA"/>
              </w:rPr>
              <w:t>На сьогоднішній день розміщення технічних засобів</w:t>
            </w:r>
            <w:r w:rsidR="000B68A8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електронних комунікацій регулюється спеціальними</w:t>
            </w:r>
            <w:r w:rsidR="000B68A8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законами та має свою специфіку, передусім:</w:t>
            </w:r>
          </w:p>
          <w:p w14:paraId="7DDE5F59" w14:textId="77777777" w:rsidR="000B68A8" w:rsidRPr="001A2506" w:rsidRDefault="00037767" w:rsidP="000B68A8">
            <w:pPr>
              <w:pStyle w:val="tj"/>
              <w:spacing w:before="40" w:beforeAutospacing="0" w:after="40" w:afterAutospacing="0"/>
              <w:ind w:firstLine="284"/>
              <w:jc w:val="both"/>
              <w:rPr>
                <w:lang w:eastAsia="ru-UA"/>
              </w:rPr>
            </w:pPr>
            <w:r w:rsidRPr="001A2506">
              <w:rPr>
                <w:lang w:eastAsia="ru-UA"/>
              </w:rPr>
              <w:lastRenderedPageBreak/>
              <w:t>залежить від місця розміщення (спектр таких</w:t>
            </w:r>
            <w:r w:rsidR="000B68A8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майданчиків доволі широкий (елементи інфраструктури</w:t>
            </w:r>
            <w:r w:rsidR="00C747C9" w:rsidRPr="001A2506">
              <w:rPr>
                <w:lang w:eastAsia="ru-UA"/>
              </w:rPr>
              <w:t xml:space="preserve"> об’єкта доступу (об’єкти будівництва, транспорту,</w:t>
            </w:r>
            <w:r w:rsidR="000B68A8" w:rsidRPr="001A2506">
              <w:rPr>
                <w:lang w:eastAsia="ru-UA"/>
              </w:rPr>
              <w:t xml:space="preserve"> </w:t>
            </w:r>
            <w:r w:rsidR="00C747C9" w:rsidRPr="001A2506">
              <w:rPr>
                <w:lang w:eastAsia="ru-UA"/>
              </w:rPr>
              <w:t>електроенергетики, кабельної каналізації, будинкової</w:t>
            </w:r>
            <w:r w:rsidR="000B68A8" w:rsidRPr="001A2506">
              <w:rPr>
                <w:lang w:eastAsia="ru-UA"/>
              </w:rPr>
              <w:t xml:space="preserve"> </w:t>
            </w:r>
            <w:r w:rsidR="00C747C9" w:rsidRPr="001A2506">
              <w:rPr>
                <w:lang w:eastAsia="ru-UA"/>
              </w:rPr>
              <w:t>розподільної мережі, земельні ділянки),</w:t>
            </w:r>
          </w:p>
          <w:p w14:paraId="61EAE049" w14:textId="77777777" w:rsidR="008B4480" w:rsidRPr="001A2506" w:rsidRDefault="00C747C9" w:rsidP="000B68A8">
            <w:pPr>
              <w:pStyle w:val="tj"/>
              <w:spacing w:before="40" w:beforeAutospacing="0" w:after="40" w:afterAutospacing="0"/>
              <w:ind w:firstLine="284"/>
              <w:jc w:val="both"/>
              <w:rPr>
                <w:lang w:eastAsia="ru-UA"/>
              </w:rPr>
            </w:pPr>
            <w:r w:rsidRPr="001A2506">
              <w:rPr>
                <w:lang w:eastAsia="ru-UA"/>
              </w:rPr>
              <w:t>залежить від періоду розміщення й належності майна до</w:t>
            </w:r>
            <w:r w:rsidR="008B4480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державної чи комунальної власності (період воєнного</w:t>
            </w:r>
            <w:r w:rsidR="008B4480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стану)</w:t>
            </w:r>
            <w:r w:rsidR="008B4480" w:rsidRPr="001A2506">
              <w:rPr>
                <w:lang w:eastAsia="ru-UA"/>
              </w:rPr>
              <w:t>.</w:t>
            </w:r>
          </w:p>
          <w:p w14:paraId="2A95A1C7" w14:textId="77777777" w:rsidR="008B4480" w:rsidRPr="001A2506" w:rsidRDefault="00C747C9" w:rsidP="000B68A8">
            <w:pPr>
              <w:pStyle w:val="tj"/>
              <w:spacing w:before="40" w:beforeAutospacing="0" w:after="40" w:afterAutospacing="0"/>
              <w:ind w:firstLine="284"/>
              <w:jc w:val="both"/>
              <w:rPr>
                <w:lang w:eastAsia="ru-UA"/>
              </w:rPr>
            </w:pPr>
            <w:r w:rsidRPr="001A2506">
              <w:rPr>
                <w:lang w:eastAsia="ru-UA"/>
              </w:rPr>
              <w:t>У зв’язку з цим, просимо врахувати специфіку</w:t>
            </w:r>
            <w:r w:rsidR="008B4480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приєднання технічних засобів електронних комунікацій</w:t>
            </w:r>
            <w:r w:rsidR="008B4480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при визначенні переліку документів, що подаються до</w:t>
            </w:r>
            <w:r w:rsidR="008B4480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заяви у випадку приєднання до електричних мереж саме</w:t>
            </w:r>
            <w:r w:rsidR="008B4480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технічних засобів електронних комунікацій.</w:t>
            </w:r>
          </w:p>
          <w:p w14:paraId="6D9745CA" w14:textId="77777777" w:rsidR="008B4480" w:rsidRPr="001A2506" w:rsidRDefault="00C747C9" w:rsidP="000B68A8">
            <w:pPr>
              <w:pStyle w:val="tj"/>
              <w:spacing w:before="40" w:beforeAutospacing="0" w:after="40" w:afterAutospacing="0"/>
              <w:ind w:firstLine="284"/>
              <w:jc w:val="both"/>
              <w:rPr>
                <w:lang w:eastAsia="ru-UA"/>
              </w:rPr>
            </w:pPr>
            <w:r w:rsidRPr="001A2506">
              <w:rPr>
                <w:lang w:eastAsia="ru-UA"/>
              </w:rPr>
              <w:t>Одночасно, пропонується привести положення Кодексу</w:t>
            </w:r>
            <w:r w:rsidR="008B4480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систем розподілу у відповідність із термінологією та</w:t>
            </w:r>
            <w:r w:rsidR="008B4480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вимогами таких законодавчих актів:</w:t>
            </w:r>
          </w:p>
          <w:p w14:paraId="1EAD8134" w14:textId="77777777" w:rsidR="008B4480" w:rsidRPr="001A2506" w:rsidRDefault="00C747C9" w:rsidP="000B68A8">
            <w:pPr>
              <w:pStyle w:val="tj"/>
              <w:spacing w:before="40" w:beforeAutospacing="0" w:after="40" w:afterAutospacing="0"/>
              <w:ind w:firstLine="284"/>
              <w:jc w:val="both"/>
              <w:rPr>
                <w:lang w:eastAsia="ru-UA"/>
              </w:rPr>
            </w:pPr>
            <w:r w:rsidRPr="001A2506">
              <w:rPr>
                <w:b/>
                <w:bCs/>
                <w:lang w:eastAsia="ru-UA"/>
              </w:rPr>
              <w:t xml:space="preserve">1) </w:t>
            </w:r>
            <w:r w:rsidRPr="001A2506">
              <w:rPr>
                <w:lang w:eastAsia="ru-UA"/>
              </w:rPr>
              <w:t>Закон України «Про електронні комунікації». Цей</w:t>
            </w:r>
            <w:r w:rsidR="008B4480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закон дає визначення поняття «технічні засоби</w:t>
            </w:r>
            <w:r w:rsidR="008B4480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електронних комунікацій» та встановлює види</w:t>
            </w:r>
            <w:r w:rsidR="008B4480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розгортання електронних комунікаційних мереж,</w:t>
            </w:r>
            <w:r w:rsidR="008B4480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специфічні підстави розміщення технічних засобів.</w:t>
            </w:r>
          </w:p>
          <w:p w14:paraId="0216238A" w14:textId="69F743BA" w:rsidR="00C747C9" w:rsidRPr="001A2506" w:rsidRDefault="00C747C9" w:rsidP="000B68A8">
            <w:pPr>
              <w:pStyle w:val="tj"/>
              <w:spacing w:before="40" w:beforeAutospacing="0" w:after="40" w:afterAutospacing="0"/>
              <w:ind w:firstLine="284"/>
              <w:jc w:val="both"/>
              <w:rPr>
                <w:lang w:eastAsia="ru-UA"/>
              </w:rPr>
            </w:pPr>
            <w:r w:rsidRPr="001A2506">
              <w:rPr>
                <w:lang w:eastAsia="ru-UA"/>
              </w:rPr>
              <w:t>Зокрема, вказаним Законом визначено, що «під час дії</w:t>
            </w:r>
            <w:r w:rsidR="008B4480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воєнного стану в Україні, розміщення об’єктів і споруд</w:t>
            </w:r>
            <w:r w:rsidR="008B4480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 xml:space="preserve">електронних комунікацій на </w:t>
            </w:r>
            <w:r w:rsidRPr="001A2506">
              <w:rPr>
                <w:lang w:eastAsia="ru-UA"/>
              </w:rPr>
              <w:lastRenderedPageBreak/>
              <w:t>земельних ділянках та інших</w:t>
            </w:r>
            <w:r w:rsidR="008B4480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об’єктах нерухомого майна державної та комунальної</w:t>
            </w:r>
            <w:r w:rsidR="008B4480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власності здійснюється у встановленому</w:t>
            </w:r>
            <w:r w:rsidR="008B4480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Кабінетом Міністрів України», здійснюється за</w:t>
            </w:r>
            <w:r w:rsidR="008B4480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спеціальною процедурою. При цьому, розміщення</w:t>
            </w:r>
            <w:r w:rsidR="008B4480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технічних засобів на об’єктах нерухомості й земельних</w:t>
            </w:r>
            <w:r w:rsidR="008B4480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ділянках на період воєнного стану в особливому порядку</w:t>
            </w:r>
            <w:r w:rsidR="008B4480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встановлює інші договірні підстави для розміщення, ніж</w:t>
            </w:r>
            <w:r w:rsidR="008B4480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ті договори, подання яких, зазвичай, очікується згідно із</w:t>
            </w:r>
            <w:r w:rsidR="008B4480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стандартною процедурою приєднання</w:t>
            </w:r>
            <w:r w:rsidR="008B4480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(положення кодексу, яке вимагає додати до заяви про</w:t>
            </w:r>
            <w:r w:rsidR="008B4480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приєднання копії документів, що підтверджують права</w:t>
            </w:r>
            <w:r w:rsidR="008B4480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 xml:space="preserve">власності чи користування об’єктом нерухомого майна). </w:t>
            </w:r>
          </w:p>
          <w:p w14:paraId="2B1D4921" w14:textId="77777777" w:rsidR="008B4480" w:rsidRPr="001A2506" w:rsidRDefault="00C747C9" w:rsidP="008B4480">
            <w:pPr>
              <w:pStyle w:val="tj"/>
              <w:spacing w:before="40" w:beforeAutospacing="0" w:after="40" w:afterAutospacing="0"/>
              <w:ind w:firstLine="284"/>
              <w:jc w:val="both"/>
              <w:rPr>
                <w:lang w:eastAsia="ru-UA"/>
              </w:rPr>
            </w:pPr>
            <w:r w:rsidRPr="001A2506">
              <w:rPr>
                <w:lang w:eastAsia="ru-UA"/>
              </w:rPr>
              <w:t>Це ускладнює приєднання технічних засобів</w:t>
            </w:r>
            <w:r w:rsidR="008B4480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електронних комунікацій, розміщених у період воєнного</w:t>
            </w:r>
            <w:r w:rsidR="008B4480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стану, починаючи з травня 2025 року й призводить до</w:t>
            </w:r>
            <w:r w:rsidR="008B4480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відмов у приєднанні зі сторони ОСР.</w:t>
            </w:r>
          </w:p>
          <w:p w14:paraId="326B8BE0" w14:textId="77777777" w:rsidR="008B4480" w:rsidRPr="001A2506" w:rsidRDefault="00C747C9" w:rsidP="008B4480">
            <w:pPr>
              <w:pStyle w:val="tj"/>
              <w:spacing w:before="40" w:beforeAutospacing="0" w:after="40" w:afterAutospacing="0"/>
              <w:ind w:firstLine="284"/>
              <w:jc w:val="both"/>
              <w:rPr>
                <w:lang w:eastAsia="ru-UA"/>
              </w:rPr>
            </w:pPr>
            <w:r w:rsidRPr="001A2506">
              <w:rPr>
                <w:b/>
                <w:bCs/>
                <w:lang w:eastAsia="ru-UA"/>
              </w:rPr>
              <w:t xml:space="preserve">2) </w:t>
            </w:r>
            <w:r w:rsidRPr="001A2506">
              <w:rPr>
                <w:lang w:eastAsia="ru-UA"/>
              </w:rPr>
              <w:t>Закон України «Про доступ до об’єктів будівництва,</w:t>
            </w:r>
            <w:r w:rsidR="008B4480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транспорту, електроенергетики з метою розвитку</w:t>
            </w:r>
            <w:r w:rsidR="008B4480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електронних комунікаційних мереж». Саме вказаний</w:t>
            </w:r>
            <w:r w:rsidR="008B4480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закон дає визначення поняття інфраструктури об’єкта</w:t>
            </w:r>
            <w:r w:rsidR="008B4480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доступу, елементів такої інфраструктури, наводить</w:t>
            </w:r>
            <w:r w:rsidR="008B4480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перелік об’єктів доступу, до яких належать об’єкти</w:t>
            </w:r>
            <w:r w:rsidR="008B4480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 xml:space="preserve">будівництва, об’єкти </w:t>
            </w:r>
            <w:r w:rsidRPr="001A2506">
              <w:rPr>
                <w:lang w:eastAsia="ru-UA"/>
              </w:rPr>
              <w:lastRenderedPageBreak/>
              <w:t>транспорту, електроенергетики,</w:t>
            </w:r>
            <w:r w:rsidR="008B4480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кабельної каналізації, будинкової розподільної мережі.</w:t>
            </w:r>
            <w:r w:rsidR="008B4480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br/>
              <w:t>Цей закон загалом визначає засади забезпечення доступу</w:t>
            </w:r>
            <w:r w:rsidR="008B4480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до інфраструктури об’єктів будівництва, транспорту,</w:t>
            </w:r>
            <w:r w:rsidR="008B4480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електроенергетики, кабельної каналізації електрозв’язку,</w:t>
            </w:r>
            <w:r w:rsidR="008B4480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будинкової розподільної мережі для розташування</w:t>
            </w:r>
            <w:r w:rsidR="008B4480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технічних засобів електронних комунікацій з метою</w:t>
            </w:r>
            <w:r w:rsidR="008B4480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 xml:space="preserve">забезпечення розвитку </w:t>
            </w:r>
            <w:r w:rsidR="008B4480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електронних комунікаційних</w:t>
            </w:r>
            <w:r w:rsidR="008B4480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мереж.</w:t>
            </w:r>
            <w:r w:rsidR="008B4480" w:rsidRPr="001A2506">
              <w:rPr>
                <w:lang w:eastAsia="ru-UA"/>
              </w:rPr>
              <w:t xml:space="preserve"> </w:t>
            </w:r>
          </w:p>
          <w:p w14:paraId="678AC320" w14:textId="47081630" w:rsidR="00037767" w:rsidRPr="001A2506" w:rsidRDefault="00C747C9" w:rsidP="008B4480">
            <w:pPr>
              <w:pStyle w:val="tj"/>
              <w:spacing w:before="40" w:beforeAutospacing="0" w:after="40" w:afterAutospacing="0"/>
              <w:ind w:firstLine="284"/>
              <w:jc w:val="both"/>
              <w:rPr>
                <w:b/>
                <w:bCs/>
                <w:kern w:val="24"/>
              </w:rPr>
            </w:pPr>
            <w:r w:rsidRPr="001A2506">
              <w:rPr>
                <w:b/>
                <w:bCs/>
                <w:lang w:eastAsia="ru-UA"/>
              </w:rPr>
              <w:t xml:space="preserve">3) </w:t>
            </w:r>
            <w:r w:rsidRPr="001A2506">
              <w:rPr>
                <w:lang w:eastAsia="ru-UA"/>
              </w:rPr>
              <w:t>Постанова Кабінету Міністрів України № 555 від</w:t>
            </w:r>
            <w:r w:rsidR="008B4480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13.05.2025 р., що прийнята на виконання Закону України</w:t>
            </w:r>
            <w:r w:rsidR="008B4480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«Про електронні комунікації» та затверджує «Порядок</w:t>
            </w:r>
            <w:r w:rsidR="008B4480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розміщення об’єктів і споруд електронних комунікацій</w:t>
            </w:r>
            <w:r w:rsidR="008B4480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на земельних ділянках та інших об’єктах нерухомого</w:t>
            </w:r>
            <w:r w:rsidR="008B4480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майна державної та комунальної власності під час</w:t>
            </w:r>
            <w:r w:rsidR="008B4480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воєнного стану». Слід підкреслити, що даний порядок</w:t>
            </w:r>
            <w:r w:rsidR="008B4480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визначає процедуру розміщення технічних засобів</w:t>
            </w:r>
            <w:r w:rsidR="008B4480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електронних комунікацій, яка відрізняється від загальних</w:t>
            </w:r>
            <w:r w:rsidR="008B4480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підходів передачі в користування об’єктів нерухомого</w:t>
            </w:r>
            <w:r w:rsidR="008B4480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майна та земельних ділянок державної та комунальної</w:t>
            </w:r>
            <w:r w:rsidR="008B4480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власності, встановлених Земельним кодексом України та</w:t>
            </w:r>
            <w:r w:rsidR="008B4480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ЗУ «Про оренду державного та комунального майна». У</w:t>
            </w:r>
            <w:r w:rsidR="008B4480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 xml:space="preserve">зв’язку з чим на практиці </w:t>
            </w:r>
            <w:r w:rsidRPr="001A2506">
              <w:rPr>
                <w:lang w:eastAsia="ru-UA"/>
              </w:rPr>
              <w:lastRenderedPageBreak/>
              <w:t>виникають складнощі з</w:t>
            </w:r>
            <w:r w:rsidR="008B4480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реалізацією положень Порядку в частині приєднання до</w:t>
            </w:r>
            <w:r w:rsidR="008B4480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електричних мереж, а саме: не завжди додані до заяви про приєднання документи оцінюються ОСР як належні,</w:t>
            </w:r>
            <w:r w:rsidR="008B4480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зокрема це стосується договорів про розміщення,</w:t>
            </w:r>
            <w:r w:rsidR="008B4480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оскільки вони прямо не охоплюються пакетом, який</w:t>
            </w:r>
            <w:r w:rsidR="008B4480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наведений у п. 4.4.2 КСР. Це призводить до відмов у</w:t>
            </w:r>
            <w:r w:rsidR="008B4480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приєднанні та ускладнює реалізацію прав постачальників</w:t>
            </w:r>
            <w:r w:rsidR="008B4480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електронних комунікацій на приєднання своїх об’єктів</w:t>
            </w:r>
            <w:r w:rsidR="008B4480" w:rsidRPr="001A2506">
              <w:rPr>
                <w:lang w:eastAsia="ru-UA"/>
              </w:rPr>
              <w:t xml:space="preserve"> </w:t>
            </w:r>
            <w:r w:rsidRPr="001A2506">
              <w:rPr>
                <w:lang w:eastAsia="ru-UA"/>
              </w:rPr>
              <w:t>до електричних мереж.</w:t>
            </w:r>
          </w:p>
        </w:tc>
        <w:tc>
          <w:tcPr>
            <w:tcW w:w="3544" w:type="dxa"/>
            <w:vMerge/>
          </w:tcPr>
          <w:p w14:paraId="516C96C3" w14:textId="77777777" w:rsidR="00037767" w:rsidRPr="0063623A" w:rsidRDefault="00037767" w:rsidP="0063623A">
            <w:pPr>
              <w:pStyle w:val="tj"/>
              <w:spacing w:before="40" w:beforeAutospacing="0" w:after="40" w:afterAutospacing="0"/>
              <w:ind w:firstLine="284"/>
              <w:jc w:val="both"/>
              <w:rPr>
                <w:color w:val="000000"/>
                <w:kern w:val="24"/>
                <w:sz w:val="28"/>
                <w:szCs w:val="28"/>
              </w:rPr>
            </w:pPr>
          </w:p>
        </w:tc>
      </w:tr>
      <w:tr w:rsidR="00EE66A2" w:rsidRPr="0063623A" w14:paraId="3C5FD507" w14:textId="5F9522CD" w:rsidTr="00702255">
        <w:tc>
          <w:tcPr>
            <w:tcW w:w="4111" w:type="dxa"/>
          </w:tcPr>
          <w:p w14:paraId="086E5DFD" w14:textId="77777777" w:rsidR="00526971" w:rsidRPr="008F1D55" w:rsidRDefault="00526971" w:rsidP="00526971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</w:pPr>
            <w:r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lastRenderedPageBreak/>
              <w:t>4.1.18. Точка приєднання електроустановок замовника має бути розташована на межі земельної ділянки замовника або, за згодою замовника, на території цієї земельної ділянки. Точка приєднання електроустановок замовника зазначається в договорі про приєднання.</w:t>
            </w:r>
          </w:p>
          <w:p w14:paraId="0D186FFB" w14:textId="77777777" w:rsidR="00526971" w:rsidRPr="008F1D55" w:rsidRDefault="00526971" w:rsidP="00526971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</w:pPr>
            <w:r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 xml:space="preserve">Точка приєднання </w:t>
            </w:r>
            <w:r w:rsidRPr="008F1D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>технічних засобів електронних комунікацій</w:t>
            </w:r>
            <w:r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>, що не пов'язані із власністю або володінням земельною ділянкою, розташованих на елементах інфраструктури об'єктів електроенергетики, визначається сторонами в межах цього елемента.</w:t>
            </w:r>
          </w:p>
          <w:p w14:paraId="6C4196E1" w14:textId="7D8CA514" w:rsidR="00EE66A2" w:rsidRPr="008F1D55" w:rsidRDefault="00526971" w:rsidP="00526971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</w:pPr>
            <w:r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>…</w:t>
            </w:r>
          </w:p>
        </w:tc>
        <w:tc>
          <w:tcPr>
            <w:tcW w:w="4111" w:type="dxa"/>
          </w:tcPr>
          <w:p w14:paraId="2B4620AA" w14:textId="6B9684B7" w:rsidR="00EE66A2" w:rsidRPr="008F1D55" w:rsidRDefault="00EE66A2" w:rsidP="0063623A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kern w:val="24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3969" w:type="dxa"/>
          </w:tcPr>
          <w:p w14:paraId="7E836ECC" w14:textId="77777777" w:rsidR="00EE66A2" w:rsidRPr="008F1D55" w:rsidRDefault="00EE66A2" w:rsidP="0063623A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3544" w:type="dxa"/>
          </w:tcPr>
          <w:p w14:paraId="7764F42D" w14:textId="77777777" w:rsidR="00EE66A2" w:rsidRPr="008F1D55" w:rsidRDefault="00EE66A2" w:rsidP="0063623A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</w:pPr>
          </w:p>
        </w:tc>
      </w:tr>
      <w:tr w:rsidR="001B3535" w:rsidRPr="0063623A" w14:paraId="411833D2" w14:textId="76F85D27" w:rsidTr="00702255">
        <w:tc>
          <w:tcPr>
            <w:tcW w:w="15735" w:type="dxa"/>
            <w:gridSpan w:val="4"/>
          </w:tcPr>
          <w:p w14:paraId="311A9648" w14:textId="7475C8E7" w:rsidR="001B3535" w:rsidRPr="0063623A" w:rsidRDefault="001B3535" w:rsidP="0063623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  <w:lang w:eastAsia="uk-UA"/>
                <w14:ligatures w14:val="none"/>
              </w:rPr>
            </w:pPr>
            <w:r w:rsidRPr="001B3535">
              <w:rPr>
                <w:rFonts w:ascii="Times New Roman" w:eastAsia="Times New Roman" w:hAnsi="Times New Roman" w:cs="Times New Roman"/>
                <w:b/>
                <w:bCs/>
                <w:color w:val="333333"/>
                <w:kern w:val="24"/>
                <w:sz w:val="28"/>
                <w:szCs w:val="28"/>
                <w:lang w:eastAsia="uk-UA"/>
                <w14:ligatures w14:val="none"/>
              </w:rPr>
              <w:t>4.2. Стандартне приєднання</w:t>
            </w:r>
          </w:p>
        </w:tc>
      </w:tr>
      <w:tr w:rsidR="00EF1699" w:rsidRPr="0063623A" w14:paraId="080BEA93" w14:textId="64041E66" w:rsidTr="00702255">
        <w:tc>
          <w:tcPr>
            <w:tcW w:w="4111" w:type="dxa"/>
            <w:vMerge w:val="restart"/>
          </w:tcPr>
          <w:p w14:paraId="53AEF42B" w14:textId="77777777" w:rsidR="00EF1699" w:rsidRPr="008F1D55" w:rsidRDefault="00EF1699" w:rsidP="00526971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</w:pPr>
            <w:r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>4.2.1. ОСР надає послугу зі стандартного приєднання відповідно до умов договору про стандартне приєднання.</w:t>
            </w:r>
          </w:p>
          <w:p w14:paraId="79D9EE09" w14:textId="77777777" w:rsidR="00EF1699" w:rsidRPr="008F1D55" w:rsidRDefault="00EF1699" w:rsidP="00526971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</w:pPr>
            <w:r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>…</w:t>
            </w:r>
          </w:p>
          <w:p w14:paraId="61F3C93B" w14:textId="388DB5FF" w:rsidR="00EF1699" w:rsidRPr="008F1D55" w:rsidRDefault="00EF1699" w:rsidP="00526971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</w:pPr>
            <w:r w:rsidRPr="008F1D55">
              <w:rPr>
                <w:rFonts w:ascii="Times New Roman" w:eastAsia="Times New Roman" w:hAnsi="Times New Roman" w:cs="Times New Roman"/>
                <w:strike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 xml:space="preserve">Приєднання світлофорів, зовнішнього вуличного освітлення, освітлення та іншої супутньої технологічної інфраструктури автодоріг (насосні водовідведення, декоративне освітлення, ліфти підземних і надземних пішохідних переходів), засобів електронних комунікацій, обладнання сповіщення населення (гучномовці), вуличних інформаційних покажчиків, </w:t>
            </w:r>
            <w:proofErr w:type="spellStart"/>
            <w:r w:rsidRPr="008F1D55">
              <w:rPr>
                <w:rFonts w:ascii="Times New Roman" w:eastAsia="Times New Roman" w:hAnsi="Times New Roman" w:cs="Times New Roman"/>
                <w:strike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>бюветів</w:t>
            </w:r>
            <w:proofErr w:type="spellEnd"/>
            <w:r w:rsidRPr="008F1D55">
              <w:rPr>
                <w:rFonts w:ascii="Times New Roman" w:eastAsia="Times New Roman" w:hAnsi="Times New Roman" w:cs="Times New Roman"/>
                <w:strike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 xml:space="preserve">, станцій катодного захисту, </w:t>
            </w:r>
            <w:proofErr w:type="spellStart"/>
            <w:r w:rsidRPr="008F1D55">
              <w:rPr>
                <w:rFonts w:ascii="Times New Roman" w:eastAsia="Times New Roman" w:hAnsi="Times New Roman" w:cs="Times New Roman"/>
                <w:strike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>газопередавальних</w:t>
            </w:r>
            <w:proofErr w:type="spellEnd"/>
            <w:r w:rsidRPr="008F1D55">
              <w:rPr>
                <w:rFonts w:ascii="Times New Roman" w:eastAsia="Times New Roman" w:hAnsi="Times New Roman" w:cs="Times New Roman"/>
                <w:strike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 xml:space="preserve"> та газорозподільчих станцій, фонтанів, камери </w:t>
            </w:r>
            <w:proofErr w:type="spellStart"/>
            <w:r w:rsidRPr="008F1D55">
              <w:rPr>
                <w:rFonts w:ascii="Times New Roman" w:eastAsia="Times New Roman" w:hAnsi="Times New Roman" w:cs="Times New Roman"/>
                <w:strike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>відеофіксації</w:t>
            </w:r>
            <w:proofErr w:type="spellEnd"/>
            <w:r w:rsidRPr="008F1D55">
              <w:rPr>
                <w:rFonts w:ascii="Times New Roman" w:eastAsia="Times New Roman" w:hAnsi="Times New Roman" w:cs="Times New Roman"/>
                <w:strike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 xml:space="preserve">, парки/сквери/пляжі / рятувальні станції / </w:t>
            </w:r>
            <w:proofErr w:type="spellStart"/>
            <w:r w:rsidRPr="008F1D55">
              <w:rPr>
                <w:rFonts w:ascii="Times New Roman" w:eastAsia="Times New Roman" w:hAnsi="Times New Roman" w:cs="Times New Roman"/>
                <w:strike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>благоустрої</w:t>
            </w:r>
            <w:proofErr w:type="spellEnd"/>
            <w:r w:rsidRPr="008F1D55">
              <w:rPr>
                <w:rFonts w:ascii="Times New Roman" w:eastAsia="Times New Roman" w:hAnsi="Times New Roman" w:cs="Times New Roman"/>
                <w:strike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 xml:space="preserve"> озер / стоянки для човнів, малих архітектурних форм, </w:t>
            </w:r>
            <w:proofErr w:type="spellStart"/>
            <w:r w:rsidRPr="008F1D55">
              <w:rPr>
                <w:rFonts w:ascii="Times New Roman" w:eastAsia="Times New Roman" w:hAnsi="Times New Roman" w:cs="Times New Roman"/>
                <w:strike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>автополиви</w:t>
            </w:r>
            <w:proofErr w:type="spellEnd"/>
            <w:r w:rsidRPr="008F1D55">
              <w:rPr>
                <w:rFonts w:ascii="Times New Roman" w:eastAsia="Times New Roman" w:hAnsi="Times New Roman" w:cs="Times New Roman"/>
                <w:strike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 xml:space="preserve"> зелених насаджень, </w:t>
            </w:r>
            <w:proofErr w:type="spellStart"/>
            <w:r w:rsidRPr="008F1D55">
              <w:rPr>
                <w:rFonts w:ascii="Times New Roman" w:eastAsia="Times New Roman" w:hAnsi="Times New Roman" w:cs="Times New Roman"/>
                <w:strike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>боларди</w:t>
            </w:r>
            <w:proofErr w:type="spellEnd"/>
            <w:r w:rsidRPr="008F1D55">
              <w:rPr>
                <w:rFonts w:ascii="Times New Roman" w:eastAsia="Times New Roman" w:hAnsi="Times New Roman" w:cs="Times New Roman"/>
                <w:strike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 xml:space="preserve">, </w:t>
            </w:r>
            <w:proofErr w:type="spellStart"/>
            <w:r w:rsidRPr="008F1D55">
              <w:rPr>
                <w:rFonts w:ascii="Times New Roman" w:eastAsia="Times New Roman" w:hAnsi="Times New Roman" w:cs="Times New Roman"/>
                <w:strike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>рекламоносії</w:t>
            </w:r>
            <w:proofErr w:type="spellEnd"/>
            <w:r w:rsidRPr="008F1D55">
              <w:rPr>
                <w:rFonts w:ascii="Times New Roman" w:eastAsia="Times New Roman" w:hAnsi="Times New Roman" w:cs="Times New Roman"/>
                <w:strike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 xml:space="preserve">, </w:t>
            </w:r>
            <w:proofErr w:type="spellStart"/>
            <w:r w:rsidRPr="008F1D55">
              <w:rPr>
                <w:rFonts w:ascii="Times New Roman" w:eastAsia="Times New Roman" w:hAnsi="Times New Roman" w:cs="Times New Roman"/>
                <w:strike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>паркомати</w:t>
            </w:r>
            <w:proofErr w:type="spellEnd"/>
            <w:r w:rsidRPr="008F1D55">
              <w:rPr>
                <w:rFonts w:ascii="Times New Roman" w:eastAsia="Times New Roman" w:hAnsi="Times New Roman" w:cs="Times New Roman"/>
                <w:strike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 xml:space="preserve">, </w:t>
            </w:r>
            <w:proofErr w:type="spellStart"/>
            <w:r w:rsidRPr="008F1D55">
              <w:rPr>
                <w:rFonts w:ascii="Times New Roman" w:eastAsia="Times New Roman" w:hAnsi="Times New Roman" w:cs="Times New Roman"/>
                <w:strike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>почтомати</w:t>
            </w:r>
            <w:proofErr w:type="spellEnd"/>
            <w:r w:rsidRPr="008F1D55">
              <w:rPr>
                <w:rFonts w:ascii="Times New Roman" w:eastAsia="Times New Roman" w:hAnsi="Times New Roman" w:cs="Times New Roman"/>
                <w:strike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 xml:space="preserve">, підземні та надземні пішохідні переходи, транспортні розв'язки і мостові переходи, тунелі, </w:t>
            </w:r>
            <w:proofErr w:type="spellStart"/>
            <w:r w:rsidRPr="008F1D55">
              <w:rPr>
                <w:rFonts w:ascii="Times New Roman" w:eastAsia="Times New Roman" w:hAnsi="Times New Roman" w:cs="Times New Roman"/>
                <w:strike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>паркувальні</w:t>
            </w:r>
            <w:proofErr w:type="spellEnd"/>
            <w:r w:rsidRPr="008F1D55">
              <w:rPr>
                <w:rFonts w:ascii="Times New Roman" w:eastAsia="Times New Roman" w:hAnsi="Times New Roman" w:cs="Times New Roman"/>
                <w:strike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 xml:space="preserve"> майданчики, здійснюється у порядку, визначеному главами 4.3, 4.4 та 4.6 цього розділу, на підставі договору про нестандартне приєднання.</w:t>
            </w:r>
          </w:p>
        </w:tc>
        <w:tc>
          <w:tcPr>
            <w:tcW w:w="4111" w:type="dxa"/>
          </w:tcPr>
          <w:p w14:paraId="1A41F81A" w14:textId="3D4230D0" w:rsidR="00EF1699" w:rsidRPr="008F1D55" w:rsidRDefault="00EF1699" w:rsidP="008F1D55">
            <w:pPr>
              <w:pStyle w:val="tj"/>
              <w:spacing w:before="40" w:beforeAutospacing="0" w:after="40" w:afterAutospacing="0"/>
              <w:ind w:firstLine="284"/>
              <w:jc w:val="center"/>
              <w:rPr>
                <w:color w:val="000000"/>
                <w:lang w:eastAsia="ru-UA"/>
              </w:rPr>
            </w:pPr>
            <w:r w:rsidRPr="008F1D55">
              <w:rPr>
                <w:b/>
                <w:bCs/>
                <w:color w:val="333333"/>
                <w:kern w:val="24"/>
              </w:rPr>
              <w:t>ТОВ «ЮНС»</w:t>
            </w:r>
          </w:p>
          <w:p w14:paraId="5E8CFC13" w14:textId="77777777" w:rsidR="00EF1699" w:rsidRPr="008F1D55" w:rsidRDefault="00EF1699" w:rsidP="005F76BB">
            <w:pPr>
              <w:pStyle w:val="tj"/>
              <w:spacing w:before="40" w:beforeAutospacing="0" w:after="40" w:afterAutospacing="0"/>
              <w:ind w:firstLine="284"/>
              <w:jc w:val="both"/>
              <w:rPr>
                <w:color w:val="000000"/>
                <w:lang w:eastAsia="ru-UA"/>
              </w:rPr>
            </w:pPr>
            <w:r w:rsidRPr="008F1D55">
              <w:rPr>
                <w:color w:val="000000"/>
                <w:lang w:eastAsia="ru-UA"/>
              </w:rPr>
              <w:lastRenderedPageBreak/>
              <w:t xml:space="preserve">4.2.1. ОСР надає послугу зі стандартного приєднання відповідно до умов договору про стандартне приєднання. </w:t>
            </w:r>
          </w:p>
          <w:p w14:paraId="164595FA" w14:textId="77777777" w:rsidR="00EF1699" w:rsidRPr="008F1D55" w:rsidRDefault="00EF1699" w:rsidP="005F76BB">
            <w:pPr>
              <w:pStyle w:val="tj"/>
              <w:spacing w:before="40" w:beforeAutospacing="0" w:after="40" w:afterAutospacing="0"/>
              <w:ind w:firstLine="284"/>
              <w:jc w:val="both"/>
              <w:rPr>
                <w:color w:val="000000"/>
                <w:lang w:eastAsia="ru-UA"/>
              </w:rPr>
            </w:pPr>
            <w:r w:rsidRPr="008F1D55">
              <w:rPr>
                <w:color w:val="000000"/>
                <w:lang w:eastAsia="ru-UA"/>
              </w:rPr>
              <w:t>…</w:t>
            </w:r>
          </w:p>
          <w:p w14:paraId="607BCA47" w14:textId="1D084D50" w:rsidR="00EF1699" w:rsidRPr="008F1D55" w:rsidRDefault="00EF1699" w:rsidP="00B754FB">
            <w:pPr>
              <w:pStyle w:val="tj"/>
              <w:spacing w:before="40" w:beforeAutospacing="0" w:after="40" w:afterAutospacing="0"/>
              <w:ind w:firstLine="284"/>
              <w:jc w:val="both"/>
              <w:rPr>
                <w:b/>
                <w:bCs/>
                <w:strike/>
                <w:color w:val="333333"/>
                <w:kern w:val="24"/>
              </w:rPr>
            </w:pPr>
            <w:r w:rsidRPr="001A2506">
              <w:rPr>
                <w:color w:val="0070C0"/>
                <w:lang w:eastAsia="ru-UA"/>
              </w:rPr>
              <w:t xml:space="preserve">Приєднання світлофорів, зовнішнього вуличного освітлення, освітлення та іншої супутньої технологічної інфраструктури автодоріг (насосні водовідведення, декоративне освітлення, ліфти підземних і надземних пішохідних переходів), засобів електронних комунікацій, обладнання сповіщення населення (гучномовці), вуличних інформаційних покажчиків, </w:t>
            </w:r>
            <w:proofErr w:type="spellStart"/>
            <w:r w:rsidRPr="001A2506">
              <w:rPr>
                <w:color w:val="0070C0"/>
                <w:lang w:eastAsia="ru-UA"/>
              </w:rPr>
              <w:t>бюветів</w:t>
            </w:r>
            <w:proofErr w:type="spellEnd"/>
            <w:r w:rsidRPr="001A2506">
              <w:rPr>
                <w:color w:val="0070C0"/>
                <w:lang w:eastAsia="ru-UA"/>
              </w:rPr>
              <w:t xml:space="preserve">, станцій катодного захисту, </w:t>
            </w:r>
            <w:proofErr w:type="spellStart"/>
            <w:r w:rsidRPr="001A2506">
              <w:rPr>
                <w:color w:val="0070C0"/>
                <w:lang w:eastAsia="ru-UA"/>
              </w:rPr>
              <w:t>газопередавальних</w:t>
            </w:r>
            <w:proofErr w:type="spellEnd"/>
            <w:r w:rsidRPr="001A2506">
              <w:rPr>
                <w:color w:val="0070C0"/>
                <w:lang w:eastAsia="ru-UA"/>
              </w:rPr>
              <w:t xml:space="preserve"> та газорозподільчих станцій, фонтанів, камери </w:t>
            </w:r>
            <w:proofErr w:type="spellStart"/>
            <w:r w:rsidRPr="001A2506">
              <w:rPr>
                <w:color w:val="0070C0"/>
                <w:lang w:eastAsia="ru-UA"/>
              </w:rPr>
              <w:t>відеофіксації</w:t>
            </w:r>
            <w:proofErr w:type="spellEnd"/>
            <w:r w:rsidRPr="001A2506">
              <w:rPr>
                <w:color w:val="0070C0"/>
                <w:lang w:eastAsia="ru-UA"/>
              </w:rPr>
              <w:t>, парки/сквери/пляжі/рятувальні станції/</w:t>
            </w:r>
            <w:proofErr w:type="spellStart"/>
            <w:r w:rsidRPr="001A2506">
              <w:rPr>
                <w:color w:val="0070C0"/>
                <w:lang w:eastAsia="ru-UA"/>
              </w:rPr>
              <w:t>благоустрої</w:t>
            </w:r>
            <w:proofErr w:type="spellEnd"/>
            <w:r w:rsidRPr="001A2506">
              <w:rPr>
                <w:color w:val="0070C0"/>
                <w:lang w:eastAsia="ru-UA"/>
              </w:rPr>
              <w:t xml:space="preserve"> озер/стоянки для човнів, малих архітектурних форм, </w:t>
            </w:r>
            <w:proofErr w:type="spellStart"/>
            <w:r w:rsidRPr="001A2506">
              <w:rPr>
                <w:color w:val="0070C0"/>
                <w:lang w:eastAsia="ru-UA"/>
              </w:rPr>
              <w:t>автополиви</w:t>
            </w:r>
            <w:proofErr w:type="spellEnd"/>
            <w:r w:rsidRPr="001A2506">
              <w:rPr>
                <w:color w:val="0070C0"/>
                <w:lang w:eastAsia="ru-UA"/>
              </w:rPr>
              <w:t xml:space="preserve"> зелених насаджень, </w:t>
            </w:r>
            <w:proofErr w:type="spellStart"/>
            <w:r w:rsidRPr="001A2506">
              <w:rPr>
                <w:color w:val="0070C0"/>
                <w:lang w:eastAsia="ru-UA"/>
              </w:rPr>
              <w:t>боларди</w:t>
            </w:r>
            <w:proofErr w:type="spellEnd"/>
            <w:r w:rsidRPr="001A2506">
              <w:rPr>
                <w:color w:val="0070C0"/>
                <w:lang w:eastAsia="ru-UA"/>
              </w:rPr>
              <w:t xml:space="preserve">, </w:t>
            </w:r>
            <w:proofErr w:type="spellStart"/>
            <w:r w:rsidRPr="001A2506">
              <w:rPr>
                <w:color w:val="0070C0"/>
                <w:lang w:eastAsia="ru-UA"/>
              </w:rPr>
              <w:t>рекламоносії</w:t>
            </w:r>
            <w:proofErr w:type="spellEnd"/>
            <w:r w:rsidRPr="001A2506">
              <w:rPr>
                <w:color w:val="0070C0"/>
                <w:lang w:eastAsia="ru-UA"/>
              </w:rPr>
              <w:t xml:space="preserve">, </w:t>
            </w:r>
            <w:proofErr w:type="spellStart"/>
            <w:r w:rsidRPr="001A2506">
              <w:rPr>
                <w:color w:val="0070C0"/>
                <w:lang w:eastAsia="ru-UA"/>
              </w:rPr>
              <w:t>паркомати</w:t>
            </w:r>
            <w:proofErr w:type="spellEnd"/>
            <w:r w:rsidRPr="001A2506">
              <w:rPr>
                <w:color w:val="0070C0"/>
                <w:lang w:eastAsia="ru-UA"/>
              </w:rPr>
              <w:t xml:space="preserve">, </w:t>
            </w:r>
            <w:proofErr w:type="spellStart"/>
            <w:r w:rsidRPr="001A2506">
              <w:rPr>
                <w:color w:val="0070C0"/>
                <w:lang w:eastAsia="ru-UA"/>
              </w:rPr>
              <w:t>почтомати</w:t>
            </w:r>
            <w:proofErr w:type="spellEnd"/>
            <w:r w:rsidRPr="001A2506">
              <w:rPr>
                <w:color w:val="0070C0"/>
                <w:lang w:eastAsia="ru-UA"/>
              </w:rPr>
              <w:t xml:space="preserve">, підземні та надземні пішохідні переходи, транспортні розв'язки і мостові переходи, тунелі, </w:t>
            </w:r>
            <w:proofErr w:type="spellStart"/>
            <w:r w:rsidRPr="001A2506">
              <w:rPr>
                <w:color w:val="0070C0"/>
                <w:lang w:eastAsia="ru-UA"/>
              </w:rPr>
              <w:t>паркувальні</w:t>
            </w:r>
            <w:proofErr w:type="spellEnd"/>
            <w:r w:rsidRPr="001A2506">
              <w:rPr>
                <w:color w:val="0070C0"/>
                <w:lang w:eastAsia="ru-UA"/>
              </w:rPr>
              <w:t xml:space="preserve"> майданчики, здійснюється у порядку, визначеному главами 4.3, 4.4 та 4.6 цього розділу, на підставі договору про нестандартне приєднання. </w:t>
            </w:r>
          </w:p>
        </w:tc>
        <w:tc>
          <w:tcPr>
            <w:tcW w:w="3969" w:type="dxa"/>
          </w:tcPr>
          <w:p w14:paraId="58EC1768" w14:textId="2F5782E4" w:rsidR="00EF1699" w:rsidRPr="008F1D55" w:rsidRDefault="00EF1699" w:rsidP="008F1D55">
            <w:pPr>
              <w:pStyle w:val="tj"/>
              <w:spacing w:before="40" w:beforeAutospacing="0" w:after="40" w:afterAutospacing="0"/>
              <w:ind w:firstLine="284"/>
              <w:jc w:val="center"/>
              <w:rPr>
                <w:color w:val="000000"/>
                <w:lang w:eastAsia="ru-UA"/>
              </w:rPr>
            </w:pPr>
            <w:r w:rsidRPr="008F1D55">
              <w:rPr>
                <w:b/>
                <w:bCs/>
                <w:color w:val="333333"/>
                <w:kern w:val="24"/>
              </w:rPr>
              <w:lastRenderedPageBreak/>
              <w:t>ТОВ «ЮНС»</w:t>
            </w:r>
          </w:p>
          <w:p w14:paraId="0E6A6DE1" w14:textId="37A7C18E" w:rsidR="00EF1699" w:rsidRPr="008F1D55" w:rsidRDefault="00EF1699" w:rsidP="00713A9F">
            <w:pPr>
              <w:pStyle w:val="tj"/>
              <w:spacing w:before="40" w:beforeAutospacing="0" w:after="40" w:afterAutospacing="0"/>
              <w:ind w:firstLine="284"/>
              <w:jc w:val="both"/>
              <w:rPr>
                <w:color w:val="000000"/>
                <w:kern w:val="24"/>
              </w:rPr>
            </w:pPr>
            <w:r w:rsidRPr="008F1D55">
              <w:rPr>
                <w:color w:val="000000"/>
                <w:lang w:eastAsia="ru-UA"/>
              </w:rPr>
              <w:lastRenderedPageBreak/>
              <w:t xml:space="preserve">Пропозиція не видаляти пункт 4.2.1, так як він передбачає нестандартне приєднання значних категорій інших замовників, але із видаленням фрази «засобів електронних комунікацій. </w:t>
            </w:r>
          </w:p>
        </w:tc>
        <w:tc>
          <w:tcPr>
            <w:tcW w:w="3544" w:type="dxa"/>
            <w:vMerge w:val="restart"/>
          </w:tcPr>
          <w:p w14:paraId="74213320" w14:textId="38B35646" w:rsidR="00EF1699" w:rsidRPr="00EF1699" w:rsidRDefault="00EF1699" w:rsidP="00EF169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</w:pPr>
            <w:r w:rsidRPr="00EF1699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lastRenderedPageBreak/>
              <w:t>Пропонується не враховувати.</w:t>
            </w:r>
          </w:p>
          <w:p w14:paraId="0D0F0B85" w14:textId="2188851E" w:rsidR="00EF1699" w:rsidRPr="008F1D55" w:rsidRDefault="00EF1699" w:rsidP="0063623A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lastRenderedPageBreak/>
              <w:t xml:space="preserve">З урахуванням змін до Кодексу, що наберуть чинність з 01 січня 2026 року, послуги з приєднання малопотужних електроустановок (до 5 кВт) і так надаватиметься за процедурою нестандартного приєднання. Тому вказане питання вже врегульоване іншими нормами Кодексу (пункт 4.2.1).  </w:t>
            </w:r>
          </w:p>
        </w:tc>
      </w:tr>
      <w:tr w:rsidR="00EF1699" w:rsidRPr="0063623A" w14:paraId="5414E036" w14:textId="77777777" w:rsidTr="00702255">
        <w:tc>
          <w:tcPr>
            <w:tcW w:w="4111" w:type="dxa"/>
            <w:vMerge/>
          </w:tcPr>
          <w:p w14:paraId="00F030B1" w14:textId="77777777" w:rsidR="00EF1699" w:rsidRPr="008F1D55" w:rsidRDefault="00EF1699" w:rsidP="00526971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4111" w:type="dxa"/>
          </w:tcPr>
          <w:p w14:paraId="3865A4E7" w14:textId="58AC1152" w:rsidR="00EF1699" w:rsidRPr="00702255" w:rsidRDefault="00EF1699" w:rsidP="00702255">
            <w:pPr>
              <w:pStyle w:val="tj"/>
              <w:spacing w:before="40" w:beforeAutospacing="0" w:after="40" w:afterAutospacing="0"/>
              <w:ind w:firstLine="284"/>
              <w:jc w:val="center"/>
              <w:rPr>
                <w:b/>
                <w:bCs/>
                <w:color w:val="333333"/>
                <w:kern w:val="24"/>
              </w:rPr>
            </w:pPr>
            <w:r w:rsidRPr="00702255">
              <w:rPr>
                <w:b/>
                <w:bCs/>
                <w:color w:val="333333"/>
                <w:kern w:val="24"/>
              </w:rPr>
              <w:t>АТ «ДТЕК Дніпровські електромережі»</w:t>
            </w:r>
          </w:p>
          <w:p w14:paraId="225E5733" w14:textId="77777777" w:rsidR="00EF1699" w:rsidRPr="00702255" w:rsidRDefault="00EF1699" w:rsidP="00702255">
            <w:pPr>
              <w:ind w:firstLine="224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0225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Залишити в чинній редакції</w:t>
            </w:r>
          </w:p>
          <w:p w14:paraId="01EAFDBF" w14:textId="77777777" w:rsidR="00EF1699" w:rsidRPr="00702255" w:rsidRDefault="00EF1699" w:rsidP="00702255">
            <w:pPr>
              <w:ind w:firstLine="224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0225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4.2.1. ОСР надає послугу зі стандартного приєднання відповідно до умов договору про стандартне приєднання.</w:t>
            </w:r>
          </w:p>
          <w:p w14:paraId="2F153891" w14:textId="77777777" w:rsidR="00EF1699" w:rsidRPr="00702255" w:rsidRDefault="00EF1699" w:rsidP="00702255">
            <w:pPr>
              <w:ind w:firstLine="224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0225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…</w:t>
            </w:r>
          </w:p>
          <w:p w14:paraId="1988A3B6" w14:textId="5C27E4A6" w:rsidR="00EF1699" w:rsidRPr="00702255" w:rsidRDefault="00EF1699" w:rsidP="00702255">
            <w:pPr>
              <w:pStyle w:val="tj"/>
              <w:spacing w:before="40" w:beforeAutospacing="0" w:after="40" w:afterAutospacing="0"/>
              <w:ind w:firstLine="284"/>
              <w:jc w:val="both"/>
              <w:rPr>
                <w:b/>
                <w:bCs/>
                <w:color w:val="333333"/>
                <w:kern w:val="24"/>
              </w:rPr>
            </w:pPr>
            <w:r w:rsidRPr="001A2506">
              <w:rPr>
                <w:bCs/>
                <w:iCs/>
                <w:color w:val="0070C0"/>
              </w:rPr>
              <w:t xml:space="preserve">Приєднання світлофорів, зовнішнього вуличного освітлення, освітлення та іншої супутньої технологічної інфраструктури автодоріг (насосні водовідведення, декоративне освітлення, ліфти підземних і надземних пішохідних переходів), засобів електронних комунікацій, обладнання сповіщення населення (гучномовці), вуличних інформаційних покажчиків, </w:t>
            </w:r>
            <w:proofErr w:type="spellStart"/>
            <w:r w:rsidRPr="001A2506">
              <w:rPr>
                <w:bCs/>
                <w:iCs/>
                <w:color w:val="0070C0"/>
              </w:rPr>
              <w:t>бюветів</w:t>
            </w:r>
            <w:proofErr w:type="spellEnd"/>
            <w:r w:rsidRPr="001A2506">
              <w:rPr>
                <w:bCs/>
                <w:iCs/>
                <w:color w:val="0070C0"/>
              </w:rPr>
              <w:t xml:space="preserve">, станцій катодного захисту, </w:t>
            </w:r>
            <w:proofErr w:type="spellStart"/>
            <w:r w:rsidRPr="001A2506">
              <w:rPr>
                <w:bCs/>
                <w:iCs/>
                <w:color w:val="0070C0"/>
              </w:rPr>
              <w:t>газопередавальних</w:t>
            </w:r>
            <w:proofErr w:type="spellEnd"/>
            <w:r w:rsidRPr="001A2506">
              <w:rPr>
                <w:bCs/>
                <w:iCs/>
                <w:color w:val="0070C0"/>
              </w:rPr>
              <w:t xml:space="preserve"> та газорозподільчих станцій, фонтанів, камери </w:t>
            </w:r>
            <w:proofErr w:type="spellStart"/>
            <w:r w:rsidRPr="001A2506">
              <w:rPr>
                <w:bCs/>
                <w:iCs/>
                <w:color w:val="0070C0"/>
              </w:rPr>
              <w:t>відеофіксації</w:t>
            </w:r>
            <w:proofErr w:type="spellEnd"/>
            <w:r w:rsidRPr="001A2506">
              <w:rPr>
                <w:bCs/>
                <w:iCs/>
                <w:color w:val="0070C0"/>
              </w:rPr>
              <w:t xml:space="preserve">, парки/сквери/пляжі / рятувальні станції / </w:t>
            </w:r>
            <w:proofErr w:type="spellStart"/>
            <w:r w:rsidRPr="001A2506">
              <w:rPr>
                <w:bCs/>
                <w:iCs/>
                <w:color w:val="0070C0"/>
              </w:rPr>
              <w:t>благоустрої</w:t>
            </w:r>
            <w:proofErr w:type="spellEnd"/>
            <w:r w:rsidRPr="001A2506">
              <w:rPr>
                <w:bCs/>
                <w:iCs/>
                <w:color w:val="0070C0"/>
              </w:rPr>
              <w:t xml:space="preserve"> озер / стоянки для човнів, малих архітектурних форм, </w:t>
            </w:r>
            <w:proofErr w:type="spellStart"/>
            <w:r w:rsidRPr="001A2506">
              <w:rPr>
                <w:bCs/>
                <w:iCs/>
                <w:color w:val="0070C0"/>
              </w:rPr>
              <w:t>автополиви</w:t>
            </w:r>
            <w:proofErr w:type="spellEnd"/>
            <w:r w:rsidRPr="001A2506">
              <w:rPr>
                <w:bCs/>
                <w:iCs/>
                <w:color w:val="0070C0"/>
              </w:rPr>
              <w:t xml:space="preserve"> зелених насаджень, </w:t>
            </w:r>
            <w:proofErr w:type="spellStart"/>
            <w:r w:rsidRPr="001A2506">
              <w:rPr>
                <w:bCs/>
                <w:iCs/>
                <w:color w:val="0070C0"/>
              </w:rPr>
              <w:t>боларди</w:t>
            </w:r>
            <w:proofErr w:type="spellEnd"/>
            <w:r w:rsidRPr="001A2506">
              <w:rPr>
                <w:bCs/>
                <w:iCs/>
                <w:color w:val="0070C0"/>
              </w:rPr>
              <w:t xml:space="preserve">, </w:t>
            </w:r>
            <w:proofErr w:type="spellStart"/>
            <w:r w:rsidRPr="001A2506">
              <w:rPr>
                <w:bCs/>
                <w:iCs/>
                <w:color w:val="0070C0"/>
              </w:rPr>
              <w:t>рекламоносії</w:t>
            </w:r>
            <w:proofErr w:type="spellEnd"/>
            <w:r w:rsidRPr="001A2506">
              <w:rPr>
                <w:bCs/>
                <w:iCs/>
                <w:color w:val="0070C0"/>
              </w:rPr>
              <w:t xml:space="preserve">, </w:t>
            </w:r>
            <w:proofErr w:type="spellStart"/>
            <w:r w:rsidRPr="001A2506">
              <w:rPr>
                <w:bCs/>
                <w:iCs/>
                <w:color w:val="0070C0"/>
              </w:rPr>
              <w:t>паркомати</w:t>
            </w:r>
            <w:proofErr w:type="spellEnd"/>
            <w:r w:rsidRPr="001A2506">
              <w:rPr>
                <w:bCs/>
                <w:iCs/>
                <w:color w:val="0070C0"/>
              </w:rPr>
              <w:t xml:space="preserve">, </w:t>
            </w:r>
            <w:proofErr w:type="spellStart"/>
            <w:r w:rsidRPr="001A2506">
              <w:rPr>
                <w:bCs/>
                <w:iCs/>
                <w:color w:val="0070C0"/>
              </w:rPr>
              <w:t>почтомати</w:t>
            </w:r>
            <w:proofErr w:type="spellEnd"/>
            <w:r w:rsidRPr="001A2506">
              <w:rPr>
                <w:bCs/>
                <w:iCs/>
                <w:color w:val="0070C0"/>
              </w:rPr>
              <w:t xml:space="preserve">, підземні та надземні пішохідні переходи, транспортні розв'язки і мостові переходи, тунелі, </w:t>
            </w:r>
            <w:proofErr w:type="spellStart"/>
            <w:r w:rsidRPr="001A2506">
              <w:rPr>
                <w:bCs/>
                <w:iCs/>
                <w:color w:val="0070C0"/>
              </w:rPr>
              <w:t>паркувальні</w:t>
            </w:r>
            <w:proofErr w:type="spellEnd"/>
            <w:r w:rsidRPr="001A2506">
              <w:rPr>
                <w:bCs/>
                <w:iCs/>
                <w:color w:val="0070C0"/>
              </w:rPr>
              <w:t xml:space="preserve"> майданчики, здійснюється у порядку, визначеному главами 4.3, 4.4 та 4.6 цього розділу, на підставі договору про нестандартне приєднання.</w:t>
            </w:r>
          </w:p>
        </w:tc>
        <w:tc>
          <w:tcPr>
            <w:tcW w:w="3969" w:type="dxa"/>
          </w:tcPr>
          <w:p w14:paraId="10CC542E" w14:textId="77777777" w:rsidR="00EF1699" w:rsidRDefault="00EF1699" w:rsidP="00702255">
            <w:pPr>
              <w:pStyle w:val="tj"/>
              <w:spacing w:before="40" w:beforeAutospacing="0" w:after="40" w:afterAutospacing="0"/>
              <w:ind w:firstLine="284"/>
              <w:jc w:val="center"/>
              <w:rPr>
                <w:b/>
                <w:bCs/>
                <w:color w:val="333333"/>
                <w:kern w:val="24"/>
              </w:rPr>
            </w:pPr>
            <w:r>
              <w:rPr>
                <w:b/>
                <w:bCs/>
                <w:color w:val="333333"/>
                <w:kern w:val="24"/>
              </w:rPr>
              <w:lastRenderedPageBreak/>
              <w:t xml:space="preserve">АТ «ДТЕК Дніпровські електромережі» </w:t>
            </w:r>
          </w:p>
          <w:p w14:paraId="29FD3371" w14:textId="4FE9C4F1" w:rsidR="00EF1699" w:rsidRPr="008F1D55" w:rsidRDefault="00EF1699" w:rsidP="00702255">
            <w:pPr>
              <w:pStyle w:val="tj"/>
              <w:spacing w:before="40" w:beforeAutospacing="0" w:after="40" w:afterAutospacing="0"/>
              <w:ind w:firstLine="284"/>
              <w:jc w:val="both"/>
              <w:rPr>
                <w:b/>
                <w:bCs/>
                <w:color w:val="333333"/>
                <w:kern w:val="24"/>
              </w:rPr>
            </w:pPr>
            <w:r>
              <w:rPr>
                <w:rFonts w:eastAsiaTheme="minorEastAsia"/>
              </w:rPr>
              <w:t xml:space="preserve">Пропонуємо залишити в чинній редакції Кодексу в зв’язку з </w:t>
            </w:r>
            <w:r>
              <w:rPr>
                <w:rFonts w:eastAsiaTheme="minorEastAsia"/>
              </w:rPr>
              <w:lastRenderedPageBreak/>
              <w:t>необхідністю вичерпного переліку малопотужних споживачів, приєднання яких повинно бути лише по нестандартної процедури, в зв’язку з специфікою встановлення та приєднання цих споживачів.</w:t>
            </w:r>
          </w:p>
        </w:tc>
        <w:tc>
          <w:tcPr>
            <w:tcW w:w="3544" w:type="dxa"/>
            <w:vMerge/>
          </w:tcPr>
          <w:p w14:paraId="71AB4F7A" w14:textId="77777777" w:rsidR="00EF1699" w:rsidRPr="008F1D55" w:rsidRDefault="00EF1699" w:rsidP="0063623A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</w:pPr>
          </w:p>
        </w:tc>
      </w:tr>
      <w:tr w:rsidR="00526971" w:rsidRPr="0063623A" w14:paraId="797A19A9" w14:textId="1539A657" w:rsidTr="00702255">
        <w:tc>
          <w:tcPr>
            <w:tcW w:w="15735" w:type="dxa"/>
            <w:gridSpan w:val="4"/>
          </w:tcPr>
          <w:p w14:paraId="5FAF13D9" w14:textId="6FFAD7AF" w:rsidR="00526971" w:rsidRPr="00A36F11" w:rsidRDefault="00526971" w:rsidP="00A36F11">
            <w:pPr>
              <w:spacing w:before="40" w:after="40"/>
              <w:ind w:firstLine="2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8"/>
                <w:szCs w:val="28"/>
                <w:lang w:eastAsia="uk-UA"/>
                <w14:ligatures w14:val="none"/>
              </w:rPr>
            </w:pPr>
            <w:r w:rsidRPr="00A36F11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8"/>
                <w:szCs w:val="28"/>
                <w:lang w:eastAsia="uk-UA"/>
                <w14:ligatures w14:val="none"/>
              </w:rPr>
              <w:t>4.4. Подання заяви про приєднання до електричних мереж</w:t>
            </w:r>
          </w:p>
        </w:tc>
      </w:tr>
      <w:tr w:rsidR="00EE66A2" w:rsidRPr="0063623A" w14:paraId="0F017915" w14:textId="5A99472B" w:rsidTr="00702255">
        <w:tc>
          <w:tcPr>
            <w:tcW w:w="4111" w:type="dxa"/>
          </w:tcPr>
          <w:p w14:paraId="317C4C8F" w14:textId="77777777" w:rsidR="00526971" w:rsidRPr="008F1D55" w:rsidRDefault="00526971" w:rsidP="00526971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</w:pPr>
            <w:r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>4.4.2. …</w:t>
            </w:r>
          </w:p>
          <w:p w14:paraId="0891DCAC" w14:textId="77777777" w:rsidR="00526971" w:rsidRPr="008F1D55" w:rsidRDefault="00526971" w:rsidP="00526971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</w:pPr>
            <w:r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lastRenderedPageBreak/>
              <w:t>У разі приєднання фотоелектричної станції/УЗЕ/</w:t>
            </w:r>
            <w:proofErr w:type="spellStart"/>
            <w:r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>електрозарядної</w:t>
            </w:r>
            <w:proofErr w:type="spellEnd"/>
            <w:r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 xml:space="preserve"> станції, що розташована на об'єкті архітектури (дах, фасад тощо), технічних засобів електронних комунікацій на об’єкті архітектури до заяви про приєднання додаються: </w:t>
            </w:r>
          </w:p>
          <w:p w14:paraId="5ECB7A57" w14:textId="67F1DEF4" w:rsidR="00526971" w:rsidRPr="008F1D55" w:rsidRDefault="00526971" w:rsidP="00526971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</w:pPr>
            <w:r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>…</w:t>
            </w:r>
          </w:p>
          <w:p w14:paraId="3AA72FBA" w14:textId="3F213CDD" w:rsidR="00EE66A2" w:rsidRPr="008F1D55" w:rsidRDefault="00526971" w:rsidP="00526971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</w:pPr>
            <w:r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 xml:space="preserve">2) копія договору з доступу (у випадку приєднання технічних засобів електронних комунікацій відповідно до Закону України «Про доступ до об’єктів будівництва, транспорту, електроенергетики з метою розвитку </w:t>
            </w:r>
            <w:r w:rsidRPr="008F1D55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>електронних комунікаційних</w:t>
            </w:r>
            <w:r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 xml:space="preserve"> мереж»);</w:t>
            </w:r>
          </w:p>
        </w:tc>
        <w:tc>
          <w:tcPr>
            <w:tcW w:w="4111" w:type="dxa"/>
          </w:tcPr>
          <w:p w14:paraId="48AEE3D8" w14:textId="77777777" w:rsidR="00C747C9" w:rsidRPr="008F1D55" w:rsidRDefault="00C747C9" w:rsidP="00A36F11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</w:pPr>
            <w:r w:rsidRPr="008F1D55">
              <w:rPr>
                <w:rFonts w:ascii="Times New Roman" w:eastAsia="Times New Roman" w:hAnsi="Times New Roman" w:cs="Times New Roman"/>
                <w:b/>
                <w:bCs/>
                <w:color w:val="333333"/>
                <w:kern w:val="24"/>
                <w:sz w:val="24"/>
                <w:szCs w:val="24"/>
                <w:lang w:eastAsia="uk-UA"/>
                <w14:ligatures w14:val="none"/>
              </w:rPr>
              <w:lastRenderedPageBreak/>
              <w:t>ПрАТ «Київстар»</w:t>
            </w:r>
            <w:r w:rsidRPr="008F1D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 xml:space="preserve"> </w:t>
            </w:r>
          </w:p>
          <w:p w14:paraId="29C288C7" w14:textId="70FCBC79" w:rsidR="008B4480" w:rsidRPr="008F1D55" w:rsidRDefault="00C747C9" w:rsidP="00A36F11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</w:pPr>
            <w:r w:rsidRPr="008F1D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lastRenderedPageBreak/>
              <w:t>4.4.2. У заяві про приєднання</w:t>
            </w:r>
            <w:r w:rsidR="008F1D55" w:rsidRPr="008F1D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 xml:space="preserve"> </w:t>
            </w:r>
            <w:r w:rsidRPr="008F1D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>зазначаються відомості про:</w:t>
            </w:r>
          </w:p>
          <w:p w14:paraId="6C19A713" w14:textId="122B7F62" w:rsidR="000D1B75" w:rsidRPr="008F1D55" w:rsidRDefault="00C747C9" w:rsidP="00A36F11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</w:pPr>
            <w:r w:rsidRPr="008F1D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>…</w:t>
            </w:r>
          </w:p>
          <w:p w14:paraId="4697B689" w14:textId="2AD75309" w:rsidR="00EE66A2" w:rsidRPr="008F1D55" w:rsidRDefault="00C747C9" w:rsidP="00A36F11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kern w:val="24"/>
                <w:sz w:val="24"/>
                <w:szCs w:val="24"/>
                <w:lang w:eastAsia="uk-UA"/>
                <w14:ligatures w14:val="none"/>
              </w:rPr>
            </w:pPr>
            <w:r w:rsidRPr="008F1D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>У</w:t>
            </w:r>
            <w:r w:rsidR="000D1B75" w:rsidRPr="008F1D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 xml:space="preserve"> </w:t>
            </w:r>
            <w:r w:rsidRPr="008F1D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>разі приєднання фотоелектричної</w:t>
            </w:r>
            <w:r w:rsidR="008B4480" w:rsidRPr="008F1D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 xml:space="preserve"> </w:t>
            </w:r>
            <w:r w:rsidRPr="008F1D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>станції/УЗЕ/</w:t>
            </w:r>
            <w:r w:rsidR="008F1D55" w:rsidRPr="008F1D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 xml:space="preserve"> </w:t>
            </w:r>
            <w:proofErr w:type="spellStart"/>
            <w:r w:rsidRPr="008F1D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>електрозарядної</w:t>
            </w:r>
            <w:proofErr w:type="spellEnd"/>
            <w:r w:rsidRPr="008F1D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 xml:space="preserve"> станції, що</w:t>
            </w:r>
            <w:r w:rsidR="008B4480" w:rsidRPr="008F1D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 xml:space="preserve"> </w:t>
            </w:r>
            <w:r w:rsidRPr="008F1D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>розташована на об'єкті архітектури (дах,</w:t>
            </w:r>
            <w:r w:rsidR="008B4480" w:rsidRPr="008F1D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 xml:space="preserve"> </w:t>
            </w:r>
            <w:r w:rsidRPr="008F1D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>фасад тощо), технічних засобів електронних</w:t>
            </w:r>
            <w:r w:rsidR="008B4480" w:rsidRPr="008F1D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 xml:space="preserve"> </w:t>
            </w:r>
            <w:r w:rsidRPr="008F1D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 xml:space="preserve">комунікацій, </w:t>
            </w:r>
            <w:r w:rsidRPr="008F1D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 xml:space="preserve">що </w:t>
            </w:r>
            <w:r w:rsidRPr="001A2506">
              <w:rPr>
                <w:rFonts w:ascii="Times New Roman" w:eastAsia="Times New Roman" w:hAnsi="Times New Roman" w:cs="Times New Roman"/>
                <w:b/>
                <w:bCs/>
                <w:color w:val="0070C0"/>
                <w:kern w:val="0"/>
                <w:sz w:val="24"/>
                <w:szCs w:val="24"/>
                <w:lang w:eastAsia="ru-UA"/>
                <w14:ligatures w14:val="none"/>
              </w:rPr>
              <w:t>розміщуються на</w:t>
            </w:r>
            <w:r w:rsidR="008B4480" w:rsidRPr="001A2506">
              <w:rPr>
                <w:rFonts w:ascii="Times New Roman" w:eastAsia="Times New Roman" w:hAnsi="Times New Roman" w:cs="Times New Roman"/>
                <w:b/>
                <w:bCs/>
                <w:color w:val="0070C0"/>
                <w:kern w:val="0"/>
                <w:sz w:val="24"/>
                <w:szCs w:val="24"/>
                <w:lang w:eastAsia="ru-UA"/>
                <w14:ligatures w14:val="none"/>
              </w:rPr>
              <w:t xml:space="preserve"> </w:t>
            </w:r>
            <w:r w:rsidRPr="001A2506">
              <w:rPr>
                <w:rFonts w:ascii="Times New Roman" w:eastAsia="Times New Roman" w:hAnsi="Times New Roman" w:cs="Times New Roman"/>
                <w:b/>
                <w:bCs/>
                <w:color w:val="0070C0"/>
                <w:kern w:val="0"/>
                <w:sz w:val="24"/>
                <w:szCs w:val="24"/>
                <w:lang w:eastAsia="ru-UA"/>
                <w14:ligatures w14:val="none"/>
              </w:rPr>
              <w:t>елементах інфраструктури об’єкта</w:t>
            </w:r>
            <w:r w:rsidR="008B4480" w:rsidRPr="001A2506">
              <w:rPr>
                <w:rFonts w:ascii="Times New Roman" w:eastAsia="Times New Roman" w:hAnsi="Times New Roman" w:cs="Times New Roman"/>
                <w:b/>
                <w:bCs/>
                <w:color w:val="0070C0"/>
                <w:kern w:val="0"/>
                <w:sz w:val="24"/>
                <w:szCs w:val="24"/>
                <w:lang w:eastAsia="ru-UA"/>
                <w14:ligatures w14:val="none"/>
              </w:rPr>
              <w:t xml:space="preserve"> </w:t>
            </w:r>
            <w:r w:rsidRPr="001A2506">
              <w:rPr>
                <w:rFonts w:ascii="Times New Roman" w:eastAsia="Times New Roman" w:hAnsi="Times New Roman" w:cs="Times New Roman"/>
                <w:b/>
                <w:bCs/>
                <w:color w:val="0070C0"/>
                <w:kern w:val="0"/>
                <w:sz w:val="24"/>
                <w:szCs w:val="24"/>
                <w:lang w:eastAsia="ru-UA"/>
                <w14:ligatures w14:val="none"/>
              </w:rPr>
              <w:t>доступу (об'єкти</w:t>
            </w:r>
            <w:r w:rsidR="008F1D55" w:rsidRPr="001A2506">
              <w:rPr>
                <w:rFonts w:ascii="Times New Roman" w:eastAsia="Times New Roman" w:hAnsi="Times New Roman" w:cs="Times New Roman"/>
                <w:b/>
                <w:bCs/>
                <w:color w:val="0070C0"/>
                <w:kern w:val="0"/>
                <w:sz w:val="24"/>
                <w:szCs w:val="24"/>
                <w:lang w:eastAsia="ru-UA"/>
                <w14:ligatures w14:val="none"/>
              </w:rPr>
              <w:t xml:space="preserve"> </w:t>
            </w:r>
            <w:r w:rsidRPr="001A2506">
              <w:rPr>
                <w:rFonts w:ascii="Times New Roman" w:eastAsia="Times New Roman" w:hAnsi="Times New Roman" w:cs="Times New Roman"/>
                <w:b/>
                <w:bCs/>
                <w:color w:val="0070C0"/>
                <w:kern w:val="0"/>
                <w:sz w:val="24"/>
                <w:szCs w:val="24"/>
                <w:lang w:eastAsia="ru-UA"/>
                <w14:ligatures w14:val="none"/>
              </w:rPr>
              <w:t>будівництва, транспорту,</w:t>
            </w:r>
            <w:r w:rsidR="008B4480" w:rsidRPr="001A2506">
              <w:rPr>
                <w:rFonts w:ascii="Times New Roman" w:eastAsia="Times New Roman" w:hAnsi="Times New Roman" w:cs="Times New Roman"/>
                <w:b/>
                <w:bCs/>
                <w:color w:val="0070C0"/>
                <w:kern w:val="0"/>
                <w:sz w:val="24"/>
                <w:szCs w:val="24"/>
                <w:lang w:eastAsia="ru-UA"/>
                <w14:ligatures w14:val="none"/>
              </w:rPr>
              <w:t xml:space="preserve"> </w:t>
            </w:r>
            <w:r w:rsidRPr="001A2506">
              <w:rPr>
                <w:rFonts w:ascii="Times New Roman" w:eastAsia="Times New Roman" w:hAnsi="Times New Roman" w:cs="Times New Roman"/>
                <w:b/>
                <w:bCs/>
                <w:color w:val="0070C0"/>
                <w:kern w:val="0"/>
                <w:sz w:val="24"/>
                <w:szCs w:val="24"/>
                <w:lang w:eastAsia="ru-UA"/>
                <w14:ligatures w14:val="none"/>
              </w:rPr>
              <w:t>електроенергетики, будинкової</w:t>
            </w:r>
            <w:r w:rsidR="008B4480" w:rsidRPr="001A2506">
              <w:rPr>
                <w:rFonts w:ascii="Times New Roman" w:eastAsia="Times New Roman" w:hAnsi="Times New Roman" w:cs="Times New Roman"/>
                <w:b/>
                <w:bCs/>
                <w:color w:val="0070C0"/>
                <w:kern w:val="0"/>
                <w:sz w:val="24"/>
                <w:szCs w:val="24"/>
                <w:lang w:eastAsia="ru-UA"/>
                <w14:ligatures w14:val="none"/>
              </w:rPr>
              <w:t xml:space="preserve"> </w:t>
            </w:r>
            <w:r w:rsidRPr="001A2506">
              <w:rPr>
                <w:rFonts w:ascii="Times New Roman" w:eastAsia="Times New Roman" w:hAnsi="Times New Roman" w:cs="Times New Roman"/>
                <w:b/>
                <w:bCs/>
                <w:color w:val="0070C0"/>
                <w:kern w:val="0"/>
                <w:sz w:val="24"/>
                <w:szCs w:val="24"/>
                <w:lang w:eastAsia="ru-UA"/>
                <w14:ligatures w14:val="none"/>
              </w:rPr>
              <w:t>розподільної мережі, кабельної</w:t>
            </w:r>
            <w:r w:rsidR="008B4480" w:rsidRPr="001A2506">
              <w:rPr>
                <w:rFonts w:ascii="Times New Roman" w:eastAsia="Times New Roman" w:hAnsi="Times New Roman" w:cs="Times New Roman"/>
                <w:b/>
                <w:bCs/>
                <w:color w:val="0070C0"/>
                <w:kern w:val="0"/>
                <w:sz w:val="24"/>
                <w:szCs w:val="24"/>
                <w:lang w:eastAsia="ru-UA"/>
                <w14:ligatures w14:val="none"/>
              </w:rPr>
              <w:t xml:space="preserve"> </w:t>
            </w:r>
            <w:r w:rsidRPr="001A2506">
              <w:rPr>
                <w:rFonts w:ascii="Times New Roman" w:eastAsia="Times New Roman" w:hAnsi="Times New Roman" w:cs="Times New Roman"/>
                <w:b/>
                <w:bCs/>
                <w:color w:val="0070C0"/>
                <w:kern w:val="0"/>
                <w:sz w:val="24"/>
                <w:szCs w:val="24"/>
                <w:lang w:eastAsia="ru-UA"/>
                <w14:ligatures w14:val="none"/>
              </w:rPr>
              <w:t xml:space="preserve">каналізації) або земельних ділянках, </w:t>
            </w:r>
            <w:r w:rsidRPr="008F1D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>до</w:t>
            </w:r>
            <w:r w:rsidR="008B4480" w:rsidRPr="008F1D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 xml:space="preserve"> </w:t>
            </w:r>
            <w:r w:rsidRPr="008F1D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>заяви про приєднання додаються:</w:t>
            </w:r>
          </w:p>
          <w:p w14:paraId="6A80A0D2" w14:textId="77777777" w:rsidR="00C747C9" w:rsidRPr="008F1D55" w:rsidRDefault="00C747C9" w:rsidP="00A36F11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</w:pPr>
          </w:p>
          <w:p w14:paraId="080CD8C5" w14:textId="77777777" w:rsidR="00C747C9" w:rsidRPr="008F1D55" w:rsidRDefault="00C747C9" w:rsidP="00A36F11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</w:pPr>
          </w:p>
          <w:p w14:paraId="33B6612D" w14:textId="77777777" w:rsidR="00C747C9" w:rsidRPr="008F1D55" w:rsidRDefault="00C747C9" w:rsidP="00A36F11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</w:pPr>
          </w:p>
          <w:p w14:paraId="79159E28" w14:textId="77777777" w:rsidR="00C747C9" w:rsidRPr="008F1D55" w:rsidRDefault="00C747C9" w:rsidP="00A36F11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</w:pPr>
          </w:p>
          <w:p w14:paraId="2CA74EF1" w14:textId="77777777" w:rsidR="00C747C9" w:rsidRPr="008F1D55" w:rsidRDefault="00C747C9" w:rsidP="00A36F11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</w:pPr>
          </w:p>
          <w:p w14:paraId="04290208" w14:textId="77777777" w:rsidR="00C747C9" w:rsidRPr="008F1D55" w:rsidRDefault="00C747C9" w:rsidP="00A36F11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</w:pPr>
          </w:p>
          <w:p w14:paraId="0A7F642E" w14:textId="77777777" w:rsidR="00C747C9" w:rsidRPr="008F1D55" w:rsidRDefault="00C747C9" w:rsidP="00A36F11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</w:pPr>
          </w:p>
          <w:p w14:paraId="3F906B23" w14:textId="77777777" w:rsidR="00C747C9" w:rsidRPr="008F1D55" w:rsidRDefault="00C747C9" w:rsidP="00A36F11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</w:pPr>
          </w:p>
          <w:p w14:paraId="7C8835AD" w14:textId="77777777" w:rsidR="00C747C9" w:rsidRPr="008F1D55" w:rsidRDefault="00C747C9" w:rsidP="00A36F11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</w:pPr>
          </w:p>
          <w:p w14:paraId="216D8F4C" w14:textId="77777777" w:rsidR="00C747C9" w:rsidRPr="008F1D55" w:rsidRDefault="00C747C9" w:rsidP="00A36F11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</w:pPr>
          </w:p>
          <w:p w14:paraId="58DB5F46" w14:textId="77777777" w:rsidR="00C747C9" w:rsidRPr="008F1D55" w:rsidRDefault="00C747C9" w:rsidP="00A36F11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</w:pPr>
          </w:p>
          <w:p w14:paraId="07B0A5A5" w14:textId="77777777" w:rsidR="00C747C9" w:rsidRPr="008F1D55" w:rsidRDefault="00C747C9" w:rsidP="00A36F11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</w:pPr>
          </w:p>
          <w:p w14:paraId="151DF845" w14:textId="77777777" w:rsidR="00C747C9" w:rsidRPr="008F1D55" w:rsidRDefault="00C747C9" w:rsidP="00A36F11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</w:pPr>
          </w:p>
          <w:p w14:paraId="1B42B8AB" w14:textId="77777777" w:rsidR="00C747C9" w:rsidRPr="008F1D55" w:rsidRDefault="00C747C9" w:rsidP="00A36F11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</w:pPr>
          </w:p>
          <w:p w14:paraId="1DF7AC14" w14:textId="77777777" w:rsidR="00C747C9" w:rsidRPr="008F1D55" w:rsidRDefault="00C747C9" w:rsidP="00A36F11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</w:pPr>
          </w:p>
          <w:p w14:paraId="7B812C42" w14:textId="77777777" w:rsidR="00C747C9" w:rsidRPr="008F1D55" w:rsidRDefault="00C747C9" w:rsidP="00A36F11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</w:pPr>
          </w:p>
          <w:p w14:paraId="023B156D" w14:textId="77777777" w:rsidR="00C747C9" w:rsidRPr="008F1D55" w:rsidRDefault="00C747C9" w:rsidP="00A36F11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</w:pPr>
          </w:p>
          <w:p w14:paraId="3305AE82" w14:textId="0BCE7AD8" w:rsidR="00C747C9" w:rsidRDefault="00C747C9" w:rsidP="00A36F11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</w:pPr>
          </w:p>
          <w:p w14:paraId="0B4B5F27" w14:textId="77777777" w:rsidR="00EF1699" w:rsidRPr="008F1D55" w:rsidRDefault="00EF1699" w:rsidP="00A36F11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</w:pPr>
          </w:p>
          <w:p w14:paraId="3ADEC392" w14:textId="311FE8F1" w:rsidR="00C747C9" w:rsidRPr="008F1D55" w:rsidRDefault="00C747C9" w:rsidP="001A2506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</w:pPr>
            <w:r w:rsidRPr="008F1D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 xml:space="preserve">2) </w:t>
            </w:r>
            <w:r w:rsidRPr="008F1D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 xml:space="preserve">копія </w:t>
            </w:r>
            <w:r w:rsidRPr="001A2506">
              <w:rPr>
                <w:rFonts w:ascii="Times New Roman" w:eastAsia="Times New Roman" w:hAnsi="Times New Roman" w:cs="Times New Roman"/>
                <w:b/>
                <w:bCs/>
                <w:color w:val="0070C0"/>
                <w:kern w:val="0"/>
                <w:sz w:val="24"/>
                <w:szCs w:val="24"/>
                <w:lang w:eastAsia="ru-UA"/>
                <w14:ligatures w14:val="none"/>
              </w:rPr>
              <w:t>документа, що підтверджує</w:t>
            </w:r>
            <w:r w:rsidR="001A2506" w:rsidRPr="001A2506">
              <w:rPr>
                <w:rFonts w:ascii="Times New Roman" w:eastAsia="Times New Roman" w:hAnsi="Times New Roman" w:cs="Times New Roman"/>
                <w:b/>
                <w:bCs/>
                <w:color w:val="0070C0"/>
                <w:kern w:val="0"/>
                <w:sz w:val="24"/>
                <w:szCs w:val="24"/>
                <w:lang w:eastAsia="ru-UA"/>
                <w14:ligatures w14:val="none"/>
              </w:rPr>
              <w:t xml:space="preserve"> </w:t>
            </w:r>
            <w:r w:rsidRPr="001A2506">
              <w:rPr>
                <w:rFonts w:ascii="Times New Roman" w:eastAsia="Times New Roman" w:hAnsi="Times New Roman" w:cs="Times New Roman"/>
                <w:b/>
                <w:bCs/>
                <w:color w:val="0070C0"/>
                <w:kern w:val="0"/>
                <w:sz w:val="24"/>
                <w:szCs w:val="24"/>
                <w:lang w:eastAsia="ru-UA"/>
                <w14:ligatures w14:val="none"/>
              </w:rPr>
              <w:t>право доступу або розміщення на</w:t>
            </w:r>
            <w:r w:rsidR="001A2506" w:rsidRPr="001A2506">
              <w:rPr>
                <w:rFonts w:ascii="Times New Roman" w:eastAsia="Times New Roman" w:hAnsi="Times New Roman" w:cs="Times New Roman"/>
                <w:b/>
                <w:bCs/>
                <w:color w:val="0070C0"/>
                <w:kern w:val="0"/>
                <w:sz w:val="24"/>
                <w:szCs w:val="24"/>
                <w:lang w:eastAsia="ru-UA"/>
                <w14:ligatures w14:val="none"/>
              </w:rPr>
              <w:t xml:space="preserve"> </w:t>
            </w:r>
            <w:r w:rsidRPr="001A2506">
              <w:rPr>
                <w:rFonts w:ascii="Times New Roman" w:eastAsia="Times New Roman" w:hAnsi="Times New Roman" w:cs="Times New Roman"/>
                <w:b/>
                <w:bCs/>
                <w:color w:val="0070C0"/>
                <w:kern w:val="0"/>
                <w:sz w:val="24"/>
                <w:szCs w:val="24"/>
                <w:lang w:eastAsia="ru-UA"/>
                <w14:ligatures w14:val="none"/>
              </w:rPr>
              <w:t>елементах інфраструктури об’єкта</w:t>
            </w:r>
            <w:r w:rsidR="001A2506" w:rsidRPr="001A2506">
              <w:rPr>
                <w:rFonts w:ascii="Times New Roman" w:eastAsia="Times New Roman" w:hAnsi="Times New Roman" w:cs="Times New Roman"/>
                <w:b/>
                <w:bCs/>
                <w:color w:val="0070C0"/>
                <w:kern w:val="0"/>
                <w:sz w:val="24"/>
                <w:szCs w:val="24"/>
                <w:lang w:eastAsia="ru-UA"/>
                <w14:ligatures w14:val="none"/>
              </w:rPr>
              <w:t xml:space="preserve"> </w:t>
            </w:r>
            <w:r w:rsidRPr="001A2506">
              <w:rPr>
                <w:rFonts w:ascii="Times New Roman" w:eastAsia="Times New Roman" w:hAnsi="Times New Roman" w:cs="Times New Roman"/>
                <w:b/>
                <w:bCs/>
                <w:color w:val="0070C0"/>
                <w:kern w:val="0"/>
                <w:sz w:val="24"/>
                <w:szCs w:val="24"/>
                <w:lang w:eastAsia="ru-UA"/>
                <w14:ligatures w14:val="none"/>
              </w:rPr>
              <w:t>доступу чи земельних ділянках, в тому</w:t>
            </w:r>
            <w:r w:rsidR="001A2506" w:rsidRPr="001A2506">
              <w:rPr>
                <w:rFonts w:ascii="Times New Roman" w:eastAsia="Times New Roman" w:hAnsi="Times New Roman" w:cs="Times New Roman"/>
                <w:b/>
                <w:bCs/>
                <w:color w:val="0070C0"/>
                <w:kern w:val="0"/>
                <w:sz w:val="24"/>
                <w:szCs w:val="24"/>
                <w:lang w:eastAsia="ru-UA"/>
                <w14:ligatures w14:val="none"/>
              </w:rPr>
              <w:t xml:space="preserve"> </w:t>
            </w:r>
            <w:r w:rsidRPr="001A2506">
              <w:rPr>
                <w:rFonts w:ascii="Times New Roman" w:eastAsia="Times New Roman" w:hAnsi="Times New Roman" w:cs="Times New Roman"/>
                <w:b/>
                <w:bCs/>
                <w:color w:val="0070C0"/>
                <w:kern w:val="0"/>
                <w:sz w:val="24"/>
                <w:szCs w:val="24"/>
                <w:lang w:eastAsia="ru-UA"/>
                <w14:ligatures w14:val="none"/>
              </w:rPr>
              <w:t>числі договір з доступу, договір про</w:t>
            </w:r>
            <w:r w:rsidR="001A2506" w:rsidRPr="001A2506">
              <w:rPr>
                <w:rFonts w:ascii="Times New Roman" w:eastAsia="Times New Roman" w:hAnsi="Times New Roman" w:cs="Times New Roman"/>
                <w:b/>
                <w:bCs/>
                <w:color w:val="0070C0"/>
                <w:kern w:val="0"/>
                <w:sz w:val="24"/>
                <w:szCs w:val="24"/>
                <w:lang w:eastAsia="ru-UA"/>
                <w14:ligatures w14:val="none"/>
              </w:rPr>
              <w:t xml:space="preserve"> </w:t>
            </w:r>
            <w:r w:rsidRPr="001A2506">
              <w:rPr>
                <w:rFonts w:ascii="Times New Roman" w:eastAsia="Times New Roman" w:hAnsi="Times New Roman" w:cs="Times New Roman"/>
                <w:b/>
                <w:bCs/>
                <w:color w:val="0070C0"/>
                <w:kern w:val="0"/>
                <w:sz w:val="24"/>
                <w:szCs w:val="24"/>
                <w:lang w:eastAsia="ru-UA"/>
                <w14:ligatures w14:val="none"/>
              </w:rPr>
              <w:t>розміщення об’єктів та/або споруд</w:t>
            </w:r>
            <w:r w:rsidR="001A2506" w:rsidRPr="001A2506">
              <w:rPr>
                <w:rFonts w:ascii="Times New Roman" w:eastAsia="Times New Roman" w:hAnsi="Times New Roman" w:cs="Times New Roman"/>
                <w:b/>
                <w:bCs/>
                <w:color w:val="0070C0"/>
                <w:kern w:val="0"/>
                <w:sz w:val="24"/>
                <w:szCs w:val="24"/>
                <w:lang w:eastAsia="ru-UA"/>
                <w14:ligatures w14:val="none"/>
              </w:rPr>
              <w:t xml:space="preserve"> </w:t>
            </w:r>
            <w:r w:rsidRPr="001A2506">
              <w:rPr>
                <w:rFonts w:ascii="Times New Roman" w:eastAsia="Times New Roman" w:hAnsi="Times New Roman" w:cs="Times New Roman"/>
                <w:b/>
                <w:bCs/>
                <w:color w:val="0070C0"/>
                <w:kern w:val="0"/>
                <w:sz w:val="24"/>
                <w:szCs w:val="24"/>
                <w:lang w:eastAsia="ru-UA"/>
                <w14:ligatures w14:val="none"/>
              </w:rPr>
              <w:t>електронних комунікацій тощо (у</w:t>
            </w:r>
            <w:r w:rsidR="001A2506" w:rsidRPr="001A2506">
              <w:rPr>
                <w:rFonts w:ascii="Times New Roman" w:eastAsia="Times New Roman" w:hAnsi="Times New Roman" w:cs="Times New Roman"/>
                <w:b/>
                <w:bCs/>
                <w:color w:val="0070C0"/>
                <w:kern w:val="0"/>
                <w:sz w:val="24"/>
                <w:szCs w:val="24"/>
                <w:lang w:eastAsia="ru-UA"/>
                <w14:ligatures w14:val="none"/>
              </w:rPr>
              <w:t xml:space="preserve"> </w:t>
            </w:r>
            <w:r w:rsidRPr="001A2506">
              <w:rPr>
                <w:rFonts w:ascii="Times New Roman" w:eastAsia="Times New Roman" w:hAnsi="Times New Roman" w:cs="Times New Roman"/>
                <w:b/>
                <w:bCs/>
                <w:color w:val="0070C0"/>
                <w:kern w:val="0"/>
                <w:sz w:val="24"/>
                <w:szCs w:val="24"/>
                <w:lang w:eastAsia="ru-UA"/>
                <w14:ligatures w14:val="none"/>
              </w:rPr>
              <w:t>випадку приєднання технічних засобів</w:t>
            </w:r>
            <w:r w:rsidR="001A2506" w:rsidRPr="001A2506">
              <w:rPr>
                <w:rFonts w:ascii="Times New Roman" w:eastAsia="Times New Roman" w:hAnsi="Times New Roman" w:cs="Times New Roman"/>
                <w:b/>
                <w:bCs/>
                <w:color w:val="0070C0"/>
                <w:kern w:val="0"/>
                <w:sz w:val="24"/>
                <w:szCs w:val="24"/>
                <w:lang w:eastAsia="ru-UA"/>
                <w14:ligatures w14:val="none"/>
              </w:rPr>
              <w:t xml:space="preserve"> </w:t>
            </w:r>
            <w:r w:rsidRPr="001A2506">
              <w:rPr>
                <w:rFonts w:ascii="Times New Roman" w:eastAsia="Times New Roman" w:hAnsi="Times New Roman" w:cs="Times New Roman"/>
                <w:b/>
                <w:bCs/>
                <w:color w:val="0070C0"/>
                <w:kern w:val="0"/>
                <w:sz w:val="24"/>
                <w:szCs w:val="24"/>
                <w:lang w:eastAsia="ru-UA"/>
                <w14:ligatures w14:val="none"/>
              </w:rPr>
              <w:t>електронних комунікацій);</w:t>
            </w:r>
          </w:p>
        </w:tc>
        <w:tc>
          <w:tcPr>
            <w:tcW w:w="3969" w:type="dxa"/>
          </w:tcPr>
          <w:p w14:paraId="28F00543" w14:textId="77777777" w:rsidR="00C747C9" w:rsidRPr="008F1D55" w:rsidRDefault="00C747C9" w:rsidP="00A36F11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kern w:val="24"/>
                <w:sz w:val="24"/>
                <w:szCs w:val="24"/>
                <w:lang w:eastAsia="uk-UA"/>
                <w14:ligatures w14:val="none"/>
              </w:rPr>
            </w:pPr>
            <w:r w:rsidRPr="008F1D55">
              <w:rPr>
                <w:rFonts w:ascii="Times New Roman" w:eastAsia="Times New Roman" w:hAnsi="Times New Roman" w:cs="Times New Roman"/>
                <w:b/>
                <w:bCs/>
                <w:color w:val="333333"/>
                <w:kern w:val="24"/>
                <w:sz w:val="24"/>
                <w:szCs w:val="24"/>
                <w:lang w:eastAsia="uk-UA"/>
                <w14:ligatures w14:val="none"/>
              </w:rPr>
              <w:lastRenderedPageBreak/>
              <w:t>ПрАТ «Київстар»</w:t>
            </w:r>
          </w:p>
          <w:p w14:paraId="5DF49FDE" w14:textId="77777777" w:rsidR="008B4480" w:rsidRPr="008F1D55" w:rsidRDefault="00C747C9" w:rsidP="00A36F11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</w:pPr>
            <w:r w:rsidRPr="008F1D55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lastRenderedPageBreak/>
              <w:t xml:space="preserve">Пропозиція: </w:t>
            </w:r>
            <w:r w:rsidRPr="008F1D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>Пропонується уточнити й деталізувати</w:t>
            </w:r>
            <w:r w:rsidR="008B4480" w:rsidRPr="008F1D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 xml:space="preserve"> </w:t>
            </w:r>
            <w:r w:rsidRPr="008F1D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>об’єкти, на яких розміщення технічних засобів</w:t>
            </w:r>
            <w:r w:rsidR="008B4480" w:rsidRPr="008F1D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 xml:space="preserve"> </w:t>
            </w:r>
            <w:r w:rsidRPr="008F1D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>електронних комунікацій має свою специфіку в частині</w:t>
            </w:r>
            <w:r w:rsidR="008B4480" w:rsidRPr="008F1D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 xml:space="preserve"> </w:t>
            </w:r>
            <w:r w:rsidRPr="008F1D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>підстав розміщення й поданих документів, що має бути</w:t>
            </w:r>
            <w:r w:rsidR="008B4480" w:rsidRPr="008F1D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 xml:space="preserve"> </w:t>
            </w:r>
            <w:r w:rsidRPr="008F1D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>враховано при приєднанні до електричних мереж.</w:t>
            </w:r>
            <w:r w:rsidR="008B4480" w:rsidRPr="008F1D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 xml:space="preserve"> </w:t>
            </w:r>
          </w:p>
          <w:p w14:paraId="155DC4AB" w14:textId="77777777" w:rsidR="008B4480" w:rsidRPr="008F1D55" w:rsidRDefault="00C747C9" w:rsidP="00A36F11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</w:pPr>
            <w:r w:rsidRPr="008F1D55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>Обґрунтування:</w:t>
            </w:r>
          </w:p>
          <w:p w14:paraId="5A7A59C7" w14:textId="77777777" w:rsidR="008B4480" w:rsidRPr="008F1D55" w:rsidRDefault="00C747C9" w:rsidP="00A36F11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</w:pPr>
            <w:r w:rsidRPr="008F1D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>На даний час Кодекс систем розподілу (в редакції, що</w:t>
            </w:r>
            <w:r w:rsidR="008B4480" w:rsidRPr="008F1D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 xml:space="preserve"> </w:t>
            </w:r>
            <w:r w:rsidRPr="008F1D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>набуде чинності 01.01.2026 р.) містить спробу врахувати</w:t>
            </w:r>
            <w:r w:rsidR="008B4480" w:rsidRPr="008F1D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 xml:space="preserve"> </w:t>
            </w:r>
            <w:r w:rsidRPr="008F1D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>особливості приєднання технічних засобів електронних</w:t>
            </w:r>
            <w:r w:rsidR="008B4480" w:rsidRPr="008F1D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 xml:space="preserve"> </w:t>
            </w:r>
            <w:r w:rsidRPr="008F1D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>комунікацій, але лише таких, що розміщуються на</w:t>
            </w:r>
            <w:r w:rsidR="008B4480" w:rsidRPr="008F1D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 xml:space="preserve"> </w:t>
            </w:r>
            <w:r w:rsidRPr="008F1D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>об’єкті архітектури. Однак, Кодекс не враховує більш</w:t>
            </w:r>
            <w:r w:rsidR="008B4480" w:rsidRPr="008F1D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 xml:space="preserve"> </w:t>
            </w:r>
            <w:r w:rsidRPr="008F1D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>широке поняття «елементи інфраструктури об’єкта</w:t>
            </w:r>
            <w:r w:rsidR="008B4480" w:rsidRPr="008F1D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 xml:space="preserve"> </w:t>
            </w:r>
            <w:r w:rsidRPr="008F1D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>доступу», яке застосовується в спеціальному законі при</w:t>
            </w:r>
            <w:r w:rsidR="008B4480" w:rsidRPr="008F1D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 xml:space="preserve"> </w:t>
            </w:r>
            <w:r w:rsidRPr="008F1D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>регулюванні відносин щодо розміщення технічних</w:t>
            </w:r>
            <w:r w:rsidR="008B4480" w:rsidRPr="008F1D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 xml:space="preserve"> </w:t>
            </w:r>
            <w:r w:rsidRPr="008F1D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>засобів електронних комунікацій. При цьому, до об’єктів</w:t>
            </w:r>
            <w:r w:rsidR="008B4480" w:rsidRPr="008F1D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 xml:space="preserve"> </w:t>
            </w:r>
            <w:r w:rsidRPr="008F1D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>доступу належать не лише об’єкти будівництва (будівлі,</w:t>
            </w:r>
            <w:r w:rsidR="008B4480" w:rsidRPr="008F1D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 xml:space="preserve"> </w:t>
            </w:r>
            <w:r w:rsidRPr="008F1D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>споруди, власне, об’єкти архітектури, про які згадується</w:t>
            </w:r>
            <w:r w:rsidR="008B4480" w:rsidRPr="008F1D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 xml:space="preserve"> </w:t>
            </w:r>
            <w:r w:rsidRPr="008F1D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>в редакції КСР), а також інші об’єкти, такі як об’єкти</w:t>
            </w:r>
            <w:r w:rsidR="008B4480" w:rsidRPr="008F1D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 xml:space="preserve"> </w:t>
            </w:r>
            <w:r w:rsidRPr="008F1D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>транспорту, електроенергетики, кабельної каналізації та</w:t>
            </w:r>
            <w:r w:rsidR="008B4480" w:rsidRPr="008F1D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 xml:space="preserve"> </w:t>
            </w:r>
            <w:r w:rsidRPr="008F1D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>будинкової розподільної мережі. Окреме регулювання</w:t>
            </w:r>
            <w:r w:rsidR="008B4480" w:rsidRPr="008F1D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 xml:space="preserve"> </w:t>
            </w:r>
            <w:r w:rsidRPr="008F1D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>також має місце при розміщенні технічних засобів</w:t>
            </w:r>
            <w:r w:rsidR="008B4480" w:rsidRPr="008F1D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 xml:space="preserve"> </w:t>
            </w:r>
            <w:r w:rsidRPr="008F1D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>електронних комунікацій на земельних ділянках.</w:t>
            </w:r>
          </w:p>
          <w:p w14:paraId="3A2AF8FD" w14:textId="4674AD7A" w:rsidR="00EE66A2" w:rsidRPr="008F1D55" w:rsidRDefault="00C747C9" w:rsidP="00A36F11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kern w:val="24"/>
                <w:sz w:val="24"/>
                <w:szCs w:val="24"/>
                <w:lang w:eastAsia="uk-UA"/>
                <w14:ligatures w14:val="none"/>
              </w:rPr>
            </w:pPr>
            <w:r w:rsidRPr="008F1D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lastRenderedPageBreak/>
              <w:t>Додатково дивіться коментарі вище до наданих</w:t>
            </w:r>
            <w:r w:rsidRPr="00C747C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br/>
            </w:r>
            <w:r w:rsidRPr="008F1D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>пропозицій щодо змін до п. 4.1.2. Кодексу систем</w:t>
            </w:r>
            <w:r w:rsidR="008B4480" w:rsidRPr="008F1D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 xml:space="preserve"> </w:t>
            </w:r>
            <w:r w:rsidRPr="008F1D5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UA"/>
                <w14:ligatures w14:val="none"/>
              </w:rPr>
              <w:t>розподілу.</w:t>
            </w:r>
          </w:p>
          <w:p w14:paraId="4AA3968C" w14:textId="77777777" w:rsidR="008B4480" w:rsidRPr="008F1D55" w:rsidRDefault="008B4480" w:rsidP="000D1B75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</w:pPr>
          </w:p>
          <w:p w14:paraId="5C38745F" w14:textId="6461678A" w:rsidR="000D1B75" w:rsidRPr="008F1D55" w:rsidRDefault="000D1B75" w:rsidP="000D1B75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</w:pPr>
            <w:r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>Пропозиція: Пропонується уточнити, які документи</w:t>
            </w:r>
            <w:r w:rsidR="008B4480"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>можуть додаватися до заяви про приєднання за</w:t>
            </w:r>
            <w:r w:rsidRPr="008F1D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>процедурою, що визначає особливості приєднання</w:t>
            </w:r>
            <w:r w:rsidR="008B4480"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>окремих типів об’єктів, зокрема технічних засобів</w:t>
            </w:r>
            <w:r w:rsidR="008B4480"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>електронних комунікацій</w:t>
            </w:r>
            <w:r w:rsidR="008B4480"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>.</w:t>
            </w:r>
          </w:p>
          <w:p w14:paraId="7CD542F7" w14:textId="77777777" w:rsidR="000D1B75" w:rsidRPr="008F1D55" w:rsidRDefault="000D1B75" w:rsidP="000D1B75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</w:pPr>
            <w:r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>Обґрунтування:</w:t>
            </w:r>
          </w:p>
          <w:p w14:paraId="2766968C" w14:textId="1F9C591D" w:rsidR="000D1B75" w:rsidRPr="008F1D55" w:rsidRDefault="000D1B75" w:rsidP="000D1B75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</w:pPr>
            <w:r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>На практиці оператор електронних комунікацій мереж не</w:t>
            </w:r>
            <w:r w:rsidR="008B4480"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>завжди може скористатись стандартним пакетом</w:t>
            </w:r>
            <w:r w:rsidR="008B4480"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>документів, які додаються до заяви про приєднання.</w:t>
            </w:r>
            <w:r w:rsidR="008B4480"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 xml:space="preserve"> </w:t>
            </w:r>
          </w:p>
          <w:p w14:paraId="7524DB0A" w14:textId="4927ABF9" w:rsidR="000D1B75" w:rsidRPr="008F1D55" w:rsidRDefault="000D1B75" w:rsidP="000D1B75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</w:pPr>
            <w:r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>Зокрема, не у всіх випадках може бути подана копія</w:t>
            </w:r>
            <w:r w:rsidR="008B4480"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>документа, що підтверджує право власності або</w:t>
            </w:r>
            <w:r w:rsidR="008B4480"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>користування об’єктом нерухомого майна чи земельною</w:t>
            </w:r>
            <w:r w:rsidR="008B4480"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>ділянкою (договір оренди чи сервітут). При цьому,</w:t>
            </w:r>
            <w:r w:rsidR="008B4480"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>підставою для розміщення технічних засобів</w:t>
            </w:r>
            <w:r w:rsidR="008B4480"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>електронних комунікацій можуть бути не лише договір з</w:t>
            </w:r>
            <w:r w:rsidR="008B4480"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>доступу, як передбачено в проекті змін до КСР, а й інші</w:t>
            </w:r>
            <w:r w:rsidR="008B4480"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>договори. Як приклад, йдеться про договори про</w:t>
            </w:r>
            <w:r w:rsidR="008B4480"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>розміщення об’єктів та/або споруд електронних</w:t>
            </w:r>
            <w:r w:rsidR="008B4480"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>комунікацій, які укладаються відповідно до Порядку,</w:t>
            </w:r>
            <w:r w:rsidR="008B4480"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>затвердженого ПКМУ № 555 від 13.05.2025 р. Вказаною</w:t>
            </w:r>
            <w:r w:rsidR="008B4480"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 xml:space="preserve">Постановою </w:t>
            </w:r>
            <w:r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lastRenderedPageBreak/>
              <w:t>Уряду затверджено «Порядок розміщення</w:t>
            </w:r>
            <w:r w:rsidR="008B4480"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>об’єктів і споруд електронних комунікацій на земельних</w:t>
            </w:r>
            <w:r w:rsidR="008B4480"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>ділянках та інших об’єктах нерухомого майна державної</w:t>
            </w:r>
            <w:r w:rsidR="008B4480"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>та комунальної власності під час воєнного стану».</w:t>
            </w:r>
          </w:p>
          <w:p w14:paraId="3E85786F" w14:textId="1AB43C6F" w:rsidR="00C747C9" w:rsidRPr="008F1D55" w:rsidRDefault="000D1B75" w:rsidP="008B4480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</w:pPr>
            <w:r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>Оскільки договори про розміщення, укладення яких</w:t>
            </w:r>
            <w:r w:rsidR="008B4480"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>передбачено в згаданому Порядку, не завжди</w:t>
            </w:r>
            <w:r w:rsidR="008B4480"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>розглядаються ОСР як такі, що підтверджують право</w:t>
            </w:r>
            <w:r w:rsidR="008B4480"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>користування нерухомим майном чи земельною</w:t>
            </w:r>
            <w:r w:rsidR="008B4480"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>ділянкою, це перешкоджає реалізації прав операторів</w:t>
            </w:r>
            <w:r w:rsidR="008B4480"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>електронних комунікацій як споживачів на приєднання</w:t>
            </w:r>
            <w:r w:rsidR="008B4480"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>своїх об’єктів до електричних мереж, якщо відповідні</w:t>
            </w:r>
            <w:r w:rsidR="008B4480"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>об’єкти розміщені за процедурою, прямо передбаченою</w:t>
            </w:r>
            <w:r w:rsidR="008B4480"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>Постановою № 555 від 13.05.2025.</w:t>
            </w:r>
          </w:p>
        </w:tc>
        <w:tc>
          <w:tcPr>
            <w:tcW w:w="3544" w:type="dxa"/>
          </w:tcPr>
          <w:p w14:paraId="34A9FACA" w14:textId="65920B20" w:rsidR="00931518" w:rsidRPr="00931518" w:rsidRDefault="00931518" w:rsidP="009315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</w:pPr>
            <w:r w:rsidRPr="00931518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lastRenderedPageBreak/>
              <w:t>Пропонується врахувати у такій редакції:</w:t>
            </w:r>
          </w:p>
          <w:p w14:paraId="71C87061" w14:textId="77777777" w:rsidR="00104748" w:rsidRPr="008F1D55" w:rsidRDefault="00104748" w:rsidP="00104748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</w:pPr>
            <w:r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lastRenderedPageBreak/>
              <w:t>4.4.2. …</w:t>
            </w:r>
          </w:p>
          <w:p w14:paraId="318C1D58" w14:textId="72BCA126" w:rsidR="00104748" w:rsidRPr="008F1D55" w:rsidRDefault="00104748" w:rsidP="00104748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</w:pPr>
            <w:r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>У разі приєднання фотоелектричної станції</w:t>
            </w:r>
            <w:r w:rsidRPr="00E27DB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>/УЗЕ/</w:t>
            </w:r>
            <w:proofErr w:type="spellStart"/>
            <w:r w:rsidRPr="00E27DB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>електрозарядної</w:t>
            </w:r>
            <w:proofErr w:type="spellEnd"/>
            <w:r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 xml:space="preserve"> станції, технічних засобів електронних комунікацій</w:t>
            </w:r>
            <w:r w:rsidR="00BA1FEA" w:rsidRPr="00BA1FEA">
              <w:rPr>
                <w:rFonts w:ascii="Times New Roman" w:eastAsia="Times New Roman" w:hAnsi="Times New Roman" w:cs="Times New Roman"/>
                <w:b/>
                <w:color w:val="00B050"/>
                <w:kern w:val="24"/>
                <w:sz w:val="24"/>
                <w:szCs w:val="24"/>
                <w:lang w:eastAsia="uk-UA"/>
                <w14:ligatures w14:val="none"/>
              </w:rPr>
              <w:t>,</w:t>
            </w:r>
            <w:r w:rsidRPr="00BA1FEA">
              <w:rPr>
                <w:rFonts w:ascii="Times New Roman" w:eastAsia="Times New Roman" w:hAnsi="Times New Roman" w:cs="Times New Roman"/>
                <w:b/>
                <w:color w:val="00B050"/>
                <w:kern w:val="24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="00120791" w:rsidRPr="00BA1FEA">
              <w:rPr>
                <w:rFonts w:ascii="Times New Roman" w:eastAsia="Times New Roman" w:hAnsi="Times New Roman" w:cs="Times New Roman"/>
                <w:b/>
                <w:color w:val="00B050"/>
                <w:kern w:val="24"/>
                <w:sz w:val="24"/>
                <w:szCs w:val="24"/>
                <w:lang w:eastAsia="uk-UA"/>
                <w14:ligatures w14:val="none"/>
              </w:rPr>
              <w:t>що роз</w:t>
            </w:r>
            <w:r w:rsidR="00404734">
              <w:rPr>
                <w:rFonts w:ascii="Times New Roman" w:eastAsia="Times New Roman" w:hAnsi="Times New Roman" w:cs="Times New Roman"/>
                <w:b/>
                <w:color w:val="00B050"/>
                <w:kern w:val="24"/>
                <w:sz w:val="24"/>
                <w:szCs w:val="24"/>
                <w:lang w:eastAsia="uk-UA"/>
                <w14:ligatures w14:val="none"/>
              </w:rPr>
              <w:t>міщені</w:t>
            </w:r>
            <w:r w:rsidR="00120791" w:rsidRPr="00BA1FEA">
              <w:rPr>
                <w:rFonts w:ascii="Times New Roman" w:eastAsia="Times New Roman" w:hAnsi="Times New Roman" w:cs="Times New Roman"/>
                <w:b/>
                <w:color w:val="00B050"/>
                <w:kern w:val="24"/>
                <w:sz w:val="24"/>
                <w:szCs w:val="24"/>
                <w:lang w:eastAsia="uk-UA"/>
                <w14:ligatures w14:val="none"/>
              </w:rPr>
              <w:t xml:space="preserve"> на об'єкті архітектури </w:t>
            </w:r>
            <w:r w:rsidR="00C21A9D">
              <w:rPr>
                <w:rFonts w:ascii="Times New Roman" w:eastAsia="Times New Roman" w:hAnsi="Times New Roman" w:cs="Times New Roman"/>
                <w:b/>
                <w:color w:val="00B050"/>
                <w:kern w:val="24"/>
                <w:sz w:val="24"/>
                <w:szCs w:val="24"/>
                <w:lang w:eastAsia="uk-UA"/>
                <w14:ligatures w14:val="none"/>
              </w:rPr>
              <w:t xml:space="preserve">або її частині </w:t>
            </w:r>
            <w:r w:rsidR="00120791" w:rsidRPr="00BA1FEA">
              <w:rPr>
                <w:rFonts w:ascii="Times New Roman" w:eastAsia="Times New Roman" w:hAnsi="Times New Roman" w:cs="Times New Roman"/>
                <w:b/>
                <w:color w:val="00B050"/>
                <w:kern w:val="24"/>
                <w:sz w:val="24"/>
                <w:szCs w:val="24"/>
                <w:lang w:eastAsia="uk-UA"/>
                <w14:ligatures w14:val="none"/>
              </w:rPr>
              <w:t>(дах, фасад тощо)</w:t>
            </w:r>
            <w:r w:rsidR="007B74A6">
              <w:rPr>
                <w:rFonts w:ascii="Times New Roman" w:eastAsia="Times New Roman" w:hAnsi="Times New Roman" w:cs="Times New Roman"/>
                <w:b/>
                <w:color w:val="00B050"/>
                <w:kern w:val="24"/>
                <w:sz w:val="24"/>
                <w:szCs w:val="24"/>
                <w:lang w:eastAsia="uk-UA"/>
                <w14:ligatures w14:val="none"/>
              </w:rPr>
              <w:t xml:space="preserve">, </w:t>
            </w:r>
            <w:r w:rsidR="00A72121">
              <w:rPr>
                <w:rFonts w:ascii="Times New Roman" w:eastAsia="Times New Roman" w:hAnsi="Times New Roman" w:cs="Times New Roman"/>
                <w:b/>
                <w:color w:val="00B050"/>
                <w:kern w:val="24"/>
                <w:sz w:val="24"/>
                <w:szCs w:val="24"/>
                <w:lang w:eastAsia="uk-UA"/>
                <w14:ligatures w14:val="none"/>
              </w:rPr>
              <w:t>земельній ділянці</w:t>
            </w:r>
            <w:r w:rsidR="00BA1FEA">
              <w:rPr>
                <w:rFonts w:ascii="Times New Roman" w:eastAsia="Times New Roman" w:hAnsi="Times New Roman" w:cs="Times New Roman"/>
                <w:b/>
                <w:color w:val="00B050"/>
                <w:kern w:val="24"/>
                <w:sz w:val="24"/>
                <w:szCs w:val="24"/>
                <w:lang w:eastAsia="uk-UA"/>
                <w14:ligatures w14:val="none"/>
              </w:rPr>
              <w:t xml:space="preserve"> або інш</w:t>
            </w:r>
            <w:r w:rsidR="00AC73EB">
              <w:rPr>
                <w:rFonts w:ascii="Times New Roman" w:eastAsia="Times New Roman" w:hAnsi="Times New Roman" w:cs="Times New Roman"/>
                <w:b/>
                <w:color w:val="00B050"/>
                <w:kern w:val="24"/>
                <w:sz w:val="24"/>
                <w:szCs w:val="24"/>
                <w:lang w:eastAsia="uk-UA"/>
                <w14:ligatures w14:val="none"/>
              </w:rPr>
              <w:t>их</w:t>
            </w:r>
            <w:r w:rsidR="00BA1FEA">
              <w:rPr>
                <w:rFonts w:ascii="Times New Roman" w:eastAsia="Times New Roman" w:hAnsi="Times New Roman" w:cs="Times New Roman"/>
                <w:b/>
                <w:color w:val="00B050"/>
                <w:kern w:val="24"/>
                <w:sz w:val="24"/>
                <w:szCs w:val="24"/>
                <w:lang w:eastAsia="uk-UA"/>
                <w14:ligatures w14:val="none"/>
              </w:rPr>
              <w:t xml:space="preserve"> споруд</w:t>
            </w:r>
            <w:r w:rsidR="00AC73EB">
              <w:rPr>
                <w:rFonts w:ascii="Times New Roman" w:eastAsia="Times New Roman" w:hAnsi="Times New Roman" w:cs="Times New Roman"/>
                <w:b/>
                <w:color w:val="00B050"/>
                <w:kern w:val="24"/>
                <w:sz w:val="24"/>
                <w:szCs w:val="24"/>
                <w:lang w:eastAsia="uk-UA"/>
                <w14:ligatures w14:val="none"/>
              </w:rPr>
              <w:t>ах</w:t>
            </w:r>
            <w:r w:rsidR="005359E9">
              <w:rPr>
                <w:rFonts w:ascii="Times New Roman" w:eastAsia="Times New Roman" w:hAnsi="Times New Roman" w:cs="Times New Roman"/>
                <w:b/>
                <w:color w:val="00B050"/>
                <w:kern w:val="24"/>
                <w:sz w:val="24"/>
                <w:szCs w:val="24"/>
                <w:lang w:eastAsia="uk-UA"/>
                <w14:ligatures w14:val="none"/>
              </w:rPr>
              <w:t xml:space="preserve"> (</w:t>
            </w:r>
            <w:r w:rsidR="005359E9" w:rsidRPr="005359E9">
              <w:rPr>
                <w:rFonts w:ascii="Times New Roman" w:eastAsia="Times New Roman" w:hAnsi="Times New Roman" w:cs="Times New Roman"/>
                <w:b/>
                <w:color w:val="00B050"/>
                <w:kern w:val="24"/>
                <w:sz w:val="24"/>
                <w:szCs w:val="24"/>
                <w:lang w:eastAsia="uk-UA"/>
                <w14:ligatures w14:val="none"/>
              </w:rPr>
              <w:t>елементах інфраструктури</w:t>
            </w:r>
            <w:r w:rsidR="005359E9">
              <w:rPr>
                <w:rFonts w:ascii="Times New Roman" w:eastAsia="Times New Roman" w:hAnsi="Times New Roman" w:cs="Times New Roman"/>
                <w:b/>
                <w:color w:val="00B050"/>
                <w:kern w:val="24"/>
                <w:sz w:val="24"/>
                <w:szCs w:val="24"/>
                <w:lang w:eastAsia="uk-UA"/>
                <w14:ligatures w14:val="none"/>
              </w:rPr>
              <w:t>)</w:t>
            </w:r>
            <w:r w:rsidR="00BA1FEA">
              <w:rPr>
                <w:rFonts w:ascii="Times New Roman" w:eastAsia="Times New Roman" w:hAnsi="Times New Roman" w:cs="Times New Roman"/>
                <w:b/>
                <w:color w:val="00B050"/>
                <w:kern w:val="24"/>
                <w:sz w:val="24"/>
                <w:szCs w:val="24"/>
                <w:lang w:eastAsia="uk-UA"/>
                <w14:ligatures w14:val="none"/>
              </w:rPr>
              <w:t>,</w:t>
            </w:r>
            <w:r w:rsidR="00120791" w:rsidRPr="00BA1FEA">
              <w:rPr>
                <w:rFonts w:ascii="Times New Roman" w:eastAsia="Times New Roman" w:hAnsi="Times New Roman" w:cs="Times New Roman"/>
                <w:b/>
                <w:color w:val="00B050"/>
                <w:kern w:val="24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="00BA1FEA" w:rsidRPr="00BA1FEA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uk-UA"/>
                <w14:ligatures w14:val="none"/>
              </w:rPr>
              <w:t>д</w:t>
            </w:r>
            <w:r w:rsidRPr="008F1D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>о заяви про приєднання додаються:</w:t>
            </w:r>
          </w:p>
          <w:p w14:paraId="093DDE49" w14:textId="10DFAF4E" w:rsidR="004D7F6E" w:rsidRDefault="00104748" w:rsidP="00104748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b/>
                <w:color w:val="00B050"/>
                <w:kern w:val="24"/>
                <w:sz w:val="24"/>
                <w:szCs w:val="24"/>
                <w:lang w:eastAsia="uk-UA"/>
                <w14:ligatures w14:val="none"/>
              </w:rPr>
            </w:pPr>
            <w:r w:rsidRPr="0010474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>1) копія документа, що підтверджує право власності чи користування об'єктом архітектури</w:t>
            </w:r>
            <w:r w:rsidR="004D7F6E" w:rsidRPr="00BA1FEA">
              <w:rPr>
                <w:rFonts w:ascii="Times New Roman" w:eastAsia="Times New Roman" w:hAnsi="Times New Roman" w:cs="Times New Roman"/>
                <w:b/>
                <w:color w:val="00B050"/>
                <w:kern w:val="24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="00C21A9D">
              <w:rPr>
                <w:rFonts w:ascii="Times New Roman" w:eastAsia="Times New Roman" w:hAnsi="Times New Roman" w:cs="Times New Roman"/>
                <w:b/>
                <w:color w:val="00B050"/>
                <w:kern w:val="24"/>
                <w:sz w:val="24"/>
                <w:szCs w:val="24"/>
                <w:lang w:eastAsia="uk-UA"/>
                <w14:ligatures w14:val="none"/>
              </w:rPr>
              <w:t xml:space="preserve">або її частиною </w:t>
            </w:r>
            <w:r w:rsidR="004D7F6E" w:rsidRPr="00BA1FEA">
              <w:rPr>
                <w:rFonts w:ascii="Times New Roman" w:eastAsia="Times New Roman" w:hAnsi="Times New Roman" w:cs="Times New Roman"/>
                <w:b/>
                <w:color w:val="00B050"/>
                <w:kern w:val="24"/>
                <w:sz w:val="24"/>
                <w:szCs w:val="24"/>
                <w:lang w:eastAsia="uk-UA"/>
                <w14:ligatures w14:val="none"/>
              </w:rPr>
              <w:t>(дах, фасад тощо)</w:t>
            </w:r>
            <w:r w:rsidR="004D7F6E">
              <w:rPr>
                <w:rFonts w:ascii="Times New Roman" w:eastAsia="Times New Roman" w:hAnsi="Times New Roman" w:cs="Times New Roman"/>
                <w:b/>
                <w:color w:val="00B050"/>
                <w:kern w:val="24"/>
                <w:sz w:val="24"/>
                <w:szCs w:val="24"/>
                <w:lang w:eastAsia="uk-UA"/>
                <w14:ligatures w14:val="none"/>
              </w:rPr>
              <w:t>, земельною ділянкою або іншою спорудою</w:t>
            </w:r>
            <w:r w:rsidR="005359E9">
              <w:rPr>
                <w:rFonts w:ascii="Times New Roman" w:eastAsia="Times New Roman" w:hAnsi="Times New Roman" w:cs="Times New Roman"/>
                <w:b/>
                <w:color w:val="00B050"/>
                <w:kern w:val="24"/>
                <w:sz w:val="24"/>
                <w:szCs w:val="24"/>
                <w:lang w:eastAsia="uk-UA"/>
                <w14:ligatures w14:val="none"/>
              </w:rPr>
              <w:t xml:space="preserve"> (</w:t>
            </w:r>
            <w:r w:rsidR="005359E9" w:rsidRPr="005359E9">
              <w:rPr>
                <w:rFonts w:ascii="Times New Roman" w:eastAsia="Times New Roman" w:hAnsi="Times New Roman" w:cs="Times New Roman"/>
                <w:b/>
                <w:color w:val="00B050"/>
                <w:kern w:val="24"/>
                <w:sz w:val="24"/>
                <w:szCs w:val="24"/>
                <w:lang w:eastAsia="uk-UA"/>
                <w14:ligatures w14:val="none"/>
              </w:rPr>
              <w:t>елемент</w:t>
            </w:r>
            <w:r w:rsidR="005359E9">
              <w:rPr>
                <w:rFonts w:ascii="Times New Roman" w:eastAsia="Times New Roman" w:hAnsi="Times New Roman" w:cs="Times New Roman"/>
                <w:b/>
                <w:color w:val="00B050"/>
                <w:kern w:val="24"/>
                <w:sz w:val="24"/>
                <w:szCs w:val="24"/>
                <w:lang w:eastAsia="uk-UA"/>
                <w14:ligatures w14:val="none"/>
              </w:rPr>
              <w:t>і</w:t>
            </w:r>
            <w:r w:rsidR="005359E9" w:rsidRPr="005359E9">
              <w:rPr>
                <w:rFonts w:ascii="Times New Roman" w:eastAsia="Times New Roman" w:hAnsi="Times New Roman" w:cs="Times New Roman"/>
                <w:b/>
                <w:color w:val="00B050"/>
                <w:kern w:val="24"/>
                <w:sz w:val="24"/>
                <w:szCs w:val="24"/>
                <w:lang w:eastAsia="uk-UA"/>
                <w14:ligatures w14:val="none"/>
              </w:rPr>
              <w:t xml:space="preserve"> інфраструктури</w:t>
            </w:r>
            <w:r w:rsidR="005359E9">
              <w:rPr>
                <w:rFonts w:ascii="Times New Roman" w:eastAsia="Times New Roman" w:hAnsi="Times New Roman" w:cs="Times New Roman"/>
                <w:b/>
                <w:color w:val="00B050"/>
                <w:kern w:val="24"/>
                <w:sz w:val="24"/>
                <w:szCs w:val="24"/>
                <w:lang w:eastAsia="uk-UA"/>
                <w14:ligatures w14:val="none"/>
              </w:rPr>
              <w:t>)</w:t>
            </w:r>
            <w:r w:rsidR="004D7F6E">
              <w:rPr>
                <w:rFonts w:ascii="Times New Roman" w:eastAsia="Times New Roman" w:hAnsi="Times New Roman" w:cs="Times New Roman"/>
                <w:b/>
                <w:color w:val="00B050"/>
                <w:kern w:val="24"/>
                <w:sz w:val="24"/>
                <w:szCs w:val="24"/>
                <w:lang w:eastAsia="uk-UA"/>
                <w14:ligatures w14:val="none"/>
              </w:rPr>
              <w:t>.</w:t>
            </w:r>
          </w:p>
          <w:p w14:paraId="160C0660" w14:textId="643F2C15" w:rsidR="004D7F6E" w:rsidRPr="004D7F6E" w:rsidRDefault="00EF57DA" w:rsidP="004D7F6E">
            <w:pPr>
              <w:pStyle w:val="af4"/>
              <w:ind w:firstLine="567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kern w:val="24"/>
                <w:sz w:val="24"/>
                <w:szCs w:val="24"/>
                <w:lang w:eastAsia="uk-UA"/>
              </w:rPr>
              <w:t>Д</w:t>
            </w:r>
            <w:r w:rsidR="004D7F6E" w:rsidRPr="004D7F6E">
              <w:rPr>
                <w:b/>
                <w:color w:val="00B050"/>
                <w:kern w:val="24"/>
                <w:sz w:val="24"/>
                <w:szCs w:val="24"/>
                <w:lang w:eastAsia="uk-UA"/>
              </w:rPr>
              <w:t xml:space="preserve">окумент, що підтверджує </w:t>
            </w:r>
            <w:r w:rsidR="00C21A9D">
              <w:rPr>
                <w:b/>
                <w:color w:val="00B050"/>
                <w:kern w:val="24"/>
                <w:sz w:val="24"/>
                <w:szCs w:val="24"/>
                <w:lang w:eastAsia="uk-UA"/>
              </w:rPr>
              <w:t xml:space="preserve">таке </w:t>
            </w:r>
            <w:r w:rsidR="004D7F6E" w:rsidRPr="004D7F6E">
              <w:rPr>
                <w:b/>
                <w:color w:val="00B050"/>
                <w:kern w:val="24"/>
                <w:sz w:val="24"/>
                <w:szCs w:val="24"/>
                <w:lang w:eastAsia="uk-UA"/>
              </w:rPr>
              <w:t>право користування</w:t>
            </w:r>
            <w:r w:rsidR="004D7F6E" w:rsidRPr="004D7F6E">
              <w:rPr>
                <w:b/>
                <w:color w:val="00B050"/>
                <w:sz w:val="24"/>
                <w:szCs w:val="24"/>
              </w:rPr>
              <w:t>, має передбачати, зокрема:</w:t>
            </w:r>
          </w:p>
          <w:p w14:paraId="665D49BE" w14:textId="73146B1E" w:rsidR="004D7F6E" w:rsidRDefault="00C21A9D" w:rsidP="004D7F6E">
            <w:pPr>
              <w:pStyle w:val="af4"/>
              <w:ind w:firstLine="567"/>
              <w:rPr>
                <w:b/>
                <w:color w:val="00B050"/>
                <w:sz w:val="24"/>
                <w:szCs w:val="24"/>
              </w:rPr>
            </w:pPr>
            <w:bookmarkStart w:id="0" w:name="n66"/>
            <w:bookmarkEnd w:id="0"/>
            <w:r>
              <w:rPr>
                <w:b/>
                <w:color w:val="00B050"/>
                <w:sz w:val="24"/>
                <w:szCs w:val="24"/>
              </w:rPr>
              <w:t xml:space="preserve">поштову адресу або </w:t>
            </w:r>
            <w:r w:rsidR="004D7F6E" w:rsidRPr="004D7F6E">
              <w:rPr>
                <w:b/>
                <w:color w:val="00B050"/>
                <w:sz w:val="24"/>
                <w:szCs w:val="24"/>
              </w:rPr>
              <w:t>місце розташування (координати у географічній системі координат WGS-84</w:t>
            </w:r>
            <w:r>
              <w:rPr>
                <w:b/>
                <w:color w:val="00B050"/>
                <w:sz w:val="24"/>
                <w:szCs w:val="24"/>
              </w:rPr>
              <w:t>),</w:t>
            </w:r>
            <w:r w:rsidR="004D7F6E" w:rsidRPr="004D7F6E">
              <w:rPr>
                <w:b/>
                <w:color w:val="00B050"/>
                <w:sz w:val="24"/>
                <w:szCs w:val="24"/>
              </w:rPr>
              <w:t xml:space="preserve"> або кадастровий номер земельної ділянки, </w:t>
            </w:r>
            <w:r w:rsidR="00D45EA9">
              <w:rPr>
                <w:b/>
                <w:color w:val="00B050"/>
                <w:sz w:val="24"/>
                <w:szCs w:val="24"/>
              </w:rPr>
              <w:t xml:space="preserve">об’єкта </w:t>
            </w:r>
            <w:r w:rsidRPr="00BA1FEA">
              <w:rPr>
                <w:b/>
                <w:color w:val="00B050"/>
                <w:kern w:val="24"/>
                <w:sz w:val="24"/>
                <w:szCs w:val="24"/>
                <w:lang w:eastAsia="uk-UA"/>
              </w:rPr>
              <w:t xml:space="preserve">архітектури </w:t>
            </w:r>
            <w:r>
              <w:rPr>
                <w:b/>
                <w:color w:val="00B050"/>
                <w:kern w:val="24"/>
                <w:sz w:val="24"/>
                <w:szCs w:val="24"/>
                <w:lang w:eastAsia="uk-UA"/>
              </w:rPr>
              <w:t xml:space="preserve">або </w:t>
            </w:r>
            <w:r w:rsidR="00D45EA9">
              <w:rPr>
                <w:b/>
                <w:color w:val="00B050"/>
                <w:kern w:val="24"/>
                <w:sz w:val="24"/>
                <w:szCs w:val="24"/>
                <w:lang w:eastAsia="uk-UA"/>
              </w:rPr>
              <w:t>його</w:t>
            </w:r>
            <w:r>
              <w:rPr>
                <w:b/>
                <w:color w:val="00B050"/>
                <w:kern w:val="24"/>
                <w:sz w:val="24"/>
                <w:szCs w:val="24"/>
                <w:lang w:eastAsia="uk-UA"/>
              </w:rPr>
              <w:t xml:space="preserve"> частин</w:t>
            </w:r>
            <w:r w:rsidR="00D45EA9">
              <w:rPr>
                <w:b/>
                <w:color w:val="00B050"/>
                <w:kern w:val="24"/>
                <w:sz w:val="24"/>
                <w:szCs w:val="24"/>
                <w:lang w:eastAsia="uk-UA"/>
              </w:rPr>
              <w:t>и</w:t>
            </w:r>
            <w:r>
              <w:rPr>
                <w:b/>
                <w:color w:val="00B050"/>
                <w:kern w:val="24"/>
                <w:sz w:val="24"/>
                <w:szCs w:val="24"/>
                <w:lang w:eastAsia="uk-UA"/>
              </w:rPr>
              <w:t xml:space="preserve"> </w:t>
            </w:r>
            <w:r w:rsidRPr="00BA1FEA">
              <w:rPr>
                <w:b/>
                <w:color w:val="00B050"/>
                <w:kern w:val="24"/>
                <w:sz w:val="24"/>
                <w:szCs w:val="24"/>
                <w:lang w:eastAsia="uk-UA"/>
              </w:rPr>
              <w:t>(дах, фасад тощо)</w:t>
            </w:r>
            <w:r w:rsidR="00D45EA9">
              <w:rPr>
                <w:b/>
                <w:color w:val="00B050"/>
                <w:kern w:val="24"/>
                <w:sz w:val="24"/>
                <w:szCs w:val="24"/>
                <w:lang w:eastAsia="uk-UA"/>
              </w:rPr>
              <w:t xml:space="preserve"> </w:t>
            </w:r>
            <w:r>
              <w:rPr>
                <w:b/>
                <w:color w:val="00B050"/>
                <w:kern w:val="24"/>
                <w:sz w:val="24"/>
                <w:szCs w:val="24"/>
                <w:lang w:eastAsia="uk-UA"/>
              </w:rPr>
              <w:t>або інш</w:t>
            </w:r>
            <w:r w:rsidR="00D45EA9">
              <w:rPr>
                <w:b/>
                <w:color w:val="00B050"/>
                <w:kern w:val="24"/>
                <w:sz w:val="24"/>
                <w:szCs w:val="24"/>
                <w:lang w:eastAsia="uk-UA"/>
              </w:rPr>
              <w:t>ої</w:t>
            </w:r>
            <w:r>
              <w:rPr>
                <w:b/>
                <w:color w:val="00B050"/>
                <w:kern w:val="24"/>
                <w:sz w:val="24"/>
                <w:szCs w:val="24"/>
                <w:lang w:eastAsia="uk-UA"/>
              </w:rPr>
              <w:t xml:space="preserve"> споруд</w:t>
            </w:r>
            <w:r w:rsidR="00D45EA9">
              <w:rPr>
                <w:b/>
                <w:color w:val="00B050"/>
                <w:kern w:val="24"/>
                <w:sz w:val="24"/>
                <w:szCs w:val="24"/>
                <w:lang w:eastAsia="uk-UA"/>
              </w:rPr>
              <w:t>и</w:t>
            </w:r>
            <w:r w:rsidR="005359E9">
              <w:rPr>
                <w:b/>
                <w:color w:val="00B050"/>
                <w:kern w:val="24"/>
                <w:sz w:val="24"/>
                <w:szCs w:val="24"/>
                <w:lang w:eastAsia="uk-UA"/>
              </w:rPr>
              <w:t xml:space="preserve"> (</w:t>
            </w:r>
            <w:r w:rsidR="005359E9" w:rsidRPr="005359E9">
              <w:rPr>
                <w:b/>
                <w:color w:val="00B050"/>
                <w:kern w:val="24"/>
                <w:sz w:val="24"/>
                <w:szCs w:val="24"/>
                <w:lang w:eastAsia="uk-UA"/>
              </w:rPr>
              <w:t>елемент</w:t>
            </w:r>
            <w:r w:rsidR="005359E9">
              <w:rPr>
                <w:b/>
                <w:color w:val="00B050"/>
                <w:kern w:val="24"/>
                <w:sz w:val="24"/>
                <w:szCs w:val="24"/>
                <w:lang w:eastAsia="uk-UA"/>
              </w:rPr>
              <w:t>і</w:t>
            </w:r>
            <w:r w:rsidR="005359E9" w:rsidRPr="005359E9">
              <w:rPr>
                <w:b/>
                <w:color w:val="00B050"/>
                <w:kern w:val="24"/>
                <w:sz w:val="24"/>
                <w:szCs w:val="24"/>
                <w:lang w:eastAsia="uk-UA"/>
              </w:rPr>
              <w:t xml:space="preserve"> інфраструктури</w:t>
            </w:r>
            <w:r w:rsidR="005359E9">
              <w:rPr>
                <w:b/>
                <w:color w:val="00B050"/>
                <w:kern w:val="24"/>
                <w:sz w:val="24"/>
                <w:szCs w:val="24"/>
                <w:lang w:eastAsia="uk-UA"/>
              </w:rPr>
              <w:t>)</w:t>
            </w:r>
            <w:r w:rsidR="004D7F6E" w:rsidRPr="004D7F6E">
              <w:rPr>
                <w:b/>
                <w:color w:val="00B050"/>
                <w:sz w:val="24"/>
                <w:szCs w:val="24"/>
              </w:rPr>
              <w:t>;</w:t>
            </w:r>
          </w:p>
          <w:p w14:paraId="736EDDAA" w14:textId="20DE0934" w:rsidR="00481C5E" w:rsidRDefault="00481C5E" w:rsidP="004D7F6E">
            <w:pPr>
              <w:pStyle w:val="af4"/>
              <w:ind w:firstLine="567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вид та/або функціональн</w:t>
            </w:r>
            <w:r w:rsidR="00EF57DA">
              <w:rPr>
                <w:b/>
                <w:color w:val="00B050"/>
                <w:sz w:val="24"/>
                <w:szCs w:val="24"/>
              </w:rPr>
              <w:t>е</w:t>
            </w:r>
            <w:r>
              <w:rPr>
                <w:b/>
                <w:color w:val="00B050"/>
                <w:sz w:val="24"/>
                <w:szCs w:val="24"/>
              </w:rPr>
              <w:t xml:space="preserve"> призначення місця або споруди</w:t>
            </w:r>
            <w:r w:rsidR="005359E9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5359E9">
              <w:rPr>
                <w:b/>
                <w:color w:val="00B050"/>
                <w:kern w:val="24"/>
                <w:sz w:val="24"/>
                <w:szCs w:val="24"/>
                <w:lang w:eastAsia="uk-UA"/>
              </w:rPr>
              <w:t>(</w:t>
            </w:r>
            <w:r w:rsidR="005359E9" w:rsidRPr="005359E9">
              <w:rPr>
                <w:b/>
                <w:color w:val="00B050"/>
                <w:kern w:val="24"/>
                <w:sz w:val="24"/>
                <w:szCs w:val="24"/>
                <w:lang w:eastAsia="uk-UA"/>
              </w:rPr>
              <w:t>елемента інфраструктури</w:t>
            </w:r>
            <w:r w:rsidR="005359E9">
              <w:rPr>
                <w:b/>
                <w:color w:val="00B050"/>
                <w:kern w:val="24"/>
                <w:sz w:val="24"/>
                <w:szCs w:val="24"/>
                <w:lang w:eastAsia="uk-UA"/>
              </w:rPr>
              <w:t>)</w:t>
            </w:r>
            <w:r>
              <w:rPr>
                <w:b/>
                <w:color w:val="00B050"/>
                <w:sz w:val="24"/>
                <w:szCs w:val="24"/>
              </w:rPr>
              <w:t xml:space="preserve">, де </w:t>
            </w:r>
            <w:r>
              <w:rPr>
                <w:b/>
                <w:color w:val="00B050"/>
                <w:sz w:val="24"/>
                <w:szCs w:val="24"/>
              </w:rPr>
              <w:lastRenderedPageBreak/>
              <w:t xml:space="preserve">планується розмістити </w:t>
            </w:r>
            <w:r w:rsidRPr="00481C5E">
              <w:rPr>
                <w:b/>
                <w:color w:val="00B050"/>
                <w:sz w:val="24"/>
                <w:szCs w:val="24"/>
              </w:rPr>
              <w:t>фотоелектричн</w:t>
            </w:r>
            <w:r>
              <w:rPr>
                <w:b/>
                <w:color w:val="00B050"/>
                <w:sz w:val="24"/>
                <w:szCs w:val="24"/>
              </w:rPr>
              <w:t>у</w:t>
            </w:r>
            <w:r w:rsidRPr="00481C5E">
              <w:rPr>
                <w:b/>
                <w:color w:val="00B050"/>
                <w:sz w:val="24"/>
                <w:szCs w:val="24"/>
              </w:rPr>
              <w:t xml:space="preserve"> станці</w:t>
            </w:r>
            <w:r>
              <w:rPr>
                <w:b/>
                <w:color w:val="00B050"/>
                <w:sz w:val="24"/>
                <w:szCs w:val="24"/>
              </w:rPr>
              <w:t>ю</w:t>
            </w:r>
            <w:r w:rsidRPr="00E27DB9">
              <w:rPr>
                <w:b/>
                <w:color w:val="00B050"/>
                <w:sz w:val="24"/>
                <w:szCs w:val="24"/>
              </w:rPr>
              <w:t>/УЗЕ/</w:t>
            </w:r>
            <w:proofErr w:type="spellStart"/>
            <w:r w:rsidRPr="00E27DB9">
              <w:rPr>
                <w:b/>
                <w:color w:val="00B050"/>
                <w:sz w:val="24"/>
                <w:szCs w:val="24"/>
              </w:rPr>
              <w:t>електрозарядну</w:t>
            </w:r>
            <w:proofErr w:type="spellEnd"/>
            <w:r w:rsidRPr="00481C5E">
              <w:rPr>
                <w:b/>
                <w:color w:val="00B050"/>
                <w:sz w:val="24"/>
                <w:szCs w:val="24"/>
              </w:rPr>
              <w:t xml:space="preserve"> станц</w:t>
            </w:r>
            <w:r>
              <w:rPr>
                <w:b/>
                <w:color w:val="00B050"/>
                <w:sz w:val="24"/>
                <w:szCs w:val="24"/>
              </w:rPr>
              <w:t>ію</w:t>
            </w:r>
            <w:r w:rsidRPr="00481C5E">
              <w:rPr>
                <w:b/>
                <w:color w:val="00B050"/>
                <w:sz w:val="24"/>
                <w:szCs w:val="24"/>
              </w:rPr>
              <w:t>, технічн</w:t>
            </w:r>
            <w:r>
              <w:rPr>
                <w:b/>
                <w:color w:val="00B050"/>
                <w:sz w:val="24"/>
                <w:szCs w:val="24"/>
              </w:rPr>
              <w:t>і</w:t>
            </w:r>
            <w:r w:rsidRPr="00481C5E">
              <w:rPr>
                <w:b/>
                <w:color w:val="00B050"/>
                <w:sz w:val="24"/>
                <w:szCs w:val="24"/>
              </w:rPr>
              <w:t xml:space="preserve"> засоб</w:t>
            </w:r>
            <w:r>
              <w:rPr>
                <w:b/>
                <w:color w:val="00B050"/>
                <w:sz w:val="24"/>
                <w:szCs w:val="24"/>
              </w:rPr>
              <w:t>и</w:t>
            </w:r>
            <w:r w:rsidRPr="00481C5E">
              <w:rPr>
                <w:b/>
                <w:color w:val="00B050"/>
                <w:sz w:val="24"/>
                <w:szCs w:val="24"/>
              </w:rPr>
              <w:t xml:space="preserve"> електронних комунікацій</w:t>
            </w:r>
            <w:r w:rsidR="005E7D85">
              <w:rPr>
                <w:b/>
                <w:color w:val="00B050"/>
                <w:sz w:val="24"/>
                <w:szCs w:val="24"/>
              </w:rPr>
              <w:t xml:space="preserve"> - </w:t>
            </w:r>
            <w:r w:rsidR="005E7D85" w:rsidRPr="00BA1FEA">
              <w:rPr>
                <w:b/>
                <w:color w:val="00B050"/>
                <w:kern w:val="24"/>
                <w:sz w:val="24"/>
                <w:szCs w:val="24"/>
                <w:lang w:eastAsia="uk-UA"/>
              </w:rPr>
              <w:t>(дах, фасад тощо)</w:t>
            </w:r>
            <w:r w:rsidR="005E7D85">
              <w:rPr>
                <w:b/>
                <w:color w:val="00B050"/>
                <w:kern w:val="24"/>
                <w:sz w:val="24"/>
                <w:szCs w:val="24"/>
                <w:lang w:eastAsia="uk-UA"/>
              </w:rPr>
              <w:t xml:space="preserve"> </w:t>
            </w:r>
            <w:r w:rsidR="005E7D85" w:rsidRPr="005E7D85">
              <w:rPr>
                <w:b/>
                <w:color w:val="00B050"/>
                <w:kern w:val="24"/>
                <w:sz w:val="24"/>
                <w:szCs w:val="24"/>
                <w:lang w:eastAsia="uk-UA"/>
              </w:rPr>
              <w:t>об'єкт</w:t>
            </w:r>
            <w:r w:rsidR="005E7D85">
              <w:rPr>
                <w:b/>
                <w:color w:val="00B050"/>
                <w:kern w:val="24"/>
                <w:sz w:val="24"/>
                <w:szCs w:val="24"/>
                <w:lang w:eastAsia="uk-UA"/>
              </w:rPr>
              <w:t>а</w:t>
            </w:r>
            <w:r w:rsidR="005E7D85" w:rsidRPr="005E7D85">
              <w:rPr>
                <w:b/>
                <w:color w:val="00B050"/>
                <w:kern w:val="24"/>
                <w:sz w:val="24"/>
                <w:szCs w:val="24"/>
                <w:lang w:eastAsia="uk-UA"/>
              </w:rPr>
              <w:t xml:space="preserve"> архітектури або її частин</w:t>
            </w:r>
            <w:r w:rsidR="005E7D85">
              <w:rPr>
                <w:b/>
                <w:color w:val="00B050"/>
                <w:kern w:val="24"/>
                <w:sz w:val="24"/>
                <w:szCs w:val="24"/>
                <w:lang w:eastAsia="uk-UA"/>
              </w:rPr>
              <w:t>и,</w:t>
            </w:r>
            <w:r w:rsidR="005E7D85" w:rsidRPr="005E7D85">
              <w:rPr>
                <w:b/>
                <w:color w:val="00B050"/>
                <w:kern w:val="24"/>
                <w:sz w:val="24"/>
                <w:szCs w:val="24"/>
                <w:lang w:eastAsia="uk-UA"/>
              </w:rPr>
              <w:t xml:space="preserve"> </w:t>
            </w:r>
            <w:r w:rsidR="005E7D85">
              <w:rPr>
                <w:b/>
                <w:color w:val="00B050"/>
                <w:kern w:val="24"/>
                <w:sz w:val="24"/>
                <w:szCs w:val="24"/>
                <w:lang w:eastAsia="uk-UA"/>
              </w:rPr>
              <w:t xml:space="preserve">іншої споруди </w:t>
            </w:r>
            <w:r w:rsidR="00CE3A69">
              <w:rPr>
                <w:b/>
                <w:color w:val="00B050"/>
                <w:kern w:val="24"/>
                <w:sz w:val="24"/>
                <w:szCs w:val="24"/>
                <w:lang w:eastAsia="uk-UA"/>
              </w:rPr>
              <w:t>(</w:t>
            </w:r>
            <w:r w:rsidR="00CE3A69" w:rsidRPr="005359E9">
              <w:rPr>
                <w:b/>
                <w:color w:val="00B050"/>
                <w:kern w:val="24"/>
                <w:sz w:val="24"/>
                <w:szCs w:val="24"/>
                <w:lang w:eastAsia="uk-UA"/>
              </w:rPr>
              <w:t>елемента інфраструктури</w:t>
            </w:r>
            <w:r w:rsidR="00CE3A69">
              <w:rPr>
                <w:b/>
                <w:color w:val="00B050"/>
                <w:kern w:val="24"/>
                <w:sz w:val="24"/>
                <w:szCs w:val="24"/>
                <w:lang w:eastAsia="uk-UA"/>
              </w:rPr>
              <w:t xml:space="preserve">) </w:t>
            </w:r>
            <w:r w:rsidR="005E7D85">
              <w:rPr>
                <w:b/>
                <w:color w:val="00B050"/>
                <w:kern w:val="24"/>
                <w:sz w:val="24"/>
                <w:szCs w:val="24"/>
                <w:lang w:eastAsia="uk-UA"/>
              </w:rPr>
              <w:t>– опора, знаки тощо;</w:t>
            </w:r>
          </w:p>
          <w:p w14:paraId="23E2F90F" w14:textId="30C8CE4A" w:rsidR="004D7F6E" w:rsidRPr="004D7F6E" w:rsidRDefault="004D7F6E" w:rsidP="004D7F6E">
            <w:pPr>
              <w:pStyle w:val="af4"/>
              <w:ind w:firstLine="567"/>
              <w:rPr>
                <w:b/>
                <w:color w:val="00B050"/>
                <w:sz w:val="24"/>
                <w:szCs w:val="24"/>
              </w:rPr>
            </w:pPr>
            <w:bookmarkStart w:id="1" w:name="n67"/>
            <w:bookmarkEnd w:id="1"/>
            <w:r w:rsidRPr="004D7F6E">
              <w:rPr>
                <w:b/>
                <w:color w:val="00B050"/>
                <w:sz w:val="24"/>
                <w:szCs w:val="24"/>
              </w:rPr>
              <w:t xml:space="preserve">графічні матеріали із зазначенням місця розташування та розміру </w:t>
            </w:r>
            <w:r w:rsidR="00D45EA9" w:rsidRPr="004D7F6E">
              <w:rPr>
                <w:b/>
                <w:color w:val="00B050"/>
                <w:sz w:val="24"/>
                <w:szCs w:val="24"/>
              </w:rPr>
              <w:t xml:space="preserve">земельної ділянки, </w:t>
            </w:r>
            <w:r w:rsidR="00D45EA9">
              <w:rPr>
                <w:b/>
                <w:color w:val="00B050"/>
                <w:sz w:val="24"/>
                <w:szCs w:val="24"/>
              </w:rPr>
              <w:t xml:space="preserve">об’єкта </w:t>
            </w:r>
            <w:r w:rsidR="00D45EA9" w:rsidRPr="00BA1FEA">
              <w:rPr>
                <w:b/>
                <w:color w:val="00B050"/>
                <w:kern w:val="24"/>
                <w:sz w:val="24"/>
                <w:szCs w:val="24"/>
                <w:lang w:eastAsia="uk-UA"/>
              </w:rPr>
              <w:t xml:space="preserve">архітектури </w:t>
            </w:r>
            <w:r w:rsidR="00D45EA9">
              <w:rPr>
                <w:b/>
                <w:color w:val="00B050"/>
                <w:kern w:val="24"/>
                <w:sz w:val="24"/>
                <w:szCs w:val="24"/>
                <w:lang w:eastAsia="uk-UA"/>
              </w:rPr>
              <w:t xml:space="preserve">або його частини </w:t>
            </w:r>
            <w:r w:rsidR="00D45EA9" w:rsidRPr="00BA1FEA">
              <w:rPr>
                <w:b/>
                <w:color w:val="00B050"/>
                <w:kern w:val="24"/>
                <w:sz w:val="24"/>
                <w:szCs w:val="24"/>
                <w:lang w:eastAsia="uk-UA"/>
              </w:rPr>
              <w:t>(дах, фасад тощо)</w:t>
            </w:r>
            <w:r w:rsidR="00D45EA9">
              <w:rPr>
                <w:b/>
                <w:color w:val="00B050"/>
                <w:kern w:val="24"/>
                <w:sz w:val="24"/>
                <w:szCs w:val="24"/>
                <w:lang w:eastAsia="uk-UA"/>
              </w:rPr>
              <w:t xml:space="preserve"> або іншої споруди</w:t>
            </w:r>
            <w:r w:rsidR="00CE3A69">
              <w:rPr>
                <w:b/>
                <w:color w:val="00B050"/>
                <w:kern w:val="24"/>
                <w:sz w:val="24"/>
                <w:szCs w:val="24"/>
                <w:lang w:eastAsia="uk-UA"/>
              </w:rPr>
              <w:t xml:space="preserve"> (</w:t>
            </w:r>
            <w:r w:rsidR="00CE3A69" w:rsidRPr="005359E9">
              <w:rPr>
                <w:b/>
                <w:color w:val="00B050"/>
                <w:kern w:val="24"/>
                <w:sz w:val="24"/>
                <w:szCs w:val="24"/>
                <w:lang w:eastAsia="uk-UA"/>
              </w:rPr>
              <w:t>елемента інфраструктури</w:t>
            </w:r>
            <w:r w:rsidR="00CE3A69">
              <w:rPr>
                <w:b/>
                <w:color w:val="00B050"/>
                <w:kern w:val="24"/>
                <w:sz w:val="24"/>
                <w:szCs w:val="24"/>
                <w:lang w:eastAsia="uk-UA"/>
              </w:rPr>
              <w:t>)</w:t>
            </w:r>
            <w:r w:rsidRPr="004D7F6E">
              <w:rPr>
                <w:b/>
                <w:color w:val="00B050"/>
                <w:sz w:val="24"/>
                <w:szCs w:val="24"/>
              </w:rPr>
              <w:t>;</w:t>
            </w:r>
          </w:p>
          <w:p w14:paraId="6502B03C" w14:textId="112CA004" w:rsidR="00DB3339" w:rsidRDefault="004D7F6E" w:rsidP="004D7F6E">
            <w:pPr>
              <w:pStyle w:val="af4"/>
              <w:ind w:firstLine="567"/>
              <w:rPr>
                <w:b/>
                <w:color w:val="00B050"/>
                <w:sz w:val="24"/>
                <w:szCs w:val="24"/>
              </w:rPr>
            </w:pPr>
            <w:r w:rsidRPr="004D7F6E">
              <w:rPr>
                <w:b/>
                <w:color w:val="00B050"/>
                <w:sz w:val="24"/>
                <w:szCs w:val="24"/>
              </w:rPr>
              <w:t xml:space="preserve">відомості про </w:t>
            </w:r>
            <w:r w:rsidR="00DB3339">
              <w:rPr>
                <w:b/>
                <w:color w:val="00B050"/>
                <w:sz w:val="24"/>
                <w:szCs w:val="24"/>
              </w:rPr>
              <w:t>суб’єкта</w:t>
            </w:r>
            <w:r w:rsidRPr="004D7F6E">
              <w:rPr>
                <w:b/>
                <w:color w:val="00B050"/>
                <w:sz w:val="24"/>
                <w:szCs w:val="24"/>
              </w:rPr>
              <w:t xml:space="preserve">, що </w:t>
            </w:r>
            <w:r w:rsidR="00DB3339">
              <w:rPr>
                <w:b/>
                <w:color w:val="00B050"/>
                <w:sz w:val="24"/>
                <w:szCs w:val="24"/>
              </w:rPr>
              <w:t xml:space="preserve">володіє або </w:t>
            </w:r>
            <w:r w:rsidRPr="004D7F6E">
              <w:rPr>
                <w:b/>
                <w:color w:val="00B050"/>
                <w:sz w:val="24"/>
                <w:szCs w:val="24"/>
              </w:rPr>
              <w:t>здійснює розпорядження</w:t>
            </w:r>
            <w:r w:rsidR="00DB3339" w:rsidRPr="004D7F6E">
              <w:rPr>
                <w:b/>
                <w:color w:val="00B050"/>
                <w:sz w:val="24"/>
                <w:szCs w:val="24"/>
              </w:rPr>
              <w:t xml:space="preserve"> земельно</w:t>
            </w:r>
            <w:r w:rsidR="00DB3339">
              <w:rPr>
                <w:b/>
                <w:color w:val="00B050"/>
                <w:sz w:val="24"/>
                <w:szCs w:val="24"/>
              </w:rPr>
              <w:t>ю</w:t>
            </w:r>
            <w:r w:rsidR="00DB3339" w:rsidRPr="004D7F6E">
              <w:rPr>
                <w:b/>
                <w:color w:val="00B050"/>
                <w:sz w:val="24"/>
                <w:szCs w:val="24"/>
              </w:rPr>
              <w:t xml:space="preserve"> ділянк</w:t>
            </w:r>
            <w:r w:rsidR="00DB3339">
              <w:rPr>
                <w:b/>
                <w:color w:val="00B050"/>
                <w:sz w:val="24"/>
                <w:szCs w:val="24"/>
              </w:rPr>
              <w:t>ою</w:t>
            </w:r>
            <w:r w:rsidR="00DB3339" w:rsidRPr="004D7F6E">
              <w:rPr>
                <w:b/>
                <w:color w:val="00B050"/>
                <w:sz w:val="24"/>
                <w:szCs w:val="24"/>
              </w:rPr>
              <w:t xml:space="preserve">, </w:t>
            </w:r>
            <w:r w:rsidR="00DB3339">
              <w:rPr>
                <w:b/>
                <w:color w:val="00B050"/>
                <w:sz w:val="24"/>
                <w:szCs w:val="24"/>
              </w:rPr>
              <w:t xml:space="preserve">об’єктом </w:t>
            </w:r>
            <w:r w:rsidR="00DB3339" w:rsidRPr="00BA1FEA">
              <w:rPr>
                <w:b/>
                <w:color w:val="00B050"/>
                <w:kern w:val="24"/>
                <w:sz w:val="24"/>
                <w:szCs w:val="24"/>
                <w:lang w:eastAsia="uk-UA"/>
              </w:rPr>
              <w:t xml:space="preserve">архітектури </w:t>
            </w:r>
            <w:r w:rsidR="00DB3339">
              <w:rPr>
                <w:b/>
                <w:color w:val="00B050"/>
                <w:kern w:val="24"/>
                <w:sz w:val="24"/>
                <w:szCs w:val="24"/>
                <w:lang w:eastAsia="uk-UA"/>
              </w:rPr>
              <w:t xml:space="preserve">або його частиною </w:t>
            </w:r>
            <w:r w:rsidR="00DB3339" w:rsidRPr="00BA1FEA">
              <w:rPr>
                <w:b/>
                <w:color w:val="00B050"/>
                <w:kern w:val="24"/>
                <w:sz w:val="24"/>
                <w:szCs w:val="24"/>
                <w:lang w:eastAsia="uk-UA"/>
              </w:rPr>
              <w:t>(дах, фасад тощо)</w:t>
            </w:r>
            <w:r w:rsidR="00DB3339">
              <w:rPr>
                <w:b/>
                <w:color w:val="00B050"/>
                <w:kern w:val="24"/>
                <w:sz w:val="24"/>
                <w:szCs w:val="24"/>
                <w:lang w:eastAsia="uk-UA"/>
              </w:rPr>
              <w:t xml:space="preserve"> або іншою с</w:t>
            </w:r>
            <w:bookmarkStart w:id="2" w:name="_GoBack"/>
            <w:bookmarkEnd w:id="2"/>
            <w:r w:rsidR="00DB3339">
              <w:rPr>
                <w:b/>
                <w:color w:val="00B050"/>
                <w:kern w:val="24"/>
                <w:sz w:val="24"/>
                <w:szCs w:val="24"/>
                <w:lang w:eastAsia="uk-UA"/>
              </w:rPr>
              <w:t>порудою</w:t>
            </w:r>
            <w:r w:rsidR="00CE3A69">
              <w:rPr>
                <w:b/>
                <w:color w:val="00B050"/>
                <w:kern w:val="24"/>
                <w:sz w:val="24"/>
                <w:szCs w:val="24"/>
                <w:lang w:eastAsia="uk-UA"/>
              </w:rPr>
              <w:t xml:space="preserve"> (</w:t>
            </w:r>
            <w:r w:rsidR="00CE3A69" w:rsidRPr="005359E9">
              <w:rPr>
                <w:b/>
                <w:color w:val="00B050"/>
                <w:kern w:val="24"/>
                <w:sz w:val="24"/>
                <w:szCs w:val="24"/>
                <w:lang w:eastAsia="uk-UA"/>
              </w:rPr>
              <w:t>елемент</w:t>
            </w:r>
            <w:r w:rsidR="00CE3A69">
              <w:rPr>
                <w:b/>
                <w:color w:val="00B050"/>
                <w:kern w:val="24"/>
                <w:sz w:val="24"/>
                <w:szCs w:val="24"/>
                <w:lang w:eastAsia="uk-UA"/>
              </w:rPr>
              <w:t>ом</w:t>
            </w:r>
            <w:r w:rsidR="00CE3A69" w:rsidRPr="005359E9">
              <w:rPr>
                <w:b/>
                <w:color w:val="00B050"/>
                <w:kern w:val="24"/>
                <w:sz w:val="24"/>
                <w:szCs w:val="24"/>
                <w:lang w:eastAsia="uk-UA"/>
              </w:rPr>
              <w:t xml:space="preserve"> інфраструктури</w:t>
            </w:r>
            <w:r w:rsidR="00CE3A69">
              <w:rPr>
                <w:b/>
                <w:color w:val="00B050"/>
                <w:kern w:val="24"/>
                <w:sz w:val="24"/>
                <w:szCs w:val="24"/>
                <w:lang w:eastAsia="uk-UA"/>
              </w:rPr>
              <w:t>)</w:t>
            </w:r>
            <w:r w:rsidR="00DB3339">
              <w:rPr>
                <w:b/>
                <w:color w:val="00B050"/>
                <w:kern w:val="24"/>
                <w:sz w:val="24"/>
                <w:szCs w:val="24"/>
                <w:lang w:eastAsia="uk-UA"/>
              </w:rPr>
              <w:t>, а також підставу виникнення такого права;</w:t>
            </w:r>
          </w:p>
          <w:p w14:paraId="10880FFB" w14:textId="4EEEDC45" w:rsidR="00104748" w:rsidRPr="004D7F6E" w:rsidRDefault="004D7F6E" w:rsidP="006024E2">
            <w:pPr>
              <w:pStyle w:val="af4"/>
              <w:ind w:firstLine="567"/>
              <w:rPr>
                <w:b/>
                <w:color w:val="00B050"/>
                <w:kern w:val="24"/>
                <w:sz w:val="24"/>
                <w:szCs w:val="24"/>
                <w:lang w:eastAsia="uk-UA"/>
              </w:rPr>
            </w:pPr>
            <w:r w:rsidRPr="004D7F6E">
              <w:rPr>
                <w:b/>
                <w:color w:val="00B050"/>
                <w:sz w:val="24"/>
                <w:szCs w:val="24"/>
              </w:rPr>
              <w:t xml:space="preserve">предмет </w:t>
            </w:r>
            <w:r w:rsidR="00E268C7">
              <w:rPr>
                <w:b/>
                <w:color w:val="00B050"/>
                <w:sz w:val="24"/>
                <w:szCs w:val="24"/>
              </w:rPr>
              <w:t xml:space="preserve">наданого права – право користування, розміщення тощо </w:t>
            </w:r>
            <w:r w:rsidR="00E268C7" w:rsidRPr="00E268C7">
              <w:rPr>
                <w:b/>
                <w:color w:val="00B050"/>
                <w:sz w:val="24"/>
                <w:szCs w:val="24"/>
              </w:rPr>
              <w:t>об'єктом архітектури або її частиною (дах, фасад тощо), земельною ділянкою або іншою спорудою</w:t>
            </w:r>
            <w:r w:rsidR="00CE3A69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CE3A69">
              <w:rPr>
                <w:b/>
                <w:color w:val="00B050"/>
                <w:kern w:val="24"/>
                <w:sz w:val="24"/>
                <w:szCs w:val="24"/>
                <w:lang w:eastAsia="uk-UA"/>
              </w:rPr>
              <w:t>(</w:t>
            </w:r>
            <w:r w:rsidR="00CE3A69" w:rsidRPr="005359E9">
              <w:rPr>
                <w:b/>
                <w:color w:val="00B050"/>
                <w:kern w:val="24"/>
                <w:sz w:val="24"/>
                <w:szCs w:val="24"/>
                <w:lang w:eastAsia="uk-UA"/>
              </w:rPr>
              <w:t>елемент</w:t>
            </w:r>
            <w:r w:rsidR="00CE3A69">
              <w:rPr>
                <w:b/>
                <w:color w:val="00B050"/>
                <w:kern w:val="24"/>
                <w:sz w:val="24"/>
                <w:szCs w:val="24"/>
                <w:lang w:eastAsia="uk-UA"/>
              </w:rPr>
              <w:t>ом</w:t>
            </w:r>
            <w:r w:rsidR="00CE3A69" w:rsidRPr="005359E9">
              <w:rPr>
                <w:b/>
                <w:color w:val="00B050"/>
                <w:kern w:val="24"/>
                <w:sz w:val="24"/>
                <w:szCs w:val="24"/>
                <w:lang w:eastAsia="uk-UA"/>
              </w:rPr>
              <w:t xml:space="preserve"> інфраструктури</w:t>
            </w:r>
            <w:r w:rsidR="00CE3A69">
              <w:rPr>
                <w:b/>
                <w:color w:val="00B050"/>
                <w:kern w:val="24"/>
                <w:sz w:val="24"/>
                <w:szCs w:val="24"/>
                <w:lang w:eastAsia="uk-UA"/>
              </w:rPr>
              <w:t>)</w:t>
            </w:r>
            <w:r w:rsidRPr="004D7F6E">
              <w:rPr>
                <w:b/>
                <w:color w:val="00B050"/>
                <w:kern w:val="24"/>
                <w:sz w:val="24"/>
                <w:szCs w:val="24"/>
                <w:lang w:eastAsia="uk-UA"/>
              </w:rPr>
              <w:t xml:space="preserve">; </w:t>
            </w:r>
          </w:p>
          <w:p w14:paraId="4C49F259" w14:textId="77777777" w:rsidR="00104748" w:rsidRDefault="00104748" w:rsidP="00104748">
            <w:pPr>
              <w:pStyle w:val="af4"/>
              <w:ind w:firstLine="567"/>
              <w:rPr>
                <w:color w:val="000000"/>
                <w:kern w:val="24"/>
                <w:sz w:val="24"/>
                <w:szCs w:val="24"/>
                <w:lang w:eastAsia="uk-UA"/>
              </w:rPr>
            </w:pPr>
            <w:r w:rsidRPr="008F1D55">
              <w:rPr>
                <w:color w:val="000000"/>
                <w:kern w:val="24"/>
                <w:sz w:val="24"/>
                <w:szCs w:val="24"/>
                <w:lang w:eastAsia="uk-UA"/>
              </w:rPr>
              <w:t xml:space="preserve">2) копія договору з доступу (у випадку приєднання </w:t>
            </w:r>
            <w:r w:rsidRPr="008F1D55">
              <w:rPr>
                <w:color w:val="000000"/>
                <w:kern w:val="24"/>
                <w:sz w:val="24"/>
                <w:szCs w:val="24"/>
                <w:lang w:eastAsia="uk-UA"/>
              </w:rPr>
              <w:lastRenderedPageBreak/>
              <w:t xml:space="preserve">технічних засобів електронних комунікацій відповідно до Закону України «Про доступ до об’єктів будівництва, транспорту, електроенергетики з метою розвитку </w:t>
            </w:r>
            <w:r w:rsidRPr="008F1D55">
              <w:rPr>
                <w:b/>
                <w:color w:val="000000"/>
                <w:kern w:val="24"/>
                <w:sz w:val="24"/>
                <w:szCs w:val="24"/>
                <w:lang w:eastAsia="uk-UA"/>
              </w:rPr>
              <w:t>електронних комунікаційних</w:t>
            </w:r>
            <w:r w:rsidRPr="008F1D55">
              <w:rPr>
                <w:color w:val="000000"/>
                <w:kern w:val="24"/>
                <w:sz w:val="24"/>
                <w:szCs w:val="24"/>
                <w:lang w:eastAsia="uk-UA"/>
              </w:rPr>
              <w:t xml:space="preserve"> мереж»);</w:t>
            </w:r>
          </w:p>
          <w:p w14:paraId="1FD71513" w14:textId="51340D93" w:rsidR="00104748" w:rsidRPr="00104748" w:rsidRDefault="00104748" w:rsidP="00104748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</w:pPr>
            <w:r w:rsidRPr="0010474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 xml:space="preserve">3) графічні </w:t>
            </w:r>
            <w:r w:rsidRPr="005C60B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 xml:space="preserve">матеріали із зазначенням (вказанням) місця розташування </w:t>
            </w:r>
            <w:r w:rsidR="005C60BF" w:rsidRPr="005C60BF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об'єкта архітектури або її частини (дах, фасад тощо), земельної ділянки або іншої споруди</w:t>
            </w:r>
            <w:r w:rsidR="00CE3A69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 </w:t>
            </w:r>
            <w:r w:rsidR="00CE3A69">
              <w:rPr>
                <w:rFonts w:ascii="Times New Roman" w:eastAsia="Times New Roman" w:hAnsi="Times New Roman" w:cs="Times New Roman"/>
                <w:b/>
                <w:color w:val="00B050"/>
                <w:kern w:val="24"/>
                <w:sz w:val="24"/>
                <w:szCs w:val="24"/>
                <w:lang w:eastAsia="uk-UA"/>
                <w14:ligatures w14:val="none"/>
              </w:rPr>
              <w:t>(</w:t>
            </w:r>
            <w:r w:rsidR="00CE3A69" w:rsidRPr="005359E9">
              <w:rPr>
                <w:rFonts w:ascii="Times New Roman" w:eastAsia="Times New Roman" w:hAnsi="Times New Roman" w:cs="Times New Roman"/>
                <w:b/>
                <w:color w:val="00B050"/>
                <w:kern w:val="24"/>
                <w:sz w:val="24"/>
                <w:szCs w:val="24"/>
                <w:lang w:eastAsia="uk-UA"/>
                <w14:ligatures w14:val="none"/>
              </w:rPr>
              <w:t>елемента інфраструктури</w:t>
            </w:r>
            <w:r w:rsidR="00CE3A69">
              <w:rPr>
                <w:rFonts w:ascii="Times New Roman" w:eastAsia="Times New Roman" w:hAnsi="Times New Roman" w:cs="Times New Roman"/>
                <w:b/>
                <w:color w:val="00B050"/>
                <w:kern w:val="24"/>
                <w:sz w:val="24"/>
                <w:szCs w:val="24"/>
                <w:lang w:eastAsia="uk-UA"/>
                <w14:ligatures w14:val="none"/>
              </w:rPr>
              <w:t>)</w:t>
            </w:r>
            <w:r w:rsidR="005C60BF" w:rsidRPr="005C60B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Pr="005C60B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>та прогнозованої точки приєднання (для об'єктів, що приєднуються до електричних</w:t>
            </w:r>
            <w:r w:rsidRPr="0010474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 xml:space="preserve"> мереж уперше);</w:t>
            </w:r>
          </w:p>
          <w:p w14:paraId="355C833A" w14:textId="68C1C797" w:rsidR="00104748" w:rsidRPr="00E27DB9" w:rsidRDefault="00104748" w:rsidP="00104748">
            <w:pPr>
              <w:spacing w:before="40" w:after="40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</w:pPr>
            <w:r w:rsidRPr="0010474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>4) лист-погодження від власника</w:t>
            </w:r>
            <w:r w:rsidR="00DA399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="00DA399D" w:rsidRPr="00DA399D">
              <w:rPr>
                <w:rFonts w:ascii="Times New Roman" w:eastAsia="Times New Roman" w:hAnsi="Times New Roman" w:cs="Times New Roman"/>
                <w:b/>
                <w:color w:val="00B050"/>
                <w:kern w:val="24"/>
                <w:sz w:val="24"/>
                <w:szCs w:val="24"/>
                <w:lang w:eastAsia="uk-UA"/>
                <w14:ligatures w14:val="none"/>
              </w:rPr>
              <w:t>або управителя</w:t>
            </w:r>
            <w:r w:rsidRPr="00DA399D">
              <w:rPr>
                <w:rFonts w:ascii="Times New Roman" w:eastAsia="Times New Roman" w:hAnsi="Times New Roman" w:cs="Times New Roman"/>
                <w:color w:val="00B050"/>
                <w:kern w:val="24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Pr="0010474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>об'єкта архітектури</w:t>
            </w:r>
            <w:r w:rsidR="00DA399D" w:rsidRPr="005C60BF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 або її частини (дах, фасад тощо), земельної ділянки або іншої споруди</w:t>
            </w:r>
            <w:r w:rsidR="00CE3A69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 </w:t>
            </w:r>
            <w:r w:rsidR="00CE3A69">
              <w:rPr>
                <w:rFonts w:ascii="Times New Roman" w:eastAsia="Times New Roman" w:hAnsi="Times New Roman" w:cs="Times New Roman"/>
                <w:b/>
                <w:color w:val="00B050"/>
                <w:kern w:val="24"/>
                <w:sz w:val="24"/>
                <w:szCs w:val="24"/>
                <w:lang w:eastAsia="uk-UA"/>
                <w14:ligatures w14:val="none"/>
              </w:rPr>
              <w:t>(</w:t>
            </w:r>
            <w:r w:rsidR="00CE3A69" w:rsidRPr="005359E9">
              <w:rPr>
                <w:rFonts w:ascii="Times New Roman" w:eastAsia="Times New Roman" w:hAnsi="Times New Roman" w:cs="Times New Roman"/>
                <w:b/>
                <w:color w:val="00B050"/>
                <w:kern w:val="24"/>
                <w:sz w:val="24"/>
                <w:szCs w:val="24"/>
                <w:lang w:eastAsia="uk-UA"/>
                <w14:ligatures w14:val="none"/>
              </w:rPr>
              <w:t>елемента інфраструктури</w:t>
            </w:r>
            <w:r w:rsidR="00CE3A69">
              <w:rPr>
                <w:rFonts w:ascii="Times New Roman" w:eastAsia="Times New Roman" w:hAnsi="Times New Roman" w:cs="Times New Roman"/>
                <w:b/>
                <w:color w:val="00B050"/>
                <w:kern w:val="24"/>
                <w:sz w:val="24"/>
                <w:szCs w:val="24"/>
                <w:lang w:eastAsia="uk-UA"/>
                <w14:ligatures w14:val="none"/>
              </w:rPr>
              <w:t>)</w:t>
            </w:r>
            <w:r w:rsidRPr="0010474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 xml:space="preserve">, на якому буде здійснено будівництво та експлуатацію фотоелектричної станції, УЗЕ, </w:t>
            </w:r>
            <w:proofErr w:type="spellStart"/>
            <w:r w:rsidRPr="0010474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>електрозарядної</w:t>
            </w:r>
            <w:proofErr w:type="spellEnd"/>
            <w:r w:rsidRPr="0010474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 xml:space="preserve"> станції, технічних засобів електронних комунікацій, щодо надання дозволу на улаштування точки приєднання на межі земельної ділянки</w:t>
            </w:r>
            <w:r w:rsidR="00DA399D" w:rsidRPr="00DA399D">
              <w:rPr>
                <w:rFonts w:ascii="Times New Roman" w:eastAsia="Times New Roman" w:hAnsi="Times New Roman" w:cs="Times New Roman"/>
                <w:b/>
                <w:color w:val="00B050"/>
                <w:kern w:val="24"/>
                <w:sz w:val="24"/>
                <w:szCs w:val="24"/>
                <w:lang w:eastAsia="uk-UA"/>
                <w14:ligatures w14:val="none"/>
              </w:rPr>
              <w:t>, на якому розміщений</w:t>
            </w:r>
            <w:r w:rsidRPr="00DA399D">
              <w:rPr>
                <w:rFonts w:ascii="Times New Roman" w:eastAsia="Times New Roman" w:hAnsi="Times New Roman" w:cs="Times New Roman"/>
                <w:b/>
                <w:color w:val="00B050"/>
                <w:kern w:val="24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Pr="00DA399D">
              <w:rPr>
                <w:rFonts w:ascii="Times New Roman" w:eastAsia="Times New Roman" w:hAnsi="Times New Roman" w:cs="Times New Roman"/>
                <w:strike/>
                <w:color w:val="00B050"/>
                <w:kern w:val="24"/>
                <w:sz w:val="24"/>
                <w:szCs w:val="24"/>
                <w:lang w:eastAsia="uk-UA"/>
                <w14:ligatures w14:val="none"/>
              </w:rPr>
              <w:t>власника</w:t>
            </w:r>
            <w:r w:rsidRPr="0010474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Pr="00DA399D">
              <w:rPr>
                <w:rFonts w:ascii="Times New Roman" w:eastAsia="Times New Roman" w:hAnsi="Times New Roman" w:cs="Times New Roman"/>
                <w:color w:val="00B050"/>
                <w:kern w:val="24"/>
                <w:sz w:val="24"/>
                <w:szCs w:val="24"/>
                <w:lang w:eastAsia="uk-UA"/>
                <w14:ligatures w14:val="none"/>
              </w:rPr>
              <w:t>об'єкт</w:t>
            </w:r>
            <w:r w:rsidRPr="0010474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 xml:space="preserve"> архітектури</w:t>
            </w:r>
            <w:r w:rsidR="00DA399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="00DA399D" w:rsidRPr="00DA399D">
              <w:rPr>
                <w:rFonts w:ascii="Times New Roman" w:eastAsia="Times New Roman" w:hAnsi="Times New Roman" w:cs="Times New Roman"/>
                <w:b/>
                <w:color w:val="00B050"/>
                <w:kern w:val="24"/>
                <w:sz w:val="24"/>
                <w:szCs w:val="24"/>
                <w:lang w:eastAsia="uk-UA"/>
                <w14:ligatures w14:val="none"/>
              </w:rPr>
              <w:t>або інша споруда</w:t>
            </w:r>
            <w:r w:rsidR="00CE3A69">
              <w:rPr>
                <w:rFonts w:ascii="Times New Roman" w:eastAsia="Times New Roman" w:hAnsi="Times New Roman" w:cs="Times New Roman"/>
                <w:b/>
                <w:color w:val="00B050"/>
                <w:kern w:val="24"/>
                <w:sz w:val="24"/>
                <w:szCs w:val="24"/>
                <w:lang w:eastAsia="uk-UA"/>
                <w14:ligatures w14:val="none"/>
              </w:rPr>
              <w:t xml:space="preserve"> (</w:t>
            </w:r>
            <w:r w:rsidR="00CE3A69" w:rsidRPr="005359E9">
              <w:rPr>
                <w:rFonts w:ascii="Times New Roman" w:eastAsia="Times New Roman" w:hAnsi="Times New Roman" w:cs="Times New Roman"/>
                <w:b/>
                <w:color w:val="00B050"/>
                <w:kern w:val="24"/>
                <w:sz w:val="24"/>
                <w:szCs w:val="24"/>
                <w:lang w:eastAsia="uk-UA"/>
                <w14:ligatures w14:val="none"/>
              </w:rPr>
              <w:t>елемент інфраструктури</w:t>
            </w:r>
            <w:r w:rsidR="00CE3A69">
              <w:rPr>
                <w:rFonts w:ascii="Times New Roman" w:eastAsia="Times New Roman" w:hAnsi="Times New Roman" w:cs="Times New Roman"/>
                <w:b/>
                <w:color w:val="00B050"/>
                <w:kern w:val="24"/>
                <w:sz w:val="24"/>
                <w:szCs w:val="24"/>
                <w:lang w:eastAsia="uk-UA"/>
                <w14:ligatures w14:val="none"/>
              </w:rPr>
              <w:t>)</w:t>
            </w:r>
            <w:r w:rsidRPr="0010474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 xml:space="preserve">, на </w:t>
            </w:r>
            <w:r w:rsidRPr="00DA399D">
              <w:rPr>
                <w:rFonts w:ascii="Times New Roman" w:eastAsia="Times New Roman" w:hAnsi="Times New Roman" w:cs="Times New Roman"/>
                <w:b/>
                <w:color w:val="00B050"/>
                <w:kern w:val="24"/>
                <w:sz w:val="24"/>
                <w:szCs w:val="24"/>
                <w:lang w:eastAsia="uk-UA"/>
                <w14:ligatures w14:val="none"/>
              </w:rPr>
              <w:t>як</w:t>
            </w:r>
            <w:r w:rsidR="00DA399D" w:rsidRPr="00DA399D">
              <w:rPr>
                <w:rFonts w:ascii="Times New Roman" w:eastAsia="Times New Roman" w:hAnsi="Times New Roman" w:cs="Times New Roman"/>
                <w:b/>
                <w:color w:val="00B050"/>
                <w:kern w:val="24"/>
                <w:sz w:val="24"/>
                <w:szCs w:val="24"/>
                <w:lang w:eastAsia="uk-UA"/>
                <w14:ligatures w14:val="none"/>
              </w:rPr>
              <w:t>их</w:t>
            </w:r>
            <w:r w:rsidRPr="0010474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 xml:space="preserve"> буде </w:t>
            </w:r>
            <w:r w:rsidRPr="0010474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lastRenderedPageBreak/>
              <w:t xml:space="preserve">розташована </w:t>
            </w:r>
            <w:r w:rsidRPr="00E27DB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 xml:space="preserve">відповідна фотоелектрична станція, УЗЕ, </w:t>
            </w:r>
            <w:proofErr w:type="spellStart"/>
            <w:r w:rsidRPr="00E27DB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>електрозарядна</w:t>
            </w:r>
            <w:proofErr w:type="spellEnd"/>
            <w:r w:rsidRPr="00E27DB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  <w14:ligatures w14:val="none"/>
              </w:rPr>
              <w:t xml:space="preserve"> станція, технічні засоби електронних комунікацій.</w:t>
            </w:r>
          </w:p>
          <w:p w14:paraId="454C2692" w14:textId="62F2032F" w:rsidR="00931518" w:rsidRPr="006024E2" w:rsidRDefault="00104748" w:rsidP="006024E2">
            <w:pPr>
              <w:pStyle w:val="af4"/>
              <w:ind w:firstLine="567"/>
              <w:rPr>
                <w:color w:val="000000"/>
                <w:kern w:val="24"/>
                <w:sz w:val="24"/>
                <w:szCs w:val="24"/>
                <w:lang w:eastAsia="uk-UA"/>
              </w:rPr>
            </w:pPr>
            <w:r w:rsidRPr="00E27DB9">
              <w:rPr>
                <w:color w:val="000000"/>
                <w:kern w:val="24"/>
                <w:sz w:val="24"/>
                <w:szCs w:val="24"/>
                <w:lang w:eastAsia="uk-UA"/>
              </w:rPr>
              <w:t>Точка приєднання фотоелектричної станції/УЗЕ/</w:t>
            </w:r>
            <w:proofErr w:type="spellStart"/>
            <w:r w:rsidRPr="00E27DB9">
              <w:rPr>
                <w:color w:val="000000"/>
                <w:kern w:val="24"/>
                <w:sz w:val="24"/>
                <w:szCs w:val="24"/>
                <w:lang w:eastAsia="uk-UA"/>
              </w:rPr>
              <w:t>електрозарядної</w:t>
            </w:r>
            <w:proofErr w:type="spellEnd"/>
            <w:r w:rsidRPr="00E27DB9">
              <w:rPr>
                <w:color w:val="000000"/>
                <w:kern w:val="24"/>
                <w:sz w:val="24"/>
                <w:szCs w:val="24"/>
                <w:lang w:eastAsia="uk-UA"/>
              </w:rPr>
              <w:t xml:space="preserve"> станції, що розташована на об'єкті архітектури (дах, фасад тощо), технічних засобів електронних комунікацій має бути розташована на межі земельної ділянки власника об'єкта архітектури, на якому буде розташована відповідна фотоелектрична станція</w:t>
            </w:r>
            <w:r w:rsidR="006024E2" w:rsidRPr="00E27DB9">
              <w:rPr>
                <w:color w:val="000000"/>
                <w:kern w:val="24"/>
                <w:sz w:val="24"/>
                <w:szCs w:val="24"/>
                <w:lang w:eastAsia="uk-UA"/>
              </w:rPr>
              <w:t xml:space="preserve"> /</w:t>
            </w:r>
            <w:r w:rsidR="006024E2" w:rsidRPr="00E27DB9">
              <w:rPr>
                <w:b/>
                <w:color w:val="00B050"/>
                <w:kern w:val="24"/>
                <w:sz w:val="24"/>
                <w:szCs w:val="24"/>
                <w:lang w:eastAsia="uk-UA"/>
              </w:rPr>
              <w:t>УЗЕ/</w:t>
            </w:r>
            <w:proofErr w:type="spellStart"/>
            <w:r w:rsidR="006024E2" w:rsidRPr="00E27DB9">
              <w:rPr>
                <w:b/>
                <w:color w:val="00B050"/>
                <w:kern w:val="24"/>
                <w:sz w:val="24"/>
                <w:szCs w:val="24"/>
                <w:lang w:eastAsia="uk-UA"/>
              </w:rPr>
              <w:t>електрозарядна</w:t>
            </w:r>
            <w:proofErr w:type="spellEnd"/>
            <w:r w:rsidR="006024E2" w:rsidRPr="00E27DB9">
              <w:rPr>
                <w:b/>
                <w:color w:val="00B050"/>
                <w:kern w:val="24"/>
                <w:sz w:val="24"/>
                <w:szCs w:val="24"/>
                <w:lang w:eastAsia="uk-UA"/>
              </w:rPr>
              <w:t xml:space="preserve"> станція/</w:t>
            </w:r>
            <w:r w:rsidRPr="00E27DB9">
              <w:rPr>
                <w:color w:val="00B050"/>
                <w:kern w:val="24"/>
                <w:sz w:val="24"/>
                <w:szCs w:val="24"/>
                <w:lang w:eastAsia="uk-UA"/>
              </w:rPr>
              <w:t xml:space="preserve"> </w:t>
            </w:r>
            <w:r w:rsidRPr="00E27DB9">
              <w:rPr>
                <w:color w:val="000000"/>
                <w:kern w:val="24"/>
                <w:sz w:val="24"/>
                <w:szCs w:val="24"/>
                <w:lang w:eastAsia="uk-UA"/>
              </w:rPr>
              <w:t>технічні засоби електронних комунікацій</w:t>
            </w:r>
            <w:r w:rsidRPr="00104748">
              <w:rPr>
                <w:color w:val="000000"/>
                <w:kern w:val="24"/>
                <w:sz w:val="24"/>
                <w:szCs w:val="24"/>
                <w:lang w:eastAsia="uk-UA"/>
              </w:rPr>
              <w:t>.</w:t>
            </w:r>
          </w:p>
        </w:tc>
      </w:tr>
    </w:tbl>
    <w:p w14:paraId="0331DDAC" w14:textId="77777777" w:rsidR="00EF2337" w:rsidRPr="0063623A" w:rsidRDefault="00EF2337" w:rsidP="0063623A">
      <w:pPr>
        <w:rPr>
          <w:kern w:val="24"/>
        </w:rPr>
      </w:pPr>
    </w:p>
    <w:sectPr w:rsidR="00EF2337" w:rsidRPr="0063623A" w:rsidSect="00E136CA">
      <w:headerReference w:type="default" r:id="rId7"/>
      <w:pgSz w:w="16838" w:h="11906" w:orient="landscape"/>
      <w:pgMar w:top="851" w:right="850" w:bottom="426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A18F4E" w14:textId="77777777" w:rsidR="00526971" w:rsidRDefault="00526971" w:rsidP="00526971">
      <w:pPr>
        <w:spacing w:after="0" w:line="240" w:lineRule="auto"/>
      </w:pPr>
      <w:r>
        <w:separator/>
      </w:r>
    </w:p>
  </w:endnote>
  <w:endnote w:type="continuationSeparator" w:id="0">
    <w:p w14:paraId="1EFFBDF1" w14:textId="77777777" w:rsidR="00526971" w:rsidRDefault="00526971" w:rsidP="00526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D945CC" w14:textId="77777777" w:rsidR="00526971" w:rsidRDefault="00526971" w:rsidP="00526971">
      <w:pPr>
        <w:spacing w:after="0" w:line="240" w:lineRule="auto"/>
      </w:pPr>
      <w:r>
        <w:separator/>
      </w:r>
    </w:p>
  </w:footnote>
  <w:footnote w:type="continuationSeparator" w:id="0">
    <w:p w14:paraId="71DC6725" w14:textId="77777777" w:rsidR="00526971" w:rsidRDefault="00526971" w:rsidP="005269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51792629"/>
      <w:docPartObj>
        <w:docPartGallery w:val="Page Numbers (Top of Page)"/>
        <w:docPartUnique/>
      </w:docPartObj>
    </w:sdtPr>
    <w:sdtEndPr/>
    <w:sdtContent>
      <w:p w14:paraId="76699D17" w14:textId="360575B9" w:rsidR="00526971" w:rsidRDefault="00526971" w:rsidP="00526971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3F5C"/>
    <w:rsid w:val="00037767"/>
    <w:rsid w:val="000462F2"/>
    <w:rsid w:val="000B68A8"/>
    <w:rsid w:val="000C1DC8"/>
    <w:rsid w:val="000D1B75"/>
    <w:rsid w:val="00104748"/>
    <w:rsid w:val="00120791"/>
    <w:rsid w:val="00152CE6"/>
    <w:rsid w:val="001A2506"/>
    <w:rsid w:val="001B3535"/>
    <w:rsid w:val="001C2D21"/>
    <w:rsid w:val="00233F5C"/>
    <w:rsid w:val="0023636B"/>
    <w:rsid w:val="0024600F"/>
    <w:rsid w:val="00253145"/>
    <w:rsid w:val="00270DE2"/>
    <w:rsid w:val="002773F0"/>
    <w:rsid w:val="00293CB6"/>
    <w:rsid w:val="00313FB4"/>
    <w:rsid w:val="00324D84"/>
    <w:rsid w:val="0039789C"/>
    <w:rsid w:val="003C0DF7"/>
    <w:rsid w:val="003C6CBD"/>
    <w:rsid w:val="003D298E"/>
    <w:rsid w:val="00404734"/>
    <w:rsid w:val="004110F6"/>
    <w:rsid w:val="00433B65"/>
    <w:rsid w:val="00481C5E"/>
    <w:rsid w:val="0049736B"/>
    <w:rsid w:val="004D7F6E"/>
    <w:rsid w:val="00526971"/>
    <w:rsid w:val="005359E9"/>
    <w:rsid w:val="005C35A0"/>
    <w:rsid w:val="005C60BF"/>
    <w:rsid w:val="005E7D85"/>
    <w:rsid w:val="005F76BB"/>
    <w:rsid w:val="006024E2"/>
    <w:rsid w:val="00626B05"/>
    <w:rsid w:val="0063623A"/>
    <w:rsid w:val="006C0FAD"/>
    <w:rsid w:val="006E778D"/>
    <w:rsid w:val="00702255"/>
    <w:rsid w:val="0071279E"/>
    <w:rsid w:val="00713A9F"/>
    <w:rsid w:val="00737399"/>
    <w:rsid w:val="00746DD0"/>
    <w:rsid w:val="007706EE"/>
    <w:rsid w:val="007B4546"/>
    <w:rsid w:val="007B74A6"/>
    <w:rsid w:val="007C5F04"/>
    <w:rsid w:val="008047BA"/>
    <w:rsid w:val="008153E6"/>
    <w:rsid w:val="0086235F"/>
    <w:rsid w:val="00892620"/>
    <w:rsid w:val="00892C84"/>
    <w:rsid w:val="008B4480"/>
    <w:rsid w:val="008F1D55"/>
    <w:rsid w:val="00914EED"/>
    <w:rsid w:val="00931518"/>
    <w:rsid w:val="00941B1A"/>
    <w:rsid w:val="00981609"/>
    <w:rsid w:val="009E0F4A"/>
    <w:rsid w:val="009E5A3A"/>
    <w:rsid w:val="00A36F11"/>
    <w:rsid w:val="00A72121"/>
    <w:rsid w:val="00AC73EB"/>
    <w:rsid w:val="00AF1FBC"/>
    <w:rsid w:val="00B25BE6"/>
    <w:rsid w:val="00B345E5"/>
    <w:rsid w:val="00B36423"/>
    <w:rsid w:val="00B754FB"/>
    <w:rsid w:val="00BA1F37"/>
    <w:rsid w:val="00BA1FEA"/>
    <w:rsid w:val="00BC1C60"/>
    <w:rsid w:val="00C112B4"/>
    <w:rsid w:val="00C12691"/>
    <w:rsid w:val="00C21A9D"/>
    <w:rsid w:val="00C71373"/>
    <w:rsid w:val="00C747C9"/>
    <w:rsid w:val="00CE3A69"/>
    <w:rsid w:val="00D214A9"/>
    <w:rsid w:val="00D35E5B"/>
    <w:rsid w:val="00D45EA9"/>
    <w:rsid w:val="00DA399D"/>
    <w:rsid w:val="00DB3339"/>
    <w:rsid w:val="00E136CA"/>
    <w:rsid w:val="00E268C7"/>
    <w:rsid w:val="00E27DB9"/>
    <w:rsid w:val="00E90B85"/>
    <w:rsid w:val="00EB6010"/>
    <w:rsid w:val="00EE66A2"/>
    <w:rsid w:val="00EF1699"/>
    <w:rsid w:val="00EF2337"/>
    <w:rsid w:val="00EF57DA"/>
    <w:rsid w:val="00F20D32"/>
    <w:rsid w:val="00FC4589"/>
    <w:rsid w:val="00FD1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ED50E"/>
  <w15:chartTrackingRefBased/>
  <w15:docId w15:val="{3457FAE5-869E-4D25-9300-4F7E0DF4E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3F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33F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3F5C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33F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33F5C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3F5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33F5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33F5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33F5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3F5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33F5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33F5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33F5C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33F5C"/>
    <w:rPr>
      <w:rFonts w:eastAsiaTheme="majorEastAsia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33F5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33F5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33F5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33F5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33F5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233F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33F5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233F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33F5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233F5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33F5C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233F5C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233F5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233F5C"/>
    <w:rPr>
      <w:i/>
      <w:iCs/>
      <w:color w:val="2E74B5" w:themeColor="accent1" w:themeShade="BF"/>
    </w:rPr>
  </w:style>
  <w:style w:type="character" w:styleId="ad">
    <w:name w:val="Intense Reference"/>
    <w:basedOn w:val="a0"/>
    <w:uiPriority w:val="32"/>
    <w:qFormat/>
    <w:rsid w:val="00233F5C"/>
    <w:rPr>
      <w:b/>
      <w:bCs/>
      <w:smallCaps/>
      <w:color w:val="2E74B5" w:themeColor="accent1" w:themeShade="BF"/>
      <w:spacing w:val="5"/>
    </w:rPr>
  </w:style>
  <w:style w:type="table" w:styleId="ae">
    <w:name w:val="Table Grid"/>
    <w:basedOn w:val="a1"/>
    <w:uiPriority w:val="39"/>
    <w:rsid w:val="00233F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j">
    <w:name w:val="tj"/>
    <w:basedOn w:val="a"/>
    <w:rsid w:val="00233F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character" w:styleId="af">
    <w:name w:val="Hyperlink"/>
    <w:basedOn w:val="a0"/>
    <w:uiPriority w:val="99"/>
    <w:semiHidden/>
    <w:unhideWhenUsed/>
    <w:rsid w:val="00233F5C"/>
    <w:rPr>
      <w:color w:val="0000FF"/>
      <w:u w:val="single"/>
    </w:rPr>
  </w:style>
  <w:style w:type="paragraph" w:styleId="af0">
    <w:name w:val="header"/>
    <w:basedOn w:val="a"/>
    <w:link w:val="af1"/>
    <w:uiPriority w:val="99"/>
    <w:unhideWhenUsed/>
    <w:rsid w:val="00526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ій колонтитул Знак"/>
    <w:basedOn w:val="a0"/>
    <w:link w:val="af0"/>
    <w:uiPriority w:val="99"/>
    <w:rsid w:val="00526971"/>
  </w:style>
  <w:style w:type="paragraph" w:styleId="af2">
    <w:name w:val="footer"/>
    <w:basedOn w:val="a"/>
    <w:link w:val="af3"/>
    <w:uiPriority w:val="99"/>
    <w:unhideWhenUsed/>
    <w:rsid w:val="00526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ій колонтитул Знак"/>
    <w:basedOn w:val="a0"/>
    <w:link w:val="af2"/>
    <w:uiPriority w:val="99"/>
    <w:rsid w:val="00526971"/>
  </w:style>
  <w:style w:type="character" w:customStyle="1" w:styleId="fontstyle01">
    <w:name w:val="fontstyle01"/>
    <w:basedOn w:val="a0"/>
    <w:rsid w:val="00AF1FBC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AF1FBC"/>
    <w:rPr>
      <w:rFonts w:ascii="TimesNewRomanPS-BoldMT" w:hAnsi="TimesNewRomanPS-BoldMT" w:hint="default"/>
      <w:b/>
      <w:bCs/>
      <w:i w:val="0"/>
      <w:iCs w:val="0"/>
      <w:color w:val="000000"/>
      <w:sz w:val="20"/>
      <w:szCs w:val="20"/>
    </w:rPr>
  </w:style>
  <w:style w:type="paragraph" w:styleId="af4">
    <w:name w:val="Body Text Indent"/>
    <w:basedOn w:val="a"/>
    <w:link w:val="af5"/>
    <w:unhideWhenUsed/>
    <w:rsid w:val="00931518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character" w:customStyle="1" w:styleId="af5">
    <w:name w:val="Основний текст з відступом Знак"/>
    <w:basedOn w:val="a0"/>
    <w:link w:val="af4"/>
    <w:rsid w:val="00931518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5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3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56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8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7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89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6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4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13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5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9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3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0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7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1343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97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8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1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0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14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398A38-F2AD-4845-BDD6-085641358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1515</TotalTime>
  <Pages>13</Pages>
  <Words>3071</Words>
  <Characters>17509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Сергій Волков</dc:creator>
  <cp:keywords/>
  <dc:description/>
  <cp:lastModifiedBy>Сергій Волков</cp:lastModifiedBy>
  <cp:revision>56</cp:revision>
  <cp:lastPrinted>2025-11-11T07:15:00Z</cp:lastPrinted>
  <dcterms:created xsi:type="dcterms:W3CDTF">2025-11-03T07:25:00Z</dcterms:created>
  <dcterms:modified xsi:type="dcterms:W3CDTF">2025-12-08T12:43:00Z</dcterms:modified>
</cp:coreProperties>
</file>