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DBB635" w14:textId="77777777" w:rsidR="0018455A" w:rsidRPr="00C27A60" w:rsidRDefault="0018455A" w:rsidP="0018455A">
      <w:pPr>
        <w:jc w:val="center"/>
        <w:rPr>
          <w:b/>
          <w:bCs/>
          <w:sz w:val="24"/>
          <w:szCs w:val="24"/>
        </w:rPr>
      </w:pPr>
      <w:r w:rsidRPr="00C27A60">
        <w:rPr>
          <w:b/>
          <w:bCs/>
          <w:sz w:val="24"/>
          <w:szCs w:val="24"/>
        </w:rPr>
        <w:t>УЗАГАЛЬНЕНІ ЗАУВАЖЕННЯ</w:t>
      </w:r>
    </w:p>
    <w:p w14:paraId="28E9D863" w14:textId="6A4EE299" w:rsidR="007B4965" w:rsidRPr="00C27A60" w:rsidRDefault="0018455A" w:rsidP="0018455A">
      <w:pPr>
        <w:jc w:val="center"/>
        <w:rPr>
          <w:b/>
          <w:bCs/>
          <w:sz w:val="24"/>
          <w:szCs w:val="24"/>
        </w:rPr>
      </w:pPr>
      <w:r w:rsidRPr="00C27A60">
        <w:rPr>
          <w:b/>
          <w:bCs/>
          <w:sz w:val="24"/>
          <w:szCs w:val="24"/>
        </w:rPr>
        <w:t>та пропозиції до проєкту рішення НКРЕКП, що має ознаки регуляторного акта, – постанови НКРЕКП «</w:t>
      </w:r>
      <w:r w:rsidR="00FC32FE" w:rsidRPr="00C27A60">
        <w:rPr>
          <w:b/>
          <w:bCs/>
          <w:sz w:val="24"/>
          <w:szCs w:val="24"/>
        </w:rPr>
        <w:t>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C27A60">
        <w:rPr>
          <w:b/>
          <w:bCs/>
          <w:sz w:val="24"/>
          <w:szCs w:val="24"/>
        </w:rPr>
        <w:t>»</w:t>
      </w:r>
    </w:p>
    <w:p w14:paraId="2E1F0C3B" w14:textId="77777777" w:rsidR="004A2B24" w:rsidRPr="00C27A60" w:rsidRDefault="004A2B24" w:rsidP="0018455A">
      <w:pPr>
        <w:jc w:val="center"/>
        <w:rPr>
          <w:b/>
          <w:bCs/>
          <w:sz w:val="24"/>
          <w:szCs w:val="24"/>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39"/>
        <w:gridCol w:w="5812"/>
        <w:gridCol w:w="3546"/>
      </w:tblGrid>
      <w:tr w:rsidR="00C27A60" w:rsidRPr="00C27A60" w14:paraId="7A54F7F4" w14:textId="77777777" w:rsidTr="008D1DC5">
        <w:trPr>
          <w:trHeight w:val="595"/>
        </w:trPr>
        <w:tc>
          <w:tcPr>
            <w:tcW w:w="5839" w:type="dxa"/>
            <w:vAlign w:val="center"/>
          </w:tcPr>
          <w:p w14:paraId="78250B19" w14:textId="77777777" w:rsidR="0018455A" w:rsidRPr="00C27A60" w:rsidRDefault="0018455A" w:rsidP="0018455A">
            <w:pPr>
              <w:jc w:val="center"/>
              <w:rPr>
                <w:b/>
                <w:sz w:val="22"/>
                <w:szCs w:val="22"/>
              </w:rPr>
            </w:pPr>
            <w:r w:rsidRPr="00C27A60">
              <w:rPr>
                <w:b/>
                <w:sz w:val="22"/>
                <w:szCs w:val="22"/>
              </w:rPr>
              <w:t>Редакція проєкту рішення НКРЕКП</w:t>
            </w:r>
          </w:p>
        </w:tc>
        <w:tc>
          <w:tcPr>
            <w:tcW w:w="5812" w:type="dxa"/>
            <w:vAlign w:val="center"/>
          </w:tcPr>
          <w:p w14:paraId="4027ABDA" w14:textId="77777777" w:rsidR="0018455A" w:rsidRPr="00C27A60" w:rsidRDefault="0018455A" w:rsidP="0018455A">
            <w:pPr>
              <w:jc w:val="center"/>
              <w:rPr>
                <w:b/>
                <w:sz w:val="22"/>
                <w:szCs w:val="22"/>
              </w:rPr>
            </w:pPr>
            <w:r w:rsidRPr="00C27A60">
              <w:rPr>
                <w:b/>
                <w:sz w:val="22"/>
                <w:szCs w:val="22"/>
              </w:rPr>
              <w:t>Зауваження та пропозиції до проєкту рішення НКРЕКП</w:t>
            </w:r>
          </w:p>
        </w:tc>
        <w:tc>
          <w:tcPr>
            <w:tcW w:w="3546" w:type="dxa"/>
            <w:vAlign w:val="center"/>
          </w:tcPr>
          <w:p w14:paraId="4CF8A814" w14:textId="77777777" w:rsidR="0018455A" w:rsidRPr="00C27A60" w:rsidRDefault="0018455A" w:rsidP="0018455A">
            <w:pPr>
              <w:jc w:val="center"/>
              <w:rPr>
                <w:b/>
                <w:sz w:val="22"/>
                <w:szCs w:val="22"/>
              </w:rPr>
            </w:pPr>
            <w:r w:rsidRPr="00C27A60">
              <w:rPr>
                <w:b/>
                <w:sz w:val="22"/>
                <w:szCs w:val="22"/>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C27A60" w:rsidRPr="00C27A60" w14:paraId="65106087" w14:textId="77777777" w:rsidTr="00FC32FE">
        <w:trPr>
          <w:trHeight w:val="595"/>
        </w:trPr>
        <w:tc>
          <w:tcPr>
            <w:tcW w:w="15197" w:type="dxa"/>
            <w:gridSpan w:val="3"/>
            <w:shd w:val="clear" w:color="auto" w:fill="BDD6EE" w:themeFill="accent1" w:themeFillTint="66"/>
            <w:vAlign w:val="center"/>
          </w:tcPr>
          <w:p w14:paraId="129FFA29" w14:textId="77777777" w:rsidR="009504CE" w:rsidRPr="00C27A60" w:rsidRDefault="009504CE" w:rsidP="009504CE">
            <w:pPr>
              <w:jc w:val="center"/>
              <w:rPr>
                <w:b/>
                <w:sz w:val="22"/>
                <w:szCs w:val="22"/>
              </w:rPr>
            </w:pPr>
            <w:r w:rsidRPr="00C27A60">
              <w:rPr>
                <w:b/>
                <w:sz w:val="22"/>
                <w:szCs w:val="22"/>
              </w:rPr>
              <w:t>Додаток 24</w:t>
            </w:r>
          </w:p>
          <w:p w14:paraId="44394B73" w14:textId="1E4CBB02" w:rsidR="009504CE" w:rsidRPr="00C27A60" w:rsidRDefault="009504CE" w:rsidP="009504CE">
            <w:pPr>
              <w:jc w:val="center"/>
              <w:rPr>
                <w:b/>
                <w:sz w:val="22"/>
                <w:szCs w:val="22"/>
              </w:rPr>
            </w:pPr>
            <w:r w:rsidRPr="00C27A60">
              <w:rPr>
                <w:b/>
                <w:sz w:val="22"/>
                <w:szCs w:val="22"/>
              </w:rPr>
              <w:t>Методика визначення сум надлишково отриманого або недоотриманого доходу від здійснення ліцензованої діяльності з розподілу електричної енергії</w:t>
            </w:r>
          </w:p>
        </w:tc>
      </w:tr>
      <w:tr w:rsidR="00C27A60" w:rsidRPr="00C27A60" w14:paraId="0A5FBC5A" w14:textId="77777777" w:rsidTr="008D1DC5">
        <w:trPr>
          <w:trHeight w:val="595"/>
        </w:trPr>
        <w:tc>
          <w:tcPr>
            <w:tcW w:w="5839" w:type="dxa"/>
            <w:shd w:val="clear" w:color="auto" w:fill="auto"/>
          </w:tcPr>
          <w:p w14:paraId="2E60FF34" w14:textId="77777777" w:rsidR="006A54E9" w:rsidRPr="00C27A60" w:rsidRDefault="006A54E9" w:rsidP="006A54E9">
            <w:pPr>
              <w:ind w:firstLine="308"/>
              <w:jc w:val="both"/>
              <w:rPr>
                <w:sz w:val="22"/>
                <w:szCs w:val="22"/>
                <w:shd w:val="clear" w:color="auto" w:fill="FFFFFF"/>
              </w:rPr>
            </w:pPr>
          </w:p>
          <w:p w14:paraId="5A2B4987" w14:textId="77777777" w:rsidR="006A54E9" w:rsidRPr="00C27A60" w:rsidRDefault="006A54E9" w:rsidP="006A54E9">
            <w:pPr>
              <w:ind w:firstLine="308"/>
              <w:jc w:val="both"/>
              <w:rPr>
                <w:sz w:val="22"/>
                <w:szCs w:val="22"/>
                <w:shd w:val="clear" w:color="auto" w:fill="FFFFFF"/>
              </w:rPr>
            </w:pPr>
            <w:r w:rsidRPr="00C27A60">
              <w:rPr>
                <w:sz w:val="22"/>
                <w:szCs w:val="22"/>
                <w:shd w:val="clear" w:color="auto" w:fill="FFFFFF"/>
              </w:rPr>
              <w:t>&lt;…&gt;</w:t>
            </w:r>
          </w:p>
          <w:p w14:paraId="49B09F80" w14:textId="77777777" w:rsidR="006A54E9" w:rsidRPr="00C27A60" w:rsidRDefault="006A54E9" w:rsidP="006A54E9">
            <w:pPr>
              <w:ind w:firstLine="308"/>
              <w:jc w:val="both"/>
              <w:rPr>
                <w:sz w:val="22"/>
                <w:szCs w:val="22"/>
                <w:shd w:val="clear" w:color="auto" w:fill="FFFFFF"/>
              </w:rPr>
            </w:pPr>
          </w:p>
          <w:p w14:paraId="17E3DB14" w14:textId="77777777" w:rsidR="006A54E9" w:rsidRPr="00C27A60" w:rsidRDefault="006A54E9" w:rsidP="006A54E9">
            <w:pPr>
              <w:ind w:firstLine="308"/>
              <w:jc w:val="both"/>
              <w:rPr>
                <w:sz w:val="22"/>
                <w:szCs w:val="22"/>
                <w:shd w:val="clear" w:color="auto" w:fill="FFFFFF"/>
              </w:rPr>
            </w:pPr>
            <w:r w:rsidRPr="00C27A60">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1B583F1F" w14:textId="77777777" w:rsidR="006A54E9" w:rsidRPr="00C27A60" w:rsidRDefault="006A54E9" w:rsidP="006A54E9">
            <w:pPr>
              <w:ind w:firstLine="308"/>
              <w:jc w:val="both"/>
              <w:rPr>
                <w:sz w:val="22"/>
                <w:szCs w:val="22"/>
                <w:shd w:val="clear" w:color="auto" w:fill="FFFFFF"/>
              </w:rPr>
            </w:pPr>
          </w:p>
          <w:p w14:paraId="237A4C39" w14:textId="77777777" w:rsidR="006A54E9" w:rsidRPr="00C27A60" w:rsidRDefault="006A54E9" w:rsidP="006A54E9">
            <w:pPr>
              <w:ind w:firstLine="308"/>
              <w:jc w:val="both"/>
              <w:rPr>
                <w:sz w:val="22"/>
                <w:szCs w:val="22"/>
                <w:shd w:val="clear" w:color="auto" w:fill="FFFFFF"/>
              </w:rPr>
            </w:pPr>
            <w:r w:rsidRPr="00C27A60">
              <w:rPr>
                <w:sz w:val="22"/>
                <w:szCs w:val="22"/>
                <w:shd w:val="clear" w:color="auto" w:fill="FFFFFF"/>
              </w:rPr>
              <w:t>&lt;…&gt;</w:t>
            </w:r>
          </w:p>
          <w:p w14:paraId="182128C2" w14:textId="77777777" w:rsidR="008148BA" w:rsidRPr="00C27A60" w:rsidRDefault="008148BA" w:rsidP="008148BA">
            <w:pPr>
              <w:spacing w:after="160" w:line="259" w:lineRule="auto"/>
              <w:ind w:firstLine="308"/>
              <w:jc w:val="both"/>
              <w:rPr>
                <w:rFonts w:eastAsia="Calibri"/>
                <w:sz w:val="22"/>
                <w:szCs w:val="22"/>
                <w:shd w:val="clear" w:color="auto" w:fill="FFFFFF"/>
                <w:lang w:eastAsia="en-US"/>
              </w:rPr>
            </w:pPr>
          </w:p>
          <w:p w14:paraId="4B255D3D"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22) дохід від економії технологічних витрат електричної енергії (Д</w:t>
            </w:r>
            <w:r w:rsidRPr="00C27A60">
              <w:rPr>
                <w:rFonts w:eastAsia="Calibri" w:cs="Arial"/>
                <w:sz w:val="22"/>
                <w:szCs w:val="22"/>
                <w:vertAlign w:val="subscript"/>
                <w:lang w:eastAsia="en-US"/>
              </w:rPr>
              <w:t>ТВЕ</w:t>
            </w:r>
            <w:r w:rsidRPr="00C27A60">
              <w:rPr>
                <w:rFonts w:eastAsia="Calibri" w:cs="Arial"/>
                <w:sz w:val="22"/>
                <w:szCs w:val="22"/>
                <w:lang w:eastAsia="en-US"/>
              </w:rPr>
              <w:t>) за підсумками звітного року, що розраховується за формулою</w:t>
            </w:r>
          </w:p>
          <w:tbl>
            <w:tblPr>
              <w:tblW w:w="0" w:type="auto"/>
              <w:tblLayout w:type="fixed"/>
              <w:tblLook w:val="04A0" w:firstRow="1" w:lastRow="0" w:firstColumn="1" w:lastColumn="0" w:noHBand="0" w:noVBand="1"/>
            </w:tblPr>
            <w:tblGrid>
              <w:gridCol w:w="3652"/>
              <w:gridCol w:w="1966"/>
            </w:tblGrid>
            <w:tr w:rsidR="00C27A60" w:rsidRPr="00C27A60" w14:paraId="43BA4ACE" w14:textId="77777777" w:rsidTr="008148BA">
              <w:trPr>
                <w:trHeight w:val="30"/>
              </w:trPr>
              <w:tc>
                <w:tcPr>
                  <w:tcW w:w="3652" w:type="dxa"/>
                  <w:vAlign w:val="center"/>
                  <w:hideMark/>
                </w:tcPr>
                <w:p w14:paraId="7376C0ED"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ascii="Calibri" w:eastAsia="Calibri" w:hAnsi="Calibri" w:cs="Arial"/>
                      <w:noProof/>
                      <w:sz w:val="22"/>
                      <w:szCs w:val="22"/>
                      <w:lang w:eastAsia="en-US"/>
                    </w:rPr>
                    <w:drawing>
                      <wp:inline distT="0" distB="0" distL="0" distR="0" wp14:anchorId="1E0B4D20" wp14:editId="391CF426">
                        <wp:extent cx="2162175" cy="409575"/>
                        <wp:effectExtent l="0" t="0" r="9525"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409575"/>
                                </a:xfrm>
                                <a:prstGeom prst="rect">
                                  <a:avLst/>
                                </a:prstGeom>
                                <a:noFill/>
                                <a:ln>
                                  <a:noFill/>
                                </a:ln>
                              </pic:spPr>
                            </pic:pic>
                          </a:graphicData>
                        </a:graphic>
                      </wp:inline>
                    </w:drawing>
                  </w:r>
                </w:p>
              </w:tc>
              <w:tc>
                <w:tcPr>
                  <w:tcW w:w="1966" w:type="dxa"/>
                  <w:vAlign w:val="center"/>
                  <w:hideMark/>
                </w:tcPr>
                <w:p w14:paraId="2DD44726"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eastAsia="Calibri" w:cs="Arial"/>
                      <w:sz w:val="22"/>
                      <w:szCs w:val="22"/>
                      <w:lang w:eastAsia="en-US"/>
                    </w:rPr>
                    <w:t>,</w:t>
                  </w:r>
                </w:p>
              </w:tc>
            </w:tr>
          </w:tbl>
          <w:p w14:paraId="5CD49E0C"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де і - місяць;</w:t>
            </w:r>
          </w:p>
          <w:p w14:paraId="63C00AB3"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n - кількість місяців;</w:t>
            </w:r>
          </w:p>
          <w:p w14:paraId="596754C9"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Д</w:t>
            </w:r>
            <w:r w:rsidRPr="00C27A60">
              <w:rPr>
                <w:rFonts w:eastAsia="Calibri" w:cs="Arial"/>
                <w:sz w:val="22"/>
                <w:szCs w:val="22"/>
                <w:vertAlign w:val="subscript"/>
                <w:lang w:eastAsia="en-US"/>
              </w:rPr>
              <w:t>ТВЕ</w:t>
            </w:r>
            <w:r w:rsidRPr="00C27A60">
              <w:rPr>
                <w:rFonts w:eastAsia="Calibri" w:cs="Arial"/>
                <w:sz w:val="22"/>
                <w:szCs w:val="22"/>
                <w:lang w:eastAsia="en-US"/>
              </w:rPr>
              <w:t xml:space="preserve"> - нормативно-фактична вартість технологічних витрат електричної енергії, розрахованих за фактичним балансом електричної енергії та економічними коефіцієнтами прогнозованих технологічних витрат електричної енергії в і-му місяці звітного року, тис. грн;</w:t>
            </w:r>
          </w:p>
          <w:p w14:paraId="6C2C821A"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lastRenderedPageBreak/>
              <w:t>Д</w:t>
            </w:r>
            <w:r w:rsidRPr="00C27A60">
              <w:rPr>
                <w:rFonts w:eastAsia="Calibri" w:cs="Arial"/>
                <w:sz w:val="22"/>
                <w:szCs w:val="22"/>
                <w:vertAlign w:val="subscript"/>
                <w:lang w:eastAsia="en-US"/>
              </w:rPr>
              <w:t>ТВЕ ф і</w:t>
            </w:r>
            <w:r w:rsidRPr="00C27A60">
              <w:rPr>
                <w:rFonts w:eastAsia="Calibri" w:cs="Arial"/>
                <w:sz w:val="22"/>
                <w:szCs w:val="22"/>
                <w:lang w:eastAsia="en-US"/>
              </w:rPr>
              <w:t xml:space="preserve"> - фактична вартість технологічних витрат електричної енергії на її розподіл в і-му місяці звітного року, тис. грн.</w:t>
            </w:r>
          </w:p>
          <w:p w14:paraId="02880C8C"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До впровадження нового ринку електричної енергії (до 01 липня 2019 року) Д</w:t>
            </w:r>
            <w:r w:rsidRPr="00C27A60">
              <w:rPr>
                <w:rFonts w:eastAsia="Calibri" w:cs="Arial"/>
                <w:sz w:val="22"/>
                <w:szCs w:val="22"/>
                <w:vertAlign w:val="subscript"/>
                <w:lang w:eastAsia="en-US"/>
              </w:rPr>
              <w:t xml:space="preserve">ТВЕ </w:t>
            </w:r>
            <w:proofErr w:type="spellStart"/>
            <w:r w:rsidRPr="00C27A60">
              <w:rPr>
                <w:rFonts w:eastAsia="Calibri" w:cs="Arial"/>
                <w:sz w:val="22"/>
                <w:szCs w:val="22"/>
                <w:vertAlign w:val="subscript"/>
                <w:lang w:eastAsia="en-US"/>
              </w:rPr>
              <w:t>нф</w:t>
            </w:r>
            <w:proofErr w:type="spellEnd"/>
            <w:r w:rsidRPr="00C27A60">
              <w:rPr>
                <w:rFonts w:eastAsia="Calibri" w:cs="Arial"/>
                <w:sz w:val="22"/>
                <w:szCs w:val="22"/>
                <w:vertAlign w:val="subscript"/>
                <w:lang w:eastAsia="en-US"/>
              </w:rPr>
              <w:t xml:space="preserve"> і</w:t>
            </w:r>
            <w:r w:rsidRPr="00C27A60">
              <w:rPr>
                <w:rFonts w:eastAsia="Calibri" w:cs="Arial"/>
                <w:sz w:val="22"/>
                <w:szCs w:val="22"/>
                <w:lang w:eastAsia="en-US"/>
              </w:rPr>
              <w:t xml:space="preserve"> розраховується за формулою</w:t>
            </w:r>
          </w:p>
          <w:tbl>
            <w:tblPr>
              <w:tblW w:w="5647" w:type="dxa"/>
              <w:tblLayout w:type="fixed"/>
              <w:tblLook w:val="04A0" w:firstRow="1" w:lastRow="0" w:firstColumn="1" w:lastColumn="0" w:noHBand="0" w:noVBand="1"/>
            </w:tblPr>
            <w:tblGrid>
              <w:gridCol w:w="3929"/>
              <w:gridCol w:w="1718"/>
            </w:tblGrid>
            <w:tr w:rsidR="00C27A60" w:rsidRPr="00C27A60" w14:paraId="505DBD24" w14:textId="77777777" w:rsidTr="008148BA">
              <w:trPr>
                <w:trHeight w:val="11"/>
              </w:trPr>
              <w:tc>
                <w:tcPr>
                  <w:tcW w:w="3929" w:type="dxa"/>
                  <w:vAlign w:val="center"/>
                  <w:hideMark/>
                </w:tcPr>
                <w:p w14:paraId="3855F5F5"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ascii="Calibri" w:eastAsia="Calibri" w:hAnsi="Calibri" w:cs="Arial"/>
                      <w:noProof/>
                      <w:sz w:val="22"/>
                      <w:szCs w:val="22"/>
                      <w:lang w:eastAsia="en-US"/>
                    </w:rPr>
                    <w:drawing>
                      <wp:inline distT="0" distB="0" distL="0" distR="0" wp14:anchorId="6A82B4AD" wp14:editId="53CB9BA8">
                        <wp:extent cx="2371725" cy="25717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1725" cy="257175"/>
                                </a:xfrm>
                                <a:prstGeom prst="rect">
                                  <a:avLst/>
                                </a:prstGeom>
                                <a:noFill/>
                                <a:ln>
                                  <a:noFill/>
                                </a:ln>
                              </pic:spPr>
                            </pic:pic>
                          </a:graphicData>
                        </a:graphic>
                      </wp:inline>
                    </w:drawing>
                  </w:r>
                </w:p>
              </w:tc>
              <w:tc>
                <w:tcPr>
                  <w:tcW w:w="1718" w:type="dxa"/>
                  <w:vAlign w:val="center"/>
                  <w:hideMark/>
                </w:tcPr>
                <w:p w14:paraId="54C97A18"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eastAsia="Calibri" w:cs="Arial"/>
                      <w:sz w:val="22"/>
                      <w:szCs w:val="22"/>
                      <w:lang w:eastAsia="en-US"/>
                    </w:rPr>
                    <w:t>,</w:t>
                  </w:r>
                </w:p>
              </w:tc>
            </w:tr>
          </w:tbl>
          <w:p w14:paraId="372DE06D"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де Ц</w:t>
            </w:r>
            <w:r w:rsidRPr="00C27A60">
              <w:rPr>
                <w:rFonts w:eastAsia="Calibri" w:cs="Arial"/>
                <w:sz w:val="22"/>
                <w:szCs w:val="22"/>
                <w:vertAlign w:val="subscript"/>
                <w:lang w:eastAsia="en-US"/>
              </w:rPr>
              <w:t>ОРЕ ф і</w:t>
            </w:r>
            <w:r w:rsidRPr="00C27A60">
              <w:rPr>
                <w:rFonts w:eastAsia="Calibri" w:cs="Arial"/>
                <w:sz w:val="22"/>
                <w:szCs w:val="22"/>
                <w:lang w:eastAsia="en-US"/>
              </w:rPr>
              <w:t xml:space="preserve"> - фактична середньозважена ціна купівлі електричної енергії на Оптовому ринку електричної енергії України, що склалася в і-му місяці 2019 року, скоригована з урахуванням дотацій, грн/МВт·год;</w:t>
            </w:r>
          </w:p>
          <w:p w14:paraId="760780F9"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O</w:t>
            </w:r>
            <w:r w:rsidRPr="00C27A60">
              <w:rPr>
                <w:rFonts w:eastAsia="Calibri" w:cs="Arial"/>
                <w:sz w:val="22"/>
                <w:szCs w:val="22"/>
                <w:vertAlign w:val="subscript"/>
                <w:lang w:eastAsia="en-US"/>
              </w:rPr>
              <w:t xml:space="preserve">ТВЕ </w:t>
            </w:r>
            <w:proofErr w:type="spellStart"/>
            <w:r w:rsidRPr="00C27A60">
              <w:rPr>
                <w:rFonts w:eastAsia="Calibri" w:cs="Arial"/>
                <w:sz w:val="22"/>
                <w:szCs w:val="22"/>
                <w:vertAlign w:val="subscript"/>
                <w:lang w:eastAsia="en-US"/>
              </w:rPr>
              <w:t>нф</w:t>
            </w:r>
            <w:proofErr w:type="spellEnd"/>
            <w:r w:rsidRPr="00C27A60">
              <w:rPr>
                <w:rFonts w:eastAsia="Calibri" w:cs="Arial"/>
                <w:sz w:val="22"/>
                <w:szCs w:val="22"/>
                <w:vertAlign w:val="subscript"/>
                <w:lang w:eastAsia="en-US"/>
              </w:rPr>
              <w:t xml:space="preserve"> і</w:t>
            </w:r>
            <w:r w:rsidRPr="00C27A60">
              <w:rPr>
                <w:rFonts w:eastAsia="Calibri" w:cs="Arial"/>
                <w:sz w:val="22"/>
                <w:szCs w:val="22"/>
                <w:lang w:eastAsia="en-US"/>
              </w:rPr>
              <w:t xml:space="preserve"> - нормативно-фактичний обсяг технологічних витрат електричної енергії на її розподіл на 1 та 2 класах напруги в і-му місяці звітного року, МВт·год, що розраховується за формулою</w:t>
            </w:r>
          </w:p>
          <w:tbl>
            <w:tblPr>
              <w:tblW w:w="7540" w:type="dxa"/>
              <w:tblLayout w:type="fixed"/>
              <w:tblLook w:val="04A0" w:firstRow="1" w:lastRow="0" w:firstColumn="1" w:lastColumn="0" w:noHBand="0" w:noVBand="1"/>
            </w:tblPr>
            <w:tblGrid>
              <w:gridCol w:w="6885"/>
              <w:gridCol w:w="655"/>
            </w:tblGrid>
            <w:tr w:rsidR="00C27A60" w:rsidRPr="00C27A60" w14:paraId="092CF187" w14:textId="77777777" w:rsidTr="008D1DC5">
              <w:trPr>
                <w:trHeight w:val="26"/>
              </w:trPr>
              <w:tc>
                <w:tcPr>
                  <w:tcW w:w="6885" w:type="dxa"/>
                  <w:vAlign w:val="center"/>
                  <w:hideMark/>
                </w:tcPr>
                <w:p w14:paraId="18EBC652"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ascii="Calibri" w:eastAsia="Calibri" w:hAnsi="Calibri" w:cs="Arial"/>
                      <w:noProof/>
                      <w:sz w:val="22"/>
                      <w:szCs w:val="22"/>
                      <w:lang w:eastAsia="en-US"/>
                    </w:rPr>
                    <w:drawing>
                      <wp:inline distT="0" distB="0" distL="0" distR="0" wp14:anchorId="28A26B64" wp14:editId="086042D8">
                        <wp:extent cx="3486150" cy="50482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86150" cy="504825"/>
                                </a:xfrm>
                                <a:prstGeom prst="rect">
                                  <a:avLst/>
                                </a:prstGeom>
                                <a:noFill/>
                                <a:ln>
                                  <a:noFill/>
                                </a:ln>
                              </pic:spPr>
                            </pic:pic>
                          </a:graphicData>
                        </a:graphic>
                      </wp:inline>
                    </w:drawing>
                  </w:r>
                </w:p>
              </w:tc>
              <w:tc>
                <w:tcPr>
                  <w:tcW w:w="655" w:type="dxa"/>
                  <w:vAlign w:val="center"/>
                  <w:hideMark/>
                </w:tcPr>
                <w:p w14:paraId="282406FD"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eastAsia="Calibri" w:cs="Arial"/>
                      <w:sz w:val="22"/>
                      <w:szCs w:val="22"/>
                      <w:lang w:eastAsia="en-US"/>
                    </w:rPr>
                    <w:t>,</w:t>
                  </w:r>
                </w:p>
              </w:tc>
            </w:tr>
          </w:tbl>
          <w:p w14:paraId="1C3A84D0"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 xml:space="preserve">де </w:t>
            </w:r>
            <w:r w:rsidRPr="00C27A60">
              <w:rPr>
                <w:rFonts w:eastAsia="Calibri" w:cs="Arial"/>
                <w:i/>
                <w:sz w:val="22"/>
                <w:szCs w:val="22"/>
                <w:lang w:eastAsia="en-US"/>
              </w:rPr>
              <w:t>W</w:t>
            </w:r>
            <w:r w:rsidRPr="00C27A60">
              <w:rPr>
                <w:rFonts w:eastAsia="Calibri" w:cs="Arial"/>
                <w:sz w:val="22"/>
                <w:szCs w:val="22"/>
                <w:vertAlign w:val="subscript"/>
                <w:lang w:eastAsia="en-US"/>
              </w:rPr>
              <w:t>1i</w:t>
            </w:r>
            <w:r w:rsidRPr="00C27A60">
              <w:rPr>
                <w:rFonts w:eastAsia="Calibri" w:cs="Arial"/>
                <w:sz w:val="22"/>
                <w:szCs w:val="22"/>
                <w:lang w:eastAsia="en-US"/>
              </w:rPr>
              <w:t xml:space="preserve"> - фактичний обсяг корисного відпуску електричної енергії споживачам на 1 класі напруги в і</w:t>
            </w:r>
            <w:r w:rsidRPr="00C27A60">
              <w:rPr>
                <w:rFonts w:eastAsia="Calibri" w:cs="Arial"/>
                <w:i/>
                <w:sz w:val="22"/>
                <w:szCs w:val="22"/>
                <w:lang w:eastAsia="en-US"/>
              </w:rPr>
              <w:t>-</w:t>
            </w:r>
            <w:r w:rsidRPr="00C27A60">
              <w:rPr>
                <w:rFonts w:eastAsia="Calibri" w:cs="Arial"/>
                <w:sz w:val="22"/>
                <w:szCs w:val="22"/>
                <w:lang w:eastAsia="en-US"/>
              </w:rPr>
              <w:t>му місяці звітного року, МВт·год;</w:t>
            </w:r>
          </w:p>
          <w:p w14:paraId="0C05DEF5"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i/>
                <w:sz w:val="22"/>
                <w:szCs w:val="22"/>
                <w:lang w:eastAsia="en-US"/>
              </w:rPr>
              <w:t>W</w:t>
            </w:r>
            <w:r w:rsidRPr="00C27A60">
              <w:rPr>
                <w:rFonts w:eastAsia="Calibri" w:cs="Arial"/>
                <w:sz w:val="22"/>
                <w:szCs w:val="22"/>
                <w:vertAlign w:val="subscript"/>
                <w:lang w:eastAsia="en-US"/>
              </w:rPr>
              <w:t>2i</w:t>
            </w:r>
            <w:r w:rsidRPr="00C27A60">
              <w:rPr>
                <w:rFonts w:eastAsia="Calibri" w:cs="Arial"/>
                <w:sz w:val="22"/>
                <w:szCs w:val="22"/>
                <w:lang w:eastAsia="en-US"/>
              </w:rPr>
              <w:t xml:space="preserve"> - фактичний обсяг розподілу електричної енергії споживачам на 2 класі напруги в і</w:t>
            </w:r>
            <w:r w:rsidRPr="00C27A60">
              <w:rPr>
                <w:rFonts w:eastAsia="Calibri" w:cs="Arial"/>
                <w:i/>
                <w:sz w:val="22"/>
                <w:szCs w:val="22"/>
                <w:lang w:eastAsia="en-US"/>
              </w:rPr>
              <w:t>-</w:t>
            </w:r>
            <w:r w:rsidRPr="00C27A60">
              <w:rPr>
                <w:rFonts w:eastAsia="Calibri" w:cs="Arial"/>
                <w:sz w:val="22"/>
                <w:szCs w:val="22"/>
                <w:lang w:eastAsia="en-US"/>
              </w:rPr>
              <w:t>му місяці звітного року, МВт·год;</w:t>
            </w:r>
          </w:p>
          <w:p w14:paraId="584703BE"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i/>
                <w:sz w:val="22"/>
                <w:szCs w:val="22"/>
                <w:lang w:eastAsia="en-US"/>
              </w:rPr>
              <w:t>K</w:t>
            </w:r>
            <w:r w:rsidRPr="00C27A60">
              <w:rPr>
                <w:rFonts w:eastAsia="Calibri" w:cs="Arial"/>
                <w:sz w:val="22"/>
                <w:szCs w:val="22"/>
                <w:vertAlign w:val="subscript"/>
                <w:lang w:eastAsia="en-US"/>
              </w:rPr>
              <w:t>1</w:t>
            </w:r>
            <w:r w:rsidRPr="00C27A60">
              <w:rPr>
                <w:rFonts w:eastAsia="Calibri" w:cs="Arial"/>
                <w:sz w:val="22"/>
                <w:szCs w:val="22"/>
                <w:lang w:eastAsia="en-US"/>
              </w:rPr>
              <w:t xml:space="preserve">, </w:t>
            </w:r>
            <w:r w:rsidRPr="00C27A60">
              <w:rPr>
                <w:rFonts w:eastAsia="Calibri" w:cs="Arial"/>
                <w:i/>
                <w:sz w:val="22"/>
                <w:szCs w:val="22"/>
                <w:lang w:eastAsia="en-US"/>
              </w:rPr>
              <w:t>K</w:t>
            </w:r>
            <w:r w:rsidRPr="00C27A60">
              <w:rPr>
                <w:rFonts w:eastAsia="Calibri" w:cs="Arial"/>
                <w:sz w:val="22"/>
                <w:szCs w:val="22"/>
                <w:vertAlign w:val="subscript"/>
                <w:lang w:eastAsia="en-US"/>
              </w:rPr>
              <w:t>2</w:t>
            </w:r>
            <w:r w:rsidRPr="00C27A60">
              <w:rPr>
                <w:rFonts w:eastAsia="Calibri" w:cs="Arial"/>
                <w:sz w:val="22"/>
                <w:szCs w:val="22"/>
                <w:lang w:eastAsia="en-US"/>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37676657"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Д</w:t>
            </w:r>
            <w:r w:rsidRPr="00C27A60">
              <w:rPr>
                <w:rFonts w:eastAsia="Calibri" w:cs="Arial"/>
                <w:sz w:val="22"/>
                <w:szCs w:val="22"/>
                <w:vertAlign w:val="subscript"/>
                <w:lang w:eastAsia="en-US"/>
              </w:rPr>
              <w:t>ТВЕ ф і</w:t>
            </w:r>
            <w:r w:rsidRPr="00C27A60">
              <w:rPr>
                <w:rFonts w:eastAsia="Calibri" w:cs="Arial"/>
                <w:sz w:val="22"/>
                <w:szCs w:val="22"/>
                <w:lang w:eastAsia="en-US"/>
              </w:rPr>
              <w:t xml:space="preserve"> розраховується за формулою</w:t>
            </w:r>
          </w:p>
          <w:tbl>
            <w:tblPr>
              <w:tblW w:w="0" w:type="auto"/>
              <w:tblLayout w:type="fixed"/>
              <w:tblLook w:val="04A0" w:firstRow="1" w:lastRow="0" w:firstColumn="1" w:lastColumn="0" w:noHBand="0" w:noVBand="1"/>
            </w:tblPr>
            <w:tblGrid>
              <w:gridCol w:w="4853"/>
              <w:gridCol w:w="2612"/>
            </w:tblGrid>
            <w:tr w:rsidR="00C27A60" w:rsidRPr="00C27A60" w14:paraId="380B3B63" w14:textId="77777777" w:rsidTr="008D1DC5">
              <w:trPr>
                <w:trHeight w:val="30"/>
              </w:trPr>
              <w:tc>
                <w:tcPr>
                  <w:tcW w:w="4853" w:type="dxa"/>
                  <w:vAlign w:val="center"/>
                  <w:hideMark/>
                </w:tcPr>
                <w:p w14:paraId="14CDFB0A"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ascii="Calibri" w:eastAsia="Calibri" w:hAnsi="Calibri" w:cs="Arial"/>
                      <w:noProof/>
                      <w:sz w:val="22"/>
                      <w:szCs w:val="22"/>
                      <w:lang w:eastAsia="en-US"/>
                    </w:rPr>
                    <w:drawing>
                      <wp:inline distT="0" distB="0" distL="0" distR="0" wp14:anchorId="390F0019" wp14:editId="0F839C39">
                        <wp:extent cx="2781300" cy="2571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1300" cy="257175"/>
                                </a:xfrm>
                                <a:prstGeom prst="rect">
                                  <a:avLst/>
                                </a:prstGeom>
                                <a:noFill/>
                                <a:ln>
                                  <a:noFill/>
                                </a:ln>
                              </pic:spPr>
                            </pic:pic>
                          </a:graphicData>
                        </a:graphic>
                      </wp:inline>
                    </w:drawing>
                  </w:r>
                </w:p>
              </w:tc>
              <w:tc>
                <w:tcPr>
                  <w:tcW w:w="2612" w:type="dxa"/>
                  <w:vAlign w:val="center"/>
                  <w:hideMark/>
                </w:tcPr>
                <w:p w14:paraId="3D246388"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eastAsia="Calibri" w:cs="Arial"/>
                      <w:sz w:val="22"/>
                      <w:szCs w:val="22"/>
                      <w:lang w:eastAsia="en-US"/>
                    </w:rPr>
                    <w:t>,</w:t>
                  </w:r>
                </w:p>
              </w:tc>
            </w:tr>
          </w:tbl>
          <w:p w14:paraId="21F21CC8"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b/>
                <w:sz w:val="22"/>
                <w:szCs w:val="22"/>
                <w:lang w:eastAsia="en-US"/>
              </w:rPr>
              <w:t xml:space="preserve">де OТВЕ ф і – фактичний обсяг технологічних витрат електричної енергії в і му місяці звітного року відповідно до наданих комісії з перевірки належним чином завірених копій підтвердних документів та даних </w:t>
            </w:r>
            <w:r w:rsidRPr="00C27A60">
              <w:rPr>
                <w:rFonts w:eastAsia="Calibri" w:cs="Arial"/>
                <w:b/>
                <w:sz w:val="22"/>
                <w:szCs w:val="22"/>
                <w:lang w:eastAsia="en-US"/>
              </w:rPr>
              <w:lastRenderedPageBreak/>
              <w:t>за формою звітності № 2-НКРЕ (місячна) «Звітні дані про обсяги передачі електричної енергії місцевими (локальними) електромережами та нормативні технологічні витрати електроенергії за 1 – 2 класами напруги», затвердженою постановою Національної комісії, що здійснює державне регулювання у сфері енергетики, від 04 жовтня 2012 року № 1257, формою звітності № 2а-НКРЕКП-розподіл електричної енергії (місячна) «Звітні дані про обсяги розподілу електричної енергії та технологічні витрати електричної енергії за 1 та 2 класами напруги», затвердженою постановою НКРЕКП від 28 лютого 2019 року № 282, та формою звітності № 5-НКРЕКП-моніторинг-розподіл (місячна) «Звіт про обсяги розподілу електричної енергії», затвердженою постановою НКРЕКП від 29 березня 2019 року № 450, МВт·год.</w:t>
            </w:r>
          </w:p>
          <w:p w14:paraId="6046F9FF"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Після впровадження нового ринку електричної енергії (з 01 липня 2019 року) Д</w:t>
            </w:r>
            <w:r w:rsidRPr="00C27A60">
              <w:rPr>
                <w:rFonts w:eastAsia="Calibri" w:cs="Arial"/>
                <w:sz w:val="22"/>
                <w:szCs w:val="22"/>
                <w:vertAlign w:val="subscript"/>
                <w:lang w:eastAsia="en-US"/>
              </w:rPr>
              <w:t xml:space="preserve">ТВЕ </w:t>
            </w:r>
            <w:proofErr w:type="spellStart"/>
            <w:r w:rsidRPr="00C27A60">
              <w:rPr>
                <w:rFonts w:eastAsia="Calibri" w:cs="Arial"/>
                <w:sz w:val="22"/>
                <w:szCs w:val="22"/>
                <w:vertAlign w:val="subscript"/>
                <w:lang w:eastAsia="en-US"/>
              </w:rPr>
              <w:t>нф</w:t>
            </w:r>
            <w:proofErr w:type="spellEnd"/>
            <w:r w:rsidRPr="00C27A60">
              <w:rPr>
                <w:rFonts w:eastAsia="Calibri" w:cs="Arial"/>
                <w:sz w:val="22"/>
                <w:szCs w:val="22"/>
                <w:vertAlign w:val="subscript"/>
                <w:lang w:eastAsia="en-US"/>
              </w:rPr>
              <w:t xml:space="preserve"> і</w:t>
            </w:r>
            <w:r w:rsidRPr="00C27A60">
              <w:rPr>
                <w:rFonts w:eastAsia="Calibri" w:cs="Arial"/>
                <w:sz w:val="22"/>
                <w:szCs w:val="22"/>
                <w:lang w:eastAsia="en-US"/>
              </w:rPr>
              <w:t xml:space="preserve"> розраховується за формулою</w:t>
            </w:r>
          </w:p>
          <w:tbl>
            <w:tblPr>
              <w:tblW w:w="0" w:type="auto"/>
              <w:tblLayout w:type="fixed"/>
              <w:tblLook w:val="04A0" w:firstRow="1" w:lastRow="0" w:firstColumn="1" w:lastColumn="0" w:noHBand="0" w:noVBand="1"/>
            </w:tblPr>
            <w:tblGrid>
              <w:gridCol w:w="8721"/>
              <w:gridCol w:w="969"/>
            </w:tblGrid>
            <w:tr w:rsidR="00C27A60" w:rsidRPr="00C27A60" w14:paraId="1F2D9FEB" w14:textId="77777777" w:rsidTr="008D1DC5">
              <w:trPr>
                <w:trHeight w:val="30"/>
              </w:trPr>
              <w:tc>
                <w:tcPr>
                  <w:tcW w:w="8721" w:type="dxa"/>
                  <w:vAlign w:val="center"/>
                  <w:hideMark/>
                </w:tcPr>
                <w:p w14:paraId="1DF1A792"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ascii="Calibri" w:eastAsia="Calibri" w:hAnsi="Calibri" w:cs="Arial"/>
                      <w:noProof/>
                      <w:sz w:val="22"/>
                      <w:szCs w:val="22"/>
                      <w:lang w:eastAsia="en-US"/>
                    </w:rPr>
                    <w:drawing>
                      <wp:inline distT="0" distB="0" distL="0" distR="0" wp14:anchorId="470CE1B7" wp14:editId="58A67609">
                        <wp:extent cx="3495675" cy="266700"/>
                        <wp:effectExtent l="0" t="0" r="952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5675" cy="266700"/>
                                </a:xfrm>
                                <a:prstGeom prst="rect">
                                  <a:avLst/>
                                </a:prstGeom>
                                <a:noFill/>
                                <a:ln>
                                  <a:noFill/>
                                </a:ln>
                              </pic:spPr>
                            </pic:pic>
                          </a:graphicData>
                        </a:graphic>
                      </wp:inline>
                    </w:drawing>
                  </w:r>
                </w:p>
              </w:tc>
              <w:tc>
                <w:tcPr>
                  <w:tcW w:w="969" w:type="dxa"/>
                  <w:vAlign w:val="center"/>
                  <w:hideMark/>
                </w:tcPr>
                <w:p w14:paraId="5AB65026"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eastAsia="Calibri" w:cs="Arial"/>
                      <w:sz w:val="22"/>
                      <w:szCs w:val="22"/>
                      <w:lang w:eastAsia="en-US"/>
                    </w:rPr>
                    <w:t>,</w:t>
                  </w:r>
                </w:p>
              </w:tc>
            </w:tr>
          </w:tbl>
          <w:p w14:paraId="345CB33E"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 xml:space="preserve">де </w:t>
            </w:r>
            <w:proofErr w:type="spellStart"/>
            <w:r w:rsidRPr="00C27A60">
              <w:rPr>
                <w:rFonts w:eastAsia="Calibri" w:cs="Arial"/>
                <w:sz w:val="22"/>
                <w:szCs w:val="22"/>
                <w:lang w:eastAsia="en-US"/>
              </w:rPr>
              <w:t>К</w:t>
            </w:r>
            <w:r w:rsidRPr="00C27A60">
              <w:rPr>
                <w:rFonts w:eastAsia="Calibri" w:cs="Arial"/>
                <w:sz w:val="22"/>
                <w:szCs w:val="22"/>
                <w:vertAlign w:val="subscript"/>
                <w:lang w:eastAsia="en-US"/>
              </w:rPr>
              <w:t>ф</w:t>
            </w:r>
            <w:proofErr w:type="spellEnd"/>
            <w:r w:rsidRPr="00C27A60">
              <w:rPr>
                <w:rFonts w:eastAsia="Calibri" w:cs="Arial"/>
                <w:sz w:val="22"/>
                <w:szCs w:val="22"/>
                <w:vertAlign w:val="subscript"/>
                <w:lang w:eastAsia="en-US"/>
              </w:rPr>
              <w:t xml:space="preserve"> ПСО і</w:t>
            </w:r>
            <w:r w:rsidRPr="00C27A60">
              <w:rPr>
                <w:rFonts w:eastAsia="Calibri" w:cs="Arial"/>
                <w:sz w:val="22"/>
                <w:szCs w:val="22"/>
                <w:lang w:eastAsia="en-US"/>
              </w:rPr>
              <w:t xml:space="preserve"> - питома вага в загальному обсязі технологічних витрат електричної енергії на її розподіл, купованої згідно з Положенням N 483, в і-му місяці звітного року:</w:t>
            </w:r>
          </w:p>
          <w:p w14:paraId="63552631"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у липні - серпні 2019 року розраховується за формулою</w:t>
            </w:r>
          </w:p>
          <w:tbl>
            <w:tblPr>
              <w:tblW w:w="0" w:type="auto"/>
              <w:tblLayout w:type="fixed"/>
              <w:tblLook w:val="04A0" w:firstRow="1" w:lastRow="0" w:firstColumn="1" w:lastColumn="0" w:noHBand="0" w:noVBand="1"/>
            </w:tblPr>
            <w:tblGrid>
              <w:gridCol w:w="4704"/>
              <w:gridCol w:w="795"/>
            </w:tblGrid>
            <w:tr w:rsidR="00C27A60" w:rsidRPr="00C27A60" w14:paraId="06CD1E6E" w14:textId="77777777" w:rsidTr="008148BA">
              <w:trPr>
                <w:trHeight w:val="30"/>
              </w:trPr>
              <w:tc>
                <w:tcPr>
                  <w:tcW w:w="4704" w:type="dxa"/>
                  <w:vAlign w:val="center"/>
                  <w:hideMark/>
                </w:tcPr>
                <w:p w14:paraId="54A70961"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ascii="Calibri" w:eastAsia="Calibri" w:hAnsi="Calibri" w:cs="Arial"/>
                      <w:noProof/>
                      <w:sz w:val="22"/>
                      <w:szCs w:val="22"/>
                      <w:lang w:eastAsia="en-US"/>
                    </w:rPr>
                    <w:drawing>
                      <wp:inline distT="0" distB="0" distL="0" distR="0" wp14:anchorId="1ED96122" wp14:editId="14701F9C">
                        <wp:extent cx="1971675" cy="48577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71675" cy="485775"/>
                                </a:xfrm>
                                <a:prstGeom prst="rect">
                                  <a:avLst/>
                                </a:prstGeom>
                                <a:noFill/>
                                <a:ln>
                                  <a:noFill/>
                                </a:ln>
                              </pic:spPr>
                            </pic:pic>
                          </a:graphicData>
                        </a:graphic>
                      </wp:inline>
                    </w:drawing>
                  </w:r>
                </w:p>
              </w:tc>
              <w:tc>
                <w:tcPr>
                  <w:tcW w:w="795" w:type="dxa"/>
                  <w:vAlign w:val="center"/>
                  <w:hideMark/>
                </w:tcPr>
                <w:p w14:paraId="271FB770"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eastAsia="Calibri" w:cs="Arial"/>
                      <w:sz w:val="22"/>
                      <w:szCs w:val="22"/>
                      <w:lang w:eastAsia="en-US"/>
                    </w:rPr>
                    <w:t>,</w:t>
                  </w:r>
                </w:p>
              </w:tc>
            </w:tr>
          </w:tbl>
          <w:p w14:paraId="0615142B"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де О</w:t>
            </w:r>
            <w:r w:rsidRPr="00C27A60">
              <w:rPr>
                <w:rFonts w:eastAsia="Calibri" w:cs="Arial"/>
                <w:sz w:val="22"/>
                <w:szCs w:val="22"/>
                <w:vertAlign w:val="subscript"/>
                <w:lang w:eastAsia="en-US"/>
              </w:rPr>
              <w:t>ТВЕ ПСО ф і</w:t>
            </w:r>
            <w:r w:rsidRPr="00C27A60">
              <w:rPr>
                <w:rFonts w:eastAsia="Calibri" w:cs="Arial"/>
                <w:sz w:val="22"/>
                <w:szCs w:val="22"/>
                <w:lang w:eastAsia="en-US"/>
              </w:rPr>
              <w:t xml:space="preserve"> - фактичний обсяг технологічних витрат електричної енергії на її розподіл на 1 та 2 класах напруги в і-му місяці звітного року, куплений згідно з Положенням N 483 в і-му місяці звітного року, МВт·год;</w:t>
            </w:r>
          </w:p>
          <w:p w14:paraId="71B35D8E"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 xml:space="preserve">у вересні - грудні 2019 року </w:t>
            </w:r>
            <w:proofErr w:type="spellStart"/>
            <w:r w:rsidRPr="00C27A60">
              <w:rPr>
                <w:rFonts w:eastAsia="Calibri" w:cs="Arial"/>
                <w:sz w:val="22"/>
                <w:szCs w:val="22"/>
                <w:lang w:eastAsia="en-US"/>
              </w:rPr>
              <w:t>К</w:t>
            </w:r>
            <w:r w:rsidRPr="00C27A60">
              <w:rPr>
                <w:rFonts w:eastAsia="Calibri" w:cs="Arial"/>
                <w:sz w:val="22"/>
                <w:szCs w:val="22"/>
                <w:vertAlign w:val="subscript"/>
                <w:lang w:eastAsia="en-US"/>
              </w:rPr>
              <w:t>ф</w:t>
            </w:r>
            <w:proofErr w:type="spellEnd"/>
            <w:r w:rsidRPr="00C27A60">
              <w:rPr>
                <w:rFonts w:eastAsia="Calibri" w:cs="Arial"/>
                <w:sz w:val="22"/>
                <w:szCs w:val="22"/>
                <w:vertAlign w:val="subscript"/>
                <w:lang w:eastAsia="en-US"/>
              </w:rPr>
              <w:t xml:space="preserve"> ПСО і</w:t>
            </w:r>
            <w:r w:rsidRPr="00C27A60">
              <w:rPr>
                <w:rFonts w:eastAsia="Calibri" w:cs="Arial"/>
                <w:sz w:val="22"/>
                <w:szCs w:val="22"/>
                <w:lang w:eastAsia="en-US"/>
              </w:rPr>
              <w:t xml:space="preserve"> дорівнює 0,8;</w:t>
            </w:r>
          </w:p>
          <w:p w14:paraId="091909AC"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lastRenderedPageBreak/>
              <w:t xml:space="preserve">Ц </w:t>
            </w:r>
            <w:r w:rsidRPr="00C27A60">
              <w:rPr>
                <w:rFonts w:eastAsia="Calibri" w:cs="Arial"/>
                <w:sz w:val="22"/>
                <w:szCs w:val="22"/>
                <w:vertAlign w:val="subscript"/>
                <w:lang w:eastAsia="en-US"/>
              </w:rPr>
              <w:t>ф і</w:t>
            </w:r>
            <w:r w:rsidRPr="00C27A60">
              <w:rPr>
                <w:rFonts w:eastAsia="Calibri" w:cs="Arial"/>
                <w:sz w:val="22"/>
                <w:szCs w:val="22"/>
                <w:lang w:eastAsia="en-US"/>
              </w:rPr>
              <w:t xml:space="preserve"> - фактична ціна електричної енергії, купованої згідно з Положенням N 483, в і-му місяці звітного року, грн/МВт·год;</w:t>
            </w:r>
          </w:p>
          <w:p w14:paraId="2094D358"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Ц</w:t>
            </w:r>
            <w:r w:rsidRPr="00C27A60">
              <w:rPr>
                <w:rFonts w:eastAsia="Calibri" w:cs="Arial"/>
                <w:sz w:val="22"/>
                <w:szCs w:val="22"/>
                <w:vertAlign w:val="subscript"/>
                <w:lang w:eastAsia="en-US"/>
              </w:rPr>
              <w:t>РДН ф і</w:t>
            </w:r>
            <w:r w:rsidRPr="00C27A60">
              <w:rPr>
                <w:rFonts w:eastAsia="Calibri" w:cs="Arial"/>
                <w:sz w:val="22"/>
                <w:szCs w:val="22"/>
                <w:lang w:eastAsia="en-US"/>
              </w:rPr>
              <w:t xml:space="preserve"> - фактична середньозважена ціна купівлі електричної енергії на ринку "на добу наперед" в і-му місяці звітного року, що враховує погодинний графік технологічних витрат електричної енергії оператора системи розподілу, грн/МВт·год.</w:t>
            </w:r>
          </w:p>
          <w:p w14:paraId="087C91DE"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Д</w:t>
            </w:r>
            <w:r w:rsidRPr="00C27A60">
              <w:rPr>
                <w:rFonts w:eastAsia="Calibri" w:cs="Arial"/>
                <w:sz w:val="22"/>
                <w:szCs w:val="22"/>
                <w:vertAlign w:val="subscript"/>
                <w:lang w:eastAsia="en-US"/>
              </w:rPr>
              <w:t>ТВЕ ф і</w:t>
            </w:r>
            <w:r w:rsidRPr="00C27A60">
              <w:rPr>
                <w:rFonts w:eastAsia="Calibri" w:cs="Arial"/>
                <w:sz w:val="22"/>
                <w:szCs w:val="22"/>
                <w:lang w:eastAsia="en-US"/>
              </w:rPr>
              <w:t xml:space="preserve"> розраховується за формулою</w:t>
            </w:r>
          </w:p>
          <w:tbl>
            <w:tblPr>
              <w:tblW w:w="0" w:type="auto"/>
              <w:tblLayout w:type="fixed"/>
              <w:tblLook w:val="04A0" w:firstRow="1" w:lastRow="0" w:firstColumn="1" w:lastColumn="0" w:noHBand="0" w:noVBand="1"/>
            </w:tblPr>
            <w:tblGrid>
              <w:gridCol w:w="8721"/>
              <w:gridCol w:w="969"/>
            </w:tblGrid>
            <w:tr w:rsidR="00C27A60" w:rsidRPr="00C27A60" w14:paraId="073E03E8" w14:textId="77777777" w:rsidTr="008D1DC5">
              <w:trPr>
                <w:trHeight w:val="30"/>
              </w:trPr>
              <w:tc>
                <w:tcPr>
                  <w:tcW w:w="8721" w:type="dxa"/>
                  <w:vAlign w:val="center"/>
                  <w:hideMark/>
                </w:tcPr>
                <w:p w14:paraId="2DF49C49"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ascii="Calibri" w:eastAsia="Calibri" w:hAnsi="Calibri" w:cs="Arial"/>
                      <w:noProof/>
                      <w:sz w:val="22"/>
                      <w:szCs w:val="22"/>
                      <w:lang w:eastAsia="en-US"/>
                    </w:rPr>
                    <w:drawing>
                      <wp:inline distT="0" distB="0" distL="0" distR="0" wp14:anchorId="2C795760" wp14:editId="26D7DF1B">
                        <wp:extent cx="3486150" cy="2667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86150" cy="266700"/>
                                </a:xfrm>
                                <a:prstGeom prst="rect">
                                  <a:avLst/>
                                </a:prstGeom>
                                <a:noFill/>
                                <a:ln>
                                  <a:noFill/>
                                </a:ln>
                              </pic:spPr>
                            </pic:pic>
                          </a:graphicData>
                        </a:graphic>
                      </wp:inline>
                    </w:drawing>
                  </w:r>
                </w:p>
              </w:tc>
              <w:tc>
                <w:tcPr>
                  <w:tcW w:w="969" w:type="dxa"/>
                  <w:vAlign w:val="center"/>
                  <w:hideMark/>
                </w:tcPr>
                <w:p w14:paraId="1C1C5D8F" w14:textId="77777777" w:rsidR="008148BA" w:rsidRPr="00C27A60" w:rsidRDefault="008148BA" w:rsidP="008148BA">
                  <w:pPr>
                    <w:spacing w:after="75" w:line="259" w:lineRule="auto"/>
                    <w:rPr>
                      <w:rFonts w:ascii="Calibri" w:eastAsia="Calibri" w:hAnsi="Calibri" w:cs="Arial"/>
                      <w:sz w:val="22"/>
                      <w:szCs w:val="22"/>
                      <w:lang w:eastAsia="en-US"/>
                    </w:rPr>
                  </w:pPr>
                  <w:r w:rsidRPr="00C27A60">
                    <w:rPr>
                      <w:rFonts w:eastAsia="Calibri" w:cs="Arial"/>
                      <w:sz w:val="22"/>
                      <w:szCs w:val="22"/>
                      <w:lang w:eastAsia="en-US"/>
                    </w:rPr>
                    <w:t>,</w:t>
                  </w:r>
                </w:p>
              </w:tc>
            </w:tr>
          </w:tbl>
          <w:p w14:paraId="71287D4C"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З 01 січня 2021 року Д</w:t>
            </w:r>
            <w:r w:rsidRPr="00C27A60">
              <w:rPr>
                <w:rFonts w:eastAsia="Calibri" w:cs="Arial"/>
                <w:sz w:val="22"/>
                <w:szCs w:val="22"/>
                <w:vertAlign w:val="subscript"/>
                <w:lang w:eastAsia="en-US"/>
              </w:rPr>
              <w:t>ТВЕ</w:t>
            </w:r>
            <w:r w:rsidRPr="00C27A60">
              <w:rPr>
                <w:rFonts w:eastAsia="Calibri" w:cs="Arial"/>
                <w:sz w:val="22"/>
                <w:szCs w:val="22"/>
                <w:lang w:eastAsia="en-US"/>
              </w:rPr>
              <w:t xml:space="preserve"> </w:t>
            </w:r>
            <w:proofErr w:type="spellStart"/>
            <w:r w:rsidRPr="00C27A60">
              <w:rPr>
                <w:rFonts w:eastAsia="Calibri" w:cs="Arial"/>
                <w:sz w:val="22"/>
                <w:szCs w:val="22"/>
                <w:vertAlign w:val="subscript"/>
                <w:lang w:eastAsia="en-US"/>
              </w:rPr>
              <w:t>нф</w:t>
            </w:r>
            <w:proofErr w:type="spellEnd"/>
            <w:r w:rsidRPr="00C27A60">
              <w:rPr>
                <w:rFonts w:eastAsia="Calibri" w:cs="Arial"/>
                <w:sz w:val="22"/>
                <w:szCs w:val="22"/>
                <w:lang w:eastAsia="en-US"/>
              </w:rPr>
              <w:t xml:space="preserve"> </w:t>
            </w:r>
            <w:r w:rsidRPr="00C27A60">
              <w:rPr>
                <w:rFonts w:eastAsia="Calibri" w:cs="Arial"/>
                <w:sz w:val="22"/>
                <w:szCs w:val="22"/>
                <w:vertAlign w:val="subscript"/>
                <w:lang w:eastAsia="en-US"/>
              </w:rPr>
              <w:t>i</w:t>
            </w:r>
            <w:r w:rsidRPr="00C27A60">
              <w:rPr>
                <w:rFonts w:eastAsia="Calibri" w:cs="Arial"/>
                <w:sz w:val="22"/>
                <w:szCs w:val="22"/>
                <w:lang w:eastAsia="en-US"/>
              </w:rPr>
              <w:t xml:space="preserve"> розраховується за формулою</w:t>
            </w:r>
          </w:p>
          <w:p w14:paraId="395BB848" w14:textId="77777777" w:rsidR="008148BA" w:rsidRPr="00C27A60" w:rsidRDefault="008148BA" w:rsidP="008148BA">
            <w:pPr>
              <w:spacing w:after="75" w:line="259" w:lineRule="auto"/>
              <w:ind w:firstLine="240"/>
              <w:jc w:val="center"/>
              <w:rPr>
                <w:rFonts w:ascii="Calibri" w:eastAsia="Calibri" w:hAnsi="Calibri" w:cs="Arial"/>
                <w:sz w:val="22"/>
                <w:szCs w:val="22"/>
                <w:lang w:eastAsia="en-US"/>
              </w:rPr>
            </w:pPr>
            <w:r w:rsidRPr="00C27A60">
              <w:rPr>
                <w:rFonts w:eastAsia="Calibri" w:cs="Arial"/>
                <w:sz w:val="22"/>
                <w:szCs w:val="22"/>
                <w:lang w:eastAsia="en-US"/>
              </w:rPr>
              <w:t>Д</w:t>
            </w:r>
            <w:r w:rsidRPr="00C27A60">
              <w:rPr>
                <w:rFonts w:eastAsia="Calibri" w:cs="Arial"/>
                <w:sz w:val="22"/>
                <w:szCs w:val="22"/>
                <w:vertAlign w:val="subscript"/>
                <w:lang w:eastAsia="en-US"/>
              </w:rPr>
              <w:t>ТВЕ</w:t>
            </w:r>
            <w:r w:rsidRPr="00C27A60">
              <w:rPr>
                <w:rFonts w:eastAsia="Calibri" w:cs="Arial"/>
                <w:sz w:val="22"/>
                <w:szCs w:val="22"/>
                <w:lang w:eastAsia="en-US"/>
              </w:rPr>
              <w:t xml:space="preserve"> </w:t>
            </w:r>
            <w:proofErr w:type="spellStart"/>
            <w:r w:rsidRPr="00C27A60">
              <w:rPr>
                <w:rFonts w:eastAsia="Calibri" w:cs="Arial"/>
                <w:sz w:val="22"/>
                <w:szCs w:val="22"/>
                <w:vertAlign w:val="subscript"/>
                <w:lang w:eastAsia="en-US"/>
              </w:rPr>
              <w:t>нф</w:t>
            </w:r>
            <w:proofErr w:type="spellEnd"/>
            <w:r w:rsidRPr="00C27A60">
              <w:rPr>
                <w:rFonts w:eastAsia="Calibri" w:cs="Arial"/>
                <w:sz w:val="22"/>
                <w:szCs w:val="22"/>
                <w:lang w:eastAsia="en-US"/>
              </w:rPr>
              <w:t xml:space="preserve"> </w:t>
            </w:r>
            <w:r w:rsidRPr="00C27A60">
              <w:rPr>
                <w:rFonts w:eastAsia="Calibri" w:cs="Arial"/>
                <w:sz w:val="22"/>
                <w:szCs w:val="22"/>
                <w:vertAlign w:val="subscript"/>
                <w:lang w:eastAsia="en-US"/>
              </w:rPr>
              <w:t>i</w:t>
            </w:r>
            <w:r w:rsidRPr="00C27A60">
              <w:rPr>
                <w:rFonts w:eastAsia="Calibri" w:cs="Arial"/>
                <w:sz w:val="22"/>
                <w:szCs w:val="22"/>
                <w:lang w:eastAsia="en-US"/>
              </w:rPr>
              <w:t xml:space="preserve"> = О</w:t>
            </w:r>
            <w:r w:rsidRPr="00C27A60">
              <w:rPr>
                <w:rFonts w:eastAsia="Calibri" w:cs="Arial"/>
                <w:sz w:val="22"/>
                <w:szCs w:val="22"/>
                <w:vertAlign w:val="subscript"/>
                <w:lang w:eastAsia="en-US"/>
              </w:rPr>
              <w:t>ТВЕ</w:t>
            </w:r>
            <w:r w:rsidRPr="00C27A60">
              <w:rPr>
                <w:rFonts w:eastAsia="Calibri" w:cs="Arial"/>
                <w:sz w:val="22"/>
                <w:szCs w:val="22"/>
                <w:lang w:eastAsia="en-US"/>
              </w:rPr>
              <w:t xml:space="preserve"> </w:t>
            </w:r>
            <w:proofErr w:type="spellStart"/>
            <w:r w:rsidRPr="00C27A60">
              <w:rPr>
                <w:rFonts w:eastAsia="Calibri" w:cs="Arial"/>
                <w:sz w:val="22"/>
                <w:szCs w:val="22"/>
                <w:vertAlign w:val="subscript"/>
                <w:lang w:eastAsia="en-US"/>
              </w:rPr>
              <w:t>нф</w:t>
            </w:r>
            <w:proofErr w:type="spellEnd"/>
            <w:r w:rsidRPr="00C27A60">
              <w:rPr>
                <w:rFonts w:eastAsia="Calibri" w:cs="Arial"/>
                <w:sz w:val="22"/>
                <w:szCs w:val="22"/>
                <w:lang w:eastAsia="en-US"/>
              </w:rPr>
              <w:t xml:space="preserve"> </w:t>
            </w:r>
            <w:r w:rsidRPr="00C27A60">
              <w:rPr>
                <w:rFonts w:eastAsia="Calibri" w:cs="Arial"/>
                <w:sz w:val="22"/>
                <w:szCs w:val="22"/>
                <w:vertAlign w:val="subscript"/>
                <w:lang w:eastAsia="en-US"/>
              </w:rPr>
              <w:t>i</w:t>
            </w:r>
            <w:r w:rsidRPr="00C27A60">
              <w:rPr>
                <w:rFonts w:eastAsia="Calibri" w:cs="Arial"/>
                <w:sz w:val="22"/>
                <w:szCs w:val="22"/>
                <w:lang w:eastAsia="en-US"/>
              </w:rPr>
              <w:t xml:space="preserve"> х Ц</w:t>
            </w:r>
            <w:r w:rsidRPr="00C27A60">
              <w:rPr>
                <w:rFonts w:eastAsia="Calibri" w:cs="Arial"/>
                <w:sz w:val="22"/>
                <w:szCs w:val="22"/>
                <w:vertAlign w:val="subscript"/>
                <w:lang w:eastAsia="en-US"/>
              </w:rPr>
              <w:t>ТВЕ</w:t>
            </w:r>
            <w:r w:rsidRPr="00C27A60">
              <w:rPr>
                <w:rFonts w:eastAsia="Calibri" w:cs="Arial"/>
                <w:sz w:val="22"/>
                <w:szCs w:val="22"/>
                <w:lang w:eastAsia="en-US"/>
              </w:rPr>
              <w:t xml:space="preserve"> </w:t>
            </w:r>
            <w:r w:rsidRPr="00C27A60">
              <w:rPr>
                <w:rFonts w:eastAsia="Calibri" w:cs="Arial"/>
                <w:sz w:val="22"/>
                <w:szCs w:val="22"/>
                <w:vertAlign w:val="subscript"/>
                <w:lang w:eastAsia="en-US"/>
              </w:rPr>
              <w:t>i</w:t>
            </w:r>
            <w:r w:rsidRPr="00C27A60">
              <w:rPr>
                <w:rFonts w:eastAsia="Calibri" w:cs="Arial"/>
                <w:sz w:val="22"/>
                <w:szCs w:val="22"/>
                <w:lang w:eastAsia="en-US"/>
              </w:rPr>
              <w:t>,</w:t>
            </w:r>
          </w:p>
          <w:p w14:paraId="0EB97CBF" w14:textId="77777777" w:rsidR="008148BA" w:rsidRPr="00C27A60" w:rsidRDefault="008148BA" w:rsidP="008148BA">
            <w:pPr>
              <w:spacing w:after="75" w:line="259" w:lineRule="auto"/>
              <w:ind w:firstLine="240"/>
              <w:jc w:val="both"/>
              <w:rPr>
                <w:rFonts w:eastAsia="Calibri" w:cs="Arial"/>
                <w:sz w:val="22"/>
                <w:szCs w:val="22"/>
                <w:lang w:eastAsia="en-US"/>
              </w:rPr>
            </w:pPr>
          </w:p>
          <w:p w14:paraId="7CF37603"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де Ц</w:t>
            </w:r>
            <w:r w:rsidRPr="00C27A60">
              <w:rPr>
                <w:rFonts w:eastAsia="Calibri" w:cs="Arial"/>
                <w:sz w:val="22"/>
                <w:szCs w:val="22"/>
                <w:vertAlign w:val="subscript"/>
                <w:lang w:eastAsia="en-US"/>
              </w:rPr>
              <w:t>ТВЕ</w:t>
            </w:r>
            <w:r w:rsidRPr="00C27A60">
              <w:rPr>
                <w:rFonts w:eastAsia="Calibri" w:cs="Arial"/>
                <w:sz w:val="22"/>
                <w:szCs w:val="22"/>
                <w:lang w:eastAsia="en-US"/>
              </w:rPr>
              <w:t xml:space="preserve"> </w:t>
            </w:r>
            <w:r w:rsidRPr="00C27A60">
              <w:rPr>
                <w:rFonts w:eastAsia="Calibri" w:cs="Arial"/>
                <w:sz w:val="22"/>
                <w:szCs w:val="22"/>
                <w:vertAlign w:val="subscript"/>
                <w:lang w:eastAsia="en-US"/>
              </w:rPr>
              <w:t>i</w:t>
            </w:r>
            <w:r w:rsidRPr="00C27A60">
              <w:rPr>
                <w:rFonts w:eastAsia="Calibri" w:cs="Arial"/>
                <w:sz w:val="22"/>
                <w:szCs w:val="22"/>
                <w:lang w:eastAsia="en-US"/>
              </w:rPr>
              <w:t xml:space="preserve"> - середньозважена ціна купівлі електричної енергії на ринку електричної енергії в i-му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у НАЕК "Енергоатом", у зв'язку з покладенням спеціальних обов'язків на учасників ринку електричної енергії) та балансуючому ринку, грн/МВт·год, та розраховується за формулою</w:t>
            </w:r>
          </w:p>
          <w:p w14:paraId="23034DFF"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Ц</w:t>
            </w:r>
            <w:r w:rsidRPr="00C27A60">
              <w:rPr>
                <w:rFonts w:eastAsia="Calibri" w:cs="Arial"/>
                <w:sz w:val="22"/>
                <w:szCs w:val="22"/>
                <w:vertAlign w:val="subscript"/>
                <w:lang w:eastAsia="en-US"/>
              </w:rPr>
              <w:t>ТВЕ</w:t>
            </w:r>
            <w:r w:rsidRPr="00C27A60">
              <w:rPr>
                <w:rFonts w:eastAsia="Calibri" w:cs="Arial"/>
                <w:sz w:val="22"/>
                <w:szCs w:val="22"/>
                <w:lang w:eastAsia="en-US"/>
              </w:rPr>
              <w:t xml:space="preserve"> </w:t>
            </w:r>
            <w:r w:rsidRPr="00C27A60">
              <w:rPr>
                <w:rFonts w:eastAsia="Calibri" w:cs="Arial"/>
                <w:sz w:val="22"/>
                <w:szCs w:val="22"/>
                <w:vertAlign w:val="subscript"/>
                <w:lang w:eastAsia="en-US"/>
              </w:rPr>
              <w:t>i</w:t>
            </w:r>
            <w:r w:rsidRPr="00C27A60">
              <w:rPr>
                <w:rFonts w:eastAsia="Calibri" w:cs="Arial"/>
                <w:sz w:val="22"/>
                <w:szCs w:val="22"/>
                <w:lang w:eastAsia="en-US"/>
              </w:rPr>
              <w:t xml:space="preserve"> </w:t>
            </w:r>
            <w:r w:rsidRPr="00C27A60">
              <w:rPr>
                <w:rFonts w:eastAsia="Calibri" w:cs="Arial"/>
                <w:sz w:val="22"/>
                <w:szCs w:val="22"/>
                <w:vertAlign w:val="subscript"/>
                <w:lang w:eastAsia="en-US"/>
              </w:rPr>
              <w:t>=</w:t>
            </w:r>
            <w:r w:rsidRPr="00C27A60">
              <w:rPr>
                <w:rFonts w:eastAsia="Calibri" w:cs="Arial"/>
                <w:sz w:val="22"/>
                <w:szCs w:val="22"/>
                <w:lang w:eastAsia="en-US"/>
              </w:rPr>
              <w:t xml:space="preserve"> Ц </w:t>
            </w:r>
            <w:r w:rsidRPr="00C27A60">
              <w:rPr>
                <w:rFonts w:eastAsia="Calibri" w:cs="Arial"/>
                <w:sz w:val="22"/>
                <w:szCs w:val="22"/>
                <w:vertAlign w:val="subscript"/>
                <w:lang w:eastAsia="en-US"/>
              </w:rPr>
              <w:t>РДН</w:t>
            </w:r>
            <w:r w:rsidRPr="00C27A60">
              <w:rPr>
                <w:rFonts w:eastAsia="Calibri" w:cs="Arial"/>
                <w:sz w:val="22"/>
                <w:szCs w:val="22"/>
                <w:lang w:eastAsia="en-US"/>
              </w:rPr>
              <w:t xml:space="preserve"> </w:t>
            </w:r>
            <w:r w:rsidRPr="00C27A60">
              <w:rPr>
                <w:rFonts w:eastAsia="Calibri" w:cs="Arial"/>
                <w:sz w:val="22"/>
                <w:szCs w:val="22"/>
                <w:vertAlign w:val="subscript"/>
                <w:lang w:eastAsia="en-US"/>
              </w:rPr>
              <w:t>ф</w:t>
            </w:r>
            <w:r w:rsidRPr="00C27A60">
              <w:rPr>
                <w:rFonts w:eastAsia="Calibri" w:cs="Arial"/>
                <w:sz w:val="22"/>
                <w:szCs w:val="22"/>
                <w:lang w:eastAsia="en-US"/>
              </w:rPr>
              <w:t xml:space="preserve"> </w:t>
            </w:r>
            <w:r w:rsidRPr="00C27A60">
              <w:rPr>
                <w:rFonts w:eastAsia="Calibri" w:cs="Arial"/>
                <w:sz w:val="22"/>
                <w:szCs w:val="22"/>
                <w:vertAlign w:val="subscript"/>
                <w:lang w:eastAsia="en-US"/>
              </w:rPr>
              <w:t>i</w:t>
            </w:r>
            <w:r w:rsidRPr="00C27A60">
              <w:rPr>
                <w:rFonts w:eastAsia="Calibri" w:cs="Arial"/>
                <w:sz w:val="22"/>
                <w:szCs w:val="22"/>
                <w:lang w:eastAsia="en-US"/>
              </w:rPr>
              <w:t xml:space="preserve"> х (1 - К</w:t>
            </w:r>
            <w:r w:rsidRPr="00C27A60">
              <w:rPr>
                <w:rFonts w:eastAsia="Calibri" w:cs="Arial"/>
                <w:sz w:val="22"/>
                <w:szCs w:val="22"/>
                <w:vertAlign w:val="superscript"/>
                <w:lang w:eastAsia="en-US"/>
              </w:rPr>
              <w:t>БР</w:t>
            </w:r>
            <w:r w:rsidRPr="00C27A60">
              <w:rPr>
                <w:rFonts w:eastAsia="Calibri" w:cs="Arial"/>
                <w:sz w:val="22"/>
                <w:szCs w:val="22"/>
                <w:vertAlign w:val="subscript"/>
                <w:lang w:eastAsia="en-US"/>
              </w:rPr>
              <w:t>W</w:t>
            </w:r>
            <w:r w:rsidRPr="00C27A60">
              <w:rPr>
                <w:rFonts w:eastAsia="Calibri" w:cs="Arial"/>
                <w:sz w:val="22"/>
                <w:szCs w:val="22"/>
                <w:lang w:eastAsia="en-US"/>
              </w:rPr>
              <w:t xml:space="preserve"> - К</w:t>
            </w:r>
            <w:r w:rsidRPr="00C27A60">
              <w:rPr>
                <w:rFonts w:eastAsia="Calibri" w:cs="Arial"/>
                <w:sz w:val="22"/>
                <w:szCs w:val="22"/>
                <w:vertAlign w:val="superscript"/>
                <w:lang w:eastAsia="en-US"/>
              </w:rPr>
              <w:t>ДД</w:t>
            </w:r>
            <w:r w:rsidRPr="00C27A60">
              <w:rPr>
                <w:rFonts w:eastAsia="Calibri" w:cs="Arial"/>
                <w:sz w:val="22"/>
                <w:szCs w:val="22"/>
                <w:vertAlign w:val="subscript"/>
                <w:lang w:eastAsia="en-US"/>
              </w:rPr>
              <w:t>W</w:t>
            </w:r>
            <w:r w:rsidRPr="00C27A60">
              <w:rPr>
                <w:rFonts w:eastAsia="Calibri" w:cs="Arial"/>
                <w:sz w:val="22"/>
                <w:szCs w:val="22"/>
                <w:lang w:eastAsia="en-US"/>
              </w:rPr>
              <w:t xml:space="preserve">) + Ц </w:t>
            </w:r>
            <w:r w:rsidRPr="00C27A60">
              <w:rPr>
                <w:rFonts w:eastAsia="Calibri" w:cs="Arial"/>
                <w:sz w:val="22"/>
                <w:szCs w:val="22"/>
                <w:vertAlign w:val="subscript"/>
                <w:lang w:eastAsia="en-US"/>
              </w:rPr>
              <w:t>РДН</w:t>
            </w:r>
            <w:r w:rsidRPr="00C27A60">
              <w:rPr>
                <w:rFonts w:eastAsia="Calibri" w:cs="Arial"/>
                <w:sz w:val="22"/>
                <w:szCs w:val="22"/>
                <w:lang w:eastAsia="en-US"/>
              </w:rPr>
              <w:t xml:space="preserve"> </w:t>
            </w:r>
            <w:r w:rsidRPr="00C27A60">
              <w:rPr>
                <w:rFonts w:eastAsia="Calibri" w:cs="Arial"/>
                <w:sz w:val="22"/>
                <w:szCs w:val="22"/>
                <w:vertAlign w:val="subscript"/>
                <w:lang w:eastAsia="en-US"/>
              </w:rPr>
              <w:t>ф</w:t>
            </w:r>
            <w:r w:rsidRPr="00C27A60">
              <w:rPr>
                <w:rFonts w:eastAsia="Calibri" w:cs="Arial"/>
                <w:sz w:val="22"/>
                <w:szCs w:val="22"/>
                <w:lang w:eastAsia="en-US"/>
              </w:rPr>
              <w:t xml:space="preserve"> </w:t>
            </w:r>
            <w:r w:rsidRPr="00C27A60">
              <w:rPr>
                <w:rFonts w:eastAsia="Calibri" w:cs="Arial"/>
                <w:sz w:val="22"/>
                <w:szCs w:val="22"/>
                <w:vertAlign w:val="subscript"/>
                <w:lang w:eastAsia="en-US"/>
              </w:rPr>
              <w:t>i</w:t>
            </w:r>
            <w:r w:rsidRPr="00C27A60">
              <w:rPr>
                <w:rFonts w:eastAsia="Calibri" w:cs="Arial"/>
                <w:sz w:val="22"/>
                <w:szCs w:val="22"/>
                <w:lang w:eastAsia="en-US"/>
              </w:rPr>
              <w:t xml:space="preserve"> х (1 + К</w:t>
            </w:r>
            <w:r w:rsidRPr="00C27A60">
              <w:rPr>
                <w:rFonts w:eastAsia="Calibri" w:cs="Arial"/>
                <w:sz w:val="22"/>
                <w:szCs w:val="22"/>
                <w:vertAlign w:val="superscript"/>
                <w:lang w:eastAsia="en-US"/>
              </w:rPr>
              <w:t>БР</w:t>
            </w:r>
            <w:r w:rsidRPr="00C27A60">
              <w:rPr>
                <w:rFonts w:eastAsia="Calibri" w:cs="Arial"/>
                <w:sz w:val="22"/>
                <w:szCs w:val="22"/>
                <w:vertAlign w:val="subscript"/>
                <w:lang w:eastAsia="en-US"/>
              </w:rPr>
              <w:t>Ц</w:t>
            </w:r>
            <w:r w:rsidRPr="00C27A60">
              <w:rPr>
                <w:rFonts w:eastAsia="Calibri" w:cs="Arial"/>
                <w:sz w:val="22"/>
                <w:szCs w:val="22"/>
                <w:lang w:eastAsia="en-US"/>
              </w:rPr>
              <w:t>) х К</w:t>
            </w:r>
            <w:r w:rsidRPr="00C27A60">
              <w:rPr>
                <w:rFonts w:eastAsia="Calibri" w:cs="Arial"/>
                <w:sz w:val="22"/>
                <w:szCs w:val="22"/>
                <w:vertAlign w:val="superscript"/>
                <w:lang w:eastAsia="en-US"/>
              </w:rPr>
              <w:t>БР</w:t>
            </w:r>
            <w:r w:rsidRPr="00C27A60">
              <w:rPr>
                <w:rFonts w:eastAsia="Calibri" w:cs="Arial"/>
                <w:sz w:val="22"/>
                <w:szCs w:val="22"/>
                <w:vertAlign w:val="subscript"/>
                <w:lang w:eastAsia="en-US"/>
              </w:rPr>
              <w:t>W</w:t>
            </w:r>
            <w:r w:rsidRPr="00C27A60">
              <w:rPr>
                <w:rFonts w:eastAsia="Calibri" w:cs="Arial"/>
                <w:sz w:val="22"/>
                <w:szCs w:val="22"/>
                <w:lang w:eastAsia="en-US"/>
              </w:rPr>
              <w:t xml:space="preserve"> + Ц </w:t>
            </w:r>
            <w:r w:rsidRPr="00C27A60">
              <w:rPr>
                <w:rFonts w:eastAsia="Calibri" w:cs="Arial"/>
                <w:sz w:val="22"/>
                <w:szCs w:val="22"/>
                <w:vertAlign w:val="subscript"/>
                <w:lang w:eastAsia="en-US"/>
              </w:rPr>
              <w:t>РДД</w:t>
            </w:r>
            <w:r w:rsidRPr="00C27A60">
              <w:rPr>
                <w:rFonts w:eastAsia="Calibri" w:cs="Arial"/>
                <w:sz w:val="22"/>
                <w:szCs w:val="22"/>
                <w:lang w:eastAsia="en-US"/>
              </w:rPr>
              <w:t xml:space="preserve"> </w:t>
            </w:r>
            <w:r w:rsidRPr="00C27A60">
              <w:rPr>
                <w:rFonts w:eastAsia="Calibri" w:cs="Arial"/>
                <w:sz w:val="22"/>
                <w:szCs w:val="22"/>
                <w:vertAlign w:val="subscript"/>
                <w:lang w:eastAsia="en-US"/>
              </w:rPr>
              <w:t>ф</w:t>
            </w:r>
            <w:r w:rsidRPr="00C27A60">
              <w:rPr>
                <w:rFonts w:eastAsia="Calibri" w:cs="Arial"/>
                <w:sz w:val="22"/>
                <w:szCs w:val="22"/>
                <w:lang w:eastAsia="en-US"/>
              </w:rPr>
              <w:t xml:space="preserve"> </w:t>
            </w:r>
            <w:r w:rsidRPr="00C27A60">
              <w:rPr>
                <w:rFonts w:eastAsia="Calibri" w:cs="Arial"/>
                <w:sz w:val="22"/>
                <w:szCs w:val="22"/>
                <w:vertAlign w:val="subscript"/>
                <w:lang w:eastAsia="en-US"/>
              </w:rPr>
              <w:t>i</w:t>
            </w:r>
            <w:r w:rsidRPr="00C27A60">
              <w:rPr>
                <w:rFonts w:eastAsia="Calibri" w:cs="Arial"/>
                <w:sz w:val="22"/>
                <w:szCs w:val="22"/>
                <w:lang w:eastAsia="en-US"/>
              </w:rPr>
              <w:t xml:space="preserve"> х К</w:t>
            </w:r>
            <w:r w:rsidRPr="00C27A60">
              <w:rPr>
                <w:rFonts w:eastAsia="Calibri" w:cs="Arial"/>
                <w:sz w:val="22"/>
                <w:szCs w:val="22"/>
                <w:vertAlign w:val="superscript"/>
                <w:lang w:eastAsia="en-US"/>
              </w:rPr>
              <w:t>ДД</w:t>
            </w:r>
            <w:r w:rsidRPr="00C27A60">
              <w:rPr>
                <w:rFonts w:eastAsia="Calibri" w:cs="Arial"/>
                <w:sz w:val="22"/>
                <w:szCs w:val="22"/>
                <w:vertAlign w:val="subscript"/>
                <w:lang w:eastAsia="en-US"/>
              </w:rPr>
              <w:t>W</w:t>
            </w:r>
            <w:r w:rsidRPr="00C27A60">
              <w:rPr>
                <w:rFonts w:eastAsia="Calibri" w:cs="Arial"/>
                <w:sz w:val="22"/>
                <w:szCs w:val="22"/>
                <w:lang w:eastAsia="en-US"/>
              </w:rPr>
              <w:t>,</w:t>
            </w:r>
          </w:p>
          <w:p w14:paraId="50D401AF"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де К</w:t>
            </w:r>
            <w:r w:rsidRPr="00C27A60">
              <w:rPr>
                <w:rFonts w:eastAsia="Calibri" w:cs="Arial"/>
                <w:sz w:val="22"/>
                <w:szCs w:val="22"/>
                <w:vertAlign w:val="superscript"/>
                <w:lang w:eastAsia="en-US"/>
              </w:rPr>
              <w:t>БР</w:t>
            </w:r>
            <w:r w:rsidRPr="00C27A60">
              <w:rPr>
                <w:rFonts w:eastAsia="Calibri" w:cs="Arial"/>
                <w:sz w:val="22"/>
                <w:szCs w:val="22"/>
                <w:vertAlign w:val="subscript"/>
                <w:lang w:eastAsia="en-US"/>
              </w:rPr>
              <w:t>W</w:t>
            </w:r>
            <w:r w:rsidRPr="00C27A60">
              <w:rPr>
                <w:rFonts w:eastAsia="Calibri" w:cs="Arial"/>
                <w:sz w:val="22"/>
                <w:szCs w:val="22"/>
                <w:lang w:eastAsia="en-US"/>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 відносні одиниці;</w:t>
            </w:r>
          </w:p>
          <w:p w14:paraId="70516C70"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К</w:t>
            </w:r>
            <w:r w:rsidRPr="00C27A60">
              <w:rPr>
                <w:rFonts w:eastAsia="Calibri" w:cs="Arial"/>
                <w:sz w:val="22"/>
                <w:szCs w:val="22"/>
                <w:vertAlign w:val="superscript"/>
                <w:lang w:eastAsia="en-US"/>
              </w:rPr>
              <w:t>ДД</w:t>
            </w:r>
            <w:r w:rsidRPr="00C27A60">
              <w:rPr>
                <w:rFonts w:eastAsia="Calibri" w:cs="Arial"/>
                <w:sz w:val="22"/>
                <w:szCs w:val="22"/>
                <w:vertAlign w:val="subscript"/>
                <w:lang w:eastAsia="en-US"/>
              </w:rPr>
              <w:t>W</w:t>
            </w:r>
            <w:r w:rsidRPr="00C27A60">
              <w:rPr>
                <w:rFonts w:eastAsia="Calibri" w:cs="Arial"/>
                <w:sz w:val="22"/>
                <w:szCs w:val="22"/>
                <w:lang w:eastAsia="en-US"/>
              </w:rPr>
              <w:t xml:space="preserve"> - коефіцієнт, що враховує фактичну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w:t>
            </w:r>
            <w:r w:rsidRPr="00C27A60">
              <w:rPr>
                <w:rFonts w:eastAsia="Calibri" w:cs="Arial"/>
                <w:sz w:val="22"/>
                <w:szCs w:val="22"/>
                <w:lang w:eastAsia="en-US"/>
              </w:rPr>
              <w:lastRenderedPageBreak/>
              <w:t>електричної енергії) в i-му місяці звітного року, відносні одиниці;</w:t>
            </w:r>
          </w:p>
          <w:p w14:paraId="7EBA0B08"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К</w:t>
            </w:r>
            <w:r w:rsidRPr="00C27A60">
              <w:rPr>
                <w:rFonts w:eastAsia="Calibri" w:cs="Arial"/>
                <w:sz w:val="22"/>
                <w:szCs w:val="22"/>
                <w:vertAlign w:val="superscript"/>
                <w:lang w:eastAsia="en-US"/>
              </w:rPr>
              <w:t>БР</w:t>
            </w:r>
            <w:r w:rsidRPr="00C27A60">
              <w:rPr>
                <w:rFonts w:eastAsia="Calibri" w:cs="Arial"/>
                <w:sz w:val="22"/>
                <w:szCs w:val="22"/>
                <w:vertAlign w:val="subscript"/>
                <w:lang w:eastAsia="en-US"/>
              </w:rPr>
              <w:t>Ц</w:t>
            </w:r>
            <w:r w:rsidRPr="00C27A60">
              <w:rPr>
                <w:rFonts w:eastAsia="Calibri" w:cs="Arial"/>
                <w:sz w:val="22"/>
                <w:szCs w:val="22"/>
                <w:lang w:eastAsia="en-US"/>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застосований під час розрахунку встановлених тарифів на послуги з розподілу електричної енергії, відносні одиниці;</w:t>
            </w:r>
          </w:p>
          <w:p w14:paraId="424625F8"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Ц</w:t>
            </w:r>
            <w:r w:rsidRPr="00C27A60">
              <w:rPr>
                <w:rFonts w:eastAsia="Calibri" w:cs="Arial"/>
                <w:sz w:val="22"/>
                <w:szCs w:val="22"/>
                <w:vertAlign w:val="subscript"/>
                <w:lang w:eastAsia="en-US"/>
              </w:rPr>
              <w:t>РДД</w:t>
            </w:r>
            <w:r w:rsidRPr="00C27A60">
              <w:rPr>
                <w:rFonts w:eastAsia="Calibri" w:cs="Arial"/>
                <w:sz w:val="22"/>
                <w:szCs w:val="22"/>
                <w:lang w:eastAsia="en-US"/>
              </w:rPr>
              <w:t xml:space="preserve"> </w:t>
            </w:r>
            <w:r w:rsidRPr="00C27A60">
              <w:rPr>
                <w:rFonts w:eastAsia="Calibri" w:cs="Arial"/>
                <w:sz w:val="22"/>
                <w:szCs w:val="22"/>
                <w:vertAlign w:val="subscript"/>
                <w:lang w:eastAsia="en-US"/>
              </w:rPr>
              <w:t>ф</w:t>
            </w:r>
            <w:r w:rsidRPr="00C27A60">
              <w:rPr>
                <w:rFonts w:eastAsia="Calibri" w:cs="Arial"/>
                <w:sz w:val="22"/>
                <w:szCs w:val="22"/>
                <w:lang w:eastAsia="en-US"/>
              </w:rPr>
              <w:t xml:space="preserve"> </w:t>
            </w:r>
            <w:r w:rsidRPr="00C27A60">
              <w:rPr>
                <w:rFonts w:eastAsia="Calibri" w:cs="Arial"/>
                <w:sz w:val="22"/>
                <w:szCs w:val="22"/>
                <w:vertAlign w:val="subscript"/>
                <w:lang w:eastAsia="en-US"/>
              </w:rPr>
              <w:t>i</w:t>
            </w:r>
            <w:r w:rsidRPr="00C27A60">
              <w:rPr>
                <w:rFonts w:eastAsia="Calibri" w:cs="Arial"/>
                <w:sz w:val="22"/>
                <w:szCs w:val="22"/>
                <w:lang w:eastAsia="en-US"/>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електричної енергії, грн/МВт·год.</w:t>
            </w:r>
          </w:p>
          <w:p w14:paraId="182B82DF"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Для цілей розрахунку складова (1 - К</w:t>
            </w:r>
            <w:r w:rsidRPr="00C27A60">
              <w:rPr>
                <w:rFonts w:eastAsia="Calibri" w:cs="Arial"/>
                <w:sz w:val="22"/>
                <w:szCs w:val="22"/>
                <w:vertAlign w:val="superscript"/>
                <w:lang w:eastAsia="en-US"/>
              </w:rPr>
              <w:t>БР</w:t>
            </w:r>
            <w:r w:rsidRPr="00C27A60">
              <w:rPr>
                <w:rFonts w:eastAsia="Calibri" w:cs="Arial"/>
                <w:sz w:val="22"/>
                <w:szCs w:val="22"/>
                <w:vertAlign w:val="subscript"/>
                <w:lang w:eastAsia="en-US"/>
              </w:rPr>
              <w:t>W</w:t>
            </w:r>
            <w:r w:rsidRPr="00C27A60">
              <w:rPr>
                <w:rFonts w:eastAsia="Calibri" w:cs="Arial"/>
                <w:sz w:val="22"/>
                <w:szCs w:val="22"/>
                <w:lang w:eastAsia="en-US"/>
              </w:rPr>
              <w:t xml:space="preserve"> - К</w:t>
            </w:r>
            <w:r w:rsidRPr="00C27A60">
              <w:rPr>
                <w:rFonts w:eastAsia="Calibri" w:cs="Arial"/>
                <w:sz w:val="22"/>
                <w:szCs w:val="22"/>
                <w:vertAlign w:val="superscript"/>
                <w:lang w:eastAsia="en-US"/>
              </w:rPr>
              <w:t>ДД</w:t>
            </w:r>
            <w:r w:rsidRPr="00C27A60">
              <w:rPr>
                <w:rFonts w:eastAsia="Calibri" w:cs="Arial"/>
                <w:sz w:val="22"/>
                <w:szCs w:val="22"/>
                <w:vertAlign w:val="subscript"/>
                <w:lang w:eastAsia="en-US"/>
              </w:rPr>
              <w:t>W</w:t>
            </w:r>
            <w:r w:rsidRPr="00C27A60">
              <w:rPr>
                <w:rFonts w:eastAsia="Calibri" w:cs="Arial"/>
                <w:sz w:val="22"/>
                <w:szCs w:val="22"/>
                <w:lang w:eastAsia="en-US"/>
              </w:rPr>
              <w:t>) приймається рівною нулю у разі, якщо її значення менше нуля.</w:t>
            </w:r>
          </w:p>
          <w:p w14:paraId="58486E71"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 xml:space="preserve">Починаючи з 2023 року Ц </w:t>
            </w:r>
            <w:r w:rsidRPr="00C27A60">
              <w:rPr>
                <w:rFonts w:eastAsia="Calibri" w:cs="Arial"/>
                <w:sz w:val="22"/>
                <w:szCs w:val="22"/>
                <w:vertAlign w:val="subscript"/>
                <w:lang w:eastAsia="en-US"/>
              </w:rPr>
              <w:t>ТВЕ і</w:t>
            </w:r>
            <w:r w:rsidRPr="00C27A60">
              <w:rPr>
                <w:rFonts w:eastAsia="Calibri" w:cs="Arial"/>
                <w:sz w:val="22"/>
                <w:szCs w:val="22"/>
                <w:lang w:eastAsia="en-US"/>
              </w:rPr>
              <w:t xml:space="preserve"> визначається за формулою</w:t>
            </w:r>
          </w:p>
          <w:p w14:paraId="6DC1BF30"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 xml:space="preserve">Ц </w:t>
            </w:r>
            <w:r w:rsidRPr="00C27A60">
              <w:rPr>
                <w:rFonts w:eastAsia="Calibri" w:cs="Arial"/>
                <w:sz w:val="22"/>
                <w:szCs w:val="22"/>
                <w:vertAlign w:val="subscript"/>
                <w:lang w:eastAsia="en-US"/>
              </w:rPr>
              <w:t>ТВЕ і</w:t>
            </w:r>
            <w:r w:rsidRPr="00C27A60">
              <w:rPr>
                <w:rFonts w:eastAsia="Calibri" w:cs="Arial"/>
                <w:sz w:val="22"/>
                <w:szCs w:val="22"/>
                <w:lang w:eastAsia="en-US"/>
              </w:rPr>
              <w:t xml:space="preserve"> = Ц </w:t>
            </w:r>
            <w:r w:rsidRPr="00C27A60">
              <w:rPr>
                <w:rFonts w:eastAsia="Calibri" w:cs="Arial"/>
                <w:sz w:val="22"/>
                <w:szCs w:val="22"/>
                <w:vertAlign w:val="subscript"/>
                <w:lang w:eastAsia="en-US"/>
              </w:rPr>
              <w:t>РДН ф і</w:t>
            </w:r>
            <w:r w:rsidRPr="00C27A60">
              <w:rPr>
                <w:rFonts w:eastAsia="Calibri" w:cs="Arial"/>
                <w:sz w:val="22"/>
                <w:szCs w:val="22"/>
                <w:lang w:eastAsia="en-US"/>
              </w:rPr>
              <w:t xml:space="preserve"> × (1 - К</w:t>
            </w:r>
            <w:r w:rsidRPr="00C27A60">
              <w:rPr>
                <w:rFonts w:eastAsia="Calibri" w:cs="Arial"/>
                <w:sz w:val="22"/>
                <w:szCs w:val="22"/>
                <w:vertAlign w:val="superscript"/>
                <w:lang w:eastAsia="en-US"/>
              </w:rPr>
              <w:t>БР</w:t>
            </w:r>
            <w:r w:rsidRPr="00C27A60">
              <w:rPr>
                <w:rFonts w:eastAsia="Calibri" w:cs="Arial"/>
                <w:sz w:val="22"/>
                <w:szCs w:val="22"/>
                <w:vertAlign w:val="subscript"/>
                <w:lang w:eastAsia="en-US"/>
              </w:rPr>
              <w:t>W</w:t>
            </w:r>
            <w:r w:rsidRPr="00C27A60">
              <w:rPr>
                <w:rFonts w:eastAsia="Calibri" w:cs="Arial"/>
                <w:sz w:val="22"/>
                <w:szCs w:val="22"/>
                <w:lang w:eastAsia="en-US"/>
              </w:rPr>
              <w:t xml:space="preserve"> - К</w:t>
            </w:r>
            <w:r w:rsidRPr="00C27A60">
              <w:rPr>
                <w:rFonts w:eastAsia="Calibri" w:cs="Arial"/>
                <w:sz w:val="22"/>
                <w:szCs w:val="22"/>
                <w:vertAlign w:val="superscript"/>
                <w:lang w:eastAsia="en-US"/>
              </w:rPr>
              <w:t>ДД</w:t>
            </w:r>
            <w:r w:rsidRPr="00C27A60">
              <w:rPr>
                <w:rFonts w:eastAsia="Calibri" w:cs="Arial"/>
                <w:sz w:val="22"/>
                <w:szCs w:val="22"/>
                <w:vertAlign w:val="subscript"/>
                <w:lang w:eastAsia="en-US"/>
              </w:rPr>
              <w:t>W</w:t>
            </w:r>
            <w:r w:rsidRPr="00C27A60">
              <w:rPr>
                <w:rFonts w:eastAsia="Calibri" w:cs="Arial"/>
                <w:sz w:val="22"/>
                <w:szCs w:val="22"/>
                <w:lang w:eastAsia="en-US"/>
              </w:rPr>
              <w:t xml:space="preserve">) + Ц </w:t>
            </w:r>
            <w:r w:rsidRPr="00C27A60">
              <w:rPr>
                <w:rFonts w:eastAsia="Calibri" w:cs="Arial"/>
                <w:sz w:val="22"/>
                <w:szCs w:val="22"/>
                <w:vertAlign w:val="subscript"/>
                <w:lang w:eastAsia="en-US"/>
              </w:rPr>
              <w:t>РДН ф і</w:t>
            </w:r>
            <w:r w:rsidRPr="00C27A60">
              <w:rPr>
                <w:rFonts w:eastAsia="Calibri" w:cs="Arial"/>
                <w:sz w:val="22"/>
                <w:szCs w:val="22"/>
                <w:lang w:eastAsia="en-US"/>
              </w:rPr>
              <w:t xml:space="preserve"> × (1 + К </w:t>
            </w:r>
            <w:r w:rsidRPr="00C27A60">
              <w:rPr>
                <w:rFonts w:eastAsia="Calibri" w:cs="Arial"/>
                <w:sz w:val="22"/>
                <w:szCs w:val="22"/>
                <w:vertAlign w:val="superscript"/>
                <w:lang w:eastAsia="en-US"/>
              </w:rPr>
              <w:t>БР</w:t>
            </w:r>
            <w:r w:rsidRPr="00C27A60">
              <w:rPr>
                <w:rFonts w:eastAsia="Calibri" w:cs="Arial"/>
                <w:sz w:val="22"/>
                <w:szCs w:val="22"/>
                <w:vertAlign w:val="subscript"/>
                <w:lang w:eastAsia="en-US"/>
              </w:rPr>
              <w:t>Ц</w:t>
            </w:r>
            <w:r w:rsidRPr="00C27A60">
              <w:rPr>
                <w:rFonts w:eastAsia="Calibri" w:cs="Arial"/>
                <w:sz w:val="22"/>
                <w:szCs w:val="22"/>
                <w:lang w:eastAsia="en-US"/>
              </w:rPr>
              <w:t>) × К</w:t>
            </w:r>
            <w:r w:rsidRPr="00C27A60">
              <w:rPr>
                <w:rFonts w:eastAsia="Calibri" w:cs="Arial"/>
                <w:sz w:val="22"/>
                <w:szCs w:val="22"/>
                <w:vertAlign w:val="superscript"/>
                <w:lang w:eastAsia="en-US"/>
              </w:rPr>
              <w:t>БР</w:t>
            </w:r>
            <w:r w:rsidRPr="00C27A60">
              <w:rPr>
                <w:rFonts w:eastAsia="Calibri" w:cs="Arial"/>
                <w:sz w:val="22"/>
                <w:szCs w:val="22"/>
                <w:vertAlign w:val="subscript"/>
                <w:lang w:eastAsia="en-US"/>
              </w:rPr>
              <w:t>W</w:t>
            </w:r>
            <w:r w:rsidRPr="00C27A60">
              <w:rPr>
                <w:rFonts w:eastAsia="Calibri" w:cs="Arial"/>
                <w:sz w:val="22"/>
                <w:szCs w:val="22"/>
                <w:lang w:eastAsia="en-US"/>
              </w:rPr>
              <w:t xml:space="preserve"> + Ц </w:t>
            </w:r>
            <w:r w:rsidRPr="00C27A60">
              <w:rPr>
                <w:rFonts w:eastAsia="Calibri" w:cs="Arial"/>
                <w:sz w:val="22"/>
                <w:szCs w:val="22"/>
                <w:vertAlign w:val="subscript"/>
                <w:lang w:eastAsia="en-US"/>
              </w:rPr>
              <w:t>РДД ф і</w:t>
            </w:r>
            <w:r w:rsidRPr="00C27A60">
              <w:rPr>
                <w:rFonts w:eastAsia="Calibri" w:cs="Arial"/>
                <w:sz w:val="22"/>
                <w:szCs w:val="22"/>
                <w:lang w:eastAsia="en-US"/>
              </w:rPr>
              <w:t xml:space="preserve"> × К × К</w:t>
            </w:r>
            <w:r w:rsidRPr="00C27A60">
              <w:rPr>
                <w:rFonts w:eastAsia="Calibri" w:cs="Arial"/>
                <w:sz w:val="22"/>
                <w:szCs w:val="22"/>
                <w:vertAlign w:val="superscript"/>
                <w:lang w:eastAsia="en-US"/>
              </w:rPr>
              <w:t>ДД</w:t>
            </w:r>
            <w:r w:rsidRPr="00C27A60">
              <w:rPr>
                <w:rFonts w:eastAsia="Calibri" w:cs="Arial"/>
                <w:sz w:val="22"/>
                <w:szCs w:val="22"/>
                <w:vertAlign w:val="subscript"/>
                <w:lang w:eastAsia="en-US"/>
              </w:rPr>
              <w:t>W</w:t>
            </w:r>
            <w:r w:rsidRPr="00C27A60">
              <w:rPr>
                <w:rFonts w:eastAsia="Calibri" w:cs="Arial"/>
                <w:sz w:val="22"/>
                <w:szCs w:val="22"/>
                <w:lang w:eastAsia="en-US"/>
              </w:rPr>
              <w:t>;</w:t>
            </w:r>
          </w:p>
          <w:p w14:paraId="3CD081FC"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де К</w:t>
            </w:r>
            <w:r w:rsidRPr="00C27A60">
              <w:rPr>
                <w:rFonts w:eastAsia="Calibri" w:cs="Arial"/>
                <w:sz w:val="22"/>
                <w:szCs w:val="22"/>
                <w:vertAlign w:val="superscript"/>
                <w:lang w:eastAsia="en-US"/>
              </w:rPr>
              <w:t>БР</w:t>
            </w:r>
            <w:r w:rsidRPr="00C27A60">
              <w:rPr>
                <w:rFonts w:eastAsia="Calibri" w:cs="Arial"/>
                <w:sz w:val="22"/>
                <w:szCs w:val="22"/>
                <w:vertAlign w:val="subscript"/>
                <w:lang w:eastAsia="en-US"/>
              </w:rPr>
              <w:t>W</w:t>
            </w:r>
            <w:r w:rsidRPr="00C27A60">
              <w:rPr>
                <w:rFonts w:eastAsia="Calibri" w:cs="Arial"/>
                <w:sz w:val="22"/>
                <w:szCs w:val="22"/>
                <w:lang w:eastAsia="en-US"/>
              </w:rPr>
              <w:t>, К</w:t>
            </w:r>
            <w:r w:rsidRPr="00C27A60">
              <w:rPr>
                <w:rFonts w:eastAsia="Calibri" w:cs="Arial"/>
                <w:sz w:val="22"/>
                <w:szCs w:val="22"/>
                <w:vertAlign w:val="superscript"/>
                <w:lang w:eastAsia="en-US"/>
              </w:rPr>
              <w:t>ДД</w:t>
            </w:r>
            <w:r w:rsidRPr="00C27A60">
              <w:rPr>
                <w:rFonts w:eastAsia="Calibri" w:cs="Arial"/>
                <w:sz w:val="22"/>
                <w:szCs w:val="22"/>
                <w:vertAlign w:val="subscript"/>
                <w:lang w:eastAsia="en-US"/>
              </w:rPr>
              <w:t>W</w:t>
            </w:r>
            <w:r w:rsidRPr="00C27A60">
              <w:rPr>
                <w:rFonts w:eastAsia="Calibri" w:cs="Arial"/>
                <w:sz w:val="22"/>
                <w:szCs w:val="22"/>
                <w:lang w:eastAsia="en-US"/>
              </w:rPr>
              <w:t xml:space="preserve"> та К</w:t>
            </w:r>
            <w:r w:rsidRPr="00C27A60">
              <w:rPr>
                <w:rFonts w:eastAsia="Calibri" w:cs="Arial"/>
                <w:sz w:val="22"/>
                <w:szCs w:val="22"/>
                <w:vertAlign w:val="superscript"/>
                <w:lang w:eastAsia="en-US"/>
              </w:rPr>
              <w:t>БР</w:t>
            </w:r>
            <w:r w:rsidRPr="00C27A60">
              <w:rPr>
                <w:rFonts w:eastAsia="Calibri" w:cs="Arial"/>
                <w:sz w:val="22"/>
                <w:szCs w:val="22"/>
                <w:vertAlign w:val="subscript"/>
                <w:lang w:eastAsia="en-US"/>
              </w:rPr>
              <w:t>Ц</w:t>
            </w:r>
            <w:r w:rsidRPr="00C27A60">
              <w:rPr>
                <w:rFonts w:eastAsia="Calibri" w:cs="Arial"/>
                <w:sz w:val="22"/>
                <w:szCs w:val="22"/>
                <w:lang w:eastAsia="en-US"/>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2617699B"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 xml:space="preserve">Ц </w:t>
            </w:r>
            <w:r w:rsidRPr="00C27A60">
              <w:rPr>
                <w:rFonts w:eastAsia="Calibri" w:cs="Arial"/>
                <w:sz w:val="22"/>
                <w:szCs w:val="22"/>
                <w:vertAlign w:val="subscript"/>
                <w:lang w:eastAsia="en-US"/>
              </w:rPr>
              <w:t>РДД ф і</w:t>
            </w:r>
            <w:r w:rsidRPr="00C27A60">
              <w:rPr>
                <w:rFonts w:eastAsia="Calibri" w:cs="Arial"/>
                <w:sz w:val="22"/>
                <w:szCs w:val="22"/>
                <w:lang w:eastAsia="en-US"/>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вебсайті в мережі Інтернет, грн/МВт·год;</w:t>
            </w:r>
          </w:p>
          <w:p w14:paraId="6B3B169A"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 xml:space="preserve">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w:t>
            </w:r>
            <w:r w:rsidRPr="00C27A60">
              <w:rPr>
                <w:rFonts w:eastAsia="Calibri" w:cs="Arial"/>
                <w:sz w:val="22"/>
                <w:szCs w:val="22"/>
                <w:lang w:eastAsia="en-US"/>
              </w:rPr>
              <w:lastRenderedPageBreak/>
              <w:t>навантаження на ринку "на добу наперед", відносні одиниці, який визначається за формулою</w:t>
            </w:r>
          </w:p>
          <w:p w14:paraId="54DF1418"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 xml:space="preserve">К= Ц </w:t>
            </w:r>
            <w:r w:rsidRPr="00C27A60">
              <w:rPr>
                <w:rFonts w:eastAsia="Calibri" w:cs="Arial"/>
                <w:sz w:val="22"/>
                <w:szCs w:val="22"/>
                <w:vertAlign w:val="subscript"/>
                <w:lang w:eastAsia="en-US"/>
              </w:rPr>
              <w:t>РДН ф і</w:t>
            </w:r>
            <w:r w:rsidRPr="00C27A60">
              <w:rPr>
                <w:rFonts w:eastAsia="Calibri" w:cs="Arial"/>
                <w:sz w:val="22"/>
                <w:szCs w:val="22"/>
                <w:lang w:eastAsia="en-US"/>
              </w:rPr>
              <w:t xml:space="preserve"> / Ц </w:t>
            </w:r>
            <w:r w:rsidRPr="00C27A60">
              <w:rPr>
                <w:rFonts w:eastAsia="Calibri" w:cs="Arial"/>
                <w:sz w:val="22"/>
                <w:szCs w:val="22"/>
                <w:vertAlign w:val="subscript"/>
                <w:lang w:eastAsia="en-US"/>
              </w:rPr>
              <w:t>база і</w:t>
            </w:r>
            <w:r w:rsidRPr="00C27A60">
              <w:rPr>
                <w:rFonts w:eastAsia="Calibri" w:cs="Arial"/>
                <w:sz w:val="22"/>
                <w:szCs w:val="22"/>
                <w:lang w:eastAsia="en-US"/>
              </w:rPr>
              <w:t>;</w:t>
            </w:r>
          </w:p>
          <w:p w14:paraId="0D12CA31"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 xml:space="preserve">де Ц </w:t>
            </w:r>
            <w:r w:rsidRPr="00C27A60">
              <w:rPr>
                <w:rFonts w:eastAsia="Calibri" w:cs="Arial"/>
                <w:sz w:val="22"/>
                <w:szCs w:val="22"/>
                <w:vertAlign w:val="subscript"/>
                <w:lang w:eastAsia="en-US"/>
              </w:rPr>
              <w:t>база і</w:t>
            </w:r>
            <w:r w:rsidRPr="00C27A60">
              <w:rPr>
                <w:rFonts w:eastAsia="Calibri" w:cs="Arial"/>
                <w:sz w:val="22"/>
                <w:szCs w:val="22"/>
                <w:lang w:eastAsia="en-US"/>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вебсайті в мережі Інтернет, грн/МВт.</w:t>
            </w:r>
          </w:p>
          <w:p w14:paraId="24E37BBD" w14:textId="77777777" w:rsidR="008148BA" w:rsidRPr="00C27A60" w:rsidRDefault="008148BA" w:rsidP="008148BA">
            <w:pPr>
              <w:spacing w:after="75" w:line="259" w:lineRule="auto"/>
              <w:ind w:firstLine="240"/>
              <w:jc w:val="both"/>
              <w:rPr>
                <w:rFonts w:ascii="Calibri" w:eastAsia="Calibri" w:hAnsi="Calibri" w:cs="Arial"/>
                <w:sz w:val="22"/>
                <w:szCs w:val="22"/>
                <w:lang w:eastAsia="en-US"/>
              </w:rPr>
            </w:pPr>
            <w:r w:rsidRPr="00C27A60">
              <w:rPr>
                <w:rFonts w:eastAsia="Calibri" w:cs="Arial"/>
                <w:sz w:val="22"/>
                <w:szCs w:val="22"/>
                <w:lang w:eastAsia="en-US"/>
              </w:rPr>
              <w:t xml:space="preserve">Д </w:t>
            </w:r>
            <w:r w:rsidRPr="00C27A60">
              <w:rPr>
                <w:rFonts w:eastAsia="Calibri" w:cs="Arial"/>
                <w:sz w:val="22"/>
                <w:szCs w:val="22"/>
                <w:vertAlign w:val="subscript"/>
                <w:lang w:eastAsia="en-US"/>
              </w:rPr>
              <w:t>ТВЕ ф i</w:t>
            </w:r>
            <w:r w:rsidRPr="00C27A60">
              <w:rPr>
                <w:rFonts w:eastAsia="Calibri" w:cs="Arial"/>
                <w:sz w:val="22"/>
                <w:szCs w:val="22"/>
                <w:lang w:eastAsia="en-US"/>
              </w:rPr>
              <w:t xml:space="preserve"> розраховується за формулою</w:t>
            </w:r>
          </w:p>
          <w:p w14:paraId="460ED581" w14:textId="77777777" w:rsidR="008148BA" w:rsidRPr="00C27A60" w:rsidRDefault="008148BA" w:rsidP="008148BA">
            <w:pPr>
              <w:spacing w:after="160" w:line="259" w:lineRule="auto"/>
              <w:ind w:firstLine="308"/>
              <w:jc w:val="both"/>
              <w:rPr>
                <w:rFonts w:eastAsia="Calibri" w:cs="Arial"/>
                <w:sz w:val="22"/>
                <w:szCs w:val="22"/>
                <w:lang w:eastAsia="en-US"/>
              </w:rPr>
            </w:pPr>
            <w:r w:rsidRPr="00C27A60">
              <w:rPr>
                <w:rFonts w:eastAsia="Calibri" w:cs="Arial"/>
                <w:sz w:val="22"/>
                <w:szCs w:val="22"/>
                <w:lang w:eastAsia="en-US"/>
              </w:rPr>
              <w:t xml:space="preserve">Д </w:t>
            </w:r>
            <w:r w:rsidRPr="00C27A60">
              <w:rPr>
                <w:rFonts w:eastAsia="Calibri" w:cs="Arial"/>
                <w:sz w:val="22"/>
                <w:szCs w:val="22"/>
                <w:vertAlign w:val="subscript"/>
                <w:lang w:eastAsia="en-US"/>
              </w:rPr>
              <w:t>ТВЕ ф i</w:t>
            </w:r>
            <w:r w:rsidRPr="00C27A60">
              <w:rPr>
                <w:rFonts w:eastAsia="Calibri" w:cs="Arial"/>
                <w:sz w:val="22"/>
                <w:szCs w:val="22"/>
                <w:lang w:eastAsia="en-US"/>
              </w:rPr>
              <w:t xml:space="preserve"> = О </w:t>
            </w:r>
            <w:r w:rsidRPr="00C27A60">
              <w:rPr>
                <w:rFonts w:eastAsia="Calibri" w:cs="Arial"/>
                <w:sz w:val="22"/>
                <w:szCs w:val="22"/>
                <w:vertAlign w:val="subscript"/>
                <w:lang w:eastAsia="en-US"/>
              </w:rPr>
              <w:t>ТВЕ ф i</w:t>
            </w:r>
            <w:r w:rsidRPr="00C27A60">
              <w:rPr>
                <w:rFonts w:eastAsia="Calibri" w:cs="Arial"/>
                <w:sz w:val="22"/>
                <w:szCs w:val="22"/>
                <w:lang w:eastAsia="en-US"/>
              </w:rPr>
              <w:t xml:space="preserve"> х Ц</w:t>
            </w:r>
            <w:r w:rsidRPr="00C27A60">
              <w:rPr>
                <w:rFonts w:eastAsia="Calibri" w:cs="Arial"/>
                <w:sz w:val="22"/>
                <w:szCs w:val="22"/>
                <w:vertAlign w:val="subscript"/>
                <w:lang w:eastAsia="en-US"/>
              </w:rPr>
              <w:t>ТВЕ i</w:t>
            </w:r>
            <w:r w:rsidRPr="00C27A60">
              <w:rPr>
                <w:rFonts w:eastAsia="Calibri" w:cs="Arial"/>
                <w:sz w:val="22"/>
                <w:szCs w:val="22"/>
                <w:lang w:eastAsia="en-US"/>
              </w:rPr>
              <w:t>;</w:t>
            </w:r>
          </w:p>
          <w:p w14:paraId="42219985" w14:textId="77777777" w:rsidR="008148BA" w:rsidRPr="00C27A60" w:rsidRDefault="008148BA" w:rsidP="008148BA">
            <w:pPr>
              <w:spacing w:after="160" w:line="259" w:lineRule="auto"/>
              <w:ind w:firstLine="308"/>
              <w:jc w:val="both"/>
              <w:rPr>
                <w:rFonts w:eastAsia="Calibri"/>
                <w:sz w:val="22"/>
                <w:szCs w:val="22"/>
                <w:shd w:val="clear" w:color="auto" w:fill="FFFFFF"/>
                <w:lang w:eastAsia="en-US"/>
              </w:rPr>
            </w:pPr>
          </w:p>
          <w:p w14:paraId="0F41AD89" w14:textId="77777777" w:rsidR="006A54E9" w:rsidRPr="00C27A60" w:rsidRDefault="006A54E9" w:rsidP="00965B90">
            <w:pPr>
              <w:ind w:firstLine="308"/>
              <w:jc w:val="both"/>
              <w:rPr>
                <w:sz w:val="22"/>
                <w:szCs w:val="22"/>
                <w:shd w:val="clear" w:color="auto" w:fill="FFFFFF"/>
              </w:rPr>
            </w:pPr>
          </w:p>
        </w:tc>
        <w:tc>
          <w:tcPr>
            <w:tcW w:w="5812" w:type="dxa"/>
            <w:shd w:val="clear" w:color="auto" w:fill="auto"/>
          </w:tcPr>
          <w:p w14:paraId="2DF759E4" w14:textId="77777777" w:rsidR="006A54E9" w:rsidRPr="00C27A60" w:rsidRDefault="008148BA" w:rsidP="00965B90">
            <w:pPr>
              <w:ind w:firstLine="308"/>
              <w:jc w:val="both"/>
              <w:rPr>
                <w:i/>
                <w:sz w:val="22"/>
                <w:szCs w:val="22"/>
                <w:shd w:val="clear" w:color="auto" w:fill="FFFFFF"/>
              </w:rPr>
            </w:pPr>
            <w:r w:rsidRPr="00C27A60">
              <w:rPr>
                <w:i/>
                <w:sz w:val="22"/>
                <w:szCs w:val="22"/>
                <w:shd w:val="clear" w:color="auto" w:fill="FFFFFF"/>
              </w:rPr>
              <w:lastRenderedPageBreak/>
              <w:t>АТ ДТЕК «ДОНЕЦЬКІ ЕЛЕКТРОМЕРЕЖІ»</w:t>
            </w:r>
          </w:p>
          <w:p w14:paraId="10E504FC" w14:textId="7B56798F" w:rsidR="008148BA" w:rsidRPr="00C27A60" w:rsidRDefault="00436F83" w:rsidP="00965B90">
            <w:pPr>
              <w:ind w:firstLine="308"/>
              <w:jc w:val="both"/>
              <w:rPr>
                <w:i/>
                <w:sz w:val="22"/>
                <w:szCs w:val="22"/>
                <w:shd w:val="clear" w:color="auto" w:fill="FFFFFF"/>
              </w:rPr>
            </w:pPr>
            <w:r w:rsidRPr="00C27A60">
              <w:rPr>
                <w:i/>
                <w:sz w:val="22"/>
                <w:szCs w:val="22"/>
                <w:shd w:val="clear" w:color="auto" w:fill="FFFFFF"/>
              </w:rPr>
              <w:t>АТ «ДТЕК ДНІПРОВСЬКІ ЕЛЕКТРОМЕРЕЖІ»</w:t>
            </w:r>
          </w:p>
          <w:p w14:paraId="6E447693" w14:textId="77777777" w:rsidR="003A322D" w:rsidRPr="00C27A60" w:rsidRDefault="003A322D" w:rsidP="003A322D">
            <w:pPr>
              <w:ind w:firstLine="308"/>
              <w:jc w:val="both"/>
              <w:rPr>
                <w:sz w:val="22"/>
                <w:szCs w:val="22"/>
                <w:shd w:val="clear" w:color="auto" w:fill="FFFFFF"/>
              </w:rPr>
            </w:pPr>
          </w:p>
          <w:p w14:paraId="5385E66E" w14:textId="77777777" w:rsidR="003A322D" w:rsidRPr="00C27A60" w:rsidRDefault="003A322D" w:rsidP="003A322D">
            <w:pPr>
              <w:ind w:firstLine="308"/>
              <w:jc w:val="both"/>
              <w:rPr>
                <w:sz w:val="22"/>
                <w:szCs w:val="22"/>
                <w:shd w:val="clear" w:color="auto" w:fill="FFFFFF"/>
              </w:rPr>
            </w:pPr>
            <w:r w:rsidRPr="00C27A60">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52E5DBB5" w14:textId="77777777" w:rsidR="003A322D" w:rsidRPr="00C27A60" w:rsidRDefault="003A322D" w:rsidP="003A322D">
            <w:pPr>
              <w:ind w:firstLine="308"/>
              <w:jc w:val="both"/>
              <w:rPr>
                <w:sz w:val="22"/>
                <w:szCs w:val="22"/>
                <w:shd w:val="clear" w:color="auto" w:fill="FFFFFF"/>
              </w:rPr>
            </w:pPr>
          </w:p>
          <w:p w14:paraId="572A8F1C" w14:textId="77777777" w:rsidR="003A322D" w:rsidRPr="00C27A60" w:rsidRDefault="003A322D" w:rsidP="003A322D">
            <w:pPr>
              <w:ind w:firstLine="308"/>
              <w:jc w:val="both"/>
              <w:rPr>
                <w:sz w:val="22"/>
                <w:szCs w:val="22"/>
                <w:shd w:val="clear" w:color="auto" w:fill="FFFFFF"/>
              </w:rPr>
            </w:pPr>
            <w:r w:rsidRPr="00C27A60">
              <w:rPr>
                <w:sz w:val="22"/>
                <w:szCs w:val="22"/>
                <w:shd w:val="clear" w:color="auto" w:fill="FFFFFF"/>
              </w:rPr>
              <w:t>&lt;…&gt;</w:t>
            </w:r>
          </w:p>
          <w:p w14:paraId="298F0AC4" w14:textId="6F9CBABF" w:rsidR="003A322D" w:rsidRPr="00C27A60" w:rsidRDefault="003A322D" w:rsidP="00965B90">
            <w:pPr>
              <w:ind w:firstLine="308"/>
              <w:jc w:val="both"/>
              <w:rPr>
                <w:i/>
                <w:sz w:val="22"/>
                <w:szCs w:val="22"/>
                <w:shd w:val="clear" w:color="auto" w:fill="FFFFFF"/>
              </w:rPr>
            </w:pPr>
          </w:p>
          <w:p w14:paraId="6AB51E68" w14:textId="77777777" w:rsidR="003A322D" w:rsidRPr="00C27A60" w:rsidRDefault="003A322D" w:rsidP="00965B90">
            <w:pPr>
              <w:ind w:firstLine="308"/>
              <w:jc w:val="both"/>
              <w:rPr>
                <w:i/>
                <w:sz w:val="22"/>
                <w:szCs w:val="22"/>
                <w:shd w:val="clear" w:color="auto" w:fill="FFFFFF"/>
              </w:rPr>
            </w:pPr>
          </w:p>
          <w:p w14:paraId="5519BD73"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22) дохід від економії технологічних витрат електричної енергії (Д</w:t>
            </w:r>
            <w:r w:rsidRPr="00C27A60">
              <w:rPr>
                <w:rFonts w:eastAsia="Calibri"/>
                <w:kern w:val="2"/>
                <w:sz w:val="22"/>
                <w:szCs w:val="22"/>
                <w:vertAlign w:val="subscript"/>
                <w:lang w:eastAsia="en-US"/>
                <w14:ligatures w14:val="standardContextual"/>
              </w:rPr>
              <w:t>ТВЕ</w:t>
            </w:r>
            <w:r w:rsidRPr="00C27A60">
              <w:rPr>
                <w:rFonts w:eastAsia="Calibri"/>
                <w:kern w:val="2"/>
                <w:sz w:val="22"/>
                <w:szCs w:val="22"/>
                <w:lang w:eastAsia="en-US"/>
                <w14:ligatures w14:val="standardContextual"/>
              </w:rPr>
              <w:t>) за підсумками звітного року, що розраховується за формулою</w:t>
            </w:r>
          </w:p>
          <w:tbl>
            <w:tblPr>
              <w:tblW w:w="5632" w:type="dxa"/>
              <w:tblLayout w:type="fixed"/>
              <w:tblLook w:val="04A0" w:firstRow="1" w:lastRow="0" w:firstColumn="1" w:lastColumn="0" w:noHBand="0" w:noVBand="1"/>
            </w:tblPr>
            <w:tblGrid>
              <w:gridCol w:w="4423"/>
              <w:gridCol w:w="1209"/>
            </w:tblGrid>
            <w:tr w:rsidR="00C27A60" w:rsidRPr="00C27A60" w14:paraId="20B215DE" w14:textId="77777777" w:rsidTr="00BD41C1">
              <w:trPr>
                <w:trHeight w:val="28"/>
              </w:trPr>
              <w:tc>
                <w:tcPr>
                  <w:tcW w:w="4423" w:type="dxa"/>
                  <w:vAlign w:val="center"/>
                  <w:hideMark/>
                </w:tcPr>
                <w:p w14:paraId="5785D804" w14:textId="77777777" w:rsidR="003A322D" w:rsidRPr="00C27A60" w:rsidRDefault="003A322D" w:rsidP="003A322D">
                  <w:pPr>
                    <w:spacing w:after="75" w:line="259" w:lineRule="auto"/>
                    <w:rPr>
                      <w:rFonts w:eastAsia="Calibri"/>
                      <w:kern w:val="2"/>
                      <w:sz w:val="22"/>
                      <w:szCs w:val="22"/>
                      <w:lang w:eastAsia="en-US"/>
                      <w14:ligatures w14:val="standardContextual"/>
                    </w:rPr>
                  </w:pPr>
                  <w:r w:rsidRPr="00C27A60">
                    <w:rPr>
                      <w:rFonts w:eastAsia="Calibri"/>
                      <w:noProof/>
                      <w:kern w:val="2"/>
                      <w:sz w:val="22"/>
                      <w:szCs w:val="22"/>
                      <w:lang w:eastAsia="en-US"/>
                      <w14:ligatures w14:val="standardContextual"/>
                    </w:rPr>
                    <w:drawing>
                      <wp:inline distT="0" distB="0" distL="0" distR="0" wp14:anchorId="3882DF33" wp14:editId="777BC2D7">
                        <wp:extent cx="2609850" cy="409575"/>
                        <wp:effectExtent l="0" t="0" r="0" b="9525"/>
                        <wp:docPr id="838436264" name="Рисунок 838436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9850" cy="409575"/>
                                </a:xfrm>
                                <a:prstGeom prst="rect">
                                  <a:avLst/>
                                </a:prstGeom>
                                <a:noFill/>
                                <a:ln>
                                  <a:noFill/>
                                </a:ln>
                              </pic:spPr>
                            </pic:pic>
                          </a:graphicData>
                        </a:graphic>
                      </wp:inline>
                    </w:drawing>
                  </w:r>
                </w:p>
              </w:tc>
              <w:tc>
                <w:tcPr>
                  <w:tcW w:w="1209" w:type="dxa"/>
                  <w:vAlign w:val="center"/>
                  <w:hideMark/>
                </w:tcPr>
                <w:p w14:paraId="44BCF93B" w14:textId="77777777" w:rsidR="003A322D" w:rsidRPr="00C27A60" w:rsidRDefault="003A322D" w:rsidP="003A322D">
                  <w:pPr>
                    <w:spacing w:after="75" w:line="259" w:lineRule="auto"/>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w:t>
                  </w:r>
                </w:p>
              </w:tc>
            </w:tr>
          </w:tbl>
          <w:p w14:paraId="6AFD996C"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де і - місяць;</w:t>
            </w:r>
          </w:p>
          <w:p w14:paraId="1DF3B1C8"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n - кількість місяців;</w:t>
            </w:r>
          </w:p>
          <w:p w14:paraId="28F80EB7"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w:t>
            </w:r>
            <w:r w:rsidRPr="00C27A60">
              <w:rPr>
                <w:rFonts w:eastAsia="Calibri"/>
                <w:kern w:val="2"/>
                <w:sz w:val="22"/>
                <w:szCs w:val="22"/>
                <w:vertAlign w:val="subscript"/>
                <w:lang w:eastAsia="en-US"/>
                <w14:ligatures w14:val="standardContextual"/>
              </w:rPr>
              <w:t>ТВЕ</w:t>
            </w:r>
            <w:r w:rsidRPr="00C27A60">
              <w:rPr>
                <w:rFonts w:eastAsia="Calibri"/>
                <w:kern w:val="2"/>
                <w:sz w:val="22"/>
                <w:szCs w:val="22"/>
                <w:lang w:eastAsia="en-US"/>
                <w14:ligatures w14:val="standardContextual"/>
              </w:rPr>
              <w:t xml:space="preserve"> - нормативно-фактична вартість технологічних витрат електричної енергії, розрахованих за фактичним балансом електричної енергії та економічними коефіцієнтами прогнозованих технологічних витрат електричної енергії в і-му місяці звітного року, тис. грн;</w:t>
            </w:r>
          </w:p>
          <w:p w14:paraId="4F5939C7"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lastRenderedPageBreak/>
              <w:t>Д</w:t>
            </w:r>
            <w:r w:rsidRPr="00C27A60">
              <w:rPr>
                <w:rFonts w:eastAsia="Calibri"/>
                <w:kern w:val="2"/>
                <w:sz w:val="22"/>
                <w:szCs w:val="22"/>
                <w:vertAlign w:val="subscript"/>
                <w:lang w:eastAsia="en-US"/>
                <w14:ligatures w14:val="standardContextual"/>
              </w:rPr>
              <w:t>ТВЕ ф і</w:t>
            </w:r>
            <w:r w:rsidRPr="00C27A60">
              <w:rPr>
                <w:rFonts w:eastAsia="Calibri"/>
                <w:kern w:val="2"/>
                <w:sz w:val="22"/>
                <w:szCs w:val="22"/>
                <w:lang w:eastAsia="en-US"/>
                <w14:ligatures w14:val="standardContextual"/>
              </w:rPr>
              <w:t xml:space="preserve"> - фактична вартість технологічних витрат електричної енергії на її розподіл в і-му місяці звітного року, тис. грн.</w:t>
            </w:r>
          </w:p>
          <w:p w14:paraId="2D0A6315"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До впровадження нового ринку електричної енергії (до 01 липня 2019 року) Д</w:t>
            </w:r>
            <w:r w:rsidRPr="00C27A60">
              <w:rPr>
                <w:rFonts w:eastAsia="Calibri"/>
                <w:kern w:val="2"/>
                <w:sz w:val="22"/>
                <w:szCs w:val="22"/>
                <w:vertAlign w:val="subscript"/>
                <w:lang w:eastAsia="en-US"/>
                <w14:ligatures w14:val="standardContextual"/>
              </w:rPr>
              <w:t xml:space="preserve">ТВЕ </w:t>
            </w:r>
            <w:proofErr w:type="spellStart"/>
            <w:r w:rsidRPr="00C27A60">
              <w:rPr>
                <w:rFonts w:eastAsia="Calibri"/>
                <w:kern w:val="2"/>
                <w:sz w:val="22"/>
                <w:szCs w:val="22"/>
                <w:vertAlign w:val="subscript"/>
                <w:lang w:eastAsia="en-US"/>
                <w14:ligatures w14:val="standardContextual"/>
              </w:rPr>
              <w:t>нф</w:t>
            </w:r>
            <w:proofErr w:type="spellEnd"/>
            <w:r w:rsidRPr="00C27A60">
              <w:rPr>
                <w:rFonts w:eastAsia="Calibri"/>
                <w:kern w:val="2"/>
                <w:sz w:val="22"/>
                <w:szCs w:val="22"/>
                <w:vertAlign w:val="subscript"/>
                <w:lang w:eastAsia="en-US"/>
                <w14:ligatures w14:val="standardContextual"/>
              </w:rPr>
              <w:t xml:space="preserve"> і</w:t>
            </w:r>
            <w:r w:rsidRPr="00C27A60">
              <w:rPr>
                <w:rFonts w:eastAsia="Calibri"/>
                <w:kern w:val="2"/>
                <w:sz w:val="22"/>
                <w:szCs w:val="22"/>
                <w:lang w:eastAsia="en-US"/>
                <w14:ligatures w14:val="standardContextual"/>
              </w:rPr>
              <w:t xml:space="preserve"> розраховується за формулою</w:t>
            </w:r>
          </w:p>
          <w:tbl>
            <w:tblPr>
              <w:tblW w:w="0" w:type="auto"/>
              <w:tblLayout w:type="fixed"/>
              <w:tblLook w:val="04A0" w:firstRow="1" w:lastRow="0" w:firstColumn="1" w:lastColumn="0" w:noHBand="0" w:noVBand="1"/>
            </w:tblPr>
            <w:tblGrid>
              <w:gridCol w:w="3856"/>
              <w:gridCol w:w="1686"/>
            </w:tblGrid>
            <w:tr w:rsidR="00C27A60" w:rsidRPr="00C27A60" w14:paraId="5009D68A" w14:textId="77777777" w:rsidTr="003A322D">
              <w:trPr>
                <w:trHeight w:val="21"/>
              </w:trPr>
              <w:tc>
                <w:tcPr>
                  <w:tcW w:w="3856" w:type="dxa"/>
                  <w:vAlign w:val="center"/>
                  <w:hideMark/>
                </w:tcPr>
                <w:p w14:paraId="0287E3AA" w14:textId="77777777" w:rsidR="003A322D" w:rsidRPr="00C27A60" w:rsidRDefault="003A322D" w:rsidP="003A322D">
                  <w:pPr>
                    <w:spacing w:after="75" w:line="259" w:lineRule="auto"/>
                    <w:rPr>
                      <w:rFonts w:eastAsia="Calibri"/>
                      <w:kern w:val="2"/>
                      <w:sz w:val="22"/>
                      <w:szCs w:val="22"/>
                      <w:lang w:eastAsia="en-US"/>
                      <w14:ligatures w14:val="standardContextual"/>
                    </w:rPr>
                  </w:pPr>
                  <w:r w:rsidRPr="00C27A60">
                    <w:rPr>
                      <w:rFonts w:eastAsia="Calibri"/>
                      <w:noProof/>
                      <w:kern w:val="2"/>
                      <w:sz w:val="22"/>
                      <w:szCs w:val="22"/>
                      <w:lang w:eastAsia="en-US"/>
                      <w14:ligatures w14:val="standardContextual"/>
                    </w:rPr>
                    <w:drawing>
                      <wp:inline distT="0" distB="0" distL="0" distR="0" wp14:anchorId="5A8DC5DB" wp14:editId="58A77459">
                        <wp:extent cx="2305050" cy="196950"/>
                        <wp:effectExtent l="0" t="0" r="0" b="0"/>
                        <wp:docPr id="469326518" name="Рисунок 469326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24255" cy="207135"/>
                                </a:xfrm>
                                <a:prstGeom prst="rect">
                                  <a:avLst/>
                                </a:prstGeom>
                                <a:noFill/>
                                <a:ln>
                                  <a:noFill/>
                                </a:ln>
                              </pic:spPr>
                            </pic:pic>
                          </a:graphicData>
                        </a:graphic>
                      </wp:inline>
                    </w:drawing>
                  </w:r>
                </w:p>
              </w:tc>
              <w:tc>
                <w:tcPr>
                  <w:tcW w:w="1686" w:type="dxa"/>
                  <w:vAlign w:val="center"/>
                  <w:hideMark/>
                </w:tcPr>
                <w:p w14:paraId="3235ABBA" w14:textId="77777777" w:rsidR="003A322D" w:rsidRPr="00C27A60" w:rsidRDefault="003A322D" w:rsidP="003A322D">
                  <w:pPr>
                    <w:spacing w:after="75" w:line="259" w:lineRule="auto"/>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w:t>
                  </w:r>
                </w:p>
              </w:tc>
            </w:tr>
          </w:tbl>
          <w:p w14:paraId="2478400E"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де Ц</w:t>
            </w:r>
            <w:r w:rsidRPr="00C27A60">
              <w:rPr>
                <w:rFonts w:eastAsia="Calibri"/>
                <w:kern w:val="2"/>
                <w:sz w:val="22"/>
                <w:szCs w:val="22"/>
                <w:vertAlign w:val="subscript"/>
                <w:lang w:eastAsia="en-US"/>
                <w14:ligatures w14:val="standardContextual"/>
              </w:rPr>
              <w:t>ОРЕ ф і</w:t>
            </w:r>
            <w:r w:rsidRPr="00C27A60">
              <w:rPr>
                <w:rFonts w:eastAsia="Calibri"/>
                <w:kern w:val="2"/>
                <w:sz w:val="22"/>
                <w:szCs w:val="22"/>
                <w:lang w:eastAsia="en-US"/>
                <w14:ligatures w14:val="standardContextual"/>
              </w:rPr>
              <w:t xml:space="preserve"> - фактична середньозважена ціна купівлі електричної енергії на Оптовому ринку електричної енергії України, що склалася в і-му місяці 2019 року, скоригована з урахуванням дотацій, грн/МВт·год;</w:t>
            </w:r>
          </w:p>
          <w:p w14:paraId="343E1D59" w14:textId="77777777" w:rsidR="003A322D" w:rsidRPr="00C27A60" w:rsidRDefault="003A322D" w:rsidP="003A322D">
            <w:pPr>
              <w:shd w:val="clear" w:color="auto" w:fill="FFFFFF"/>
              <w:jc w:val="both"/>
              <w:rPr>
                <w:sz w:val="22"/>
                <w:szCs w:val="22"/>
                <w:lang w:eastAsia="uk-UA"/>
              </w:rPr>
            </w:pPr>
            <w:r w:rsidRPr="00C27A60">
              <w:rPr>
                <w:sz w:val="22"/>
                <w:szCs w:val="22"/>
                <w:lang w:eastAsia="uk-UA"/>
              </w:rPr>
              <w:t>O</w:t>
            </w:r>
            <w:r w:rsidRPr="00C27A60">
              <w:rPr>
                <w:sz w:val="22"/>
                <w:szCs w:val="22"/>
                <w:vertAlign w:val="subscript"/>
                <w:lang w:eastAsia="uk-UA"/>
              </w:rPr>
              <w:t xml:space="preserve">ТВЕ </w:t>
            </w:r>
            <w:proofErr w:type="spellStart"/>
            <w:r w:rsidRPr="00C27A60">
              <w:rPr>
                <w:sz w:val="22"/>
                <w:szCs w:val="22"/>
                <w:vertAlign w:val="subscript"/>
                <w:lang w:eastAsia="uk-UA"/>
              </w:rPr>
              <w:t>нф</w:t>
            </w:r>
            <w:proofErr w:type="spellEnd"/>
            <w:r w:rsidRPr="00C27A60">
              <w:rPr>
                <w:sz w:val="22"/>
                <w:szCs w:val="22"/>
                <w:vertAlign w:val="subscript"/>
                <w:lang w:eastAsia="uk-UA"/>
              </w:rPr>
              <w:t xml:space="preserve"> і</w:t>
            </w:r>
            <w:r w:rsidRPr="00C27A60">
              <w:rPr>
                <w:sz w:val="22"/>
                <w:szCs w:val="22"/>
                <w:lang w:eastAsia="uk-UA"/>
              </w:rPr>
              <w:t xml:space="preserve"> - нормативно-фактичний обсяг технологічних витрат електричної енергії на її розподіл на 1 та 2 класах напруги в і-му місяці звітного року, МВт·год, що розраховується за формулою</w:t>
            </w:r>
          </w:p>
          <w:p w14:paraId="4DF8A504" w14:textId="77777777" w:rsidR="003A322D" w:rsidRPr="00C27A60" w:rsidRDefault="003A322D" w:rsidP="003A322D">
            <w:pPr>
              <w:shd w:val="clear" w:color="auto" w:fill="FFFFFF"/>
              <w:jc w:val="both"/>
              <w:rPr>
                <w:b/>
                <w:bCs/>
                <w:sz w:val="22"/>
                <w:szCs w:val="22"/>
                <w:lang w:eastAsia="uk-UA"/>
              </w:rPr>
            </w:pPr>
          </w:p>
          <w:p w14:paraId="56DF6172" w14:textId="77777777" w:rsidR="003A322D" w:rsidRPr="00C27A60" w:rsidRDefault="003A322D" w:rsidP="003A322D">
            <w:pPr>
              <w:shd w:val="clear" w:color="auto" w:fill="FFFFFF"/>
              <w:jc w:val="both"/>
              <w:rPr>
                <w:b/>
                <w:bCs/>
                <w:sz w:val="22"/>
                <w:szCs w:val="22"/>
                <w:lang w:eastAsia="uk-UA"/>
              </w:rPr>
            </w:pPr>
            <w:r w:rsidRPr="00C27A60">
              <w:rPr>
                <w:noProof/>
                <w:sz w:val="22"/>
                <w:szCs w:val="22"/>
                <w:lang w:eastAsia="uk-UA"/>
              </w:rPr>
              <w:drawing>
                <wp:inline distT="0" distB="0" distL="0" distR="0" wp14:anchorId="7FF5B0CF" wp14:editId="15AD5D14">
                  <wp:extent cx="3400241" cy="409575"/>
                  <wp:effectExtent l="0" t="0" r="0" b="0"/>
                  <wp:docPr id="1134635940" name="Рисунок 1134635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56620" cy="416366"/>
                          </a:xfrm>
                          <a:prstGeom prst="rect">
                            <a:avLst/>
                          </a:prstGeom>
                          <a:noFill/>
                          <a:ln>
                            <a:noFill/>
                          </a:ln>
                        </pic:spPr>
                      </pic:pic>
                    </a:graphicData>
                  </a:graphic>
                </wp:inline>
              </w:drawing>
            </w:r>
          </w:p>
          <w:p w14:paraId="52AA27D5"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p>
          <w:p w14:paraId="64C6F2EA"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де </w:t>
            </w:r>
            <w:r w:rsidRPr="00C27A60">
              <w:rPr>
                <w:rFonts w:eastAsia="Calibri"/>
                <w:i/>
                <w:kern w:val="2"/>
                <w:sz w:val="22"/>
                <w:szCs w:val="22"/>
                <w:lang w:eastAsia="en-US"/>
                <w14:ligatures w14:val="standardContextual"/>
              </w:rPr>
              <w:t>W</w:t>
            </w:r>
            <w:r w:rsidRPr="00C27A60">
              <w:rPr>
                <w:rFonts w:eastAsia="Calibri"/>
                <w:kern w:val="2"/>
                <w:sz w:val="22"/>
                <w:szCs w:val="22"/>
                <w:vertAlign w:val="subscript"/>
                <w:lang w:eastAsia="en-US"/>
                <w14:ligatures w14:val="standardContextual"/>
              </w:rPr>
              <w:t>1i</w:t>
            </w:r>
            <w:r w:rsidRPr="00C27A60">
              <w:rPr>
                <w:rFonts w:eastAsia="Calibri"/>
                <w:kern w:val="2"/>
                <w:sz w:val="22"/>
                <w:szCs w:val="22"/>
                <w:lang w:eastAsia="en-US"/>
                <w14:ligatures w14:val="standardContextual"/>
              </w:rPr>
              <w:t xml:space="preserve"> - фактичний обсяг корисного відпуску електричної енергії споживачам на 1 класі напруги в і</w:t>
            </w:r>
            <w:r w:rsidRPr="00C27A60">
              <w:rPr>
                <w:rFonts w:eastAsia="Calibri"/>
                <w:i/>
                <w:kern w:val="2"/>
                <w:sz w:val="22"/>
                <w:szCs w:val="22"/>
                <w:lang w:eastAsia="en-US"/>
                <w14:ligatures w14:val="standardContextual"/>
              </w:rPr>
              <w:t>-</w:t>
            </w:r>
            <w:r w:rsidRPr="00C27A60">
              <w:rPr>
                <w:rFonts w:eastAsia="Calibri"/>
                <w:kern w:val="2"/>
                <w:sz w:val="22"/>
                <w:szCs w:val="22"/>
                <w:lang w:eastAsia="en-US"/>
                <w14:ligatures w14:val="standardContextual"/>
              </w:rPr>
              <w:t>му місяці звітного року, МВт·год;</w:t>
            </w:r>
          </w:p>
          <w:p w14:paraId="3F61E15C"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i/>
                <w:kern w:val="2"/>
                <w:sz w:val="22"/>
                <w:szCs w:val="22"/>
                <w:lang w:eastAsia="en-US"/>
                <w14:ligatures w14:val="standardContextual"/>
              </w:rPr>
              <w:t>W</w:t>
            </w:r>
            <w:r w:rsidRPr="00C27A60">
              <w:rPr>
                <w:rFonts w:eastAsia="Calibri"/>
                <w:kern w:val="2"/>
                <w:sz w:val="22"/>
                <w:szCs w:val="22"/>
                <w:vertAlign w:val="subscript"/>
                <w:lang w:eastAsia="en-US"/>
                <w14:ligatures w14:val="standardContextual"/>
              </w:rPr>
              <w:t>2i</w:t>
            </w:r>
            <w:r w:rsidRPr="00C27A60">
              <w:rPr>
                <w:rFonts w:eastAsia="Calibri"/>
                <w:kern w:val="2"/>
                <w:sz w:val="22"/>
                <w:szCs w:val="22"/>
                <w:lang w:eastAsia="en-US"/>
                <w14:ligatures w14:val="standardContextual"/>
              </w:rPr>
              <w:t xml:space="preserve"> - фактичний обсяг розподілу електричної енергії споживачам на 2 класі напруги в і</w:t>
            </w:r>
            <w:r w:rsidRPr="00C27A60">
              <w:rPr>
                <w:rFonts w:eastAsia="Calibri"/>
                <w:i/>
                <w:kern w:val="2"/>
                <w:sz w:val="22"/>
                <w:szCs w:val="22"/>
                <w:lang w:eastAsia="en-US"/>
                <w14:ligatures w14:val="standardContextual"/>
              </w:rPr>
              <w:t>-</w:t>
            </w:r>
            <w:r w:rsidRPr="00C27A60">
              <w:rPr>
                <w:rFonts w:eastAsia="Calibri"/>
                <w:kern w:val="2"/>
                <w:sz w:val="22"/>
                <w:szCs w:val="22"/>
                <w:lang w:eastAsia="en-US"/>
                <w14:ligatures w14:val="standardContextual"/>
              </w:rPr>
              <w:t>му місяці звітного року, МВт·год;</w:t>
            </w:r>
          </w:p>
          <w:p w14:paraId="290F64E8"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i/>
                <w:kern w:val="2"/>
                <w:sz w:val="22"/>
                <w:szCs w:val="22"/>
                <w:lang w:eastAsia="en-US"/>
                <w14:ligatures w14:val="standardContextual"/>
              </w:rPr>
              <w:t>K</w:t>
            </w:r>
            <w:r w:rsidRPr="00C27A60">
              <w:rPr>
                <w:rFonts w:eastAsia="Calibri"/>
                <w:kern w:val="2"/>
                <w:sz w:val="22"/>
                <w:szCs w:val="22"/>
                <w:vertAlign w:val="subscript"/>
                <w:lang w:eastAsia="en-US"/>
                <w14:ligatures w14:val="standardContextual"/>
              </w:rPr>
              <w:t>1</w:t>
            </w:r>
            <w:r w:rsidRPr="00C27A60">
              <w:rPr>
                <w:rFonts w:eastAsia="Calibri"/>
                <w:kern w:val="2"/>
                <w:sz w:val="22"/>
                <w:szCs w:val="22"/>
                <w:lang w:eastAsia="en-US"/>
                <w14:ligatures w14:val="standardContextual"/>
              </w:rPr>
              <w:t xml:space="preserve">, </w:t>
            </w:r>
            <w:r w:rsidRPr="00C27A60">
              <w:rPr>
                <w:rFonts w:eastAsia="Calibri"/>
                <w:i/>
                <w:kern w:val="2"/>
                <w:sz w:val="22"/>
                <w:szCs w:val="22"/>
                <w:lang w:eastAsia="en-US"/>
                <w14:ligatures w14:val="standardContextual"/>
              </w:rPr>
              <w:t>K</w:t>
            </w:r>
            <w:r w:rsidRPr="00C27A60">
              <w:rPr>
                <w:rFonts w:eastAsia="Calibri"/>
                <w:kern w:val="2"/>
                <w:sz w:val="22"/>
                <w:szCs w:val="22"/>
                <w:vertAlign w:val="subscript"/>
                <w:lang w:eastAsia="en-US"/>
                <w14:ligatures w14:val="standardContextual"/>
              </w:rPr>
              <w:t>2</w:t>
            </w:r>
            <w:r w:rsidRPr="00C27A60">
              <w:rPr>
                <w:rFonts w:eastAsia="Calibri"/>
                <w:kern w:val="2"/>
                <w:sz w:val="22"/>
                <w:szCs w:val="22"/>
                <w:lang w:eastAsia="en-US"/>
                <w14:ligatures w14:val="standardContextual"/>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43033DB3" w14:textId="77777777" w:rsidR="003A322D" w:rsidRPr="00C27A60" w:rsidRDefault="003A322D" w:rsidP="003A322D">
            <w:pPr>
              <w:shd w:val="clear" w:color="auto" w:fill="FFFFFF"/>
              <w:jc w:val="both"/>
              <w:rPr>
                <w:sz w:val="22"/>
                <w:szCs w:val="22"/>
                <w:lang w:eastAsia="uk-UA"/>
              </w:rPr>
            </w:pPr>
          </w:p>
          <w:p w14:paraId="6E62E17A" w14:textId="77777777" w:rsidR="003A322D" w:rsidRPr="00C27A60" w:rsidRDefault="003A322D" w:rsidP="003A322D">
            <w:pPr>
              <w:shd w:val="clear" w:color="auto" w:fill="FFFFFF"/>
              <w:jc w:val="both"/>
              <w:rPr>
                <w:sz w:val="22"/>
                <w:szCs w:val="22"/>
                <w:lang w:eastAsia="uk-UA"/>
              </w:rPr>
            </w:pPr>
            <w:r w:rsidRPr="00C27A60">
              <w:rPr>
                <w:sz w:val="22"/>
                <w:szCs w:val="22"/>
                <w:lang w:eastAsia="uk-UA"/>
              </w:rPr>
              <w:t>Д</w:t>
            </w:r>
            <w:r w:rsidRPr="00C27A60">
              <w:rPr>
                <w:sz w:val="22"/>
                <w:szCs w:val="22"/>
                <w:vertAlign w:val="subscript"/>
                <w:lang w:eastAsia="uk-UA"/>
              </w:rPr>
              <w:t>ТВЕ ф і</w:t>
            </w:r>
            <w:r w:rsidRPr="00C27A60">
              <w:rPr>
                <w:sz w:val="22"/>
                <w:szCs w:val="22"/>
                <w:lang w:eastAsia="uk-UA"/>
              </w:rPr>
              <w:t xml:space="preserve"> розраховується за формулою</w:t>
            </w:r>
          </w:p>
          <w:p w14:paraId="62710346" w14:textId="77777777" w:rsidR="003A322D" w:rsidRPr="00C27A60" w:rsidRDefault="003A322D" w:rsidP="003A322D">
            <w:pPr>
              <w:shd w:val="clear" w:color="auto" w:fill="FFFFFF"/>
              <w:jc w:val="both"/>
              <w:rPr>
                <w:b/>
                <w:bCs/>
                <w:sz w:val="22"/>
                <w:szCs w:val="22"/>
                <w:lang w:eastAsia="uk-UA"/>
              </w:rPr>
            </w:pPr>
            <w:r w:rsidRPr="00C27A60">
              <w:rPr>
                <w:noProof/>
                <w:sz w:val="22"/>
                <w:szCs w:val="22"/>
                <w:lang w:eastAsia="uk-UA"/>
              </w:rPr>
              <w:drawing>
                <wp:inline distT="0" distB="0" distL="0" distR="0" wp14:anchorId="2FCBA9DA" wp14:editId="333FE910">
                  <wp:extent cx="2781300" cy="257175"/>
                  <wp:effectExtent l="0" t="0" r="0" b="9525"/>
                  <wp:docPr id="315549813" name="Рисунок 315549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1300" cy="257175"/>
                          </a:xfrm>
                          <a:prstGeom prst="rect">
                            <a:avLst/>
                          </a:prstGeom>
                          <a:noFill/>
                          <a:ln>
                            <a:noFill/>
                          </a:ln>
                        </pic:spPr>
                      </pic:pic>
                    </a:graphicData>
                  </a:graphic>
                </wp:inline>
              </w:drawing>
            </w:r>
          </w:p>
          <w:p w14:paraId="24977B4F" w14:textId="77777777" w:rsidR="003A322D" w:rsidRPr="00C27A60" w:rsidRDefault="003A322D" w:rsidP="003A322D">
            <w:pPr>
              <w:shd w:val="clear" w:color="auto" w:fill="FFFFFF"/>
              <w:jc w:val="both"/>
              <w:rPr>
                <w:sz w:val="22"/>
                <w:szCs w:val="22"/>
                <w:lang w:val="ru-RU" w:eastAsia="uk-UA"/>
              </w:rPr>
            </w:pPr>
            <w:r w:rsidRPr="00C27A60">
              <w:rPr>
                <w:b/>
                <w:sz w:val="22"/>
                <w:szCs w:val="22"/>
                <w:lang w:eastAsia="uk-UA"/>
              </w:rPr>
              <w:t xml:space="preserve">де OТВЕ ф і – фактичний обсяг технологічних витрат електричної енергії в і му місяці звітного року відповідно до наданих комісії з перевірки належним чином завірених копій підтвердних документів та даних </w:t>
            </w:r>
            <w:r w:rsidRPr="00C27A60">
              <w:rPr>
                <w:b/>
                <w:sz w:val="22"/>
                <w:szCs w:val="22"/>
                <w:lang w:eastAsia="uk-UA"/>
              </w:rPr>
              <w:lastRenderedPageBreak/>
              <w:t>за формою звітності № 2-НКРЕ (місячна) «Звітні дані про обсяги передачі електричної енергії місцевими (локальними) електромережами та нормативні технологічні витрати електроенергії за 1 – 2 класами напруги», затвердженою постановою Національної комісії, що здійснює державне регулювання у сфері енергетики, від 04 жовтня 2012 року № 1257, формою звітності № 2а-НКРЕКП-розподіл електричної енергії (місячна) «Звітні дані про обсяги розподілу електричної енергії та технологічні витрати електричної енергії за 1 та 2 класами напруги», затвердженою постановою НКРЕКП від 28 лютого 2019 року № 282, та формою звітності № 5-НКРЕКП-моніторинг-розподіл (місячна) «Звіт про обсяги розподілу електричної енергії», затвердженою постановою НКРЕКП від 29 березня 2019 року № 450, МВт·год.</w:t>
            </w:r>
          </w:p>
          <w:p w14:paraId="6262483C" w14:textId="77777777" w:rsidR="003A322D" w:rsidRPr="00C27A60" w:rsidRDefault="003A322D" w:rsidP="003A322D">
            <w:pPr>
              <w:shd w:val="clear" w:color="auto" w:fill="FFFFFF"/>
              <w:jc w:val="both"/>
              <w:rPr>
                <w:sz w:val="22"/>
                <w:szCs w:val="22"/>
                <w:lang w:val="ru-RU" w:eastAsia="uk-UA"/>
              </w:rPr>
            </w:pPr>
          </w:p>
          <w:p w14:paraId="6F7A0B06" w14:textId="77777777" w:rsidR="003A322D" w:rsidRPr="00C27A60" w:rsidRDefault="003A322D" w:rsidP="003A322D">
            <w:pPr>
              <w:shd w:val="clear" w:color="auto" w:fill="FFFFFF"/>
              <w:jc w:val="both"/>
              <w:rPr>
                <w:sz w:val="22"/>
                <w:szCs w:val="22"/>
                <w:lang w:val="ru-RU" w:eastAsia="uk-UA"/>
              </w:rPr>
            </w:pPr>
            <w:r w:rsidRPr="00C27A60">
              <w:rPr>
                <w:sz w:val="22"/>
                <w:szCs w:val="22"/>
                <w:lang w:eastAsia="uk-UA"/>
              </w:rPr>
              <w:t>Після впровадження нового ринку електричної енергії (з 01 липня 2019 року) Д</w:t>
            </w:r>
            <w:r w:rsidRPr="00C27A60">
              <w:rPr>
                <w:sz w:val="22"/>
                <w:szCs w:val="22"/>
                <w:vertAlign w:val="subscript"/>
                <w:lang w:eastAsia="uk-UA"/>
              </w:rPr>
              <w:t xml:space="preserve">ТВЕ </w:t>
            </w:r>
            <w:proofErr w:type="spellStart"/>
            <w:r w:rsidRPr="00C27A60">
              <w:rPr>
                <w:sz w:val="22"/>
                <w:szCs w:val="22"/>
                <w:vertAlign w:val="subscript"/>
                <w:lang w:eastAsia="uk-UA"/>
              </w:rPr>
              <w:t>нф</w:t>
            </w:r>
            <w:proofErr w:type="spellEnd"/>
            <w:r w:rsidRPr="00C27A60">
              <w:rPr>
                <w:sz w:val="22"/>
                <w:szCs w:val="22"/>
                <w:vertAlign w:val="subscript"/>
                <w:lang w:eastAsia="uk-UA"/>
              </w:rPr>
              <w:t xml:space="preserve"> і</w:t>
            </w:r>
            <w:r w:rsidRPr="00C27A60">
              <w:rPr>
                <w:sz w:val="22"/>
                <w:szCs w:val="22"/>
                <w:lang w:eastAsia="uk-UA"/>
              </w:rPr>
              <w:t xml:space="preserve"> розраховується за формулою</w:t>
            </w:r>
          </w:p>
          <w:p w14:paraId="3805CE3B" w14:textId="77777777" w:rsidR="003A322D" w:rsidRPr="00C27A60" w:rsidRDefault="003A322D" w:rsidP="003A322D">
            <w:pPr>
              <w:shd w:val="clear" w:color="auto" w:fill="FFFFFF"/>
              <w:jc w:val="both"/>
              <w:rPr>
                <w:sz w:val="22"/>
                <w:szCs w:val="22"/>
                <w:lang w:val="en-US" w:eastAsia="uk-UA"/>
              </w:rPr>
            </w:pPr>
            <w:r w:rsidRPr="00C27A60">
              <w:rPr>
                <w:noProof/>
                <w:sz w:val="22"/>
                <w:szCs w:val="22"/>
                <w:lang w:eastAsia="uk-UA"/>
              </w:rPr>
              <w:drawing>
                <wp:inline distT="0" distB="0" distL="0" distR="0" wp14:anchorId="35DCCEA0" wp14:editId="72EF925C">
                  <wp:extent cx="2838450" cy="160235"/>
                  <wp:effectExtent l="0" t="0" r="0" b="0"/>
                  <wp:docPr id="36125323" name="Рисунок 36125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75712" cy="184919"/>
                          </a:xfrm>
                          <a:prstGeom prst="rect">
                            <a:avLst/>
                          </a:prstGeom>
                          <a:noFill/>
                          <a:ln>
                            <a:noFill/>
                          </a:ln>
                        </pic:spPr>
                      </pic:pic>
                    </a:graphicData>
                  </a:graphic>
                </wp:inline>
              </w:drawing>
            </w:r>
          </w:p>
          <w:p w14:paraId="51C57A62"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де </w:t>
            </w:r>
            <w:proofErr w:type="spellStart"/>
            <w:r w:rsidRPr="00C27A60">
              <w:rPr>
                <w:rFonts w:eastAsia="Calibri"/>
                <w:kern w:val="2"/>
                <w:sz w:val="22"/>
                <w:szCs w:val="22"/>
                <w:lang w:eastAsia="en-US"/>
                <w14:ligatures w14:val="standardContextual"/>
              </w:rPr>
              <w:t>К</w:t>
            </w:r>
            <w:r w:rsidRPr="00C27A60">
              <w:rPr>
                <w:rFonts w:eastAsia="Calibri"/>
                <w:kern w:val="2"/>
                <w:sz w:val="22"/>
                <w:szCs w:val="22"/>
                <w:vertAlign w:val="subscript"/>
                <w:lang w:eastAsia="en-US"/>
                <w14:ligatures w14:val="standardContextual"/>
              </w:rPr>
              <w:t>ф</w:t>
            </w:r>
            <w:proofErr w:type="spellEnd"/>
            <w:r w:rsidRPr="00C27A60">
              <w:rPr>
                <w:rFonts w:eastAsia="Calibri"/>
                <w:kern w:val="2"/>
                <w:sz w:val="22"/>
                <w:szCs w:val="22"/>
                <w:vertAlign w:val="subscript"/>
                <w:lang w:eastAsia="en-US"/>
                <w14:ligatures w14:val="standardContextual"/>
              </w:rPr>
              <w:t xml:space="preserve"> ПСО і</w:t>
            </w:r>
            <w:r w:rsidRPr="00C27A60">
              <w:rPr>
                <w:rFonts w:eastAsia="Calibri"/>
                <w:kern w:val="2"/>
                <w:sz w:val="22"/>
                <w:szCs w:val="22"/>
                <w:lang w:eastAsia="en-US"/>
                <w14:ligatures w14:val="standardContextual"/>
              </w:rPr>
              <w:t xml:space="preserve"> - питома вага в загальному обсязі технологічних витрат електричної енергії на її розподіл, купованої згідно з Положенням N 483, в і-му місяці звітного року:</w:t>
            </w:r>
          </w:p>
          <w:p w14:paraId="1FF4F059" w14:textId="77777777" w:rsidR="003A322D" w:rsidRPr="00C27A60" w:rsidRDefault="003A322D" w:rsidP="003A322D">
            <w:pPr>
              <w:shd w:val="clear" w:color="auto" w:fill="FFFFFF"/>
              <w:jc w:val="both"/>
              <w:rPr>
                <w:sz w:val="22"/>
                <w:szCs w:val="22"/>
                <w:lang w:val="ru-RU" w:eastAsia="uk-UA"/>
              </w:rPr>
            </w:pPr>
            <w:r w:rsidRPr="00C27A60">
              <w:rPr>
                <w:sz w:val="22"/>
                <w:szCs w:val="22"/>
                <w:lang w:eastAsia="uk-UA"/>
              </w:rPr>
              <w:t>у липні - серпні 2019 року розраховується за формулою</w:t>
            </w:r>
          </w:p>
          <w:p w14:paraId="12B54BA5" w14:textId="77777777" w:rsidR="003A322D" w:rsidRPr="00C27A60" w:rsidRDefault="003A322D" w:rsidP="003A322D">
            <w:pPr>
              <w:shd w:val="clear" w:color="auto" w:fill="FFFFFF"/>
              <w:jc w:val="both"/>
              <w:rPr>
                <w:b/>
                <w:bCs/>
                <w:sz w:val="22"/>
                <w:szCs w:val="22"/>
                <w:lang w:val="en-US" w:eastAsia="uk-UA"/>
              </w:rPr>
            </w:pPr>
            <w:r w:rsidRPr="00C27A60">
              <w:rPr>
                <w:noProof/>
                <w:sz w:val="22"/>
                <w:szCs w:val="22"/>
                <w:lang w:eastAsia="uk-UA"/>
              </w:rPr>
              <w:drawing>
                <wp:inline distT="0" distB="0" distL="0" distR="0" wp14:anchorId="6BCEC323" wp14:editId="76210F52">
                  <wp:extent cx="1971675" cy="485775"/>
                  <wp:effectExtent l="0" t="0" r="9525" b="9525"/>
                  <wp:docPr id="1032051651" name="Рисунок 1032051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71675" cy="485775"/>
                          </a:xfrm>
                          <a:prstGeom prst="rect">
                            <a:avLst/>
                          </a:prstGeom>
                          <a:noFill/>
                          <a:ln>
                            <a:noFill/>
                          </a:ln>
                        </pic:spPr>
                      </pic:pic>
                    </a:graphicData>
                  </a:graphic>
                </wp:inline>
              </w:drawing>
            </w:r>
          </w:p>
          <w:p w14:paraId="5023AD17" w14:textId="77777777" w:rsidR="003A322D" w:rsidRPr="00C27A60" w:rsidRDefault="003A322D" w:rsidP="003A322D">
            <w:pPr>
              <w:spacing w:after="75" w:line="259" w:lineRule="auto"/>
              <w:ind w:firstLine="240"/>
              <w:jc w:val="both"/>
              <w:rPr>
                <w:rFonts w:eastAsia="Calibri"/>
                <w:kern w:val="2"/>
                <w:sz w:val="22"/>
                <w:szCs w:val="22"/>
                <w:lang w:val="en-US" w:eastAsia="en-US"/>
                <w14:ligatures w14:val="standardContextual"/>
              </w:rPr>
            </w:pPr>
          </w:p>
          <w:p w14:paraId="03B43562"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де О</w:t>
            </w:r>
            <w:r w:rsidRPr="00C27A60">
              <w:rPr>
                <w:rFonts w:eastAsia="Calibri"/>
                <w:kern w:val="2"/>
                <w:sz w:val="22"/>
                <w:szCs w:val="22"/>
                <w:vertAlign w:val="subscript"/>
                <w:lang w:eastAsia="en-US"/>
                <w14:ligatures w14:val="standardContextual"/>
              </w:rPr>
              <w:t>ТВЕ ПСО ф і</w:t>
            </w:r>
            <w:r w:rsidRPr="00C27A60">
              <w:rPr>
                <w:rFonts w:eastAsia="Calibri"/>
                <w:kern w:val="2"/>
                <w:sz w:val="22"/>
                <w:szCs w:val="22"/>
                <w:lang w:eastAsia="en-US"/>
                <w14:ligatures w14:val="standardContextual"/>
              </w:rPr>
              <w:t xml:space="preserve"> - фактичний обсяг технологічних витрат електричної енергії на її розподіл на 1 та 2 класах напруги в і-му місяці звітного року, куплений згідно з Положенням N 483 в і-му місяці звітного року, МВт·год;</w:t>
            </w:r>
          </w:p>
          <w:p w14:paraId="3370A4E7"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у вересні - грудні 2019 року </w:t>
            </w:r>
            <w:proofErr w:type="spellStart"/>
            <w:r w:rsidRPr="00C27A60">
              <w:rPr>
                <w:rFonts w:eastAsia="Calibri"/>
                <w:kern w:val="2"/>
                <w:sz w:val="22"/>
                <w:szCs w:val="22"/>
                <w:lang w:eastAsia="en-US"/>
                <w14:ligatures w14:val="standardContextual"/>
              </w:rPr>
              <w:t>К</w:t>
            </w:r>
            <w:r w:rsidRPr="00C27A60">
              <w:rPr>
                <w:rFonts w:eastAsia="Calibri"/>
                <w:kern w:val="2"/>
                <w:sz w:val="22"/>
                <w:szCs w:val="22"/>
                <w:vertAlign w:val="subscript"/>
                <w:lang w:eastAsia="en-US"/>
                <w14:ligatures w14:val="standardContextual"/>
              </w:rPr>
              <w:t>ф</w:t>
            </w:r>
            <w:proofErr w:type="spellEnd"/>
            <w:r w:rsidRPr="00C27A60">
              <w:rPr>
                <w:rFonts w:eastAsia="Calibri"/>
                <w:kern w:val="2"/>
                <w:sz w:val="22"/>
                <w:szCs w:val="22"/>
                <w:vertAlign w:val="subscript"/>
                <w:lang w:eastAsia="en-US"/>
                <w14:ligatures w14:val="standardContextual"/>
              </w:rPr>
              <w:t xml:space="preserve"> ПСО і</w:t>
            </w:r>
            <w:r w:rsidRPr="00C27A60">
              <w:rPr>
                <w:rFonts w:eastAsia="Calibri"/>
                <w:kern w:val="2"/>
                <w:sz w:val="22"/>
                <w:szCs w:val="22"/>
                <w:lang w:eastAsia="en-US"/>
                <w14:ligatures w14:val="standardContextual"/>
              </w:rPr>
              <w:t xml:space="preserve"> дорівнює 0,8;</w:t>
            </w:r>
          </w:p>
          <w:p w14:paraId="03730385"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lastRenderedPageBreak/>
              <w:t xml:space="preserve">Ц </w:t>
            </w:r>
            <w:r w:rsidRPr="00C27A60">
              <w:rPr>
                <w:rFonts w:eastAsia="Calibri"/>
                <w:kern w:val="2"/>
                <w:sz w:val="22"/>
                <w:szCs w:val="22"/>
                <w:vertAlign w:val="subscript"/>
                <w:lang w:eastAsia="en-US"/>
                <w14:ligatures w14:val="standardContextual"/>
              </w:rPr>
              <w:t>ф і</w:t>
            </w:r>
            <w:r w:rsidRPr="00C27A60">
              <w:rPr>
                <w:rFonts w:eastAsia="Calibri"/>
                <w:kern w:val="2"/>
                <w:sz w:val="22"/>
                <w:szCs w:val="22"/>
                <w:lang w:eastAsia="en-US"/>
                <w14:ligatures w14:val="standardContextual"/>
              </w:rPr>
              <w:t xml:space="preserve"> - фактична ціна електричної енергії, купованої згідно з Положенням N 483, в і-му місяці звітного року, грн/МВт·год;</w:t>
            </w:r>
          </w:p>
          <w:p w14:paraId="6E5AB15F" w14:textId="77777777" w:rsidR="003A322D" w:rsidRPr="00C27A60" w:rsidRDefault="003A322D" w:rsidP="003A322D">
            <w:pPr>
              <w:shd w:val="clear" w:color="auto" w:fill="FFFFFF"/>
              <w:jc w:val="both"/>
              <w:rPr>
                <w:sz w:val="22"/>
                <w:szCs w:val="22"/>
                <w:lang w:eastAsia="uk-UA"/>
              </w:rPr>
            </w:pPr>
            <w:r w:rsidRPr="00C27A60">
              <w:rPr>
                <w:sz w:val="22"/>
                <w:szCs w:val="22"/>
                <w:lang w:eastAsia="uk-UA"/>
              </w:rPr>
              <w:t>Ц</w:t>
            </w:r>
            <w:r w:rsidRPr="00C27A60">
              <w:rPr>
                <w:sz w:val="22"/>
                <w:szCs w:val="22"/>
                <w:vertAlign w:val="subscript"/>
                <w:lang w:eastAsia="uk-UA"/>
              </w:rPr>
              <w:t>РДН ф і</w:t>
            </w:r>
            <w:r w:rsidRPr="00C27A60">
              <w:rPr>
                <w:sz w:val="22"/>
                <w:szCs w:val="22"/>
                <w:lang w:eastAsia="uk-UA"/>
              </w:rPr>
              <w:t xml:space="preserve"> - фактична середньозважена ціна купівлі електричної енергії на ринку "на добу наперед" в і-му місяці звітного року, що враховує погодинний графік технологічних витрат електричної енергії оператора системи розподілу, грн/МВт·год.</w:t>
            </w:r>
          </w:p>
          <w:p w14:paraId="28538239" w14:textId="77777777" w:rsidR="003A322D" w:rsidRPr="00C27A60" w:rsidRDefault="003A322D" w:rsidP="003A322D">
            <w:pPr>
              <w:shd w:val="clear" w:color="auto" w:fill="FFFFFF"/>
              <w:jc w:val="both"/>
              <w:rPr>
                <w:sz w:val="22"/>
                <w:szCs w:val="22"/>
                <w:lang w:eastAsia="uk-UA"/>
              </w:rPr>
            </w:pPr>
          </w:p>
          <w:p w14:paraId="26B79029" w14:textId="77777777" w:rsidR="003A322D" w:rsidRPr="00C27A60" w:rsidRDefault="003A322D" w:rsidP="003A322D">
            <w:pPr>
              <w:spacing w:after="75" w:line="259" w:lineRule="auto"/>
              <w:ind w:firstLine="240"/>
              <w:jc w:val="both"/>
              <w:rPr>
                <w:rFonts w:eastAsia="Calibri"/>
                <w:kern w:val="2"/>
                <w:sz w:val="22"/>
                <w:szCs w:val="22"/>
                <w:lang w:val="ru-RU" w:eastAsia="en-US"/>
                <w14:ligatures w14:val="standardContextual"/>
              </w:rPr>
            </w:pPr>
            <w:r w:rsidRPr="00C27A60">
              <w:rPr>
                <w:rFonts w:eastAsia="Calibri"/>
                <w:kern w:val="2"/>
                <w:sz w:val="22"/>
                <w:szCs w:val="22"/>
                <w:lang w:eastAsia="en-US"/>
                <w14:ligatures w14:val="standardContextual"/>
              </w:rPr>
              <w:t>Д</w:t>
            </w:r>
            <w:r w:rsidRPr="00C27A60">
              <w:rPr>
                <w:rFonts w:eastAsia="Calibri"/>
                <w:kern w:val="2"/>
                <w:sz w:val="22"/>
                <w:szCs w:val="22"/>
                <w:vertAlign w:val="subscript"/>
                <w:lang w:eastAsia="en-US"/>
                <w14:ligatures w14:val="standardContextual"/>
              </w:rPr>
              <w:t>ТВЕ ф і</w:t>
            </w:r>
            <w:r w:rsidRPr="00C27A60">
              <w:rPr>
                <w:rFonts w:eastAsia="Calibri"/>
                <w:kern w:val="2"/>
                <w:sz w:val="22"/>
                <w:szCs w:val="22"/>
                <w:lang w:eastAsia="en-US"/>
                <w14:ligatures w14:val="standardContextual"/>
              </w:rPr>
              <w:t xml:space="preserve"> розраховується за формулою</w:t>
            </w:r>
          </w:p>
          <w:p w14:paraId="6B224B5C" w14:textId="77777777" w:rsidR="003A322D" w:rsidRPr="00C27A60" w:rsidRDefault="003A322D" w:rsidP="003A322D">
            <w:pPr>
              <w:shd w:val="clear" w:color="auto" w:fill="FFFFFF"/>
              <w:jc w:val="both"/>
              <w:rPr>
                <w:sz w:val="22"/>
                <w:szCs w:val="22"/>
                <w:lang w:val="en-US" w:eastAsia="uk-UA"/>
              </w:rPr>
            </w:pPr>
            <w:r w:rsidRPr="00C27A60">
              <w:rPr>
                <w:noProof/>
                <w:sz w:val="22"/>
                <w:szCs w:val="22"/>
                <w:lang w:eastAsia="uk-UA"/>
              </w:rPr>
              <w:drawing>
                <wp:inline distT="0" distB="0" distL="0" distR="0" wp14:anchorId="6D55B57F" wp14:editId="31270414">
                  <wp:extent cx="3486150" cy="295275"/>
                  <wp:effectExtent l="0" t="0" r="0" b="9525"/>
                  <wp:docPr id="901046568" name="Рисунок 901046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7608" cy="325890"/>
                          </a:xfrm>
                          <a:prstGeom prst="rect">
                            <a:avLst/>
                          </a:prstGeom>
                          <a:noFill/>
                          <a:ln>
                            <a:noFill/>
                          </a:ln>
                        </pic:spPr>
                      </pic:pic>
                    </a:graphicData>
                  </a:graphic>
                </wp:inline>
              </w:drawing>
            </w:r>
          </w:p>
          <w:p w14:paraId="1DB1F9CA"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З 01 січня 2021 року Д</w:t>
            </w:r>
            <w:r w:rsidRPr="00C27A60">
              <w:rPr>
                <w:rFonts w:eastAsia="Calibri"/>
                <w:kern w:val="2"/>
                <w:sz w:val="22"/>
                <w:szCs w:val="22"/>
                <w:vertAlign w:val="subscript"/>
                <w:lang w:eastAsia="en-US"/>
                <w14:ligatures w14:val="standardContextual"/>
              </w:rPr>
              <w:t>ТВЕ</w:t>
            </w:r>
            <w:r w:rsidRPr="00C27A60">
              <w:rPr>
                <w:rFonts w:eastAsia="Calibri"/>
                <w:kern w:val="2"/>
                <w:sz w:val="22"/>
                <w:szCs w:val="22"/>
                <w:lang w:eastAsia="en-US"/>
                <w14:ligatures w14:val="standardContextual"/>
              </w:rPr>
              <w:t xml:space="preserve"> </w:t>
            </w:r>
            <w:proofErr w:type="spellStart"/>
            <w:r w:rsidRPr="00C27A60">
              <w:rPr>
                <w:rFonts w:eastAsia="Calibri"/>
                <w:kern w:val="2"/>
                <w:sz w:val="22"/>
                <w:szCs w:val="22"/>
                <w:vertAlign w:val="subscript"/>
                <w:lang w:eastAsia="en-US"/>
                <w14:ligatures w14:val="standardContextual"/>
              </w:rPr>
              <w:t>нф</w:t>
            </w:r>
            <w:proofErr w:type="spellEnd"/>
            <w:r w:rsidRPr="00C27A60">
              <w:rPr>
                <w:rFonts w:eastAsia="Calibri"/>
                <w:kern w:val="2"/>
                <w:sz w:val="22"/>
                <w:szCs w:val="22"/>
                <w:lang w:eastAsia="en-US"/>
                <w14:ligatures w14:val="standardContextual"/>
              </w:rPr>
              <w:t xml:space="preserve"> </w:t>
            </w:r>
            <w:r w:rsidRPr="00C27A60">
              <w:rPr>
                <w:rFonts w:eastAsia="Calibri"/>
                <w:kern w:val="2"/>
                <w:sz w:val="22"/>
                <w:szCs w:val="22"/>
                <w:vertAlign w:val="subscript"/>
                <w:lang w:eastAsia="en-US"/>
                <w14:ligatures w14:val="standardContextual"/>
              </w:rPr>
              <w:t>i</w:t>
            </w:r>
            <w:r w:rsidRPr="00C27A60">
              <w:rPr>
                <w:rFonts w:eastAsia="Calibri"/>
                <w:kern w:val="2"/>
                <w:sz w:val="22"/>
                <w:szCs w:val="22"/>
                <w:lang w:eastAsia="en-US"/>
                <w14:ligatures w14:val="standardContextual"/>
              </w:rPr>
              <w:t xml:space="preserve"> розраховується за формулою</w:t>
            </w:r>
          </w:p>
          <w:p w14:paraId="4FC88D7A" w14:textId="77777777" w:rsidR="003A322D" w:rsidRPr="00C27A60" w:rsidRDefault="003A322D" w:rsidP="003A322D">
            <w:pPr>
              <w:shd w:val="clear" w:color="auto" w:fill="FFFFFF"/>
              <w:jc w:val="both"/>
              <w:rPr>
                <w:sz w:val="22"/>
                <w:szCs w:val="22"/>
                <w:lang w:val="ru-RU" w:eastAsia="uk-UA"/>
              </w:rPr>
            </w:pPr>
            <w:r w:rsidRPr="00C27A60">
              <w:rPr>
                <w:sz w:val="22"/>
                <w:szCs w:val="22"/>
                <w:lang w:eastAsia="uk-UA"/>
              </w:rPr>
              <w:t>Д</w:t>
            </w:r>
            <w:r w:rsidRPr="00C27A60">
              <w:rPr>
                <w:sz w:val="22"/>
                <w:szCs w:val="22"/>
                <w:vertAlign w:val="subscript"/>
                <w:lang w:eastAsia="uk-UA"/>
              </w:rPr>
              <w:t>ТВЕ</w:t>
            </w:r>
            <w:r w:rsidRPr="00C27A60">
              <w:rPr>
                <w:sz w:val="22"/>
                <w:szCs w:val="22"/>
                <w:lang w:eastAsia="uk-UA"/>
              </w:rPr>
              <w:t xml:space="preserve"> </w:t>
            </w:r>
            <w:proofErr w:type="spellStart"/>
            <w:r w:rsidRPr="00C27A60">
              <w:rPr>
                <w:sz w:val="22"/>
                <w:szCs w:val="22"/>
                <w:vertAlign w:val="subscript"/>
                <w:lang w:eastAsia="uk-UA"/>
              </w:rPr>
              <w:t>нф</w:t>
            </w:r>
            <w:proofErr w:type="spellEnd"/>
            <w:r w:rsidRPr="00C27A60">
              <w:rPr>
                <w:sz w:val="22"/>
                <w:szCs w:val="22"/>
                <w:lang w:eastAsia="uk-UA"/>
              </w:rPr>
              <w:t xml:space="preserve"> </w:t>
            </w:r>
            <w:r w:rsidRPr="00C27A60">
              <w:rPr>
                <w:sz w:val="22"/>
                <w:szCs w:val="22"/>
                <w:vertAlign w:val="subscript"/>
                <w:lang w:eastAsia="uk-UA"/>
              </w:rPr>
              <w:t>i</w:t>
            </w:r>
            <w:r w:rsidRPr="00C27A60">
              <w:rPr>
                <w:sz w:val="22"/>
                <w:szCs w:val="22"/>
                <w:lang w:eastAsia="uk-UA"/>
              </w:rPr>
              <w:t xml:space="preserve"> = О</w:t>
            </w:r>
            <w:r w:rsidRPr="00C27A60">
              <w:rPr>
                <w:sz w:val="22"/>
                <w:szCs w:val="22"/>
                <w:vertAlign w:val="subscript"/>
                <w:lang w:eastAsia="uk-UA"/>
              </w:rPr>
              <w:t>ТВЕ</w:t>
            </w:r>
            <w:r w:rsidRPr="00C27A60">
              <w:rPr>
                <w:sz w:val="22"/>
                <w:szCs w:val="22"/>
                <w:lang w:eastAsia="uk-UA"/>
              </w:rPr>
              <w:t xml:space="preserve"> </w:t>
            </w:r>
            <w:proofErr w:type="spellStart"/>
            <w:r w:rsidRPr="00C27A60">
              <w:rPr>
                <w:sz w:val="22"/>
                <w:szCs w:val="22"/>
                <w:vertAlign w:val="subscript"/>
                <w:lang w:eastAsia="uk-UA"/>
              </w:rPr>
              <w:t>нф</w:t>
            </w:r>
            <w:proofErr w:type="spellEnd"/>
            <w:r w:rsidRPr="00C27A60">
              <w:rPr>
                <w:sz w:val="22"/>
                <w:szCs w:val="22"/>
                <w:lang w:eastAsia="uk-UA"/>
              </w:rPr>
              <w:t xml:space="preserve"> </w:t>
            </w:r>
            <w:r w:rsidRPr="00C27A60">
              <w:rPr>
                <w:sz w:val="22"/>
                <w:szCs w:val="22"/>
                <w:vertAlign w:val="subscript"/>
                <w:lang w:eastAsia="uk-UA"/>
              </w:rPr>
              <w:t>i</w:t>
            </w:r>
            <w:r w:rsidRPr="00C27A60">
              <w:rPr>
                <w:sz w:val="22"/>
                <w:szCs w:val="22"/>
                <w:lang w:eastAsia="uk-UA"/>
              </w:rPr>
              <w:t xml:space="preserve"> х Ц</w:t>
            </w:r>
            <w:r w:rsidRPr="00C27A60">
              <w:rPr>
                <w:sz w:val="22"/>
                <w:szCs w:val="22"/>
                <w:vertAlign w:val="subscript"/>
                <w:lang w:eastAsia="uk-UA"/>
              </w:rPr>
              <w:t>ТВЕ</w:t>
            </w:r>
            <w:r w:rsidRPr="00C27A60">
              <w:rPr>
                <w:sz w:val="22"/>
                <w:szCs w:val="22"/>
                <w:lang w:eastAsia="uk-UA"/>
              </w:rPr>
              <w:t xml:space="preserve"> </w:t>
            </w:r>
            <w:r w:rsidRPr="00C27A60">
              <w:rPr>
                <w:sz w:val="22"/>
                <w:szCs w:val="22"/>
                <w:vertAlign w:val="subscript"/>
                <w:lang w:eastAsia="uk-UA"/>
              </w:rPr>
              <w:t>i</w:t>
            </w:r>
            <w:r w:rsidRPr="00C27A60">
              <w:rPr>
                <w:sz w:val="22"/>
                <w:szCs w:val="22"/>
                <w:lang w:eastAsia="uk-UA"/>
              </w:rPr>
              <w:t>,</w:t>
            </w:r>
          </w:p>
          <w:p w14:paraId="5BE86C04" w14:textId="77777777" w:rsidR="003A322D" w:rsidRPr="00C27A60" w:rsidRDefault="003A322D" w:rsidP="003A322D">
            <w:pPr>
              <w:shd w:val="clear" w:color="auto" w:fill="FFFFFF"/>
              <w:jc w:val="both"/>
              <w:rPr>
                <w:sz w:val="22"/>
                <w:szCs w:val="22"/>
                <w:lang w:eastAsia="uk-UA"/>
              </w:rPr>
            </w:pPr>
          </w:p>
          <w:p w14:paraId="7E84C877" w14:textId="77777777" w:rsidR="003A322D" w:rsidRPr="00C27A60" w:rsidRDefault="003A322D" w:rsidP="003A322D">
            <w:pPr>
              <w:shd w:val="clear" w:color="auto" w:fill="FFFFFF"/>
              <w:jc w:val="both"/>
              <w:rPr>
                <w:sz w:val="22"/>
                <w:szCs w:val="22"/>
                <w:lang w:eastAsia="uk-UA"/>
              </w:rPr>
            </w:pPr>
            <w:r w:rsidRPr="00C27A60">
              <w:rPr>
                <w:sz w:val="22"/>
                <w:szCs w:val="22"/>
                <w:lang w:eastAsia="uk-UA"/>
              </w:rPr>
              <w:t>де Ц</w:t>
            </w:r>
            <w:r w:rsidRPr="00C27A60">
              <w:rPr>
                <w:sz w:val="22"/>
                <w:szCs w:val="22"/>
                <w:vertAlign w:val="subscript"/>
                <w:lang w:eastAsia="uk-UA"/>
              </w:rPr>
              <w:t>ТВЕ</w:t>
            </w:r>
            <w:r w:rsidRPr="00C27A60">
              <w:rPr>
                <w:sz w:val="22"/>
                <w:szCs w:val="22"/>
                <w:lang w:eastAsia="uk-UA"/>
              </w:rPr>
              <w:t xml:space="preserve"> </w:t>
            </w:r>
            <w:r w:rsidRPr="00C27A60">
              <w:rPr>
                <w:sz w:val="22"/>
                <w:szCs w:val="22"/>
                <w:vertAlign w:val="subscript"/>
                <w:lang w:eastAsia="uk-UA"/>
              </w:rPr>
              <w:t>i</w:t>
            </w:r>
            <w:r w:rsidRPr="00C27A60">
              <w:rPr>
                <w:sz w:val="22"/>
                <w:szCs w:val="22"/>
                <w:lang w:eastAsia="uk-UA"/>
              </w:rPr>
              <w:t xml:space="preserve"> - середньозважена ціна купівлі електричної енергії на ринку електричної енергії в i-му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у НАЕК "Енергоатом", у зв'язку з покладенням спеціальних обов'язків на учасників ринку електричної енергії) та балансуючому ринку, грн/МВт·год, та розраховується за формулою</w:t>
            </w:r>
          </w:p>
          <w:p w14:paraId="470B7677" w14:textId="77777777" w:rsidR="003A322D" w:rsidRPr="00C27A60" w:rsidRDefault="003A322D" w:rsidP="003A322D">
            <w:pPr>
              <w:shd w:val="clear" w:color="auto" w:fill="FFFFFF"/>
              <w:jc w:val="both"/>
              <w:rPr>
                <w:sz w:val="22"/>
                <w:szCs w:val="22"/>
                <w:lang w:eastAsia="uk-UA"/>
              </w:rPr>
            </w:pPr>
          </w:p>
          <w:p w14:paraId="1DCC892D" w14:textId="77777777" w:rsidR="003A322D" w:rsidRPr="00C27A60" w:rsidRDefault="003A322D" w:rsidP="003A322D">
            <w:pPr>
              <w:shd w:val="clear" w:color="auto" w:fill="FFFFFF"/>
              <w:jc w:val="both"/>
              <w:rPr>
                <w:sz w:val="22"/>
                <w:szCs w:val="22"/>
                <w:lang w:eastAsia="uk-UA"/>
              </w:rPr>
            </w:pPr>
            <w:r w:rsidRPr="00C27A60">
              <w:rPr>
                <w:sz w:val="22"/>
                <w:szCs w:val="22"/>
                <w:lang w:eastAsia="uk-UA"/>
              </w:rPr>
              <w:t>Ц</w:t>
            </w:r>
            <w:r w:rsidRPr="00C27A60">
              <w:rPr>
                <w:sz w:val="22"/>
                <w:szCs w:val="22"/>
                <w:vertAlign w:val="subscript"/>
                <w:lang w:eastAsia="uk-UA"/>
              </w:rPr>
              <w:t>ТВЕ</w:t>
            </w:r>
            <w:r w:rsidRPr="00C27A60">
              <w:rPr>
                <w:sz w:val="22"/>
                <w:szCs w:val="22"/>
                <w:lang w:eastAsia="uk-UA"/>
              </w:rPr>
              <w:t xml:space="preserve"> </w:t>
            </w:r>
            <w:r w:rsidRPr="00C27A60">
              <w:rPr>
                <w:sz w:val="22"/>
                <w:szCs w:val="22"/>
                <w:vertAlign w:val="subscript"/>
                <w:lang w:eastAsia="uk-UA"/>
              </w:rPr>
              <w:t>i</w:t>
            </w:r>
            <w:r w:rsidRPr="00C27A60">
              <w:rPr>
                <w:sz w:val="22"/>
                <w:szCs w:val="22"/>
                <w:lang w:eastAsia="uk-UA"/>
              </w:rPr>
              <w:t xml:space="preserve"> </w:t>
            </w:r>
            <w:r w:rsidRPr="00C27A60">
              <w:rPr>
                <w:sz w:val="22"/>
                <w:szCs w:val="22"/>
                <w:vertAlign w:val="subscript"/>
                <w:lang w:eastAsia="uk-UA"/>
              </w:rPr>
              <w:t>=</w:t>
            </w:r>
            <w:r w:rsidRPr="00C27A60">
              <w:rPr>
                <w:sz w:val="22"/>
                <w:szCs w:val="22"/>
                <w:lang w:eastAsia="uk-UA"/>
              </w:rPr>
              <w:t xml:space="preserve"> Ц </w:t>
            </w:r>
            <w:r w:rsidRPr="00C27A60">
              <w:rPr>
                <w:sz w:val="22"/>
                <w:szCs w:val="22"/>
                <w:vertAlign w:val="subscript"/>
                <w:lang w:eastAsia="uk-UA"/>
              </w:rPr>
              <w:t>РДН</w:t>
            </w:r>
            <w:r w:rsidRPr="00C27A60">
              <w:rPr>
                <w:sz w:val="22"/>
                <w:szCs w:val="22"/>
                <w:lang w:eastAsia="uk-UA"/>
              </w:rPr>
              <w:t xml:space="preserve"> </w:t>
            </w:r>
            <w:r w:rsidRPr="00C27A60">
              <w:rPr>
                <w:sz w:val="22"/>
                <w:szCs w:val="22"/>
                <w:vertAlign w:val="subscript"/>
                <w:lang w:eastAsia="uk-UA"/>
              </w:rPr>
              <w:t>ф</w:t>
            </w:r>
            <w:r w:rsidRPr="00C27A60">
              <w:rPr>
                <w:sz w:val="22"/>
                <w:szCs w:val="22"/>
                <w:lang w:eastAsia="uk-UA"/>
              </w:rPr>
              <w:t xml:space="preserve"> </w:t>
            </w:r>
            <w:r w:rsidRPr="00C27A60">
              <w:rPr>
                <w:sz w:val="22"/>
                <w:szCs w:val="22"/>
                <w:vertAlign w:val="subscript"/>
                <w:lang w:eastAsia="uk-UA"/>
              </w:rPr>
              <w:t>i</w:t>
            </w:r>
            <w:r w:rsidRPr="00C27A60">
              <w:rPr>
                <w:sz w:val="22"/>
                <w:szCs w:val="22"/>
                <w:lang w:eastAsia="uk-UA"/>
              </w:rPr>
              <w:t xml:space="preserve"> х (1 - К</w:t>
            </w:r>
            <w:r w:rsidRPr="00C27A60">
              <w:rPr>
                <w:sz w:val="22"/>
                <w:szCs w:val="22"/>
                <w:vertAlign w:val="superscript"/>
                <w:lang w:eastAsia="uk-UA"/>
              </w:rPr>
              <w:t>БР</w:t>
            </w:r>
            <w:r w:rsidRPr="00C27A60">
              <w:rPr>
                <w:sz w:val="22"/>
                <w:szCs w:val="22"/>
                <w:vertAlign w:val="subscript"/>
                <w:lang w:eastAsia="uk-UA"/>
              </w:rPr>
              <w:t>W</w:t>
            </w:r>
            <w:r w:rsidRPr="00C27A60">
              <w:rPr>
                <w:sz w:val="22"/>
                <w:szCs w:val="22"/>
                <w:lang w:eastAsia="uk-UA"/>
              </w:rPr>
              <w:t xml:space="preserve"> - К</w:t>
            </w:r>
            <w:r w:rsidRPr="00C27A60">
              <w:rPr>
                <w:sz w:val="22"/>
                <w:szCs w:val="22"/>
                <w:vertAlign w:val="superscript"/>
                <w:lang w:eastAsia="uk-UA"/>
              </w:rPr>
              <w:t>ДД</w:t>
            </w:r>
            <w:r w:rsidRPr="00C27A60">
              <w:rPr>
                <w:sz w:val="22"/>
                <w:szCs w:val="22"/>
                <w:vertAlign w:val="subscript"/>
                <w:lang w:eastAsia="uk-UA"/>
              </w:rPr>
              <w:t>W</w:t>
            </w:r>
            <w:r w:rsidRPr="00C27A60">
              <w:rPr>
                <w:sz w:val="22"/>
                <w:szCs w:val="22"/>
                <w:lang w:eastAsia="uk-UA"/>
              </w:rPr>
              <w:t xml:space="preserve">) + Ц </w:t>
            </w:r>
            <w:r w:rsidRPr="00C27A60">
              <w:rPr>
                <w:sz w:val="22"/>
                <w:szCs w:val="22"/>
                <w:vertAlign w:val="subscript"/>
                <w:lang w:eastAsia="uk-UA"/>
              </w:rPr>
              <w:t>РДН</w:t>
            </w:r>
            <w:r w:rsidRPr="00C27A60">
              <w:rPr>
                <w:sz w:val="22"/>
                <w:szCs w:val="22"/>
                <w:lang w:eastAsia="uk-UA"/>
              </w:rPr>
              <w:t xml:space="preserve"> </w:t>
            </w:r>
            <w:r w:rsidRPr="00C27A60">
              <w:rPr>
                <w:sz w:val="22"/>
                <w:szCs w:val="22"/>
                <w:vertAlign w:val="subscript"/>
                <w:lang w:eastAsia="uk-UA"/>
              </w:rPr>
              <w:t>ф</w:t>
            </w:r>
            <w:r w:rsidRPr="00C27A60">
              <w:rPr>
                <w:sz w:val="22"/>
                <w:szCs w:val="22"/>
                <w:lang w:eastAsia="uk-UA"/>
              </w:rPr>
              <w:t xml:space="preserve"> </w:t>
            </w:r>
            <w:r w:rsidRPr="00C27A60">
              <w:rPr>
                <w:sz w:val="22"/>
                <w:szCs w:val="22"/>
                <w:vertAlign w:val="subscript"/>
                <w:lang w:eastAsia="uk-UA"/>
              </w:rPr>
              <w:t>i</w:t>
            </w:r>
            <w:r w:rsidRPr="00C27A60">
              <w:rPr>
                <w:sz w:val="22"/>
                <w:szCs w:val="22"/>
                <w:lang w:eastAsia="uk-UA"/>
              </w:rPr>
              <w:t xml:space="preserve"> х (1 + К</w:t>
            </w:r>
            <w:r w:rsidRPr="00C27A60">
              <w:rPr>
                <w:sz w:val="22"/>
                <w:szCs w:val="22"/>
                <w:vertAlign w:val="superscript"/>
                <w:lang w:eastAsia="uk-UA"/>
              </w:rPr>
              <w:t>БР</w:t>
            </w:r>
            <w:r w:rsidRPr="00C27A60">
              <w:rPr>
                <w:sz w:val="22"/>
                <w:szCs w:val="22"/>
                <w:vertAlign w:val="subscript"/>
                <w:lang w:eastAsia="uk-UA"/>
              </w:rPr>
              <w:t>Ц</w:t>
            </w:r>
            <w:r w:rsidRPr="00C27A60">
              <w:rPr>
                <w:sz w:val="22"/>
                <w:szCs w:val="22"/>
                <w:lang w:eastAsia="uk-UA"/>
              </w:rPr>
              <w:t>) х К</w:t>
            </w:r>
            <w:r w:rsidRPr="00C27A60">
              <w:rPr>
                <w:sz w:val="22"/>
                <w:szCs w:val="22"/>
                <w:vertAlign w:val="superscript"/>
                <w:lang w:eastAsia="uk-UA"/>
              </w:rPr>
              <w:t>БР</w:t>
            </w:r>
            <w:r w:rsidRPr="00C27A60">
              <w:rPr>
                <w:sz w:val="22"/>
                <w:szCs w:val="22"/>
                <w:vertAlign w:val="subscript"/>
                <w:lang w:eastAsia="uk-UA"/>
              </w:rPr>
              <w:t>W</w:t>
            </w:r>
            <w:r w:rsidRPr="00C27A60">
              <w:rPr>
                <w:sz w:val="22"/>
                <w:szCs w:val="22"/>
                <w:lang w:eastAsia="uk-UA"/>
              </w:rPr>
              <w:t xml:space="preserve"> + Ц </w:t>
            </w:r>
            <w:r w:rsidRPr="00C27A60">
              <w:rPr>
                <w:sz w:val="22"/>
                <w:szCs w:val="22"/>
                <w:vertAlign w:val="subscript"/>
                <w:lang w:eastAsia="uk-UA"/>
              </w:rPr>
              <w:t>РДД</w:t>
            </w:r>
            <w:r w:rsidRPr="00C27A60">
              <w:rPr>
                <w:sz w:val="22"/>
                <w:szCs w:val="22"/>
                <w:lang w:eastAsia="uk-UA"/>
              </w:rPr>
              <w:t xml:space="preserve"> </w:t>
            </w:r>
            <w:r w:rsidRPr="00C27A60">
              <w:rPr>
                <w:sz w:val="22"/>
                <w:szCs w:val="22"/>
                <w:vertAlign w:val="subscript"/>
                <w:lang w:eastAsia="uk-UA"/>
              </w:rPr>
              <w:t>ф</w:t>
            </w:r>
            <w:r w:rsidRPr="00C27A60">
              <w:rPr>
                <w:sz w:val="22"/>
                <w:szCs w:val="22"/>
                <w:lang w:eastAsia="uk-UA"/>
              </w:rPr>
              <w:t xml:space="preserve"> </w:t>
            </w:r>
            <w:r w:rsidRPr="00C27A60">
              <w:rPr>
                <w:sz w:val="22"/>
                <w:szCs w:val="22"/>
                <w:vertAlign w:val="subscript"/>
                <w:lang w:eastAsia="uk-UA"/>
              </w:rPr>
              <w:t>i</w:t>
            </w:r>
            <w:r w:rsidRPr="00C27A60">
              <w:rPr>
                <w:sz w:val="22"/>
                <w:szCs w:val="22"/>
                <w:lang w:eastAsia="uk-UA"/>
              </w:rPr>
              <w:t xml:space="preserve"> х К</w:t>
            </w:r>
            <w:r w:rsidRPr="00C27A60">
              <w:rPr>
                <w:sz w:val="22"/>
                <w:szCs w:val="22"/>
                <w:vertAlign w:val="superscript"/>
                <w:lang w:eastAsia="uk-UA"/>
              </w:rPr>
              <w:t>ДД</w:t>
            </w:r>
            <w:r w:rsidRPr="00C27A60">
              <w:rPr>
                <w:sz w:val="22"/>
                <w:szCs w:val="22"/>
                <w:vertAlign w:val="subscript"/>
                <w:lang w:eastAsia="uk-UA"/>
              </w:rPr>
              <w:t>W</w:t>
            </w:r>
            <w:r w:rsidRPr="00C27A60">
              <w:rPr>
                <w:sz w:val="22"/>
                <w:szCs w:val="22"/>
                <w:lang w:eastAsia="uk-UA"/>
              </w:rPr>
              <w:t>,</w:t>
            </w:r>
          </w:p>
          <w:p w14:paraId="4AB743EF" w14:textId="77777777" w:rsidR="003A322D" w:rsidRPr="00C27A60" w:rsidRDefault="003A322D" w:rsidP="003A322D">
            <w:pPr>
              <w:shd w:val="clear" w:color="auto" w:fill="FFFFFF"/>
              <w:jc w:val="both"/>
              <w:rPr>
                <w:b/>
                <w:bCs/>
                <w:sz w:val="22"/>
                <w:szCs w:val="22"/>
                <w:lang w:eastAsia="uk-UA"/>
              </w:rPr>
            </w:pPr>
          </w:p>
          <w:p w14:paraId="73B617B0"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де К</w:t>
            </w:r>
            <w:r w:rsidRPr="00C27A60">
              <w:rPr>
                <w:rFonts w:eastAsia="Calibri"/>
                <w:kern w:val="2"/>
                <w:sz w:val="22"/>
                <w:szCs w:val="22"/>
                <w:vertAlign w:val="superscript"/>
                <w:lang w:eastAsia="en-US"/>
                <w14:ligatures w14:val="standardContextual"/>
              </w:rPr>
              <w:t>БР</w:t>
            </w:r>
            <w:r w:rsidRPr="00C27A60">
              <w:rPr>
                <w:rFonts w:eastAsia="Calibri"/>
                <w:kern w:val="2"/>
                <w:sz w:val="22"/>
                <w:szCs w:val="22"/>
                <w:vertAlign w:val="subscript"/>
                <w:lang w:eastAsia="en-US"/>
                <w14:ligatures w14:val="standardContextual"/>
              </w:rPr>
              <w:t>W</w:t>
            </w:r>
            <w:r w:rsidRPr="00C27A60">
              <w:rPr>
                <w:rFonts w:eastAsia="Calibri"/>
                <w:kern w:val="2"/>
                <w:sz w:val="22"/>
                <w:szCs w:val="22"/>
                <w:lang w:eastAsia="en-US"/>
                <w14:ligatures w14:val="standardContextual"/>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 відносні одиниці;</w:t>
            </w:r>
          </w:p>
          <w:p w14:paraId="2BB7C269"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К</w:t>
            </w:r>
            <w:r w:rsidRPr="00C27A60">
              <w:rPr>
                <w:rFonts w:eastAsia="Calibri"/>
                <w:kern w:val="2"/>
                <w:sz w:val="22"/>
                <w:szCs w:val="22"/>
                <w:vertAlign w:val="superscript"/>
                <w:lang w:eastAsia="en-US"/>
                <w14:ligatures w14:val="standardContextual"/>
              </w:rPr>
              <w:t>ДД</w:t>
            </w:r>
            <w:r w:rsidRPr="00C27A60">
              <w:rPr>
                <w:rFonts w:eastAsia="Calibri"/>
                <w:kern w:val="2"/>
                <w:sz w:val="22"/>
                <w:szCs w:val="22"/>
                <w:vertAlign w:val="subscript"/>
                <w:lang w:eastAsia="en-US"/>
                <w14:ligatures w14:val="standardContextual"/>
              </w:rPr>
              <w:t>W</w:t>
            </w:r>
            <w:r w:rsidRPr="00C27A60">
              <w:rPr>
                <w:rFonts w:eastAsia="Calibri"/>
                <w:kern w:val="2"/>
                <w:sz w:val="22"/>
                <w:szCs w:val="22"/>
                <w:lang w:eastAsia="en-US"/>
                <w14:ligatures w14:val="standardContextual"/>
              </w:rPr>
              <w:t xml:space="preserve"> - коефіцієнт, що враховує фактичну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w:t>
            </w:r>
            <w:r w:rsidRPr="00C27A60">
              <w:rPr>
                <w:rFonts w:eastAsia="Calibri"/>
                <w:kern w:val="2"/>
                <w:sz w:val="22"/>
                <w:szCs w:val="22"/>
                <w:lang w:eastAsia="en-US"/>
                <w14:ligatures w14:val="standardContextual"/>
              </w:rPr>
              <w:lastRenderedPageBreak/>
              <w:t>електричної енергії) в i-му місяці звітного року, відносні одиниці;</w:t>
            </w:r>
          </w:p>
          <w:p w14:paraId="43A9F935"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К</w:t>
            </w:r>
            <w:r w:rsidRPr="00C27A60">
              <w:rPr>
                <w:rFonts w:eastAsia="Calibri"/>
                <w:kern w:val="2"/>
                <w:sz w:val="22"/>
                <w:szCs w:val="22"/>
                <w:vertAlign w:val="superscript"/>
                <w:lang w:eastAsia="en-US"/>
                <w14:ligatures w14:val="standardContextual"/>
              </w:rPr>
              <w:t>БР</w:t>
            </w:r>
            <w:r w:rsidRPr="00C27A60">
              <w:rPr>
                <w:rFonts w:eastAsia="Calibri"/>
                <w:kern w:val="2"/>
                <w:sz w:val="22"/>
                <w:szCs w:val="22"/>
                <w:vertAlign w:val="subscript"/>
                <w:lang w:eastAsia="en-US"/>
                <w14:ligatures w14:val="standardContextual"/>
              </w:rPr>
              <w:t>Ц</w:t>
            </w:r>
            <w:r w:rsidRPr="00C27A60">
              <w:rPr>
                <w:rFonts w:eastAsia="Calibri"/>
                <w:kern w:val="2"/>
                <w:sz w:val="22"/>
                <w:szCs w:val="22"/>
                <w:lang w:eastAsia="en-US"/>
                <w14:ligatures w14:val="standardContextual"/>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застосований під час розрахунку встановлених тарифів на послуги з розподілу електричної енергії, відносні одиниці;</w:t>
            </w:r>
          </w:p>
          <w:p w14:paraId="6ACA2F88" w14:textId="77777777" w:rsidR="003A322D" w:rsidRPr="00C27A60" w:rsidRDefault="003A322D" w:rsidP="003A322D">
            <w:pPr>
              <w:shd w:val="clear" w:color="auto" w:fill="FFFFFF"/>
              <w:jc w:val="both"/>
              <w:rPr>
                <w:sz w:val="22"/>
                <w:szCs w:val="22"/>
                <w:lang w:eastAsia="uk-UA"/>
              </w:rPr>
            </w:pPr>
            <w:r w:rsidRPr="00C27A60">
              <w:rPr>
                <w:sz w:val="22"/>
                <w:szCs w:val="22"/>
                <w:lang w:eastAsia="uk-UA"/>
              </w:rPr>
              <w:t>Ц</w:t>
            </w:r>
            <w:r w:rsidRPr="00C27A60">
              <w:rPr>
                <w:sz w:val="22"/>
                <w:szCs w:val="22"/>
                <w:vertAlign w:val="subscript"/>
                <w:lang w:eastAsia="uk-UA"/>
              </w:rPr>
              <w:t>РДД</w:t>
            </w:r>
            <w:r w:rsidRPr="00C27A60">
              <w:rPr>
                <w:sz w:val="22"/>
                <w:szCs w:val="22"/>
                <w:lang w:eastAsia="uk-UA"/>
              </w:rPr>
              <w:t xml:space="preserve"> </w:t>
            </w:r>
            <w:r w:rsidRPr="00C27A60">
              <w:rPr>
                <w:sz w:val="22"/>
                <w:szCs w:val="22"/>
                <w:vertAlign w:val="subscript"/>
                <w:lang w:eastAsia="uk-UA"/>
              </w:rPr>
              <w:t>ф</w:t>
            </w:r>
            <w:r w:rsidRPr="00C27A60">
              <w:rPr>
                <w:sz w:val="22"/>
                <w:szCs w:val="22"/>
                <w:lang w:eastAsia="uk-UA"/>
              </w:rPr>
              <w:t xml:space="preserve"> </w:t>
            </w:r>
            <w:r w:rsidRPr="00C27A60">
              <w:rPr>
                <w:sz w:val="22"/>
                <w:szCs w:val="22"/>
                <w:vertAlign w:val="subscript"/>
                <w:lang w:eastAsia="uk-UA"/>
              </w:rPr>
              <w:t>i</w:t>
            </w:r>
            <w:r w:rsidRPr="00C27A60">
              <w:rPr>
                <w:sz w:val="22"/>
                <w:szCs w:val="22"/>
                <w:lang w:eastAsia="uk-UA"/>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електричної енергії, грн/МВт·год.</w:t>
            </w:r>
          </w:p>
          <w:p w14:paraId="698E66F8"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Для цілей розрахунку складова (1 - К</w:t>
            </w:r>
            <w:r w:rsidRPr="00C27A60">
              <w:rPr>
                <w:rFonts w:eastAsia="Calibri"/>
                <w:kern w:val="2"/>
                <w:sz w:val="22"/>
                <w:szCs w:val="22"/>
                <w:vertAlign w:val="superscript"/>
                <w:lang w:eastAsia="en-US"/>
                <w14:ligatures w14:val="standardContextual"/>
              </w:rPr>
              <w:t>БР</w:t>
            </w:r>
            <w:r w:rsidRPr="00C27A60">
              <w:rPr>
                <w:rFonts w:eastAsia="Calibri"/>
                <w:kern w:val="2"/>
                <w:sz w:val="22"/>
                <w:szCs w:val="22"/>
                <w:vertAlign w:val="subscript"/>
                <w:lang w:eastAsia="en-US"/>
                <w14:ligatures w14:val="standardContextual"/>
              </w:rPr>
              <w:t>W</w:t>
            </w:r>
            <w:r w:rsidRPr="00C27A60">
              <w:rPr>
                <w:rFonts w:eastAsia="Calibri"/>
                <w:kern w:val="2"/>
                <w:sz w:val="22"/>
                <w:szCs w:val="22"/>
                <w:lang w:eastAsia="en-US"/>
                <w14:ligatures w14:val="standardContextual"/>
              </w:rPr>
              <w:t xml:space="preserve"> - К</w:t>
            </w:r>
            <w:r w:rsidRPr="00C27A60">
              <w:rPr>
                <w:rFonts w:eastAsia="Calibri"/>
                <w:kern w:val="2"/>
                <w:sz w:val="22"/>
                <w:szCs w:val="22"/>
                <w:vertAlign w:val="superscript"/>
                <w:lang w:eastAsia="en-US"/>
                <w14:ligatures w14:val="standardContextual"/>
              </w:rPr>
              <w:t>ДД</w:t>
            </w:r>
            <w:r w:rsidRPr="00C27A60">
              <w:rPr>
                <w:rFonts w:eastAsia="Calibri"/>
                <w:kern w:val="2"/>
                <w:sz w:val="22"/>
                <w:szCs w:val="22"/>
                <w:vertAlign w:val="subscript"/>
                <w:lang w:eastAsia="en-US"/>
                <w14:ligatures w14:val="standardContextual"/>
              </w:rPr>
              <w:t>W</w:t>
            </w:r>
            <w:r w:rsidRPr="00C27A60">
              <w:rPr>
                <w:rFonts w:eastAsia="Calibri"/>
                <w:kern w:val="2"/>
                <w:sz w:val="22"/>
                <w:szCs w:val="22"/>
                <w:lang w:eastAsia="en-US"/>
                <w14:ligatures w14:val="standardContextual"/>
              </w:rPr>
              <w:t>) приймається рівною нулю у разі, якщо її значення менше нуля.</w:t>
            </w:r>
          </w:p>
          <w:p w14:paraId="17112DF5" w14:textId="77777777" w:rsidR="003A322D" w:rsidRPr="00C27A60" w:rsidRDefault="003A322D" w:rsidP="003A322D">
            <w:pPr>
              <w:shd w:val="clear" w:color="auto" w:fill="FFFFFF"/>
              <w:jc w:val="both"/>
              <w:rPr>
                <w:sz w:val="22"/>
                <w:szCs w:val="22"/>
                <w:lang w:val="ru-RU" w:eastAsia="uk-UA"/>
              </w:rPr>
            </w:pPr>
            <w:r w:rsidRPr="00C27A60">
              <w:rPr>
                <w:sz w:val="22"/>
                <w:szCs w:val="22"/>
                <w:lang w:eastAsia="uk-UA"/>
              </w:rPr>
              <w:t xml:space="preserve">Починаючи з 2023 року Ц </w:t>
            </w:r>
            <w:r w:rsidRPr="00C27A60">
              <w:rPr>
                <w:sz w:val="22"/>
                <w:szCs w:val="22"/>
                <w:vertAlign w:val="subscript"/>
                <w:lang w:eastAsia="uk-UA"/>
              </w:rPr>
              <w:t>ТВЕ і</w:t>
            </w:r>
            <w:r w:rsidRPr="00C27A60">
              <w:rPr>
                <w:sz w:val="22"/>
                <w:szCs w:val="22"/>
                <w:lang w:eastAsia="uk-UA"/>
              </w:rPr>
              <w:t xml:space="preserve"> визначається за формулою</w:t>
            </w:r>
          </w:p>
          <w:p w14:paraId="091CDF22" w14:textId="77777777" w:rsidR="003A322D" w:rsidRPr="00C27A60" w:rsidRDefault="003A322D" w:rsidP="003A322D">
            <w:pPr>
              <w:shd w:val="clear" w:color="auto" w:fill="FFFFFF"/>
              <w:jc w:val="both"/>
              <w:rPr>
                <w:sz w:val="22"/>
                <w:szCs w:val="22"/>
                <w:lang w:val="ru-RU" w:eastAsia="uk-UA"/>
              </w:rPr>
            </w:pPr>
            <w:r w:rsidRPr="00C27A60">
              <w:rPr>
                <w:sz w:val="22"/>
                <w:szCs w:val="22"/>
                <w:lang w:eastAsia="uk-UA"/>
              </w:rPr>
              <w:t xml:space="preserve">Ц </w:t>
            </w:r>
            <w:r w:rsidRPr="00C27A60">
              <w:rPr>
                <w:sz w:val="22"/>
                <w:szCs w:val="22"/>
                <w:vertAlign w:val="subscript"/>
                <w:lang w:eastAsia="uk-UA"/>
              </w:rPr>
              <w:t>ТВЕ і</w:t>
            </w:r>
            <w:r w:rsidRPr="00C27A60">
              <w:rPr>
                <w:sz w:val="22"/>
                <w:szCs w:val="22"/>
                <w:lang w:eastAsia="uk-UA"/>
              </w:rPr>
              <w:t xml:space="preserve"> = Ц </w:t>
            </w:r>
            <w:r w:rsidRPr="00C27A60">
              <w:rPr>
                <w:sz w:val="22"/>
                <w:szCs w:val="22"/>
                <w:vertAlign w:val="subscript"/>
                <w:lang w:eastAsia="uk-UA"/>
              </w:rPr>
              <w:t>РДН ф і</w:t>
            </w:r>
            <w:r w:rsidRPr="00C27A60">
              <w:rPr>
                <w:sz w:val="22"/>
                <w:szCs w:val="22"/>
                <w:lang w:eastAsia="uk-UA"/>
              </w:rPr>
              <w:t xml:space="preserve"> × (1 - К</w:t>
            </w:r>
            <w:r w:rsidRPr="00C27A60">
              <w:rPr>
                <w:sz w:val="22"/>
                <w:szCs w:val="22"/>
                <w:vertAlign w:val="superscript"/>
                <w:lang w:eastAsia="uk-UA"/>
              </w:rPr>
              <w:t>БР</w:t>
            </w:r>
            <w:r w:rsidRPr="00C27A60">
              <w:rPr>
                <w:sz w:val="22"/>
                <w:szCs w:val="22"/>
                <w:vertAlign w:val="subscript"/>
                <w:lang w:eastAsia="uk-UA"/>
              </w:rPr>
              <w:t>W</w:t>
            </w:r>
            <w:r w:rsidRPr="00C27A60">
              <w:rPr>
                <w:sz w:val="22"/>
                <w:szCs w:val="22"/>
                <w:lang w:eastAsia="uk-UA"/>
              </w:rPr>
              <w:t xml:space="preserve"> - К</w:t>
            </w:r>
            <w:r w:rsidRPr="00C27A60">
              <w:rPr>
                <w:sz w:val="22"/>
                <w:szCs w:val="22"/>
                <w:vertAlign w:val="superscript"/>
                <w:lang w:eastAsia="uk-UA"/>
              </w:rPr>
              <w:t>ДД</w:t>
            </w:r>
            <w:r w:rsidRPr="00C27A60">
              <w:rPr>
                <w:sz w:val="22"/>
                <w:szCs w:val="22"/>
                <w:vertAlign w:val="subscript"/>
                <w:lang w:eastAsia="uk-UA"/>
              </w:rPr>
              <w:t>W</w:t>
            </w:r>
            <w:r w:rsidRPr="00C27A60">
              <w:rPr>
                <w:sz w:val="22"/>
                <w:szCs w:val="22"/>
                <w:lang w:eastAsia="uk-UA"/>
              </w:rPr>
              <w:t xml:space="preserve">) + Ц </w:t>
            </w:r>
            <w:r w:rsidRPr="00C27A60">
              <w:rPr>
                <w:sz w:val="22"/>
                <w:szCs w:val="22"/>
                <w:vertAlign w:val="subscript"/>
                <w:lang w:eastAsia="uk-UA"/>
              </w:rPr>
              <w:t>РДН ф і</w:t>
            </w:r>
            <w:r w:rsidRPr="00C27A60">
              <w:rPr>
                <w:sz w:val="22"/>
                <w:szCs w:val="22"/>
                <w:lang w:eastAsia="uk-UA"/>
              </w:rPr>
              <w:t xml:space="preserve"> × (1 + К </w:t>
            </w:r>
            <w:r w:rsidRPr="00C27A60">
              <w:rPr>
                <w:sz w:val="22"/>
                <w:szCs w:val="22"/>
                <w:vertAlign w:val="superscript"/>
                <w:lang w:eastAsia="uk-UA"/>
              </w:rPr>
              <w:t>БР</w:t>
            </w:r>
            <w:r w:rsidRPr="00C27A60">
              <w:rPr>
                <w:sz w:val="22"/>
                <w:szCs w:val="22"/>
                <w:vertAlign w:val="subscript"/>
                <w:lang w:eastAsia="uk-UA"/>
              </w:rPr>
              <w:t>Ц</w:t>
            </w:r>
            <w:r w:rsidRPr="00C27A60">
              <w:rPr>
                <w:sz w:val="22"/>
                <w:szCs w:val="22"/>
                <w:lang w:eastAsia="uk-UA"/>
              </w:rPr>
              <w:t>) × К</w:t>
            </w:r>
            <w:r w:rsidRPr="00C27A60">
              <w:rPr>
                <w:sz w:val="22"/>
                <w:szCs w:val="22"/>
                <w:vertAlign w:val="superscript"/>
                <w:lang w:eastAsia="uk-UA"/>
              </w:rPr>
              <w:t>БР</w:t>
            </w:r>
            <w:r w:rsidRPr="00C27A60">
              <w:rPr>
                <w:sz w:val="22"/>
                <w:szCs w:val="22"/>
                <w:vertAlign w:val="subscript"/>
                <w:lang w:eastAsia="uk-UA"/>
              </w:rPr>
              <w:t>W</w:t>
            </w:r>
            <w:r w:rsidRPr="00C27A60">
              <w:rPr>
                <w:sz w:val="22"/>
                <w:szCs w:val="22"/>
                <w:lang w:eastAsia="uk-UA"/>
              </w:rPr>
              <w:t xml:space="preserve"> + Ц </w:t>
            </w:r>
            <w:r w:rsidRPr="00C27A60">
              <w:rPr>
                <w:sz w:val="22"/>
                <w:szCs w:val="22"/>
                <w:vertAlign w:val="subscript"/>
                <w:lang w:eastAsia="uk-UA"/>
              </w:rPr>
              <w:t>РДД ф і</w:t>
            </w:r>
            <w:r w:rsidRPr="00C27A60">
              <w:rPr>
                <w:sz w:val="22"/>
                <w:szCs w:val="22"/>
                <w:lang w:eastAsia="uk-UA"/>
              </w:rPr>
              <w:t xml:space="preserve"> × К × К</w:t>
            </w:r>
            <w:r w:rsidRPr="00C27A60">
              <w:rPr>
                <w:sz w:val="22"/>
                <w:szCs w:val="22"/>
                <w:vertAlign w:val="superscript"/>
                <w:lang w:eastAsia="uk-UA"/>
              </w:rPr>
              <w:t>ДД</w:t>
            </w:r>
            <w:r w:rsidRPr="00C27A60">
              <w:rPr>
                <w:sz w:val="22"/>
                <w:szCs w:val="22"/>
                <w:vertAlign w:val="subscript"/>
                <w:lang w:eastAsia="uk-UA"/>
              </w:rPr>
              <w:t>W</w:t>
            </w:r>
            <w:r w:rsidRPr="00C27A60">
              <w:rPr>
                <w:sz w:val="22"/>
                <w:szCs w:val="22"/>
                <w:lang w:eastAsia="uk-UA"/>
              </w:rPr>
              <w:t>;</w:t>
            </w:r>
          </w:p>
          <w:p w14:paraId="33A8C7A3" w14:textId="77777777" w:rsidR="003A322D" w:rsidRPr="00C27A60" w:rsidRDefault="003A322D" w:rsidP="003A322D">
            <w:pPr>
              <w:shd w:val="clear" w:color="auto" w:fill="FFFFFF"/>
              <w:jc w:val="both"/>
              <w:rPr>
                <w:sz w:val="22"/>
                <w:szCs w:val="22"/>
                <w:lang w:val="ru-RU" w:eastAsia="uk-UA"/>
              </w:rPr>
            </w:pPr>
          </w:p>
          <w:p w14:paraId="6CFF791A" w14:textId="77777777" w:rsidR="003A322D" w:rsidRPr="00C27A60" w:rsidRDefault="003A322D" w:rsidP="003A322D">
            <w:pPr>
              <w:shd w:val="clear" w:color="auto" w:fill="FFFFFF"/>
              <w:jc w:val="both"/>
              <w:rPr>
                <w:sz w:val="22"/>
                <w:szCs w:val="22"/>
                <w:lang w:val="ru-RU" w:eastAsia="uk-UA"/>
              </w:rPr>
            </w:pPr>
            <w:r w:rsidRPr="00C27A60">
              <w:rPr>
                <w:sz w:val="22"/>
                <w:szCs w:val="22"/>
                <w:lang w:eastAsia="uk-UA"/>
              </w:rPr>
              <w:t>де К</w:t>
            </w:r>
            <w:r w:rsidRPr="00C27A60">
              <w:rPr>
                <w:sz w:val="22"/>
                <w:szCs w:val="22"/>
                <w:vertAlign w:val="superscript"/>
                <w:lang w:eastAsia="uk-UA"/>
              </w:rPr>
              <w:t>БР</w:t>
            </w:r>
            <w:r w:rsidRPr="00C27A60">
              <w:rPr>
                <w:sz w:val="22"/>
                <w:szCs w:val="22"/>
                <w:vertAlign w:val="subscript"/>
                <w:lang w:eastAsia="uk-UA"/>
              </w:rPr>
              <w:t>W</w:t>
            </w:r>
            <w:r w:rsidRPr="00C27A60">
              <w:rPr>
                <w:sz w:val="22"/>
                <w:szCs w:val="22"/>
                <w:lang w:eastAsia="uk-UA"/>
              </w:rPr>
              <w:t>, К</w:t>
            </w:r>
            <w:r w:rsidRPr="00C27A60">
              <w:rPr>
                <w:sz w:val="22"/>
                <w:szCs w:val="22"/>
                <w:vertAlign w:val="superscript"/>
                <w:lang w:eastAsia="uk-UA"/>
              </w:rPr>
              <w:t>ДД</w:t>
            </w:r>
            <w:r w:rsidRPr="00C27A60">
              <w:rPr>
                <w:sz w:val="22"/>
                <w:szCs w:val="22"/>
                <w:vertAlign w:val="subscript"/>
                <w:lang w:eastAsia="uk-UA"/>
              </w:rPr>
              <w:t>W</w:t>
            </w:r>
            <w:r w:rsidRPr="00C27A60">
              <w:rPr>
                <w:sz w:val="22"/>
                <w:szCs w:val="22"/>
                <w:lang w:eastAsia="uk-UA"/>
              </w:rPr>
              <w:t xml:space="preserve"> та К</w:t>
            </w:r>
            <w:r w:rsidRPr="00C27A60">
              <w:rPr>
                <w:sz w:val="22"/>
                <w:szCs w:val="22"/>
                <w:vertAlign w:val="superscript"/>
                <w:lang w:eastAsia="uk-UA"/>
              </w:rPr>
              <w:t>БР</w:t>
            </w:r>
            <w:r w:rsidRPr="00C27A60">
              <w:rPr>
                <w:sz w:val="22"/>
                <w:szCs w:val="22"/>
                <w:vertAlign w:val="subscript"/>
                <w:lang w:eastAsia="uk-UA"/>
              </w:rPr>
              <w:t>Ц</w:t>
            </w:r>
            <w:r w:rsidRPr="00C27A60">
              <w:rPr>
                <w:sz w:val="22"/>
                <w:szCs w:val="22"/>
                <w:lang w:eastAsia="uk-UA"/>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1FD5BFD3" w14:textId="77777777" w:rsidR="003A322D" w:rsidRPr="00C27A60" w:rsidRDefault="003A322D" w:rsidP="003A322D">
            <w:pPr>
              <w:shd w:val="clear" w:color="auto" w:fill="FFFFFF"/>
              <w:jc w:val="both"/>
              <w:rPr>
                <w:sz w:val="22"/>
                <w:szCs w:val="22"/>
                <w:lang w:val="ru-RU" w:eastAsia="uk-UA"/>
              </w:rPr>
            </w:pPr>
          </w:p>
          <w:p w14:paraId="662CD259" w14:textId="6B61DD7E" w:rsidR="003A322D" w:rsidRPr="00C27A60" w:rsidRDefault="003A322D" w:rsidP="003A322D">
            <w:pPr>
              <w:spacing w:after="160" w:line="259" w:lineRule="auto"/>
              <w:jc w:val="both"/>
              <w:rPr>
                <w:rFonts w:eastAsia="Calibri"/>
                <w:kern w:val="2"/>
                <w:sz w:val="22"/>
                <w:szCs w:val="22"/>
                <w:lang w:val="ru-RU" w:eastAsia="en-US"/>
                <w14:ligatures w14:val="standardContextual"/>
              </w:rPr>
            </w:pPr>
            <w:r w:rsidRPr="00C27A60">
              <w:rPr>
                <w:rFonts w:eastAsia="Calibri"/>
                <w:b/>
                <w:kern w:val="2"/>
                <w:sz w:val="22"/>
                <w:szCs w:val="22"/>
                <w14:ligatures w14:val="standardContextual"/>
              </w:rPr>
              <w:t xml:space="preserve">Так, з метою перевірки ліцензованої діяльності </w:t>
            </w:r>
            <w:r w:rsidRPr="00C27A60">
              <w:rPr>
                <w:rFonts w:eastAsia="Calibri"/>
                <w:b/>
                <w:kern w:val="2"/>
                <w:sz w:val="22"/>
                <w:szCs w:val="22"/>
                <w:lang w:val="ru-RU"/>
                <w14:ligatures w14:val="standardContextual"/>
              </w:rPr>
              <w:t>з</w:t>
            </w:r>
            <w:r w:rsidRPr="00C27A60">
              <w:rPr>
                <w:rFonts w:eastAsia="Calibri"/>
                <w:b/>
                <w:kern w:val="2"/>
                <w:sz w:val="22"/>
                <w:szCs w:val="22"/>
                <w14:ligatures w14:val="standardContextual"/>
              </w:rPr>
              <w:t>а 2024 рік, К</w:t>
            </w:r>
            <w:r w:rsidRPr="00C27A60">
              <w:rPr>
                <w:rFonts w:eastAsia="Calibri"/>
                <w:b/>
                <w:kern w:val="2"/>
                <w:sz w:val="22"/>
                <w:szCs w:val="22"/>
                <w:vertAlign w:val="superscript"/>
                <w14:ligatures w14:val="standardContextual"/>
              </w:rPr>
              <w:t>БР</w:t>
            </w:r>
            <w:r w:rsidRPr="00C27A60">
              <w:rPr>
                <w:rFonts w:eastAsia="Calibri"/>
                <w:b/>
                <w:kern w:val="2"/>
                <w:sz w:val="22"/>
                <w:szCs w:val="22"/>
                <w:vertAlign w:val="subscript"/>
                <w14:ligatures w14:val="standardContextual"/>
              </w:rPr>
              <w:t>W</w:t>
            </w:r>
            <w:r w:rsidRPr="00C27A60">
              <w:rPr>
                <w:rFonts w:eastAsia="Calibri"/>
                <w:b/>
                <w:kern w:val="2"/>
                <w:sz w:val="22"/>
                <w:szCs w:val="22"/>
                <w14:ligatures w14:val="standardContextual"/>
              </w:rPr>
              <w:t>,</w:t>
            </w:r>
            <w:r w:rsidRPr="00C27A60">
              <w:rPr>
                <w:rFonts w:eastAsia="Calibri"/>
                <w:b/>
                <w:kern w:val="2"/>
                <w:sz w:val="22"/>
                <w:szCs w:val="22"/>
                <w:vertAlign w:val="subscript"/>
                <w14:ligatures w14:val="standardContextual"/>
              </w:rPr>
              <w:t xml:space="preserve"> </w:t>
            </w:r>
            <w:r w:rsidRPr="00C27A60">
              <w:rPr>
                <w:rFonts w:eastAsia="Calibri"/>
                <w:b/>
                <w:kern w:val="2"/>
                <w:sz w:val="22"/>
                <w:szCs w:val="22"/>
                <w14:ligatures w14:val="standardContextual"/>
              </w:rPr>
              <w:t>К</w:t>
            </w:r>
            <w:r w:rsidRPr="00C27A60">
              <w:rPr>
                <w:rFonts w:eastAsia="Calibri"/>
                <w:b/>
                <w:kern w:val="2"/>
                <w:sz w:val="22"/>
                <w:szCs w:val="22"/>
                <w:vertAlign w:val="superscript"/>
                <w14:ligatures w14:val="standardContextual"/>
              </w:rPr>
              <w:t>ДД</w:t>
            </w:r>
            <w:r w:rsidRPr="00C27A60">
              <w:rPr>
                <w:rFonts w:eastAsia="Calibri"/>
                <w:b/>
                <w:kern w:val="2"/>
                <w:sz w:val="22"/>
                <w:szCs w:val="22"/>
                <w:vertAlign w:val="subscript"/>
                <w14:ligatures w14:val="standardContextual"/>
              </w:rPr>
              <w:t xml:space="preserve">W </w:t>
            </w:r>
            <w:r w:rsidRPr="00C27A60">
              <w:rPr>
                <w:rFonts w:eastAsia="Calibri"/>
                <w:b/>
                <w:kern w:val="2"/>
                <w:sz w:val="22"/>
                <w:szCs w:val="22"/>
                <w14:ligatures w14:val="standardContextual"/>
              </w:rPr>
              <w:t>визначається на рівнях 0,1 та 0,6 відповідно</w:t>
            </w:r>
            <w:r w:rsidRPr="00C27A60">
              <w:rPr>
                <w:rFonts w:eastAsia="Calibri"/>
                <w:b/>
                <w:kern w:val="2"/>
                <w:sz w:val="22"/>
                <w:szCs w:val="22"/>
                <w:lang w:eastAsia="en-US"/>
                <w14:ligatures w14:val="standardContextual"/>
              </w:rPr>
              <w:t>.</w:t>
            </w:r>
          </w:p>
          <w:p w14:paraId="608E9239" w14:textId="77777777" w:rsidR="003A322D" w:rsidRPr="00C27A60" w:rsidRDefault="003A322D" w:rsidP="003A322D">
            <w:pPr>
              <w:shd w:val="clear" w:color="auto" w:fill="FFFFFF"/>
              <w:jc w:val="both"/>
              <w:rPr>
                <w:sz w:val="22"/>
                <w:szCs w:val="22"/>
                <w:lang w:val="ru-RU" w:eastAsia="uk-UA"/>
              </w:rPr>
            </w:pPr>
          </w:p>
          <w:p w14:paraId="588C7224"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Ц </w:t>
            </w:r>
            <w:r w:rsidRPr="00C27A60">
              <w:rPr>
                <w:rFonts w:eastAsia="Calibri"/>
                <w:kern w:val="2"/>
                <w:sz w:val="22"/>
                <w:szCs w:val="22"/>
                <w:vertAlign w:val="subscript"/>
                <w:lang w:eastAsia="en-US"/>
                <w14:ligatures w14:val="standardContextual"/>
              </w:rPr>
              <w:t>РДД ф і</w:t>
            </w:r>
            <w:r w:rsidRPr="00C27A60">
              <w:rPr>
                <w:rFonts w:eastAsia="Calibri"/>
                <w:kern w:val="2"/>
                <w:sz w:val="22"/>
                <w:szCs w:val="22"/>
                <w:lang w:eastAsia="en-US"/>
                <w14:ligatures w14:val="standardContextual"/>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вебсайті в мережі Інтернет, грн/МВт·год;</w:t>
            </w:r>
          </w:p>
          <w:p w14:paraId="1F03BC53"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lastRenderedPageBreak/>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6D5C8F8C"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К= Ц </w:t>
            </w:r>
            <w:r w:rsidRPr="00C27A60">
              <w:rPr>
                <w:rFonts w:eastAsia="Calibri"/>
                <w:kern w:val="2"/>
                <w:sz w:val="22"/>
                <w:szCs w:val="22"/>
                <w:vertAlign w:val="subscript"/>
                <w:lang w:eastAsia="en-US"/>
                <w14:ligatures w14:val="standardContextual"/>
              </w:rPr>
              <w:t>РДН ф і</w:t>
            </w:r>
            <w:r w:rsidRPr="00C27A60">
              <w:rPr>
                <w:rFonts w:eastAsia="Calibri"/>
                <w:kern w:val="2"/>
                <w:sz w:val="22"/>
                <w:szCs w:val="22"/>
                <w:lang w:eastAsia="en-US"/>
                <w14:ligatures w14:val="standardContextual"/>
              </w:rPr>
              <w:t xml:space="preserve"> / Ц </w:t>
            </w:r>
            <w:r w:rsidRPr="00C27A60">
              <w:rPr>
                <w:rFonts w:eastAsia="Calibri"/>
                <w:kern w:val="2"/>
                <w:sz w:val="22"/>
                <w:szCs w:val="22"/>
                <w:vertAlign w:val="subscript"/>
                <w:lang w:eastAsia="en-US"/>
                <w14:ligatures w14:val="standardContextual"/>
              </w:rPr>
              <w:t>база і</w:t>
            </w:r>
            <w:r w:rsidRPr="00C27A60">
              <w:rPr>
                <w:rFonts w:eastAsia="Calibri"/>
                <w:kern w:val="2"/>
                <w:sz w:val="22"/>
                <w:szCs w:val="22"/>
                <w:lang w:eastAsia="en-US"/>
                <w14:ligatures w14:val="standardContextual"/>
              </w:rPr>
              <w:t>;</w:t>
            </w:r>
          </w:p>
          <w:p w14:paraId="12FBCE12"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де Ц </w:t>
            </w:r>
            <w:r w:rsidRPr="00C27A60">
              <w:rPr>
                <w:rFonts w:eastAsia="Calibri"/>
                <w:kern w:val="2"/>
                <w:sz w:val="22"/>
                <w:szCs w:val="22"/>
                <w:vertAlign w:val="subscript"/>
                <w:lang w:eastAsia="en-US"/>
                <w14:ligatures w14:val="standardContextual"/>
              </w:rPr>
              <w:t>база і</w:t>
            </w:r>
            <w:r w:rsidRPr="00C27A60">
              <w:rPr>
                <w:rFonts w:eastAsia="Calibri"/>
                <w:kern w:val="2"/>
                <w:sz w:val="22"/>
                <w:szCs w:val="22"/>
                <w:lang w:eastAsia="en-US"/>
                <w14:ligatures w14:val="standardContextual"/>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вебсайті в мережі Інтернет, грн/МВт.</w:t>
            </w:r>
          </w:p>
          <w:p w14:paraId="611D44B4" w14:textId="77777777" w:rsidR="003A322D" w:rsidRPr="00C27A60" w:rsidRDefault="003A322D" w:rsidP="003A322D">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Д </w:t>
            </w:r>
            <w:r w:rsidRPr="00C27A60">
              <w:rPr>
                <w:rFonts w:eastAsia="Calibri"/>
                <w:kern w:val="2"/>
                <w:sz w:val="22"/>
                <w:szCs w:val="22"/>
                <w:vertAlign w:val="subscript"/>
                <w:lang w:eastAsia="en-US"/>
                <w14:ligatures w14:val="standardContextual"/>
              </w:rPr>
              <w:t>ТВЕ ф i</w:t>
            </w:r>
            <w:r w:rsidRPr="00C27A60">
              <w:rPr>
                <w:rFonts w:eastAsia="Calibri"/>
                <w:kern w:val="2"/>
                <w:sz w:val="22"/>
                <w:szCs w:val="22"/>
                <w:lang w:eastAsia="en-US"/>
                <w14:ligatures w14:val="standardContextual"/>
              </w:rPr>
              <w:t xml:space="preserve"> розраховується за формулою</w:t>
            </w:r>
          </w:p>
          <w:p w14:paraId="3AE1A820" w14:textId="77777777" w:rsidR="003A322D" w:rsidRPr="00C27A60" w:rsidRDefault="003A322D" w:rsidP="003A322D">
            <w:pPr>
              <w:spacing w:after="160" w:line="259" w:lineRule="auto"/>
              <w:ind w:firstLine="308"/>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Д </w:t>
            </w:r>
            <w:r w:rsidRPr="00C27A60">
              <w:rPr>
                <w:rFonts w:eastAsia="Calibri"/>
                <w:kern w:val="2"/>
                <w:sz w:val="22"/>
                <w:szCs w:val="22"/>
                <w:vertAlign w:val="subscript"/>
                <w:lang w:eastAsia="en-US"/>
                <w14:ligatures w14:val="standardContextual"/>
              </w:rPr>
              <w:t>ТВЕ ф i</w:t>
            </w:r>
            <w:r w:rsidRPr="00C27A60">
              <w:rPr>
                <w:rFonts w:eastAsia="Calibri"/>
                <w:kern w:val="2"/>
                <w:sz w:val="22"/>
                <w:szCs w:val="22"/>
                <w:lang w:eastAsia="en-US"/>
                <w14:ligatures w14:val="standardContextual"/>
              </w:rPr>
              <w:t xml:space="preserve"> = О </w:t>
            </w:r>
            <w:r w:rsidRPr="00C27A60">
              <w:rPr>
                <w:rFonts w:eastAsia="Calibri"/>
                <w:kern w:val="2"/>
                <w:sz w:val="22"/>
                <w:szCs w:val="22"/>
                <w:vertAlign w:val="subscript"/>
                <w:lang w:eastAsia="en-US"/>
                <w14:ligatures w14:val="standardContextual"/>
              </w:rPr>
              <w:t>ТВЕ ф i</w:t>
            </w:r>
            <w:r w:rsidRPr="00C27A60">
              <w:rPr>
                <w:rFonts w:eastAsia="Calibri"/>
                <w:kern w:val="2"/>
                <w:sz w:val="22"/>
                <w:szCs w:val="22"/>
                <w:lang w:eastAsia="en-US"/>
                <w14:ligatures w14:val="standardContextual"/>
              </w:rPr>
              <w:t xml:space="preserve"> х Ц</w:t>
            </w:r>
            <w:r w:rsidRPr="00C27A60">
              <w:rPr>
                <w:rFonts w:eastAsia="Calibri"/>
                <w:kern w:val="2"/>
                <w:sz w:val="22"/>
                <w:szCs w:val="22"/>
                <w:vertAlign w:val="subscript"/>
                <w:lang w:eastAsia="en-US"/>
                <w14:ligatures w14:val="standardContextual"/>
              </w:rPr>
              <w:t>ТВЕ i</w:t>
            </w:r>
            <w:r w:rsidRPr="00C27A60">
              <w:rPr>
                <w:rFonts w:eastAsia="Calibri"/>
                <w:kern w:val="2"/>
                <w:sz w:val="22"/>
                <w:szCs w:val="22"/>
                <w:lang w:eastAsia="en-US"/>
                <w14:ligatures w14:val="standardContextual"/>
              </w:rPr>
              <w:t>;</w:t>
            </w:r>
          </w:p>
          <w:p w14:paraId="2B3A3B02" w14:textId="77777777" w:rsidR="003A322D" w:rsidRPr="00C27A60" w:rsidRDefault="003A322D" w:rsidP="003A322D">
            <w:pPr>
              <w:jc w:val="both"/>
              <w:rPr>
                <w:i/>
                <w:sz w:val="22"/>
                <w:szCs w:val="22"/>
              </w:rPr>
            </w:pPr>
            <w:r w:rsidRPr="00C27A60">
              <w:rPr>
                <w:i/>
                <w:sz w:val="22"/>
                <w:szCs w:val="22"/>
              </w:rPr>
              <w:t>ОБРГРУНТУВАННЯ:</w:t>
            </w:r>
          </w:p>
          <w:p w14:paraId="7FC4568C" w14:textId="77777777" w:rsidR="00B91461" w:rsidRPr="00C27A60" w:rsidRDefault="00B91461" w:rsidP="003A322D">
            <w:pPr>
              <w:spacing w:after="160" w:line="259" w:lineRule="auto"/>
              <w:jc w:val="both"/>
              <w:rPr>
                <w:rFonts w:eastAsia="Calibri"/>
                <w:kern w:val="2"/>
                <w:sz w:val="22"/>
                <w:szCs w:val="22"/>
                <w:lang w:eastAsia="en-US"/>
                <w14:ligatures w14:val="standardContextual"/>
              </w:rPr>
            </w:pPr>
          </w:p>
          <w:p w14:paraId="5461DE08" w14:textId="5DBBB5E6" w:rsidR="003A322D" w:rsidRPr="00C27A60" w:rsidRDefault="003A322D" w:rsidP="00D4664C">
            <w:pPr>
              <w:spacing w:after="160" w:line="259" w:lineRule="auto"/>
              <w:jc w:val="both"/>
              <w:rPr>
                <w:rFonts w:eastAsia="Calibri"/>
                <w:kern w:val="2"/>
                <w:sz w:val="22"/>
                <w:szCs w:val="22"/>
                <w:shd w:val="clear" w:color="auto" w:fill="FFFFFF"/>
                <w:lang w:eastAsia="en-US"/>
                <w14:ligatures w14:val="standardContextual"/>
              </w:rPr>
            </w:pPr>
            <w:r w:rsidRPr="00C27A60">
              <w:rPr>
                <w:rFonts w:eastAsia="Calibri"/>
                <w:kern w:val="2"/>
                <w:sz w:val="22"/>
                <w:szCs w:val="22"/>
                <w:lang w:eastAsia="en-US"/>
                <w14:ligatures w14:val="standardContextual"/>
              </w:rPr>
              <w:t>З огляду на обмежені можливості придбання необхідних обсягів ТВЕ  на біржі за визначеним НКРЕКП тарифним індикативом ціни у 2024 році пропонуємо врахувати частки закупівлі ТВЕ на відповідних сегментах ринку: 60% РДД, 30% РДН, 10% БР.</w:t>
            </w:r>
          </w:p>
          <w:p w14:paraId="65AB0B54" w14:textId="05405AB8" w:rsidR="008148BA" w:rsidRPr="00C27A60" w:rsidRDefault="008148BA" w:rsidP="00965B90">
            <w:pPr>
              <w:ind w:firstLine="308"/>
              <w:jc w:val="both"/>
              <w:rPr>
                <w:i/>
                <w:sz w:val="22"/>
                <w:szCs w:val="22"/>
                <w:shd w:val="clear" w:color="auto" w:fill="FFFFFF"/>
              </w:rPr>
            </w:pPr>
          </w:p>
        </w:tc>
        <w:tc>
          <w:tcPr>
            <w:tcW w:w="3546" w:type="dxa"/>
            <w:shd w:val="clear" w:color="auto" w:fill="auto"/>
            <w:vAlign w:val="center"/>
          </w:tcPr>
          <w:p w14:paraId="395205BB" w14:textId="77777777" w:rsidR="006A54E9" w:rsidRPr="00C27A60" w:rsidRDefault="006A54E9" w:rsidP="00AC768C">
            <w:pPr>
              <w:rPr>
                <w:b/>
                <w:sz w:val="22"/>
                <w:szCs w:val="22"/>
              </w:rPr>
            </w:pPr>
          </w:p>
          <w:p w14:paraId="52F55BF5" w14:textId="77777777" w:rsidR="00AC768C" w:rsidRPr="00C27A60" w:rsidRDefault="00AC768C" w:rsidP="00AC768C">
            <w:pPr>
              <w:rPr>
                <w:b/>
                <w:sz w:val="22"/>
                <w:szCs w:val="22"/>
              </w:rPr>
            </w:pPr>
          </w:p>
          <w:p w14:paraId="02E098F7" w14:textId="77777777" w:rsidR="00AC768C" w:rsidRPr="00C27A60" w:rsidRDefault="00AC768C" w:rsidP="00AC768C">
            <w:pPr>
              <w:rPr>
                <w:b/>
                <w:sz w:val="22"/>
                <w:szCs w:val="22"/>
              </w:rPr>
            </w:pPr>
          </w:p>
          <w:p w14:paraId="56D801B2" w14:textId="77777777" w:rsidR="00AC768C" w:rsidRPr="00C27A60" w:rsidRDefault="00AC768C" w:rsidP="00AC768C">
            <w:pPr>
              <w:rPr>
                <w:b/>
                <w:sz w:val="22"/>
                <w:szCs w:val="22"/>
              </w:rPr>
            </w:pPr>
          </w:p>
          <w:p w14:paraId="3FCC457B" w14:textId="77777777" w:rsidR="00AC768C" w:rsidRPr="00C27A60" w:rsidRDefault="00AC768C" w:rsidP="00AC768C">
            <w:pPr>
              <w:rPr>
                <w:b/>
                <w:sz w:val="22"/>
                <w:szCs w:val="22"/>
              </w:rPr>
            </w:pPr>
          </w:p>
          <w:p w14:paraId="7B8CBAD5" w14:textId="77777777" w:rsidR="00AC768C" w:rsidRPr="00C27A60" w:rsidRDefault="00AC768C" w:rsidP="00AC768C">
            <w:pPr>
              <w:rPr>
                <w:b/>
                <w:sz w:val="22"/>
                <w:szCs w:val="22"/>
              </w:rPr>
            </w:pPr>
          </w:p>
          <w:p w14:paraId="4F9CEC1A" w14:textId="77777777" w:rsidR="00AC768C" w:rsidRPr="00C27A60" w:rsidRDefault="00AC768C" w:rsidP="00AC768C">
            <w:pPr>
              <w:rPr>
                <w:b/>
                <w:sz w:val="22"/>
                <w:szCs w:val="22"/>
              </w:rPr>
            </w:pPr>
          </w:p>
          <w:p w14:paraId="5F8AB393" w14:textId="77777777" w:rsidR="00AC768C" w:rsidRPr="00C27A60" w:rsidRDefault="00AC768C" w:rsidP="00AC768C">
            <w:pPr>
              <w:rPr>
                <w:b/>
                <w:sz w:val="22"/>
                <w:szCs w:val="22"/>
              </w:rPr>
            </w:pPr>
          </w:p>
          <w:p w14:paraId="1D716A76" w14:textId="77777777" w:rsidR="00AC768C" w:rsidRPr="00C27A60" w:rsidRDefault="00AC768C" w:rsidP="00AC768C">
            <w:pPr>
              <w:rPr>
                <w:b/>
                <w:sz w:val="22"/>
                <w:szCs w:val="22"/>
              </w:rPr>
            </w:pPr>
          </w:p>
          <w:p w14:paraId="6A818D29" w14:textId="77777777" w:rsidR="00AC768C" w:rsidRPr="00C27A60" w:rsidRDefault="00AC768C" w:rsidP="00AC768C">
            <w:pPr>
              <w:rPr>
                <w:b/>
                <w:sz w:val="22"/>
                <w:szCs w:val="22"/>
              </w:rPr>
            </w:pPr>
          </w:p>
          <w:p w14:paraId="3CAD80C9" w14:textId="77777777" w:rsidR="00AC768C" w:rsidRPr="00C27A60" w:rsidRDefault="00AC768C" w:rsidP="00AC768C">
            <w:pPr>
              <w:rPr>
                <w:b/>
                <w:sz w:val="22"/>
                <w:szCs w:val="22"/>
              </w:rPr>
            </w:pPr>
          </w:p>
          <w:p w14:paraId="15C0C831" w14:textId="77777777" w:rsidR="00AC768C" w:rsidRPr="00C27A60" w:rsidRDefault="00AC768C" w:rsidP="00AC768C">
            <w:pPr>
              <w:rPr>
                <w:b/>
                <w:sz w:val="22"/>
                <w:szCs w:val="22"/>
              </w:rPr>
            </w:pPr>
          </w:p>
          <w:p w14:paraId="0DB57D8F" w14:textId="77777777" w:rsidR="00AC768C" w:rsidRPr="00C27A60" w:rsidRDefault="00AC768C" w:rsidP="00AC768C">
            <w:pPr>
              <w:rPr>
                <w:b/>
                <w:sz w:val="22"/>
                <w:szCs w:val="22"/>
              </w:rPr>
            </w:pPr>
          </w:p>
          <w:p w14:paraId="0D001474" w14:textId="77777777" w:rsidR="00AC768C" w:rsidRPr="00C27A60" w:rsidRDefault="00AC768C" w:rsidP="00AC768C">
            <w:pPr>
              <w:rPr>
                <w:b/>
                <w:sz w:val="22"/>
                <w:szCs w:val="22"/>
              </w:rPr>
            </w:pPr>
          </w:p>
          <w:p w14:paraId="1A408861" w14:textId="77777777" w:rsidR="00AC768C" w:rsidRPr="00C27A60" w:rsidRDefault="00AC768C" w:rsidP="00AC768C">
            <w:pPr>
              <w:rPr>
                <w:b/>
                <w:sz w:val="22"/>
                <w:szCs w:val="22"/>
              </w:rPr>
            </w:pPr>
          </w:p>
          <w:p w14:paraId="37303BDA" w14:textId="77777777" w:rsidR="00AC768C" w:rsidRPr="00C27A60" w:rsidRDefault="00AC768C" w:rsidP="00AC768C">
            <w:pPr>
              <w:rPr>
                <w:b/>
                <w:sz w:val="22"/>
                <w:szCs w:val="22"/>
              </w:rPr>
            </w:pPr>
          </w:p>
          <w:p w14:paraId="3204EBF8" w14:textId="77777777" w:rsidR="00AC768C" w:rsidRPr="00C27A60" w:rsidRDefault="00AC768C" w:rsidP="00AC768C">
            <w:pPr>
              <w:rPr>
                <w:b/>
                <w:sz w:val="22"/>
                <w:szCs w:val="22"/>
              </w:rPr>
            </w:pPr>
          </w:p>
          <w:p w14:paraId="22633C71" w14:textId="77777777" w:rsidR="00AC768C" w:rsidRPr="00C27A60" w:rsidRDefault="00AC768C" w:rsidP="00AC768C">
            <w:pPr>
              <w:rPr>
                <w:b/>
                <w:sz w:val="22"/>
                <w:szCs w:val="22"/>
              </w:rPr>
            </w:pPr>
          </w:p>
          <w:p w14:paraId="65269730" w14:textId="77777777" w:rsidR="00AC768C" w:rsidRPr="00C27A60" w:rsidRDefault="00AC768C" w:rsidP="00AC768C">
            <w:pPr>
              <w:rPr>
                <w:b/>
                <w:sz w:val="22"/>
                <w:szCs w:val="22"/>
              </w:rPr>
            </w:pPr>
          </w:p>
          <w:p w14:paraId="7D307ECE" w14:textId="77777777" w:rsidR="00AC768C" w:rsidRPr="00C27A60" w:rsidRDefault="00AC768C" w:rsidP="00AC768C">
            <w:pPr>
              <w:rPr>
                <w:b/>
                <w:sz w:val="22"/>
                <w:szCs w:val="22"/>
              </w:rPr>
            </w:pPr>
          </w:p>
          <w:p w14:paraId="17E37A5D" w14:textId="77777777" w:rsidR="00AC768C" w:rsidRPr="00C27A60" w:rsidRDefault="00AC768C" w:rsidP="00AC768C">
            <w:pPr>
              <w:rPr>
                <w:b/>
                <w:sz w:val="22"/>
                <w:szCs w:val="22"/>
              </w:rPr>
            </w:pPr>
          </w:p>
          <w:p w14:paraId="23911B42" w14:textId="77777777" w:rsidR="00AC768C" w:rsidRPr="00C27A60" w:rsidRDefault="00AC768C" w:rsidP="00AC768C">
            <w:pPr>
              <w:rPr>
                <w:b/>
                <w:sz w:val="22"/>
                <w:szCs w:val="22"/>
              </w:rPr>
            </w:pPr>
          </w:p>
          <w:p w14:paraId="051222D6" w14:textId="77777777" w:rsidR="00AC768C" w:rsidRPr="00C27A60" w:rsidRDefault="00AC768C" w:rsidP="00AC768C">
            <w:pPr>
              <w:rPr>
                <w:b/>
                <w:sz w:val="22"/>
                <w:szCs w:val="22"/>
              </w:rPr>
            </w:pPr>
          </w:p>
          <w:p w14:paraId="5A0D6E9D" w14:textId="77777777" w:rsidR="00AC768C" w:rsidRPr="00C27A60" w:rsidRDefault="00AC768C" w:rsidP="00AC768C">
            <w:pPr>
              <w:rPr>
                <w:b/>
                <w:sz w:val="22"/>
                <w:szCs w:val="22"/>
              </w:rPr>
            </w:pPr>
          </w:p>
          <w:p w14:paraId="0DFC45D6" w14:textId="77777777" w:rsidR="00AC768C" w:rsidRPr="00C27A60" w:rsidRDefault="00AC768C" w:rsidP="00AC768C">
            <w:pPr>
              <w:rPr>
                <w:b/>
                <w:sz w:val="22"/>
                <w:szCs w:val="22"/>
              </w:rPr>
            </w:pPr>
          </w:p>
          <w:p w14:paraId="54635679" w14:textId="77777777" w:rsidR="00AC768C" w:rsidRPr="00C27A60" w:rsidRDefault="00AC768C" w:rsidP="00AC768C">
            <w:pPr>
              <w:rPr>
                <w:b/>
                <w:sz w:val="22"/>
                <w:szCs w:val="22"/>
              </w:rPr>
            </w:pPr>
          </w:p>
          <w:p w14:paraId="515636D7" w14:textId="77777777" w:rsidR="00AC768C" w:rsidRPr="00C27A60" w:rsidRDefault="00AC768C" w:rsidP="00AC768C">
            <w:pPr>
              <w:rPr>
                <w:b/>
                <w:sz w:val="22"/>
                <w:szCs w:val="22"/>
              </w:rPr>
            </w:pPr>
          </w:p>
          <w:p w14:paraId="79CF86A0" w14:textId="77777777" w:rsidR="00AC768C" w:rsidRPr="00C27A60" w:rsidRDefault="00AC768C" w:rsidP="00AC768C">
            <w:pPr>
              <w:rPr>
                <w:b/>
                <w:sz w:val="22"/>
                <w:szCs w:val="22"/>
              </w:rPr>
            </w:pPr>
          </w:p>
          <w:p w14:paraId="48A4EEB6" w14:textId="77777777" w:rsidR="00AC768C" w:rsidRPr="00C27A60" w:rsidRDefault="00AC768C" w:rsidP="00AC768C">
            <w:pPr>
              <w:rPr>
                <w:b/>
                <w:sz w:val="22"/>
                <w:szCs w:val="22"/>
              </w:rPr>
            </w:pPr>
          </w:p>
          <w:p w14:paraId="4BE45190" w14:textId="77777777" w:rsidR="00AC768C" w:rsidRPr="00C27A60" w:rsidRDefault="00AC768C" w:rsidP="00AC768C">
            <w:pPr>
              <w:rPr>
                <w:b/>
                <w:sz w:val="22"/>
                <w:szCs w:val="22"/>
              </w:rPr>
            </w:pPr>
          </w:p>
          <w:p w14:paraId="2B1854E4" w14:textId="77777777" w:rsidR="00AC768C" w:rsidRPr="00C27A60" w:rsidRDefault="00AC768C" w:rsidP="00AC768C">
            <w:pPr>
              <w:rPr>
                <w:b/>
                <w:sz w:val="22"/>
                <w:szCs w:val="22"/>
              </w:rPr>
            </w:pPr>
          </w:p>
          <w:p w14:paraId="68E913BB" w14:textId="77777777" w:rsidR="00AC768C" w:rsidRPr="00C27A60" w:rsidRDefault="00AC768C" w:rsidP="00AC768C">
            <w:pPr>
              <w:rPr>
                <w:b/>
                <w:sz w:val="22"/>
                <w:szCs w:val="22"/>
              </w:rPr>
            </w:pPr>
          </w:p>
          <w:p w14:paraId="29CB241A" w14:textId="77777777" w:rsidR="00AC768C" w:rsidRPr="00C27A60" w:rsidRDefault="00AC768C" w:rsidP="00AC768C">
            <w:pPr>
              <w:rPr>
                <w:b/>
                <w:sz w:val="22"/>
                <w:szCs w:val="22"/>
              </w:rPr>
            </w:pPr>
          </w:p>
          <w:p w14:paraId="1135F93B" w14:textId="77777777" w:rsidR="00AC768C" w:rsidRPr="00C27A60" w:rsidRDefault="00AC768C" w:rsidP="00AC768C">
            <w:pPr>
              <w:rPr>
                <w:b/>
                <w:sz w:val="22"/>
                <w:szCs w:val="22"/>
              </w:rPr>
            </w:pPr>
          </w:p>
          <w:p w14:paraId="49804AA0" w14:textId="77777777" w:rsidR="00AC768C" w:rsidRPr="00C27A60" w:rsidRDefault="00AC768C" w:rsidP="00AC768C">
            <w:pPr>
              <w:rPr>
                <w:b/>
                <w:sz w:val="22"/>
                <w:szCs w:val="22"/>
              </w:rPr>
            </w:pPr>
          </w:p>
          <w:p w14:paraId="101B6399" w14:textId="77777777" w:rsidR="00AC768C" w:rsidRPr="00C27A60" w:rsidRDefault="00AC768C" w:rsidP="00AC768C">
            <w:pPr>
              <w:rPr>
                <w:b/>
                <w:sz w:val="22"/>
                <w:szCs w:val="22"/>
              </w:rPr>
            </w:pPr>
          </w:p>
          <w:p w14:paraId="7B2DCCBD" w14:textId="77777777" w:rsidR="00AC768C" w:rsidRPr="00C27A60" w:rsidRDefault="00AC768C" w:rsidP="00AC768C">
            <w:pPr>
              <w:rPr>
                <w:b/>
                <w:sz w:val="22"/>
                <w:szCs w:val="22"/>
              </w:rPr>
            </w:pPr>
          </w:p>
          <w:p w14:paraId="55E8264A" w14:textId="77777777" w:rsidR="00AC768C" w:rsidRPr="00C27A60" w:rsidRDefault="00AC768C" w:rsidP="00AC768C">
            <w:pPr>
              <w:rPr>
                <w:b/>
                <w:sz w:val="22"/>
                <w:szCs w:val="22"/>
              </w:rPr>
            </w:pPr>
          </w:p>
          <w:p w14:paraId="3404D767" w14:textId="77777777" w:rsidR="00AC768C" w:rsidRPr="00C27A60" w:rsidRDefault="00AC768C" w:rsidP="00AC768C">
            <w:pPr>
              <w:rPr>
                <w:b/>
                <w:sz w:val="22"/>
                <w:szCs w:val="22"/>
              </w:rPr>
            </w:pPr>
          </w:p>
          <w:p w14:paraId="79BB3528" w14:textId="77777777" w:rsidR="00AC768C" w:rsidRPr="00C27A60" w:rsidRDefault="00AC768C" w:rsidP="00AC768C">
            <w:pPr>
              <w:rPr>
                <w:b/>
                <w:sz w:val="22"/>
                <w:szCs w:val="22"/>
              </w:rPr>
            </w:pPr>
          </w:p>
          <w:p w14:paraId="1548DED9" w14:textId="77777777" w:rsidR="00AC768C" w:rsidRPr="00C27A60" w:rsidRDefault="00AC768C" w:rsidP="00AC768C">
            <w:pPr>
              <w:rPr>
                <w:b/>
                <w:sz w:val="22"/>
                <w:szCs w:val="22"/>
              </w:rPr>
            </w:pPr>
          </w:p>
          <w:p w14:paraId="53CFFB6F" w14:textId="77777777" w:rsidR="00AC768C" w:rsidRPr="00C27A60" w:rsidRDefault="00AC768C" w:rsidP="00AC768C">
            <w:pPr>
              <w:rPr>
                <w:b/>
                <w:sz w:val="22"/>
                <w:szCs w:val="22"/>
              </w:rPr>
            </w:pPr>
          </w:p>
          <w:p w14:paraId="73DDA6A9" w14:textId="77777777" w:rsidR="00AC768C" w:rsidRPr="00C27A60" w:rsidRDefault="00AC768C" w:rsidP="00AC768C">
            <w:pPr>
              <w:rPr>
                <w:b/>
                <w:sz w:val="22"/>
                <w:szCs w:val="22"/>
              </w:rPr>
            </w:pPr>
          </w:p>
          <w:p w14:paraId="1E6D428A" w14:textId="77777777" w:rsidR="00AC768C" w:rsidRPr="00C27A60" w:rsidRDefault="00AC768C" w:rsidP="00AC768C">
            <w:pPr>
              <w:rPr>
                <w:b/>
                <w:sz w:val="22"/>
                <w:szCs w:val="22"/>
              </w:rPr>
            </w:pPr>
          </w:p>
          <w:p w14:paraId="380D4BBF" w14:textId="77777777" w:rsidR="00AC768C" w:rsidRPr="00C27A60" w:rsidRDefault="00AC768C" w:rsidP="00AC768C">
            <w:pPr>
              <w:rPr>
                <w:b/>
                <w:sz w:val="22"/>
                <w:szCs w:val="22"/>
              </w:rPr>
            </w:pPr>
          </w:p>
          <w:p w14:paraId="69333782" w14:textId="77777777" w:rsidR="00AC768C" w:rsidRPr="00C27A60" w:rsidRDefault="00AC768C" w:rsidP="00AC768C">
            <w:pPr>
              <w:rPr>
                <w:b/>
                <w:sz w:val="22"/>
                <w:szCs w:val="22"/>
              </w:rPr>
            </w:pPr>
          </w:p>
          <w:p w14:paraId="35FDD9AC" w14:textId="77777777" w:rsidR="00AC768C" w:rsidRPr="00C27A60" w:rsidRDefault="00AC768C" w:rsidP="00AC768C">
            <w:pPr>
              <w:rPr>
                <w:b/>
                <w:sz w:val="22"/>
                <w:szCs w:val="22"/>
              </w:rPr>
            </w:pPr>
          </w:p>
          <w:p w14:paraId="69BEB34E" w14:textId="77777777" w:rsidR="00AC768C" w:rsidRPr="00C27A60" w:rsidRDefault="00AC768C" w:rsidP="00AC768C">
            <w:pPr>
              <w:rPr>
                <w:b/>
                <w:sz w:val="22"/>
                <w:szCs w:val="22"/>
              </w:rPr>
            </w:pPr>
          </w:p>
          <w:p w14:paraId="75EAF68D" w14:textId="77777777" w:rsidR="00AC768C" w:rsidRPr="00C27A60" w:rsidRDefault="00AC768C" w:rsidP="00AC768C">
            <w:pPr>
              <w:rPr>
                <w:b/>
                <w:sz w:val="22"/>
                <w:szCs w:val="22"/>
              </w:rPr>
            </w:pPr>
          </w:p>
          <w:p w14:paraId="1C4EE3B2" w14:textId="77777777" w:rsidR="00AC768C" w:rsidRPr="00C27A60" w:rsidRDefault="00AC768C" w:rsidP="00AC768C">
            <w:pPr>
              <w:rPr>
                <w:b/>
                <w:sz w:val="22"/>
                <w:szCs w:val="22"/>
              </w:rPr>
            </w:pPr>
          </w:p>
          <w:p w14:paraId="2671E2E1" w14:textId="77777777" w:rsidR="00AC768C" w:rsidRPr="00C27A60" w:rsidRDefault="00AC768C" w:rsidP="00AC768C">
            <w:pPr>
              <w:rPr>
                <w:b/>
                <w:sz w:val="22"/>
                <w:szCs w:val="22"/>
              </w:rPr>
            </w:pPr>
          </w:p>
          <w:p w14:paraId="43BE969F" w14:textId="77777777" w:rsidR="00AC768C" w:rsidRPr="00C27A60" w:rsidRDefault="00AC768C" w:rsidP="00AC768C">
            <w:pPr>
              <w:rPr>
                <w:b/>
                <w:sz w:val="22"/>
                <w:szCs w:val="22"/>
              </w:rPr>
            </w:pPr>
          </w:p>
          <w:p w14:paraId="38F97F72" w14:textId="77777777" w:rsidR="00AC768C" w:rsidRPr="00C27A60" w:rsidRDefault="00AC768C" w:rsidP="00AC768C">
            <w:pPr>
              <w:rPr>
                <w:b/>
                <w:sz w:val="22"/>
                <w:szCs w:val="22"/>
              </w:rPr>
            </w:pPr>
          </w:p>
          <w:p w14:paraId="1451F930" w14:textId="77777777" w:rsidR="00AC768C" w:rsidRPr="00C27A60" w:rsidRDefault="00AC768C" w:rsidP="00AC768C">
            <w:pPr>
              <w:rPr>
                <w:b/>
                <w:sz w:val="22"/>
                <w:szCs w:val="22"/>
              </w:rPr>
            </w:pPr>
          </w:p>
          <w:p w14:paraId="2406281B" w14:textId="77777777" w:rsidR="00AC768C" w:rsidRPr="00C27A60" w:rsidRDefault="00AC768C" w:rsidP="00AC768C">
            <w:pPr>
              <w:rPr>
                <w:b/>
                <w:sz w:val="22"/>
                <w:szCs w:val="22"/>
              </w:rPr>
            </w:pPr>
          </w:p>
          <w:p w14:paraId="1C85036C" w14:textId="77777777" w:rsidR="00AC768C" w:rsidRPr="00C27A60" w:rsidRDefault="00AC768C" w:rsidP="00AC768C">
            <w:pPr>
              <w:rPr>
                <w:b/>
                <w:sz w:val="22"/>
                <w:szCs w:val="22"/>
              </w:rPr>
            </w:pPr>
          </w:p>
          <w:p w14:paraId="1484D986" w14:textId="77777777" w:rsidR="00AC768C" w:rsidRPr="00C27A60" w:rsidRDefault="00AC768C" w:rsidP="00AC768C">
            <w:pPr>
              <w:rPr>
                <w:b/>
                <w:sz w:val="22"/>
                <w:szCs w:val="22"/>
              </w:rPr>
            </w:pPr>
          </w:p>
          <w:p w14:paraId="6B14FA5D" w14:textId="77777777" w:rsidR="00AC768C" w:rsidRPr="00C27A60" w:rsidRDefault="00AC768C" w:rsidP="00AC768C">
            <w:pPr>
              <w:rPr>
                <w:b/>
                <w:sz w:val="22"/>
                <w:szCs w:val="22"/>
              </w:rPr>
            </w:pPr>
          </w:p>
          <w:p w14:paraId="093DBB8F" w14:textId="77777777" w:rsidR="00AC768C" w:rsidRPr="00C27A60" w:rsidRDefault="00AC768C" w:rsidP="00AC768C">
            <w:pPr>
              <w:rPr>
                <w:b/>
                <w:sz w:val="22"/>
                <w:szCs w:val="22"/>
              </w:rPr>
            </w:pPr>
          </w:p>
          <w:p w14:paraId="639378E0" w14:textId="77777777" w:rsidR="00AC768C" w:rsidRPr="00C27A60" w:rsidRDefault="00AC768C" w:rsidP="00AC768C">
            <w:pPr>
              <w:rPr>
                <w:b/>
                <w:sz w:val="22"/>
                <w:szCs w:val="22"/>
              </w:rPr>
            </w:pPr>
          </w:p>
          <w:p w14:paraId="797C5560" w14:textId="77777777" w:rsidR="00AC768C" w:rsidRPr="00C27A60" w:rsidRDefault="00AC768C" w:rsidP="00AC768C">
            <w:pPr>
              <w:rPr>
                <w:b/>
                <w:sz w:val="22"/>
                <w:szCs w:val="22"/>
              </w:rPr>
            </w:pPr>
          </w:p>
          <w:p w14:paraId="1D6DA115" w14:textId="77777777" w:rsidR="00AC768C" w:rsidRPr="00C27A60" w:rsidRDefault="00AC768C" w:rsidP="00AC768C">
            <w:pPr>
              <w:rPr>
                <w:b/>
                <w:sz w:val="22"/>
                <w:szCs w:val="22"/>
              </w:rPr>
            </w:pPr>
          </w:p>
          <w:p w14:paraId="7418BA0E" w14:textId="77777777" w:rsidR="00AC768C" w:rsidRPr="00C27A60" w:rsidRDefault="00AC768C" w:rsidP="00AC768C">
            <w:pPr>
              <w:rPr>
                <w:b/>
                <w:sz w:val="22"/>
                <w:szCs w:val="22"/>
              </w:rPr>
            </w:pPr>
          </w:p>
          <w:p w14:paraId="5AE9745B" w14:textId="77777777" w:rsidR="00AC768C" w:rsidRPr="00C27A60" w:rsidRDefault="00AC768C" w:rsidP="00AC768C">
            <w:pPr>
              <w:rPr>
                <w:b/>
                <w:sz w:val="22"/>
                <w:szCs w:val="22"/>
              </w:rPr>
            </w:pPr>
          </w:p>
          <w:p w14:paraId="2DBE3FD8" w14:textId="77777777" w:rsidR="00AC768C" w:rsidRPr="00C27A60" w:rsidRDefault="00AC768C" w:rsidP="00AC768C">
            <w:pPr>
              <w:rPr>
                <w:b/>
                <w:sz w:val="22"/>
                <w:szCs w:val="22"/>
              </w:rPr>
            </w:pPr>
          </w:p>
          <w:p w14:paraId="0E7F50FB" w14:textId="77777777" w:rsidR="00AC768C" w:rsidRPr="00C27A60" w:rsidRDefault="00AC768C" w:rsidP="00AC768C">
            <w:pPr>
              <w:rPr>
                <w:b/>
                <w:sz w:val="22"/>
                <w:szCs w:val="22"/>
              </w:rPr>
            </w:pPr>
          </w:p>
          <w:p w14:paraId="05CE7400" w14:textId="77777777" w:rsidR="00AC768C" w:rsidRPr="00C27A60" w:rsidRDefault="00AC768C" w:rsidP="00AC768C">
            <w:pPr>
              <w:rPr>
                <w:b/>
                <w:sz w:val="22"/>
                <w:szCs w:val="22"/>
              </w:rPr>
            </w:pPr>
          </w:p>
          <w:p w14:paraId="56F181AA" w14:textId="77777777" w:rsidR="00AC768C" w:rsidRPr="00C27A60" w:rsidRDefault="00AC768C" w:rsidP="00AC768C">
            <w:pPr>
              <w:rPr>
                <w:b/>
                <w:sz w:val="22"/>
                <w:szCs w:val="22"/>
              </w:rPr>
            </w:pPr>
          </w:p>
          <w:p w14:paraId="7A340D1C" w14:textId="77777777" w:rsidR="00AC768C" w:rsidRPr="00C27A60" w:rsidRDefault="00AC768C" w:rsidP="00AC768C">
            <w:pPr>
              <w:rPr>
                <w:b/>
                <w:sz w:val="22"/>
                <w:szCs w:val="22"/>
              </w:rPr>
            </w:pPr>
          </w:p>
          <w:p w14:paraId="0F1B6C32" w14:textId="77777777" w:rsidR="00AC768C" w:rsidRPr="00C27A60" w:rsidRDefault="00AC768C" w:rsidP="00AC768C">
            <w:pPr>
              <w:rPr>
                <w:b/>
                <w:sz w:val="22"/>
                <w:szCs w:val="22"/>
              </w:rPr>
            </w:pPr>
          </w:p>
          <w:p w14:paraId="235AB7D8" w14:textId="77777777" w:rsidR="00AC768C" w:rsidRPr="00C27A60" w:rsidRDefault="00AC768C" w:rsidP="00AC768C">
            <w:pPr>
              <w:rPr>
                <w:b/>
                <w:sz w:val="22"/>
                <w:szCs w:val="22"/>
              </w:rPr>
            </w:pPr>
          </w:p>
          <w:p w14:paraId="6FE68C06" w14:textId="77777777" w:rsidR="00AC768C" w:rsidRPr="00C27A60" w:rsidRDefault="00AC768C" w:rsidP="00AC768C">
            <w:pPr>
              <w:rPr>
                <w:b/>
                <w:sz w:val="22"/>
                <w:szCs w:val="22"/>
              </w:rPr>
            </w:pPr>
          </w:p>
          <w:p w14:paraId="010B850D" w14:textId="77777777" w:rsidR="00AC768C" w:rsidRPr="00C27A60" w:rsidRDefault="00AC768C" w:rsidP="00AC768C">
            <w:pPr>
              <w:rPr>
                <w:b/>
                <w:sz w:val="22"/>
                <w:szCs w:val="22"/>
              </w:rPr>
            </w:pPr>
          </w:p>
          <w:p w14:paraId="287B45E5" w14:textId="77777777" w:rsidR="00AC768C" w:rsidRPr="00C27A60" w:rsidRDefault="00AC768C" w:rsidP="00AC768C">
            <w:pPr>
              <w:rPr>
                <w:b/>
                <w:sz w:val="22"/>
                <w:szCs w:val="22"/>
              </w:rPr>
            </w:pPr>
          </w:p>
          <w:p w14:paraId="3E49034D" w14:textId="77777777" w:rsidR="00AC768C" w:rsidRPr="00C27A60" w:rsidRDefault="00AC768C" w:rsidP="00AC768C">
            <w:pPr>
              <w:rPr>
                <w:b/>
                <w:sz w:val="22"/>
                <w:szCs w:val="22"/>
              </w:rPr>
            </w:pPr>
          </w:p>
          <w:p w14:paraId="1F2B895A" w14:textId="77777777" w:rsidR="00AC768C" w:rsidRPr="00C27A60" w:rsidRDefault="00AC768C" w:rsidP="00AC768C">
            <w:pPr>
              <w:rPr>
                <w:b/>
                <w:sz w:val="22"/>
                <w:szCs w:val="22"/>
              </w:rPr>
            </w:pPr>
          </w:p>
          <w:p w14:paraId="300C70FA" w14:textId="77777777" w:rsidR="00AC768C" w:rsidRPr="00C27A60" w:rsidRDefault="00AC768C" w:rsidP="00AC768C">
            <w:pPr>
              <w:rPr>
                <w:b/>
                <w:sz w:val="22"/>
                <w:szCs w:val="22"/>
              </w:rPr>
            </w:pPr>
          </w:p>
          <w:p w14:paraId="6D341FE4" w14:textId="77777777" w:rsidR="00AC768C" w:rsidRPr="00C27A60" w:rsidRDefault="00AC768C" w:rsidP="00AC768C">
            <w:pPr>
              <w:rPr>
                <w:b/>
                <w:sz w:val="22"/>
                <w:szCs w:val="22"/>
              </w:rPr>
            </w:pPr>
          </w:p>
          <w:p w14:paraId="539BCF16" w14:textId="77777777" w:rsidR="00AC768C" w:rsidRPr="00C27A60" w:rsidRDefault="00AC768C" w:rsidP="00AC768C">
            <w:pPr>
              <w:rPr>
                <w:b/>
                <w:sz w:val="22"/>
                <w:szCs w:val="22"/>
              </w:rPr>
            </w:pPr>
          </w:p>
          <w:p w14:paraId="74828B9B" w14:textId="77777777" w:rsidR="00AC768C" w:rsidRPr="00C27A60" w:rsidRDefault="00AC768C" w:rsidP="00AC768C">
            <w:pPr>
              <w:rPr>
                <w:b/>
                <w:sz w:val="22"/>
                <w:szCs w:val="22"/>
              </w:rPr>
            </w:pPr>
          </w:p>
          <w:p w14:paraId="68DB3EB6" w14:textId="77777777" w:rsidR="00AC768C" w:rsidRPr="00C27A60" w:rsidRDefault="00AC768C" w:rsidP="00AC768C">
            <w:pPr>
              <w:rPr>
                <w:b/>
                <w:sz w:val="22"/>
                <w:szCs w:val="22"/>
              </w:rPr>
            </w:pPr>
          </w:p>
          <w:p w14:paraId="61FA8625" w14:textId="77777777" w:rsidR="00AC768C" w:rsidRPr="00C27A60" w:rsidRDefault="00AC768C" w:rsidP="00AC768C">
            <w:pPr>
              <w:rPr>
                <w:b/>
                <w:sz w:val="22"/>
                <w:szCs w:val="22"/>
              </w:rPr>
            </w:pPr>
          </w:p>
          <w:p w14:paraId="0CCF3002" w14:textId="77777777" w:rsidR="00AC768C" w:rsidRPr="00C27A60" w:rsidRDefault="00AC768C" w:rsidP="00AC768C">
            <w:pPr>
              <w:rPr>
                <w:b/>
                <w:sz w:val="22"/>
                <w:szCs w:val="22"/>
              </w:rPr>
            </w:pPr>
          </w:p>
          <w:p w14:paraId="3099FBB2" w14:textId="77777777" w:rsidR="00AC768C" w:rsidRPr="00C27A60" w:rsidRDefault="00AC768C" w:rsidP="00AC768C">
            <w:pPr>
              <w:rPr>
                <w:b/>
                <w:sz w:val="22"/>
                <w:szCs w:val="22"/>
              </w:rPr>
            </w:pPr>
          </w:p>
          <w:p w14:paraId="700864E4" w14:textId="77777777" w:rsidR="00AC768C" w:rsidRPr="00C27A60" w:rsidRDefault="00AC768C" w:rsidP="00AC768C">
            <w:pPr>
              <w:rPr>
                <w:b/>
                <w:sz w:val="22"/>
                <w:szCs w:val="22"/>
              </w:rPr>
            </w:pPr>
          </w:p>
          <w:p w14:paraId="3C62713E" w14:textId="77777777" w:rsidR="00AC768C" w:rsidRPr="00C27A60" w:rsidRDefault="00AC768C" w:rsidP="00AC768C">
            <w:pPr>
              <w:rPr>
                <w:b/>
                <w:sz w:val="22"/>
                <w:szCs w:val="22"/>
              </w:rPr>
            </w:pPr>
          </w:p>
          <w:p w14:paraId="20413974" w14:textId="77777777" w:rsidR="00AC768C" w:rsidRPr="00C27A60" w:rsidRDefault="00AC768C" w:rsidP="00AC768C">
            <w:pPr>
              <w:rPr>
                <w:b/>
                <w:sz w:val="22"/>
                <w:szCs w:val="22"/>
              </w:rPr>
            </w:pPr>
          </w:p>
          <w:p w14:paraId="6E2A392E" w14:textId="77777777" w:rsidR="00AC768C" w:rsidRPr="00C27A60" w:rsidRDefault="00AC768C" w:rsidP="00AC768C">
            <w:pPr>
              <w:rPr>
                <w:b/>
                <w:sz w:val="22"/>
                <w:szCs w:val="22"/>
              </w:rPr>
            </w:pPr>
          </w:p>
          <w:p w14:paraId="143EC899" w14:textId="77777777" w:rsidR="00AC768C" w:rsidRPr="00C27A60" w:rsidRDefault="00AC768C" w:rsidP="00AC768C">
            <w:pPr>
              <w:rPr>
                <w:b/>
                <w:sz w:val="22"/>
                <w:szCs w:val="22"/>
              </w:rPr>
            </w:pPr>
          </w:p>
          <w:p w14:paraId="37E235BC" w14:textId="77777777" w:rsidR="00AC768C" w:rsidRPr="00C27A60" w:rsidRDefault="00AC768C" w:rsidP="00AC768C">
            <w:pPr>
              <w:rPr>
                <w:b/>
                <w:sz w:val="22"/>
                <w:szCs w:val="22"/>
              </w:rPr>
            </w:pPr>
          </w:p>
          <w:p w14:paraId="7AAE5180" w14:textId="77777777" w:rsidR="00AC768C" w:rsidRPr="00C27A60" w:rsidRDefault="00AC768C" w:rsidP="00AC768C">
            <w:pPr>
              <w:rPr>
                <w:b/>
                <w:sz w:val="22"/>
                <w:szCs w:val="22"/>
              </w:rPr>
            </w:pPr>
          </w:p>
          <w:p w14:paraId="2CA8448F" w14:textId="77777777" w:rsidR="00AC768C" w:rsidRPr="00C27A60" w:rsidRDefault="00AC768C" w:rsidP="00AC768C">
            <w:pPr>
              <w:rPr>
                <w:b/>
                <w:sz w:val="22"/>
                <w:szCs w:val="22"/>
              </w:rPr>
            </w:pPr>
          </w:p>
          <w:p w14:paraId="100D8D81" w14:textId="77777777" w:rsidR="00AC768C" w:rsidRPr="00C27A60" w:rsidRDefault="00AC768C" w:rsidP="00AC768C">
            <w:pPr>
              <w:rPr>
                <w:b/>
                <w:sz w:val="22"/>
                <w:szCs w:val="22"/>
              </w:rPr>
            </w:pPr>
          </w:p>
          <w:p w14:paraId="043C68B5" w14:textId="77777777" w:rsidR="00AC768C" w:rsidRPr="00C27A60" w:rsidRDefault="00AC768C" w:rsidP="00AC768C">
            <w:pPr>
              <w:rPr>
                <w:b/>
                <w:sz w:val="22"/>
                <w:szCs w:val="22"/>
              </w:rPr>
            </w:pPr>
          </w:p>
          <w:p w14:paraId="63F8906B" w14:textId="77777777" w:rsidR="00AC768C" w:rsidRPr="00C27A60" w:rsidRDefault="00AC768C" w:rsidP="00AC768C">
            <w:pPr>
              <w:rPr>
                <w:b/>
                <w:sz w:val="22"/>
                <w:szCs w:val="22"/>
              </w:rPr>
            </w:pPr>
          </w:p>
          <w:p w14:paraId="2FB975A2" w14:textId="77777777" w:rsidR="00AC768C" w:rsidRPr="00C27A60" w:rsidRDefault="00AC768C" w:rsidP="00AC768C">
            <w:pPr>
              <w:rPr>
                <w:b/>
                <w:sz w:val="22"/>
                <w:szCs w:val="22"/>
              </w:rPr>
            </w:pPr>
          </w:p>
          <w:p w14:paraId="28C0DC37" w14:textId="77777777" w:rsidR="00AC768C" w:rsidRPr="00C27A60" w:rsidRDefault="00AC768C" w:rsidP="00AC768C">
            <w:pPr>
              <w:rPr>
                <w:b/>
                <w:sz w:val="22"/>
                <w:szCs w:val="22"/>
              </w:rPr>
            </w:pPr>
          </w:p>
          <w:p w14:paraId="1923E072" w14:textId="77777777" w:rsidR="00AC768C" w:rsidRPr="00C27A60" w:rsidRDefault="00AC768C" w:rsidP="00AC768C">
            <w:pPr>
              <w:rPr>
                <w:b/>
                <w:sz w:val="22"/>
                <w:szCs w:val="22"/>
              </w:rPr>
            </w:pPr>
          </w:p>
          <w:p w14:paraId="3D719F83" w14:textId="77777777" w:rsidR="00AC768C" w:rsidRPr="00C27A60" w:rsidRDefault="00AC768C" w:rsidP="00AC768C">
            <w:pPr>
              <w:rPr>
                <w:b/>
                <w:sz w:val="22"/>
                <w:szCs w:val="22"/>
              </w:rPr>
            </w:pPr>
          </w:p>
          <w:p w14:paraId="0B4BC20C" w14:textId="77777777" w:rsidR="00AC768C" w:rsidRPr="00C27A60" w:rsidRDefault="00AC768C" w:rsidP="00AC768C">
            <w:pPr>
              <w:rPr>
                <w:b/>
                <w:sz w:val="22"/>
                <w:szCs w:val="22"/>
              </w:rPr>
            </w:pPr>
          </w:p>
          <w:p w14:paraId="232DFF54" w14:textId="77777777" w:rsidR="00AC768C" w:rsidRPr="00C27A60" w:rsidRDefault="00AC768C" w:rsidP="00AC768C">
            <w:pPr>
              <w:rPr>
                <w:b/>
                <w:sz w:val="22"/>
                <w:szCs w:val="22"/>
              </w:rPr>
            </w:pPr>
          </w:p>
          <w:p w14:paraId="0A73141F" w14:textId="77777777" w:rsidR="00AC768C" w:rsidRPr="00C27A60" w:rsidRDefault="00AC768C" w:rsidP="00AC768C">
            <w:pPr>
              <w:rPr>
                <w:b/>
                <w:sz w:val="22"/>
                <w:szCs w:val="22"/>
              </w:rPr>
            </w:pPr>
          </w:p>
          <w:p w14:paraId="18A21BF9" w14:textId="77777777" w:rsidR="00AC768C" w:rsidRPr="00C27A60" w:rsidRDefault="00AC768C" w:rsidP="00AC768C">
            <w:pPr>
              <w:rPr>
                <w:b/>
                <w:sz w:val="22"/>
                <w:szCs w:val="22"/>
              </w:rPr>
            </w:pPr>
          </w:p>
          <w:p w14:paraId="16C9C10C" w14:textId="77777777" w:rsidR="00AC768C" w:rsidRPr="00C27A60" w:rsidRDefault="00AC768C" w:rsidP="00AC768C">
            <w:pPr>
              <w:rPr>
                <w:b/>
                <w:sz w:val="22"/>
                <w:szCs w:val="22"/>
              </w:rPr>
            </w:pPr>
          </w:p>
          <w:p w14:paraId="6C955665" w14:textId="77777777" w:rsidR="00AC768C" w:rsidRPr="00C27A60" w:rsidRDefault="00AC768C" w:rsidP="00AC768C">
            <w:pPr>
              <w:rPr>
                <w:b/>
                <w:sz w:val="22"/>
                <w:szCs w:val="22"/>
              </w:rPr>
            </w:pPr>
          </w:p>
          <w:p w14:paraId="4BFB90E8" w14:textId="77777777" w:rsidR="00AC768C" w:rsidRPr="00C27A60" w:rsidRDefault="00AC768C" w:rsidP="00AC768C">
            <w:pPr>
              <w:rPr>
                <w:b/>
                <w:sz w:val="22"/>
                <w:szCs w:val="22"/>
              </w:rPr>
            </w:pPr>
          </w:p>
          <w:p w14:paraId="5D559C10" w14:textId="77777777" w:rsidR="00AC768C" w:rsidRPr="00C27A60" w:rsidRDefault="00AC768C" w:rsidP="00AC768C">
            <w:pPr>
              <w:rPr>
                <w:b/>
                <w:sz w:val="22"/>
                <w:szCs w:val="22"/>
              </w:rPr>
            </w:pPr>
          </w:p>
          <w:p w14:paraId="16A0727C" w14:textId="77777777" w:rsidR="00AC768C" w:rsidRPr="00C27A60" w:rsidRDefault="00AC768C" w:rsidP="00AC768C">
            <w:pPr>
              <w:rPr>
                <w:b/>
                <w:sz w:val="22"/>
                <w:szCs w:val="22"/>
              </w:rPr>
            </w:pPr>
          </w:p>
          <w:p w14:paraId="627697A6" w14:textId="77777777" w:rsidR="00AC768C" w:rsidRPr="00C27A60" w:rsidRDefault="00AC768C" w:rsidP="00AC768C">
            <w:pPr>
              <w:rPr>
                <w:b/>
                <w:sz w:val="22"/>
                <w:szCs w:val="22"/>
              </w:rPr>
            </w:pPr>
          </w:p>
          <w:p w14:paraId="19AF3EF3" w14:textId="77777777" w:rsidR="00AC768C" w:rsidRPr="00C27A60" w:rsidRDefault="00AC768C" w:rsidP="00AC768C">
            <w:pPr>
              <w:rPr>
                <w:b/>
                <w:sz w:val="22"/>
                <w:szCs w:val="22"/>
              </w:rPr>
            </w:pPr>
          </w:p>
          <w:p w14:paraId="14426E10" w14:textId="77777777" w:rsidR="00AC768C" w:rsidRPr="00C27A60" w:rsidRDefault="00AC768C" w:rsidP="00AC768C">
            <w:pPr>
              <w:rPr>
                <w:b/>
                <w:sz w:val="22"/>
                <w:szCs w:val="22"/>
              </w:rPr>
            </w:pPr>
          </w:p>
          <w:p w14:paraId="34FE40A8" w14:textId="77777777" w:rsidR="00AC768C" w:rsidRPr="00C27A60" w:rsidRDefault="00AC768C" w:rsidP="00AC768C">
            <w:pPr>
              <w:rPr>
                <w:b/>
                <w:sz w:val="22"/>
                <w:szCs w:val="22"/>
              </w:rPr>
            </w:pPr>
          </w:p>
          <w:p w14:paraId="2BB78239" w14:textId="77777777" w:rsidR="00AC768C" w:rsidRPr="00C27A60" w:rsidRDefault="00AC768C" w:rsidP="00AC768C">
            <w:pPr>
              <w:rPr>
                <w:b/>
                <w:sz w:val="22"/>
                <w:szCs w:val="22"/>
              </w:rPr>
            </w:pPr>
          </w:p>
          <w:p w14:paraId="6827D10D" w14:textId="77777777" w:rsidR="00AC768C" w:rsidRPr="00C27A60" w:rsidRDefault="00AC768C" w:rsidP="00AC768C">
            <w:pPr>
              <w:rPr>
                <w:b/>
                <w:sz w:val="22"/>
                <w:szCs w:val="22"/>
              </w:rPr>
            </w:pPr>
          </w:p>
          <w:p w14:paraId="3F4EC47B" w14:textId="77777777" w:rsidR="00AC768C" w:rsidRPr="00C27A60" w:rsidRDefault="00AC768C" w:rsidP="00AC768C">
            <w:pPr>
              <w:rPr>
                <w:b/>
                <w:sz w:val="22"/>
                <w:szCs w:val="22"/>
              </w:rPr>
            </w:pPr>
          </w:p>
          <w:p w14:paraId="336EDEB2" w14:textId="77777777" w:rsidR="00AC768C" w:rsidRPr="00C27A60" w:rsidRDefault="00AC768C" w:rsidP="00AC768C">
            <w:pPr>
              <w:rPr>
                <w:b/>
                <w:sz w:val="22"/>
                <w:szCs w:val="22"/>
              </w:rPr>
            </w:pPr>
          </w:p>
          <w:p w14:paraId="325DF90A" w14:textId="77777777" w:rsidR="00AC768C" w:rsidRPr="00C27A60" w:rsidRDefault="00AC768C" w:rsidP="00AC768C">
            <w:pPr>
              <w:rPr>
                <w:b/>
                <w:sz w:val="22"/>
                <w:szCs w:val="22"/>
              </w:rPr>
            </w:pPr>
          </w:p>
          <w:p w14:paraId="42515ED7" w14:textId="77777777" w:rsidR="00AC768C" w:rsidRPr="00C27A60" w:rsidRDefault="00AC768C" w:rsidP="00AC768C">
            <w:pPr>
              <w:rPr>
                <w:b/>
                <w:sz w:val="22"/>
                <w:szCs w:val="22"/>
              </w:rPr>
            </w:pPr>
          </w:p>
          <w:p w14:paraId="6F1A6AB5" w14:textId="77777777" w:rsidR="00AC768C" w:rsidRPr="00C27A60" w:rsidRDefault="00AC768C" w:rsidP="00AC768C">
            <w:pPr>
              <w:rPr>
                <w:b/>
                <w:sz w:val="22"/>
                <w:szCs w:val="22"/>
              </w:rPr>
            </w:pPr>
          </w:p>
          <w:p w14:paraId="3D921A71" w14:textId="77777777" w:rsidR="00AC768C" w:rsidRPr="00C27A60" w:rsidRDefault="00AC768C" w:rsidP="00AC768C">
            <w:pPr>
              <w:rPr>
                <w:b/>
                <w:sz w:val="22"/>
                <w:szCs w:val="22"/>
              </w:rPr>
            </w:pPr>
          </w:p>
          <w:p w14:paraId="7DA716D4" w14:textId="77777777" w:rsidR="00AC768C" w:rsidRPr="00C27A60" w:rsidRDefault="00AC768C" w:rsidP="00AC768C">
            <w:pPr>
              <w:rPr>
                <w:b/>
                <w:sz w:val="22"/>
                <w:szCs w:val="22"/>
              </w:rPr>
            </w:pPr>
          </w:p>
          <w:p w14:paraId="0EEAD72A" w14:textId="77777777" w:rsidR="00AC768C" w:rsidRPr="00C27A60" w:rsidRDefault="00AC768C" w:rsidP="00AC768C">
            <w:pPr>
              <w:rPr>
                <w:b/>
                <w:sz w:val="22"/>
                <w:szCs w:val="22"/>
              </w:rPr>
            </w:pPr>
          </w:p>
          <w:p w14:paraId="41ECBDF6" w14:textId="77777777" w:rsidR="00AC768C" w:rsidRPr="00C27A60" w:rsidRDefault="00AC768C" w:rsidP="00AC768C">
            <w:pPr>
              <w:rPr>
                <w:b/>
                <w:sz w:val="22"/>
                <w:szCs w:val="22"/>
              </w:rPr>
            </w:pPr>
          </w:p>
          <w:p w14:paraId="6B66FB09" w14:textId="77777777" w:rsidR="00AC768C" w:rsidRPr="00C27A60" w:rsidRDefault="00AC768C" w:rsidP="00AC768C">
            <w:pPr>
              <w:rPr>
                <w:b/>
                <w:sz w:val="22"/>
                <w:szCs w:val="22"/>
              </w:rPr>
            </w:pPr>
          </w:p>
          <w:p w14:paraId="2D76A128" w14:textId="77777777" w:rsidR="00AC768C" w:rsidRPr="00C27A60" w:rsidRDefault="00AC768C" w:rsidP="00AC768C">
            <w:pPr>
              <w:rPr>
                <w:b/>
                <w:sz w:val="22"/>
                <w:szCs w:val="22"/>
              </w:rPr>
            </w:pPr>
          </w:p>
          <w:p w14:paraId="1F8CB726" w14:textId="77777777" w:rsidR="00AC768C" w:rsidRPr="00C27A60" w:rsidRDefault="00AC768C" w:rsidP="00AC768C">
            <w:pPr>
              <w:rPr>
                <w:b/>
                <w:sz w:val="22"/>
                <w:szCs w:val="22"/>
              </w:rPr>
            </w:pPr>
          </w:p>
          <w:p w14:paraId="5E664FCD" w14:textId="77777777" w:rsidR="00AC768C" w:rsidRPr="00C27A60" w:rsidRDefault="00AC768C" w:rsidP="00AC768C">
            <w:pPr>
              <w:rPr>
                <w:b/>
                <w:sz w:val="22"/>
                <w:szCs w:val="22"/>
              </w:rPr>
            </w:pPr>
          </w:p>
          <w:p w14:paraId="093FDFBD" w14:textId="77777777" w:rsidR="00AC768C" w:rsidRPr="00C27A60" w:rsidRDefault="00AC768C" w:rsidP="00AC768C">
            <w:pPr>
              <w:rPr>
                <w:b/>
                <w:sz w:val="22"/>
                <w:szCs w:val="22"/>
              </w:rPr>
            </w:pPr>
          </w:p>
          <w:p w14:paraId="5B951629" w14:textId="77777777" w:rsidR="00AC768C" w:rsidRPr="00C27A60" w:rsidRDefault="00AC768C" w:rsidP="00AC768C">
            <w:pPr>
              <w:rPr>
                <w:b/>
                <w:sz w:val="22"/>
                <w:szCs w:val="22"/>
              </w:rPr>
            </w:pPr>
          </w:p>
          <w:p w14:paraId="29B2E012" w14:textId="77777777" w:rsidR="00AC768C" w:rsidRPr="00C27A60" w:rsidRDefault="00AC768C" w:rsidP="00AC768C">
            <w:pPr>
              <w:rPr>
                <w:b/>
                <w:sz w:val="22"/>
                <w:szCs w:val="22"/>
              </w:rPr>
            </w:pPr>
          </w:p>
          <w:p w14:paraId="26A99879" w14:textId="77777777" w:rsidR="00AC768C" w:rsidRPr="00C27A60" w:rsidRDefault="00AC768C" w:rsidP="00AC768C">
            <w:pPr>
              <w:rPr>
                <w:b/>
                <w:sz w:val="22"/>
                <w:szCs w:val="22"/>
              </w:rPr>
            </w:pPr>
          </w:p>
          <w:p w14:paraId="02DEBB06" w14:textId="77777777" w:rsidR="00AC768C" w:rsidRPr="00C27A60" w:rsidRDefault="00AC768C" w:rsidP="00AC768C">
            <w:pPr>
              <w:rPr>
                <w:b/>
                <w:sz w:val="22"/>
                <w:szCs w:val="22"/>
              </w:rPr>
            </w:pPr>
          </w:p>
          <w:p w14:paraId="2A0FC2F5" w14:textId="77777777" w:rsidR="00AC768C" w:rsidRPr="00C27A60" w:rsidRDefault="00AC768C" w:rsidP="00AC768C">
            <w:pPr>
              <w:rPr>
                <w:b/>
                <w:sz w:val="22"/>
                <w:szCs w:val="22"/>
              </w:rPr>
            </w:pPr>
          </w:p>
          <w:p w14:paraId="3B1FB50F" w14:textId="77777777" w:rsidR="00AC768C" w:rsidRPr="00C27A60" w:rsidRDefault="00AC768C" w:rsidP="00AC768C">
            <w:pPr>
              <w:rPr>
                <w:b/>
                <w:sz w:val="22"/>
                <w:szCs w:val="22"/>
              </w:rPr>
            </w:pPr>
          </w:p>
          <w:p w14:paraId="0CC49B13" w14:textId="77777777" w:rsidR="00AC768C" w:rsidRPr="00C27A60" w:rsidRDefault="00AC768C" w:rsidP="00AC768C">
            <w:pPr>
              <w:rPr>
                <w:b/>
                <w:sz w:val="22"/>
                <w:szCs w:val="22"/>
              </w:rPr>
            </w:pPr>
          </w:p>
          <w:p w14:paraId="12BD0E3D" w14:textId="77777777" w:rsidR="00AC768C" w:rsidRPr="00C27A60" w:rsidRDefault="00AC768C" w:rsidP="00AC768C">
            <w:pPr>
              <w:rPr>
                <w:b/>
                <w:sz w:val="22"/>
                <w:szCs w:val="22"/>
              </w:rPr>
            </w:pPr>
          </w:p>
          <w:p w14:paraId="6BC457E2" w14:textId="77777777" w:rsidR="00AC768C" w:rsidRPr="00C27A60" w:rsidRDefault="00AC768C" w:rsidP="00AC768C">
            <w:pPr>
              <w:rPr>
                <w:b/>
                <w:sz w:val="22"/>
                <w:szCs w:val="22"/>
              </w:rPr>
            </w:pPr>
          </w:p>
          <w:p w14:paraId="6A6AF799" w14:textId="77777777" w:rsidR="00AC768C" w:rsidRPr="00C27A60" w:rsidRDefault="00AC768C" w:rsidP="00AC768C">
            <w:pPr>
              <w:rPr>
                <w:b/>
                <w:sz w:val="22"/>
                <w:szCs w:val="22"/>
              </w:rPr>
            </w:pPr>
          </w:p>
          <w:p w14:paraId="196FB335" w14:textId="77777777" w:rsidR="00AC768C" w:rsidRPr="00C27A60" w:rsidRDefault="00AC768C" w:rsidP="00AC768C">
            <w:pPr>
              <w:rPr>
                <w:b/>
                <w:sz w:val="22"/>
                <w:szCs w:val="22"/>
              </w:rPr>
            </w:pPr>
          </w:p>
          <w:p w14:paraId="7EE955F5" w14:textId="77777777" w:rsidR="00AC768C" w:rsidRPr="00C27A60" w:rsidRDefault="00AC768C" w:rsidP="00AC768C">
            <w:pPr>
              <w:rPr>
                <w:b/>
                <w:sz w:val="22"/>
                <w:szCs w:val="22"/>
              </w:rPr>
            </w:pPr>
          </w:p>
          <w:p w14:paraId="2E1E1F37" w14:textId="77777777" w:rsidR="00AC768C" w:rsidRPr="00C27A60" w:rsidRDefault="00AC768C" w:rsidP="00AC768C">
            <w:pPr>
              <w:rPr>
                <w:b/>
                <w:sz w:val="22"/>
                <w:szCs w:val="22"/>
              </w:rPr>
            </w:pPr>
          </w:p>
          <w:p w14:paraId="22764DC1" w14:textId="77777777" w:rsidR="00AC768C" w:rsidRPr="00C27A60" w:rsidRDefault="00AC768C" w:rsidP="00AC768C">
            <w:pPr>
              <w:rPr>
                <w:b/>
                <w:sz w:val="22"/>
                <w:szCs w:val="22"/>
              </w:rPr>
            </w:pPr>
          </w:p>
          <w:p w14:paraId="019473A4" w14:textId="77777777" w:rsidR="00AC768C" w:rsidRPr="00C27A60" w:rsidRDefault="00AC768C" w:rsidP="00AC768C">
            <w:pPr>
              <w:rPr>
                <w:b/>
                <w:sz w:val="22"/>
                <w:szCs w:val="22"/>
              </w:rPr>
            </w:pPr>
          </w:p>
          <w:p w14:paraId="2373A271" w14:textId="77777777" w:rsidR="00AC768C" w:rsidRPr="00C27A60" w:rsidRDefault="00AC768C" w:rsidP="00AC768C">
            <w:pPr>
              <w:rPr>
                <w:b/>
                <w:sz w:val="22"/>
                <w:szCs w:val="22"/>
              </w:rPr>
            </w:pPr>
          </w:p>
          <w:p w14:paraId="71432B73" w14:textId="77777777" w:rsidR="00AC768C" w:rsidRPr="00C27A60" w:rsidRDefault="00AC768C" w:rsidP="00AC768C">
            <w:pPr>
              <w:rPr>
                <w:b/>
                <w:sz w:val="22"/>
                <w:szCs w:val="22"/>
              </w:rPr>
            </w:pPr>
          </w:p>
          <w:p w14:paraId="07EAC949" w14:textId="77777777" w:rsidR="00AC768C" w:rsidRPr="00C27A60" w:rsidRDefault="00AC768C" w:rsidP="00AC768C">
            <w:pPr>
              <w:rPr>
                <w:b/>
                <w:sz w:val="22"/>
                <w:szCs w:val="22"/>
              </w:rPr>
            </w:pPr>
          </w:p>
          <w:p w14:paraId="77E94520" w14:textId="77777777" w:rsidR="00AC768C" w:rsidRPr="00C27A60" w:rsidRDefault="00AC768C" w:rsidP="00AC768C">
            <w:pPr>
              <w:rPr>
                <w:b/>
                <w:sz w:val="22"/>
                <w:szCs w:val="22"/>
              </w:rPr>
            </w:pPr>
          </w:p>
          <w:p w14:paraId="6F7E4FEF" w14:textId="77777777" w:rsidR="00AC768C" w:rsidRPr="00C27A60" w:rsidRDefault="00AC768C" w:rsidP="00AC768C">
            <w:pPr>
              <w:rPr>
                <w:b/>
                <w:sz w:val="22"/>
                <w:szCs w:val="22"/>
              </w:rPr>
            </w:pPr>
          </w:p>
          <w:p w14:paraId="72ED994A" w14:textId="77777777" w:rsidR="00AC768C" w:rsidRPr="00C27A60" w:rsidRDefault="00AC768C" w:rsidP="00AC768C">
            <w:pPr>
              <w:rPr>
                <w:b/>
                <w:sz w:val="22"/>
                <w:szCs w:val="22"/>
              </w:rPr>
            </w:pPr>
          </w:p>
          <w:p w14:paraId="51EDCEA2" w14:textId="77777777" w:rsidR="00AC768C" w:rsidRPr="00C27A60" w:rsidRDefault="00AC768C" w:rsidP="00AC768C">
            <w:pPr>
              <w:rPr>
                <w:b/>
                <w:sz w:val="22"/>
                <w:szCs w:val="22"/>
              </w:rPr>
            </w:pPr>
          </w:p>
          <w:p w14:paraId="14E82B2B" w14:textId="77777777" w:rsidR="00AC768C" w:rsidRPr="00C27A60" w:rsidRDefault="00AC768C" w:rsidP="00AC768C">
            <w:pPr>
              <w:rPr>
                <w:b/>
                <w:sz w:val="22"/>
                <w:szCs w:val="22"/>
              </w:rPr>
            </w:pPr>
          </w:p>
          <w:p w14:paraId="3207082D" w14:textId="77777777" w:rsidR="00AC768C" w:rsidRPr="00C27A60" w:rsidRDefault="00AC768C" w:rsidP="00AC768C">
            <w:pPr>
              <w:rPr>
                <w:b/>
                <w:sz w:val="22"/>
                <w:szCs w:val="22"/>
              </w:rPr>
            </w:pPr>
          </w:p>
          <w:p w14:paraId="45DCD4E6" w14:textId="77777777" w:rsidR="00AC768C" w:rsidRPr="00C27A60" w:rsidRDefault="00AC768C" w:rsidP="00AC768C">
            <w:pPr>
              <w:rPr>
                <w:b/>
                <w:sz w:val="22"/>
                <w:szCs w:val="22"/>
              </w:rPr>
            </w:pPr>
          </w:p>
          <w:p w14:paraId="12359E7A" w14:textId="77777777" w:rsidR="00AC768C" w:rsidRPr="00C27A60" w:rsidRDefault="00AC768C" w:rsidP="00AC768C">
            <w:pPr>
              <w:rPr>
                <w:b/>
                <w:sz w:val="22"/>
                <w:szCs w:val="22"/>
              </w:rPr>
            </w:pPr>
          </w:p>
          <w:p w14:paraId="52484276" w14:textId="77777777" w:rsidR="00AC768C" w:rsidRPr="00C27A60" w:rsidRDefault="00AC768C" w:rsidP="00AC768C">
            <w:pPr>
              <w:rPr>
                <w:b/>
                <w:sz w:val="22"/>
                <w:szCs w:val="22"/>
              </w:rPr>
            </w:pPr>
          </w:p>
          <w:p w14:paraId="311B71F3" w14:textId="77777777" w:rsidR="00AC768C" w:rsidRPr="00C27A60" w:rsidRDefault="00AC768C" w:rsidP="00AC768C">
            <w:pPr>
              <w:rPr>
                <w:b/>
                <w:sz w:val="22"/>
                <w:szCs w:val="22"/>
              </w:rPr>
            </w:pPr>
          </w:p>
          <w:p w14:paraId="6B07E914" w14:textId="77777777" w:rsidR="00AC768C" w:rsidRPr="00C27A60" w:rsidRDefault="00AC768C" w:rsidP="00AC768C">
            <w:pPr>
              <w:rPr>
                <w:b/>
                <w:sz w:val="22"/>
                <w:szCs w:val="22"/>
              </w:rPr>
            </w:pPr>
          </w:p>
          <w:p w14:paraId="046B5F25" w14:textId="77777777" w:rsidR="00AC768C" w:rsidRPr="00C27A60" w:rsidRDefault="00AC768C" w:rsidP="00AC768C">
            <w:pPr>
              <w:rPr>
                <w:b/>
                <w:sz w:val="22"/>
                <w:szCs w:val="22"/>
              </w:rPr>
            </w:pPr>
          </w:p>
          <w:p w14:paraId="4352D31B" w14:textId="77777777" w:rsidR="00AC768C" w:rsidRPr="00C27A60" w:rsidRDefault="00AC768C" w:rsidP="00AC768C">
            <w:pPr>
              <w:rPr>
                <w:b/>
                <w:sz w:val="22"/>
                <w:szCs w:val="22"/>
              </w:rPr>
            </w:pPr>
          </w:p>
          <w:p w14:paraId="6026F8B5" w14:textId="77777777" w:rsidR="00AC768C" w:rsidRPr="00C27A60" w:rsidRDefault="00AC768C" w:rsidP="00AC768C">
            <w:pPr>
              <w:rPr>
                <w:b/>
                <w:sz w:val="22"/>
                <w:szCs w:val="22"/>
              </w:rPr>
            </w:pPr>
          </w:p>
          <w:p w14:paraId="3882AA03" w14:textId="77777777" w:rsidR="00AC768C" w:rsidRPr="00C27A60" w:rsidRDefault="00AC768C" w:rsidP="00AC768C">
            <w:pPr>
              <w:rPr>
                <w:b/>
                <w:sz w:val="22"/>
                <w:szCs w:val="22"/>
              </w:rPr>
            </w:pPr>
          </w:p>
          <w:p w14:paraId="15D96174" w14:textId="77777777" w:rsidR="00AC768C" w:rsidRPr="00C27A60" w:rsidRDefault="00AC768C" w:rsidP="00AC768C">
            <w:pPr>
              <w:rPr>
                <w:b/>
                <w:sz w:val="22"/>
                <w:szCs w:val="22"/>
              </w:rPr>
            </w:pPr>
          </w:p>
          <w:p w14:paraId="703AE067" w14:textId="77777777" w:rsidR="00AC768C" w:rsidRPr="00C27A60" w:rsidRDefault="00AC768C" w:rsidP="00AC768C">
            <w:pPr>
              <w:rPr>
                <w:b/>
                <w:sz w:val="22"/>
                <w:szCs w:val="22"/>
              </w:rPr>
            </w:pPr>
          </w:p>
          <w:p w14:paraId="61594645" w14:textId="77777777" w:rsidR="00AC768C" w:rsidRPr="00C27A60" w:rsidRDefault="00AC768C" w:rsidP="00AC768C">
            <w:pPr>
              <w:rPr>
                <w:b/>
                <w:sz w:val="22"/>
                <w:szCs w:val="22"/>
              </w:rPr>
            </w:pPr>
          </w:p>
          <w:p w14:paraId="7847FC02" w14:textId="77777777" w:rsidR="00AC768C" w:rsidRPr="00C27A60" w:rsidRDefault="00AC768C" w:rsidP="00AC768C">
            <w:pPr>
              <w:rPr>
                <w:b/>
                <w:sz w:val="22"/>
                <w:szCs w:val="22"/>
              </w:rPr>
            </w:pPr>
          </w:p>
          <w:p w14:paraId="7EBBF836" w14:textId="77777777" w:rsidR="00AC768C" w:rsidRPr="00C27A60" w:rsidRDefault="00AC768C" w:rsidP="00AC768C">
            <w:pPr>
              <w:rPr>
                <w:b/>
                <w:sz w:val="22"/>
                <w:szCs w:val="22"/>
              </w:rPr>
            </w:pPr>
          </w:p>
          <w:p w14:paraId="62B3DF9F" w14:textId="77777777" w:rsidR="00AC768C" w:rsidRPr="00C27A60" w:rsidRDefault="00AC768C" w:rsidP="00AC768C">
            <w:pPr>
              <w:rPr>
                <w:b/>
                <w:sz w:val="22"/>
                <w:szCs w:val="22"/>
              </w:rPr>
            </w:pPr>
          </w:p>
          <w:p w14:paraId="16D6608A" w14:textId="77777777" w:rsidR="00AC768C" w:rsidRPr="00C27A60" w:rsidRDefault="00AC768C" w:rsidP="00AC768C">
            <w:pPr>
              <w:rPr>
                <w:b/>
                <w:sz w:val="22"/>
                <w:szCs w:val="22"/>
              </w:rPr>
            </w:pPr>
          </w:p>
          <w:p w14:paraId="409C0FA9" w14:textId="70662966" w:rsidR="00AC768C" w:rsidRPr="00C27A60" w:rsidRDefault="00AC768C" w:rsidP="00AC768C">
            <w:pPr>
              <w:rPr>
                <w:b/>
                <w:sz w:val="22"/>
                <w:szCs w:val="22"/>
              </w:rPr>
            </w:pPr>
          </w:p>
          <w:p w14:paraId="2CC3B775" w14:textId="77777777" w:rsidR="00AC768C" w:rsidRPr="00C27A60" w:rsidRDefault="00AC768C" w:rsidP="00AC768C">
            <w:pPr>
              <w:rPr>
                <w:b/>
                <w:sz w:val="22"/>
                <w:szCs w:val="22"/>
              </w:rPr>
            </w:pPr>
          </w:p>
          <w:p w14:paraId="43572553" w14:textId="6087345D" w:rsidR="00AC768C" w:rsidRPr="00C27A60" w:rsidRDefault="00AC768C" w:rsidP="00AC768C">
            <w:pPr>
              <w:rPr>
                <w:b/>
                <w:sz w:val="22"/>
                <w:szCs w:val="22"/>
              </w:rPr>
            </w:pPr>
          </w:p>
          <w:p w14:paraId="3DF0C0CE" w14:textId="582183B0" w:rsidR="00AC768C" w:rsidRPr="00C27A60" w:rsidRDefault="00AC768C" w:rsidP="00AC768C">
            <w:pPr>
              <w:rPr>
                <w:b/>
                <w:sz w:val="22"/>
                <w:szCs w:val="22"/>
              </w:rPr>
            </w:pPr>
          </w:p>
          <w:p w14:paraId="18C5E383" w14:textId="7AB5D3A1" w:rsidR="00AC768C" w:rsidRPr="00C27A60" w:rsidRDefault="00AC768C" w:rsidP="00AC768C">
            <w:pPr>
              <w:rPr>
                <w:b/>
                <w:sz w:val="22"/>
                <w:szCs w:val="22"/>
              </w:rPr>
            </w:pPr>
          </w:p>
          <w:p w14:paraId="2C84CCCA" w14:textId="7DB11A40" w:rsidR="00AC768C" w:rsidRPr="00C27A60" w:rsidRDefault="00AC768C" w:rsidP="00AC768C">
            <w:pPr>
              <w:rPr>
                <w:b/>
                <w:sz w:val="22"/>
                <w:szCs w:val="22"/>
              </w:rPr>
            </w:pPr>
          </w:p>
          <w:p w14:paraId="0E490449" w14:textId="77777777" w:rsidR="00AC768C" w:rsidRPr="00C27A60" w:rsidRDefault="00AC768C" w:rsidP="00E573F4">
            <w:pPr>
              <w:jc w:val="both"/>
              <w:rPr>
                <w:b/>
                <w:sz w:val="22"/>
                <w:szCs w:val="22"/>
              </w:rPr>
            </w:pPr>
          </w:p>
          <w:p w14:paraId="2E5EC988" w14:textId="77777777" w:rsidR="00AC768C" w:rsidRPr="00C27A60" w:rsidRDefault="00AC768C" w:rsidP="00E573F4">
            <w:pPr>
              <w:pStyle w:val="af5"/>
              <w:spacing w:before="0" w:beforeAutospacing="0" w:after="0" w:afterAutospacing="0"/>
              <w:jc w:val="both"/>
              <w:rPr>
                <w:b/>
                <w:sz w:val="22"/>
                <w:lang w:eastAsia="ru-RU"/>
              </w:rPr>
            </w:pPr>
            <w:r w:rsidRPr="00C27A60">
              <w:rPr>
                <w:b/>
                <w:sz w:val="22"/>
                <w:lang w:eastAsia="ru-RU"/>
              </w:rPr>
              <w:t xml:space="preserve">Не враховується </w:t>
            </w:r>
          </w:p>
          <w:p w14:paraId="05C74A82" w14:textId="08CFEC08" w:rsidR="00AC768C" w:rsidRPr="00C27A60" w:rsidRDefault="00AC768C" w:rsidP="00E573F4">
            <w:pPr>
              <w:jc w:val="both"/>
              <w:rPr>
                <w:b/>
                <w:szCs w:val="22"/>
              </w:rPr>
            </w:pPr>
            <w:r w:rsidRPr="00C27A60">
              <w:rPr>
                <w:bCs/>
                <w:sz w:val="22"/>
                <w:szCs w:val="24"/>
              </w:rPr>
              <w:t>Не надано обґрунтованих підтверджень</w:t>
            </w:r>
            <w:r w:rsidRPr="00C27A60">
              <w:rPr>
                <w:sz w:val="18"/>
              </w:rPr>
              <w:t xml:space="preserve">  </w:t>
            </w:r>
            <w:r w:rsidRPr="00C27A60">
              <w:rPr>
                <w:bCs/>
                <w:sz w:val="22"/>
                <w:szCs w:val="24"/>
              </w:rPr>
              <w:t xml:space="preserve">істотних змін на ринку електричної енергії протягом 2024 року, які суттєво вплинули на необхідність врахування </w:t>
            </w:r>
            <w:r w:rsidR="008B4C2D" w:rsidRPr="00C27A60">
              <w:rPr>
                <w:bCs/>
                <w:sz w:val="22"/>
                <w:szCs w:val="24"/>
              </w:rPr>
              <w:t xml:space="preserve">при перевірці ліцензованої діяльності </w:t>
            </w:r>
            <w:r w:rsidRPr="00C27A60">
              <w:rPr>
                <w:bCs/>
                <w:sz w:val="22"/>
                <w:szCs w:val="24"/>
              </w:rPr>
              <w:t xml:space="preserve">показників </w:t>
            </w:r>
            <w:r w:rsidRPr="00C27A60">
              <w:rPr>
                <w:bCs/>
                <w:sz w:val="22"/>
                <w:szCs w:val="24"/>
              </w:rPr>
              <w:lastRenderedPageBreak/>
              <w:t>К</w:t>
            </w:r>
            <w:r w:rsidRPr="00C27A60">
              <w:rPr>
                <w:bCs/>
                <w:sz w:val="22"/>
                <w:szCs w:val="24"/>
                <w:vertAlign w:val="superscript"/>
              </w:rPr>
              <w:t>БР</w:t>
            </w:r>
            <w:r w:rsidRPr="00C27A60">
              <w:rPr>
                <w:bCs/>
                <w:sz w:val="22"/>
                <w:szCs w:val="24"/>
                <w:vertAlign w:val="subscript"/>
              </w:rPr>
              <w:t>W</w:t>
            </w:r>
            <w:r w:rsidRPr="00C27A60">
              <w:rPr>
                <w:bCs/>
                <w:sz w:val="22"/>
                <w:szCs w:val="24"/>
              </w:rPr>
              <w:t xml:space="preserve"> та</w:t>
            </w:r>
            <w:r w:rsidRPr="00C27A60">
              <w:rPr>
                <w:bCs/>
                <w:sz w:val="22"/>
                <w:szCs w:val="24"/>
                <w:vertAlign w:val="subscript"/>
              </w:rPr>
              <w:t xml:space="preserve"> </w:t>
            </w:r>
            <w:r w:rsidRPr="00C27A60">
              <w:rPr>
                <w:bCs/>
                <w:sz w:val="22"/>
                <w:szCs w:val="24"/>
              </w:rPr>
              <w:t>К</w:t>
            </w:r>
            <w:r w:rsidRPr="00C27A60">
              <w:rPr>
                <w:bCs/>
                <w:sz w:val="22"/>
                <w:szCs w:val="24"/>
                <w:vertAlign w:val="superscript"/>
              </w:rPr>
              <w:t>ДД</w:t>
            </w:r>
            <w:r w:rsidRPr="00C27A60">
              <w:rPr>
                <w:bCs/>
                <w:sz w:val="22"/>
                <w:szCs w:val="24"/>
                <w:vertAlign w:val="subscript"/>
              </w:rPr>
              <w:t>W</w:t>
            </w:r>
            <w:r w:rsidRPr="00C27A60">
              <w:rPr>
                <w:bCs/>
                <w:sz w:val="22"/>
                <w:szCs w:val="24"/>
              </w:rPr>
              <w:t xml:space="preserve"> на запропонованих рівнях</w:t>
            </w:r>
          </w:p>
          <w:p w14:paraId="6DDE75F2" w14:textId="013FC077" w:rsidR="00AC768C" w:rsidRPr="00C27A60" w:rsidRDefault="00AC768C" w:rsidP="00AC768C">
            <w:pPr>
              <w:rPr>
                <w:b/>
                <w:sz w:val="22"/>
                <w:szCs w:val="22"/>
              </w:rPr>
            </w:pPr>
          </w:p>
        </w:tc>
      </w:tr>
      <w:tr w:rsidR="00C27A60" w:rsidRPr="00C27A60" w14:paraId="6BA06FF1" w14:textId="77777777" w:rsidTr="008D1DC5">
        <w:trPr>
          <w:trHeight w:val="595"/>
        </w:trPr>
        <w:tc>
          <w:tcPr>
            <w:tcW w:w="5839" w:type="dxa"/>
            <w:shd w:val="clear" w:color="auto" w:fill="auto"/>
          </w:tcPr>
          <w:p w14:paraId="6A1D44FE" w14:textId="184C2785" w:rsidR="00965B90" w:rsidRPr="00C27A60" w:rsidRDefault="00965B90" w:rsidP="00965B90">
            <w:pPr>
              <w:ind w:firstLine="308"/>
              <w:jc w:val="both"/>
              <w:rPr>
                <w:sz w:val="22"/>
                <w:szCs w:val="22"/>
                <w:shd w:val="clear" w:color="auto" w:fill="FFFFFF"/>
              </w:rPr>
            </w:pPr>
          </w:p>
          <w:p w14:paraId="3C94DCD4" w14:textId="77777777" w:rsidR="00D4664C" w:rsidRPr="00C27A60" w:rsidRDefault="00D4664C" w:rsidP="00965B90">
            <w:pPr>
              <w:ind w:firstLine="308"/>
              <w:jc w:val="both"/>
              <w:rPr>
                <w:sz w:val="22"/>
                <w:szCs w:val="22"/>
                <w:shd w:val="clear" w:color="auto" w:fill="FFFFFF"/>
              </w:rPr>
            </w:pPr>
          </w:p>
          <w:p w14:paraId="7FECC00D" w14:textId="77777777" w:rsidR="00965B90" w:rsidRPr="00C27A60" w:rsidRDefault="00965B90" w:rsidP="00965B90">
            <w:pPr>
              <w:ind w:firstLine="308"/>
              <w:jc w:val="both"/>
              <w:rPr>
                <w:sz w:val="22"/>
                <w:szCs w:val="22"/>
                <w:shd w:val="clear" w:color="auto" w:fill="FFFFFF"/>
              </w:rPr>
            </w:pPr>
            <w:r w:rsidRPr="00C27A60">
              <w:rPr>
                <w:sz w:val="22"/>
                <w:szCs w:val="22"/>
                <w:shd w:val="clear" w:color="auto" w:fill="FFFFFF"/>
              </w:rPr>
              <w:t>&lt;…&gt;</w:t>
            </w:r>
          </w:p>
          <w:p w14:paraId="3890B5A0" w14:textId="77777777" w:rsidR="00965B90" w:rsidRPr="00C27A60" w:rsidRDefault="00965B90" w:rsidP="00965B90">
            <w:pPr>
              <w:ind w:firstLine="308"/>
              <w:jc w:val="both"/>
              <w:rPr>
                <w:sz w:val="22"/>
                <w:szCs w:val="22"/>
                <w:shd w:val="clear" w:color="auto" w:fill="FFFFFF"/>
              </w:rPr>
            </w:pPr>
          </w:p>
          <w:p w14:paraId="22947B31" w14:textId="77777777" w:rsidR="00965B90" w:rsidRPr="00C27A60" w:rsidRDefault="00965B90" w:rsidP="00965B90">
            <w:pPr>
              <w:ind w:firstLine="308"/>
              <w:jc w:val="both"/>
              <w:rPr>
                <w:sz w:val="22"/>
                <w:szCs w:val="22"/>
                <w:shd w:val="clear" w:color="auto" w:fill="FFFFFF"/>
              </w:rPr>
            </w:pPr>
            <w:r w:rsidRPr="00C27A60">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3546C5E4" w14:textId="77777777" w:rsidR="00965B90" w:rsidRPr="00C27A60" w:rsidRDefault="00965B90" w:rsidP="00965B90">
            <w:pPr>
              <w:ind w:firstLine="308"/>
              <w:jc w:val="both"/>
              <w:rPr>
                <w:sz w:val="22"/>
                <w:szCs w:val="22"/>
                <w:shd w:val="clear" w:color="auto" w:fill="FFFFFF"/>
              </w:rPr>
            </w:pPr>
          </w:p>
          <w:p w14:paraId="7722936B" w14:textId="77777777" w:rsidR="00965B90" w:rsidRPr="00C27A60" w:rsidRDefault="00965B90" w:rsidP="00965B90">
            <w:pPr>
              <w:ind w:firstLine="308"/>
              <w:jc w:val="both"/>
              <w:rPr>
                <w:sz w:val="22"/>
                <w:szCs w:val="22"/>
                <w:shd w:val="clear" w:color="auto" w:fill="FFFFFF"/>
              </w:rPr>
            </w:pPr>
            <w:r w:rsidRPr="00C27A60">
              <w:rPr>
                <w:sz w:val="22"/>
                <w:szCs w:val="22"/>
                <w:shd w:val="clear" w:color="auto" w:fill="FFFFFF"/>
              </w:rPr>
              <w:t>&lt;…&gt;</w:t>
            </w:r>
          </w:p>
          <w:p w14:paraId="064F8824" w14:textId="77777777" w:rsidR="00965B90" w:rsidRPr="00C27A60" w:rsidRDefault="00965B90" w:rsidP="00965B90">
            <w:pPr>
              <w:ind w:firstLine="308"/>
              <w:jc w:val="both"/>
              <w:rPr>
                <w:sz w:val="22"/>
                <w:szCs w:val="22"/>
                <w:shd w:val="clear" w:color="auto" w:fill="FFFFFF"/>
              </w:rPr>
            </w:pPr>
          </w:p>
          <w:p w14:paraId="34267B6B" w14:textId="77777777" w:rsidR="00965B90" w:rsidRPr="00C27A60" w:rsidRDefault="00965B90" w:rsidP="00965B90">
            <w:pPr>
              <w:ind w:firstLine="308"/>
              <w:jc w:val="both"/>
              <w:rPr>
                <w:b/>
                <w:sz w:val="22"/>
                <w:szCs w:val="22"/>
                <w:shd w:val="clear" w:color="auto" w:fill="FFFFFF"/>
              </w:rPr>
            </w:pPr>
            <w:r w:rsidRPr="00C27A60">
              <w:rPr>
                <w:b/>
                <w:sz w:val="22"/>
                <w:szCs w:val="22"/>
                <w:shd w:val="clear" w:color="auto" w:fill="FFFFFF"/>
              </w:rPr>
              <w:t xml:space="preserve">30) фактичний максимальний розмір заробітної плати, яка фінансується за рахунок тарифів на послуги з розподілу електричної енергії, що перевищує </w:t>
            </w:r>
            <w:r w:rsidRPr="00C27A60">
              <w:rPr>
                <w:b/>
                <w:sz w:val="22"/>
                <w:szCs w:val="22"/>
                <w:shd w:val="clear" w:color="auto" w:fill="FFFFFF"/>
              </w:rPr>
              <w:lastRenderedPageBreak/>
              <w:t>десятикратний розмір середньої заробітної плати, урахованої у структурі тарифів на послуги з розподілу електричної енергії, з урахуванням приведення до середньорічного розміру заробітної плати у звітному році.</w:t>
            </w:r>
          </w:p>
          <w:p w14:paraId="02445345" w14:textId="77777777" w:rsidR="00D26D5A" w:rsidRPr="00C27A60" w:rsidRDefault="00D26D5A" w:rsidP="00965B90">
            <w:pPr>
              <w:ind w:firstLine="308"/>
              <w:jc w:val="both"/>
              <w:rPr>
                <w:sz w:val="22"/>
                <w:szCs w:val="22"/>
                <w:shd w:val="clear" w:color="auto" w:fill="FFFFFF"/>
              </w:rPr>
            </w:pPr>
          </w:p>
        </w:tc>
        <w:tc>
          <w:tcPr>
            <w:tcW w:w="5812" w:type="dxa"/>
            <w:shd w:val="clear" w:color="auto" w:fill="auto"/>
          </w:tcPr>
          <w:p w14:paraId="7DCFE66A" w14:textId="6D5C8BC0" w:rsidR="00965B90" w:rsidRPr="00C27A60" w:rsidRDefault="00965B90" w:rsidP="00965B90">
            <w:pPr>
              <w:ind w:firstLine="308"/>
              <w:jc w:val="both"/>
              <w:rPr>
                <w:i/>
                <w:sz w:val="22"/>
                <w:szCs w:val="22"/>
                <w:shd w:val="clear" w:color="auto" w:fill="FFFFFF"/>
              </w:rPr>
            </w:pPr>
            <w:r w:rsidRPr="00C27A60">
              <w:rPr>
                <w:i/>
                <w:sz w:val="22"/>
                <w:szCs w:val="22"/>
                <w:shd w:val="clear" w:color="auto" w:fill="FFFFFF"/>
              </w:rPr>
              <w:lastRenderedPageBreak/>
              <w:t>ГС «РЕУ»</w:t>
            </w:r>
          </w:p>
          <w:p w14:paraId="6C525120" w14:textId="77777777" w:rsidR="003A322D" w:rsidRPr="00C27A60" w:rsidRDefault="003A322D" w:rsidP="003A322D">
            <w:pPr>
              <w:ind w:firstLine="308"/>
              <w:jc w:val="both"/>
              <w:rPr>
                <w:i/>
                <w:sz w:val="22"/>
                <w:szCs w:val="22"/>
                <w:shd w:val="clear" w:color="auto" w:fill="FFFFFF"/>
              </w:rPr>
            </w:pPr>
            <w:r w:rsidRPr="00C27A60">
              <w:rPr>
                <w:i/>
                <w:sz w:val="22"/>
                <w:szCs w:val="22"/>
                <w:shd w:val="clear" w:color="auto" w:fill="FFFFFF"/>
              </w:rPr>
              <w:t>АТ ДТЕК «ДОНЕЦЬКІ ЕЛЕКТРОМЕРЕЖІ»</w:t>
            </w:r>
          </w:p>
          <w:p w14:paraId="126A2E41" w14:textId="223FA300" w:rsidR="00965B90" w:rsidRPr="00C27A60" w:rsidRDefault="00436F83" w:rsidP="00965B90">
            <w:pPr>
              <w:ind w:firstLine="308"/>
              <w:jc w:val="both"/>
              <w:rPr>
                <w:i/>
                <w:sz w:val="22"/>
                <w:szCs w:val="22"/>
                <w:shd w:val="clear" w:color="auto" w:fill="FFFFFF"/>
              </w:rPr>
            </w:pPr>
            <w:r w:rsidRPr="00C27A60">
              <w:rPr>
                <w:i/>
                <w:sz w:val="22"/>
                <w:szCs w:val="22"/>
                <w:shd w:val="clear" w:color="auto" w:fill="FFFFFF"/>
              </w:rPr>
              <w:t>АТ «ДТЕК ДНІПРОВСЬКІ ЕЛЕКТРОМЕРЕЖІ»</w:t>
            </w:r>
          </w:p>
          <w:p w14:paraId="7E5D043F" w14:textId="77777777" w:rsidR="00436F83" w:rsidRPr="00C27A60" w:rsidRDefault="00436F83" w:rsidP="00965B90">
            <w:pPr>
              <w:ind w:firstLine="308"/>
              <w:jc w:val="both"/>
              <w:rPr>
                <w:sz w:val="22"/>
                <w:szCs w:val="22"/>
                <w:shd w:val="clear" w:color="auto" w:fill="FFFFFF"/>
              </w:rPr>
            </w:pPr>
          </w:p>
          <w:p w14:paraId="2BC759DC" w14:textId="77777777" w:rsidR="00965B90" w:rsidRPr="00C27A60" w:rsidRDefault="00965B90" w:rsidP="00965B90">
            <w:pPr>
              <w:ind w:firstLine="308"/>
              <w:jc w:val="both"/>
              <w:rPr>
                <w:sz w:val="22"/>
                <w:szCs w:val="22"/>
                <w:shd w:val="clear" w:color="auto" w:fill="FFFFFF"/>
              </w:rPr>
            </w:pPr>
            <w:r w:rsidRPr="00C27A60">
              <w:rPr>
                <w:sz w:val="22"/>
                <w:szCs w:val="22"/>
                <w:shd w:val="clear" w:color="auto" w:fill="FFFFFF"/>
              </w:rPr>
              <w:t>&lt;…&gt;</w:t>
            </w:r>
          </w:p>
          <w:p w14:paraId="378E00DD" w14:textId="77777777" w:rsidR="00965B90" w:rsidRPr="00C27A60" w:rsidRDefault="00965B90" w:rsidP="00965B90">
            <w:pPr>
              <w:ind w:firstLine="308"/>
              <w:jc w:val="both"/>
              <w:rPr>
                <w:sz w:val="22"/>
                <w:szCs w:val="22"/>
                <w:shd w:val="clear" w:color="auto" w:fill="FFFFFF"/>
              </w:rPr>
            </w:pPr>
            <w:r w:rsidRPr="00C27A60">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3F389625" w14:textId="77777777" w:rsidR="00965B90" w:rsidRPr="00C27A60" w:rsidRDefault="00965B90" w:rsidP="00965B90">
            <w:pPr>
              <w:ind w:firstLine="308"/>
              <w:jc w:val="both"/>
              <w:rPr>
                <w:sz w:val="22"/>
                <w:szCs w:val="22"/>
                <w:shd w:val="clear" w:color="auto" w:fill="FFFFFF"/>
              </w:rPr>
            </w:pPr>
            <w:r w:rsidRPr="00C27A60">
              <w:rPr>
                <w:sz w:val="22"/>
                <w:szCs w:val="22"/>
                <w:shd w:val="clear" w:color="auto" w:fill="FFFFFF"/>
              </w:rPr>
              <w:t>&lt;…&gt;</w:t>
            </w:r>
          </w:p>
          <w:p w14:paraId="78E4EDC4" w14:textId="77777777" w:rsidR="00965B90" w:rsidRPr="00C27A60" w:rsidRDefault="00965B90" w:rsidP="00965B90">
            <w:pPr>
              <w:ind w:firstLine="308"/>
              <w:jc w:val="both"/>
              <w:rPr>
                <w:sz w:val="22"/>
                <w:szCs w:val="22"/>
                <w:shd w:val="clear" w:color="auto" w:fill="FFFFFF"/>
              </w:rPr>
            </w:pPr>
          </w:p>
          <w:p w14:paraId="628EDC81" w14:textId="77777777" w:rsidR="00D26D5A" w:rsidRPr="00C27A60" w:rsidRDefault="00965B90" w:rsidP="007366B9">
            <w:pPr>
              <w:jc w:val="both"/>
              <w:rPr>
                <w:b/>
                <w:sz w:val="22"/>
                <w:szCs w:val="22"/>
                <w:shd w:val="clear" w:color="auto" w:fill="FFFFFF"/>
              </w:rPr>
            </w:pPr>
            <w:r w:rsidRPr="00C27A60">
              <w:rPr>
                <w:b/>
                <w:sz w:val="22"/>
                <w:szCs w:val="22"/>
                <w:shd w:val="clear" w:color="auto" w:fill="FFFFFF"/>
              </w:rPr>
              <w:t xml:space="preserve">30) фактичний максимальний розмір середньорічної заробітної плати, яка фінансується за рахунок тарифів на послуги з розподілу електричної енергії, що </w:t>
            </w:r>
            <w:r w:rsidRPr="00C27A60">
              <w:rPr>
                <w:b/>
                <w:sz w:val="22"/>
                <w:szCs w:val="22"/>
                <w:shd w:val="clear" w:color="auto" w:fill="FFFFFF"/>
              </w:rPr>
              <w:lastRenderedPageBreak/>
              <w:t>перевищує десятикратний розмір середньорічної заробітної плати, урахованої у структурі тарифів на послуги з розподілу електричної енергії.</w:t>
            </w:r>
          </w:p>
          <w:p w14:paraId="3BDB9635" w14:textId="77777777" w:rsidR="00965B90" w:rsidRPr="00C27A60" w:rsidRDefault="00965B90" w:rsidP="007366B9">
            <w:pPr>
              <w:jc w:val="both"/>
              <w:rPr>
                <w:i/>
                <w:sz w:val="22"/>
                <w:szCs w:val="22"/>
              </w:rPr>
            </w:pPr>
          </w:p>
          <w:p w14:paraId="0AAD9790" w14:textId="77777777" w:rsidR="00965B90" w:rsidRPr="00C27A60" w:rsidRDefault="00965B90" w:rsidP="00965B90">
            <w:pPr>
              <w:jc w:val="both"/>
              <w:rPr>
                <w:i/>
                <w:sz w:val="22"/>
                <w:szCs w:val="22"/>
              </w:rPr>
            </w:pPr>
            <w:r w:rsidRPr="00C27A60">
              <w:rPr>
                <w:i/>
                <w:sz w:val="22"/>
                <w:szCs w:val="22"/>
              </w:rPr>
              <w:t>ОБРГРУНТУВАННЯ:</w:t>
            </w:r>
          </w:p>
          <w:p w14:paraId="3F01074D" w14:textId="77777777" w:rsidR="00965B90" w:rsidRPr="00C27A60" w:rsidRDefault="00965B90" w:rsidP="007366B9">
            <w:pPr>
              <w:jc w:val="both"/>
              <w:rPr>
                <w:i/>
                <w:sz w:val="22"/>
                <w:szCs w:val="22"/>
              </w:rPr>
            </w:pPr>
          </w:p>
          <w:p w14:paraId="27ADDB4A" w14:textId="77777777" w:rsidR="00965B90" w:rsidRPr="00C27A60" w:rsidRDefault="00965B90" w:rsidP="00965B90">
            <w:pPr>
              <w:jc w:val="both"/>
              <w:rPr>
                <w:sz w:val="22"/>
                <w:szCs w:val="22"/>
              </w:rPr>
            </w:pPr>
            <w:r w:rsidRPr="00C27A60">
              <w:rPr>
                <w:sz w:val="22"/>
                <w:szCs w:val="22"/>
              </w:rPr>
              <w:t xml:space="preserve">Уточнення для зрозумілості та зручності застосування норми. </w:t>
            </w:r>
          </w:p>
          <w:p w14:paraId="123B415B" w14:textId="409C15E7" w:rsidR="00965B90" w:rsidRPr="00C27A60" w:rsidRDefault="00965B90" w:rsidP="007366B9">
            <w:pPr>
              <w:jc w:val="both"/>
              <w:rPr>
                <w:i/>
                <w:sz w:val="22"/>
                <w:szCs w:val="22"/>
              </w:rPr>
            </w:pPr>
          </w:p>
        </w:tc>
        <w:tc>
          <w:tcPr>
            <w:tcW w:w="3546" w:type="dxa"/>
            <w:shd w:val="clear" w:color="auto" w:fill="auto"/>
            <w:vAlign w:val="center"/>
          </w:tcPr>
          <w:p w14:paraId="3B70A208" w14:textId="77777777" w:rsidR="008B4C2D" w:rsidRPr="00C27A60" w:rsidRDefault="008B4C2D" w:rsidP="008B4C2D">
            <w:pPr>
              <w:rPr>
                <w:b/>
                <w:sz w:val="22"/>
                <w:szCs w:val="22"/>
              </w:rPr>
            </w:pPr>
          </w:p>
          <w:p w14:paraId="3574064D" w14:textId="77777777" w:rsidR="008B4C2D" w:rsidRPr="00C27A60" w:rsidRDefault="008B4C2D" w:rsidP="008B4C2D">
            <w:pPr>
              <w:rPr>
                <w:b/>
                <w:sz w:val="22"/>
                <w:szCs w:val="22"/>
              </w:rPr>
            </w:pPr>
          </w:p>
          <w:p w14:paraId="2C4C29B8" w14:textId="77777777" w:rsidR="008B4C2D" w:rsidRPr="00C27A60" w:rsidRDefault="008B4C2D" w:rsidP="008B4C2D">
            <w:pPr>
              <w:rPr>
                <w:b/>
                <w:sz w:val="22"/>
                <w:szCs w:val="22"/>
              </w:rPr>
            </w:pPr>
          </w:p>
          <w:p w14:paraId="0F65D57A" w14:textId="77777777" w:rsidR="008B4C2D" w:rsidRPr="00C27A60" w:rsidRDefault="008B4C2D" w:rsidP="008B4C2D">
            <w:pPr>
              <w:rPr>
                <w:b/>
                <w:sz w:val="22"/>
                <w:szCs w:val="22"/>
              </w:rPr>
            </w:pPr>
          </w:p>
          <w:p w14:paraId="406AC9B2" w14:textId="77777777" w:rsidR="008B4C2D" w:rsidRPr="00C27A60" w:rsidRDefault="008B4C2D" w:rsidP="008B4C2D">
            <w:pPr>
              <w:rPr>
                <w:b/>
                <w:sz w:val="22"/>
                <w:szCs w:val="22"/>
              </w:rPr>
            </w:pPr>
          </w:p>
          <w:p w14:paraId="363B1571" w14:textId="77777777" w:rsidR="008B4C2D" w:rsidRPr="00C27A60" w:rsidRDefault="008B4C2D" w:rsidP="008B4C2D">
            <w:pPr>
              <w:rPr>
                <w:b/>
                <w:sz w:val="22"/>
                <w:szCs w:val="22"/>
              </w:rPr>
            </w:pPr>
          </w:p>
          <w:p w14:paraId="3FBD342E" w14:textId="77777777" w:rsidR="008B4C2D" w:rsidRPr="00C27A60" w:rsidRDefault="008B4C2D" w:rsidP="008B4C2D">
            <w:pPr>
              <w:rPr>
                <w:b/>
                <w:sz w:val="22"/>
                <w:szCs w:val="22"/>
              </w:rPr>
            </w:pPr>
          </w:p>
          <w:p w14:paraId="6603B1F0" w14:textId="0EA23FFB" w:rsidR="008B4C2D" w:rsidRPr="00C27A60" w:rsidRDefault="008B4C2D" w:rsidP="008B4C2D">
            <w:pPr>
              <w:rPr>
                <w:b/>
                <w:sz w:val="22"/>
                <w:szCs w:val="22"/>
              </w:rPr>
            </w:pPr>
          </w:p>
          <w:p w14:paraId="017D2760" w14:textId="74D0F933" w:rsidR="00E560D8" w:rsidRPr="00C27A60" w:rsidRDefault="00E560D8" w:rsidP="008B4C2D">
            <w:pPr>
              <w:rPr>
                <w:b/>
                <w:sz w:val="22"/>
                <w:szCs w:val="22"/>
              </w:rPr>
            </w:pPr>
          </w:p>
          <w:p w14:paraId="0FF50EB8" w14:textId="77777777" w:rsidR="008A08BB" w:rsidRPr="00C27A60" w:rsidRDefault="008A08BB" w:rsidP="008B4C2D">
            <w:pPr>
              <w:rPr>
                <w:b/>
                <w:sz w:val="22"/>
                <w:szCs w:val="22"/>
              </w:rPr>
            </w:pPr>
          </w:p>
          <w:p w14:paraId="23410B80" w14:textId="77777777" w:rsidR="00E560D8" w:rsidRPr="00C27A60" w:rsidRDefault="00E560D8" w:rsidP="008B4C2D">
            <w:pPr>
              <w:rPr>
                <w:b/>
                <w:sz w:val="16"/>
                <w:szCs w:val="22"/>
              </w:rPr>
            </w:pPr>
          </w:p>
          <w:p w14:paraId="6A26783A" w14:textId="77777777" w:rsidR="008B4C2D" w:rsidRPr="00C27A60" w:rsidRDefault="008B4C2D" w:rsidP="00E573F4">
            <w:pPr>
              <w:jc w:val="both"/>
              <w:rPr>
                <w:b/>
                <w:sz w:val="22"/>
                <w:szCs w:val="22"/>
              </w:rPr>
            </w:pPr>
            <w:r w:rsidRPr="00C27A60">
              <w:rPr>
                <w:b/>
                <w:sz w:val="22"/>
                <w:szCs w:val="22"/>
              </w:rPr>
              <w:t xml:space="preserve">Не враховується </w:t>
            </w:r>
          </w:p>
          <w:p w14:paraId="42BA36F6" w14:textId="5D6CBB81" w:rsidR="008B4C2D" w:rsidRPr="00C27A60" w:rsidRDefault="008B4C2D" w:rsidP="00E573F4">
            <w:pPr>
              <w:pStyle w:val="af5"/>
              <w:spacing w:before="0" w:beforeAutospacing="0" w:after="0" w:afterAutospacing="0"/>
              <w:jc w:val="both"/>
              <w:rPr>
                <w:b/>
                <w:sz w:val="22"/>
                <w:szCs w:val="22"/>
                <w:lang w:eastAsia="ru-RU"/>
              </w:rPr>
            </w:pPr>
          </w:p>
          <w:p w14:paraId="0646F7E3" w14:textId="04EBFFCC" w:rsidR="008B4C2D" w:rsidRPr="00C27A60" w:rsidRDefault="008B4C2D" w:rsidP="00E573F4">
            <w:pPr>
              <w:jc w:val="both"/>
              <w:rPr>
                <w:sz w:val="22"/>
                <w:szCs w:val="22"/>
              </w:rPr>
            </w:pPr>
            <w:r w:rsidRPr="00C27A60">
              <w:rPr>
                <w:sz w:val="22"/>
                <w:szCs w:val="22"/>
              </w:rPr>
              <w:t>Запр</w:t>
            </w:r>
            <w:r w:rsidR="00E560D8" w:rsidRPr="00C27A60">
              <w:rPr>
                <w:sz w:val="22"/>
                <w:szCs w:val="22"/>
              </w:rPr>
              <w:t xml:space="preserve">опонована редакція не змінює та не </w:t>
            </w:r>
            <w:r w:rsidR="008A08BB" w:rsidRPr="00C27A60">
              <w:rPr>
                <w:sz w:val="22"/>
                <w:szCs w:val="22"/>
              </w:rPr>
              <w:t>удосконалює</w:t>
            </w:r>
            <w:r w:rsidR="00E560D8" w:rsidRPr="00C27A60">
              <w:rPr>
                <w:sz w:val="22"/>
                <w:szCs w:val="22"/>
              </w:rPr>
              <w:t xml:space="preserve"> трактування</w:t>
            </w:r>
            <w:r w:rsidR="008A08BB" w:rsidRPr="00C27A60">
              <w:rPr>
                <w:sz w:val="22"/>
                <w:szCs w:val="22"/>
              </w:rPr>
              <w:t xml:space="preserve"> </w:t>
            </w:r>
            <w:r w:rsidR="008A08BB" w:rsidRPr="00C27A60">
              <w:rPr>
                <w:sz w:val="22"/>
                <w:szCs w:val="22"/>
              </w:rPr>
              <w:lastRenderedPageBreak/>
              <w:t>норми порівняно зі схваленою редакцією</w:t>
            </w:r>
            <w:r w:rsidR="00E573F4" w:rsidRPr="00C27A60">
              <w:rPr>
                <w:sz w:val="22"/>
                <w:szCs w:val="22"/>
              </w:rPr>
              <w:t xml:space="preserve"> (аналіз здійснюється помісячно, а кінцевий результат приймається за результатом середньорічних показників).</w:t>
            </w:r>
          </w:p>
        </w:tc>
      </w:tr>
      <w:tr w:rsidR="00C27A60" w:rsidRPr="00C27A60" w14:paraId="17571A82" w14:textId="77777777" w:rsidTr="008D1DC5">
        <w:trPr>
          <w:trHeight w:val="595"/>
        </w:trPr>
        <w:tc>
          <w:tcPr>
            <w:tcW w:w="5839" w:type="dxa"/>
            <w:shd w:val="clear" w:color="auto" w:fill="auto"/>
            <w:vAlign w:val="center"/>
          </w:tcPr>
          <w:p w14:paraId="338725B3" w14:textId="77777777" w:rsidR="007366B9" w:rsidRPr="00C27A60" w:rsidRDefault="007366B9" w:rsidP="007366B9">
            <w:pPr>
              <w:ind w:firstLine="308"/>
              <w:jc w:val="both"/>
              <w:rPr>
                <w:sz w:val="22"/>
                <w:szCs w:val="22"/>
                <w:shd w:val="clear" w:color="auto" w:fill="FFFFFF"/>
              </w:rPr>
            </w:pPr>
          </w:p>
          <w:p w14:paraId="62BE115A" w14:textId="77777777" w:rsidR="007366B9" w:rsidRPr="00C27A60" w:rsidRDefault="007366B9" w:rsidP="007366B9">
            <w:pPr>
              <w:ind w:firstLine="308"/>
              <w:jc w:val="both"/>
              <w:rPr>
                <w:sz w:val="22"/>
                <w:szCs w:val="22"/>
                <w:shd w:val="clear" w:color="auto" w:fill="FFFFFF"/>
              </w:rPr>
            </w:pPr>
            <w:r w:rsidRPr="00C27A60">
              <w:rPr>
                <w:sz w:val="22"/>
                <w:szCs w:val="22"/>
                <w:shd w:val="clear" w:color="auto" w:fill="FFFFFF"/>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67D9D270" w14:textId="77777777" w:rsidR="007366B9" w:rsidRPr="00C27A60" w:rsidRDefault="007366B9" w:rsidP="007366B9">
            <w:pPr>
              <w:ind w:firstLine="308"/>
              <w:jc w:val="both"/>
              <w:rPr>
                <w:sz w:val="22"/>
                <w:szCs w:val="22"/>
                <w:shd w:val="clear" w:color="auto" w:fill="FFFFFF"/>
              </w:rPr>
            </w:pPr>
          </w:p>
          <w:p w14:paraId="2A6AEF13" w14:textId="63628451" w:rsidR="007366B9" w:rsidRPr="00C27A60" w:rsidRDefault="007366B9" w:rsidP="007366B9">
            <w:pPr>
              <w:ind w:firstLine="308"/>
              <w:jc w:val="both"/>
              <w:rPr>
                <w:sz w:val="22"/>
                <w:szCs w:val="22"/>
                <w:shd w:val="clear" w:color="auto" w:fill="FFFFFF"/>
              </w:rPr>
            </w:pPr>
            <w:r w:rsidRPr="00C27A60">
              <w:rPr>
                <w:sz w:val="22"/>
                <w:szCs w:val="22"/>
                <w:shd w:val="clear" w:color="auto" w:fill="FFFFFF"/>
              </w:rPr>
              <w:t>&lt;…&gt;</w:t>
            </w:r>
          </w:p>
          <w:p w14:paraId="557AFE27" w14:textId="6A74F921" w:rsidR="007366B9" w:rsidRPr="00C27A60" w:rsidRDefault="007366B9" w:rsidP="007366B9">
            <w:pPr>
              <w:ind w:firstLine="308"/>
              <w:jc w:val="both"/>
              <w:rPr>
                <w:sz w:val="22"/>
                <w:szCs w:val="22"/>
                <w:shd w:val="clear" w:color="auto" w:fill="FFFFFF"/>
              </w:rPr>
            </w:pPr>
          </w:p>
          <w:p w14:paraId="48F43909" w14:textId="77777777" w:rsidR="007366B9" w:rsidRPr="00C27A60" w:rsidRDefault="007366B9" w:rsidP="007366B9">
            <w:pPr>
              <w:spacing w:after="75"/>
              <w:ind w:firstLine="240"/>
              <w:jc w:val="both"/>
              <w:rPr>
                <w:sz w:val="22"/>
                <w:szCs w:val="22"/>
              </w:rPr>
            </w:pPr>
            <w:r w:rsidRPr="00C27A60">
              <w:rPr>
                <w:sz w:val="22"/>
                <w:szCs w:val="22"/>
              </w:rPr>
              <w:t>6)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C27A60">
              <w:rPr>
                <w:rFonts w:ascii="Symbol" w:hAnsi="Symbol"/>
                <w:sz w:val="22"/>
                <w:szCs w:val="22"/>
              </w:rPr>
              <w:t></w:t>
            </w:r>
            <w:proofErr w:type="spellStart"/>
            <w:r w:rsidRPr="00C27A60">
              <w:rPr>
                <w:sz w:val="22"/>
                <w:szCs w:val="22"/>
              </w:rPr>
              <w:t>Д</w:t>
            </w:r>
            <w:r w:rsidRPr="00C27A60">
              <w:rPr>
                <w:sz w:val="22"/>
                <w:szCs w:val="22"/>
                <w:vertAlign w:val="superscript"/>
              </w:rPr>
              <w:t>н</w:t>
            </w:r>
            <w:r w:rsidRPr="00C27A60">
              <w:rPr>
                <w:sz w:val="22"/>
                <w:szCs w:val="22"/>
                <w:vertAlign w:val="subscript"/>
              </w:rPr>
              <w:t>ТВЕ</w:t>
            </w:r>
            <w:proofErr w:type="spellEnd"/>
            <w:r w:rsidRPr="00C27A60">
              <w:rPr>
                <w:sz w:val="22"/>
                <w:szCs w:val="22"/>
              </w:rPr>
              <w:t>), тис. грн, що визначається за формулою</w:t>
            </w:r>
          </w:p>
          <w:tbl>
            <w:tblPr>
              <w:tblW w:w="0" w:type="auto"/>
              <w:tblLayout w:type="fixed"/>
              <w:tblLook w:val="04A0" w:firstRow="1" w:lastRow="0" w:firstColumn="1" w:lastColumn="0" w:noHBand="0" w:noVBand="1"/>
            </w:tblPr>
            <w:tblGrid>
              <w:gridCol w:w="3505"/>
              <w:gridCol w:w="1887"/>
            </w:tblGrid>
            <w:tr w:rsidR="00C27A60" w:rsidRPr="00C27A60" w14:paraId="2A84A9FF" w14:textId="77777777" w:rsidTr="007366B9">
              <w:trPr>
                <w:trHeight w:val="30"/>
              </w:trPr>
              <w:tc>
                <w:tcPr>
                  <w:tcW w:w="3505" w:type="dxa"/>
                  <w:vAlign w:val="center"/>
                  <w:hideMark/>
                </w:tcPr>
                <w:p w14:paraId="5C3CFBE3" w14:textId="77777777" w:rsidR="007366B9" w:rsidRPr="00C27A60" w:rsidRDefault="007366B9" w:rsidP="007366B9">
                  <w:pPr>
                    <w:spacing w:after="75"/>
                    <w:rPr>
                      <w:sz w:val="22"/>
                      <w:szCs w:val="22"/>
                    </w:rPr>
                  </w:pPr>
                  <w:r w:rsidRPr="00C27A60">
                    <w:rPr>
                      <w:noProof/>
                      <w:sz w:val="22"/>
                      <w:szCs w:val="22"/>
                    </w:rPr>
                    <w:drawing>
                      <wp:inline distT="0" distB="0" distL="0" distR="0" wp14:anchorId="3EB8BE64" wp14:editId="0DBD819C">
                        <wp:extent cx="2106592" cy="533400"/>
                        <wp:effectExtent l="0" t="0" r="8255"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27175" cy="538612"/>
                                </a:xfrm>
                                <a:prstGeom prst="rect">
                                  <a:avLst/>
                                </a:prstGeom>
                                <a:noFill/>
                                <a:ln>
                                  <a:noFill/>
                                </a:ln>
                              </pic:spPr>
                            </pic:pic>
                          </a:graphicData>
                        </a:graphic>
                      </wp:inline>
                    </w:drawing>
                  </w:r>
                </w:p>
              </w:tc>
              <w:tc>
                <w:tcPr>
                  <w:tcW w:w="1887" w:type="dxa"/>
                  <w:vAlign w:val="center"/>
                  <w:hideMark/>
                </w:tcPr>
                <w:p w14:paraId="2A9829B4" w14:textId="77777777" w:rsidR="007366B9" w:rsidRPr="00C27A60" w:rsidRDefault="007366B9" w:rsidP="007366B9">
                  <w:pPr>
                    <w:spacing w:after="75"/>
                    <w:rPr>
                      <w:sz w:val="22"/>
                      <w:szCs w:val="22"/>
                    </w:rPr>
                  </w:pPr>
                  <w:r w:rsidRPr="00C27A60">
                    <w:rPr>
                      <w:sz w:val="22"/>
                      <w:szCs w:val="22"/>
                    </w:rPr>
                    <w:t>,</w:t>
                  </w:r>
                </w:p>
              </w:tc>
            </w:tr>
          </w:tbl>
          <w:p w14:paraId="3E7A59AE" w14:textId="77777777" w:rsidR="007366B9" w:rsidRPr="00C27A60" w:rsidRDefault="007366B9" w:rsidP="007366B9">
            <w:pPr>
              <w:spacing w:after="75"/>
              <w:ind w:firstLine="240"/>
              <w:jc w:val="both"/>
              <w:rPr>
                <w:sz w:val="22"/>
                <w:szCs w:val="22"/>
              </w:rPr>
            </w:pPr>
            <w:r w:rsidRPr="00C27A60">
              <w:rPr>
                <w:sz w:val="22"/>
                <w:szCs w:val="22"/>
              </w:rPr>
              <w:t>де і - місяць;</w:t>
            </w:r>
          </w:p>
          <w:p w14:paraId="76CF2AF8" w14:textId="77777777" w:rsidR="007366B9" w:rsidRPr="00C27A60" w:rsidRDefault="007366B9" w:rsidP="007366B9">
            <w:pPr>
              <w:spacing w:after="75"/>
              <w:ind w:firstLine="240"/>
              <w:jc w:val="both"/>
              <w:rPr>
                <w:sz w:val="22"/>
                <w:szCs w:val="22"/>
              </w:rPr>
            </w:pPr>
            <w:r w:rsidRPr="00C27A60">
              <w:rPr>
                <w:sz w:val="22"/>
                <w:szCs w:val="22"/>
              </w:rPr>
              <w:t>n - кількість місяців;</w:t>
            </w:r>
          </w:p>
          <w:p w14:paraId="04B0663B" w14:textId="77777777" w:rsidR="007366B9" w:rsidRPr="00C27A60" w:rsidRDefault="007366B9" w:rsidP="007366B9">
            <w:pPr>
              <w:spacing w:after="75"/>
              <w:ind w:firstLine="240"/>
              <w:jc w:val="both"/>
              <w:rPr>
                <w:sz w:val="22"/>
                <w:szCs w:val="22"/>
              </w:rPr>
            </w:pPr>
            <w:r w:rsidRPr="00C27A60">
              <w:rPr>
                <w:sz w:val="22"/>
                <w:szCs w:val="22"/>
              </w:rPr>
              <w:t>Д</w:t>
            </w:r>
            <w:r w:rsidRPr="00C27A60">
              <w:rPr>
                <w:sz w:val="22"/>
                <w:szCs w:val="22"/>
                <w:vertAlign w:val="subscript"/>
              </w:rPr>
              <w:t>ТВЕ т</w:t>
            </w:r>
            <w:r w:rsidRPr="00C27A60">
              <w:rPr>
                <w:sz w:val="22"/>
                <w:szCs w:val="22"/>
              </w:rPr>
              <w:t xml:space="preserve"> - вартість технологічних витрат електричної енергії, урахована в тарифах на звітний рік, тис. грн.</w:t>
            </w:r>
          </w:p>
          <w:p w14:paraId="7E4E9BE7" w14:textId="77777777" w:rsidR="007366B9" w:rsidRPr="00C27A60" w:rsidRDefault="007366B9" w:rsidP="007366B9">
            <w:pPr>
              <w:spacing w:after="75"/>
              <w:ind w:firstLine="240"/>
              <w:jc w:val="both"/>
              <w:rPr>
                <w:sz w:val="22"/>
                <w:szCs w:val="22"/>
              </w:rPr>
            </w:pPr>
            <w:r w:rsidRPr="00C27A60">
              <w:rPr>
                <w:sz w:val="22"/>
                <w:szCs w:val="22"/>
              </w:rPr>
              <w:t>Д</w:t>
            </w:r>
            <w:r w:rsidRPr="00C27A60">
              <w:rPr>
                <w:sz w:val="22"/>
                <w:szCs w:val="22"/>
                <w:vertAlign w:val="subscript"/>
              </w:rPr>
              <w:t>ТВЕ</w:t>
            </w:r>
            <w:r w:rsidRPr="00C27A60">
              <w:rPr>
                <w:sz w:val="22"/>
                <w:szCs w:val="22"/>
              </w:rPr>
              <w:t xml:space="preserve"> </w:t>
            </w:r>
            <w:proofErr w:type="spellStart"/>
            <w:r w:rsidRPr="00C27A60">
              <w:rPr>
                <w:sz w:val="22"/>
                <w:szCs w:val="22"/>
                <w:vertAlign w:val="subscript"/>
              </w:rPr>
              <w:t>нф</w:t>
            </w:r>
            <w:proofErr w:type="spellEnd"/>
            <w:r w:rsidRPr="00C27A60">
              <w:rPr>
                <w:sz w:val="22"/>
                <w:szCs w:val="22"/>
                <w:vertAlign w:val="subscript"/>
              </w:rPr>
              <w:t xml:space="preserve"> і</w:t>
            </w:r>
            <w:r w:rsidRPr="00C27A60">
              <w:rPr>
                <w:sz w:val="22"/>
                <w:szCs w:val="22"/>
              </w:rPr>
              <w:t xml:space="preserve"> розраховується до впровадження нового ринку (до 01 липня 2019 року) та після впровадження нового ринку (з 01 липня 2019 року) згідно з відповідними положеннями підпункту 22 пункту 4 цього додатка.</w:t>
            </w:r>
          </w:p>
          <w:p w14:paraId="28BFEF25" w14:textId="77777777" w:rsidR="007366B9" w:rsidRPr="00C27A60" w:rsidRDefault="007366B9" w:rsidP="007366B9">
            <w:pPr>
              <w:spacing w:after="75"/>
              <w:ind w:firstLine="240"/>
              <w:jc w:val="both"/>
              <w:rPr>
                <w:sz w:val="22"/>
                <w:szCs w:val="22"/>
              </w:rPr>
            </w:pPr>
            <w:r w:rsidRPr="00C27A60">
              <w:rPr>
                <w:sz w:val="22"/>
                <w:szCs w:val="22"/>
              </w:rPr>
              <w:t xml:space="preserve">Якщо </w:t>
            </w:r>
            <w:r w:rsidRPr="00C27A60">
              <w:rPr>
                <w:b/>
                <w:sz w:val="22"/>
                <w:szCs w:val="22"/>
              </w:rPr>
              <w:t>порушена схема нормального режиму роботи системи розподілу / змінені обсяги розподілу / надходження / віддачі / транзиту електричної енергії тощо внаслідок введення воєнного стану та/або бойових дій в Україні та за умови, що</w:t>
            </w:r>
          </w:p>
          <w:p w14:paraId="66462C97" w14:textId="77777777" w:rsidR="007366B9" w:rsidRPr="00C27A60" w:rsidRDefault="007366B9" w:rsidP="007366B9">
            <w:pPr>
              <w:spacing w:after="75"/>
              <w:ind w:firstLine="240"/>
              <w:jc w:val="center"/>
              <w:rPr>
                <w:sz w:val="22"/>
                <w:szCs w:val="22"/>
              </w:rPr>
            </w:pPr>
            <w:r w:rsidRPr="00C27A60">
              <w:rPr>
                <w:sz w:val="22"/>
                <w:szCs w:val="22"/>
              </w:rPr>
              <w:lastRenderedPageBreak/>
              <w:t xml:space="preserve"> </w:t>
            </w:r>
          </w:p>
          <w:p w14:paraId="2D298801" w14:textId="77777777" w:rsidR="007366B9" w:rsidRPr="00C27A60" w:rsidRDefault="007366B9" w:rsidP="007366B9">
            <w:pPr>
              <w:spacing w:after="75"/>
              <w:ind w:firstLine="240"/>
              <w:jc w:val="center"/>
              <w:rPr>
                <w:sz w:val="22"/>
                <w:szCs w:val="22"/>
              </w:rPr>
            </w:pPr>
            <w:r w:rsidRPr="00C27A60">
              <w:rPr>
                <w:noProof/>
                <w:sz w:val="22"/>
                <w:szCs w:val="22"/>
              </w:rPr>
              <w:drawing>
                <wp:inline distT="0" distB="0" distL="0" distR="0" wp14:anchorId="7BE5482D" wp14:editId="260EE9A0">
                  <wp:extent cx="3343275" cy="352425"/>
                  <wp:effectExtent l="0" t="0" r="9525"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3275" cy="352425"/>
                          </a:xfrm>
                          <a:prstGeom prst="rect">
                            <a:avLst/>
                          </a:prstGeom>
                          <a:noFill/>
                          <a:ln>
                            <a:noFill/>
                          </a:ln>
                        </pic:spPr>
                      </pic:pic>
                    </a:graphicData>
                  </a:graphic>
                </wp:inline>
              </w:drawing>
            </w:r>
            <w:r w:rsidRPr="00C27A60">
              <w:rPr>
                <w:sz w:val="22"/>
                <w:szCs w:val="22"/>
              </w:rPr>
              <w:t>,</w:t>
            </w:r>
          </w:p>
          <w:p w14:paraId="2D535E77" w14:textId="77777777" w:rsidR="007366B9" w:rsidRPr="00C27A60" w:rsidRDefault="007366B9" w:rsidP="007366B9">
            <w:pPr>
              <w:spacing w:after="75"/>
              <w:ind w:firstLine="240"/>
              <w:jc w:val="center"/>
              <w:rPr>
                <w:sz w:val="22"/>
                <w:szCs w:val="22"/>
              </w:rPr>
            </w:pPr>
            <w:r w:rsidRPr="00C27A60">
              <w:rPr>
                <w:sz w:val="22"/>
                <w:szCs w:val="22"/>
              </w:rPr>
              <w:t xml:space="preserve"> </w:t>
            </w:r>
          </w:p>
          <w:p w14:paraId="725BB55F" w14:textId="77777777" w:rsidR="007366B9" w:rsidRPr="00C27A60" w:rsidRDefault="007366B9" w:rsidP="007366B9">
            <w:pPr>
              <w:spacing w:after="75"/>
              <w:ind w:firstLine="240"/>
              <w:jc w:val="both"/>
              <w:rPr>
                <w:sz w:val="22"/>
                <w:szCs w:val="22"/>
              </w:rPr>
            </w:pPr>
            <w:r w:rsidRPr="00C27A60">
              <w:rPr>
                <w:sz w:val="22"/>
                <w:szCs w:val="22"/>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4349FBEA" w14:textId="77777777" w:rsidR="007366B9" w:rsidRPr="00C27A60" w:rsidRDefault="007366B9" w:rsidP="007366B9">
            <w:pPr>
              <w:spacing w:after="75"/>
              <w:ind w:firstLine="240"/>
              <w:jc w:val="both"/>
              <w:rPr>
                <w:sz w:val="22"/>
                <w:szCs w:val="22"/>
              </w:rPr>
            </w:pPr>
            <w:r w:rsidRPr="00C27A60">
              <w:rPr>
                <w:sz w:val="22"/>
                <w:szCs w:val="22"/>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08522A56" w14:textId="77777777" w:rsidR="007366B9" w:rsidRPr="00C27A60" w:rsidRDefault="007366B9" w:rsidP="007366B9">
            <w:pPr>
              <w:spacing w:after="75"/>
              <w:ind w:firstLine="240"/>
              <w:jc w:val="both"/>
              <w:rPr>
                <w:b/>
                <w:sz w:val="22"/>
                <w:szCs w:val="22"/>
              </w:rPr>
            </w:pPr>
            <w:r w:rsidRPr="00C27A60">
              <w:rPr>
                <w:b/>
                <w:sz w:val="22"/>
                <w:szCs w:val="22"/>
              </w:rPr>
              <w:t>належним чином оформлених розрахунків витрат електричної енергії за 2022 – 2024 роки згідно із фактичними схемами роботи системи розподілу / обсягами розподілу / надходження / віддачі / транзиту електричної енергії тощо за 2022 – 2024 роки (за характерними періодами роботи мережі) проведених спеціалізованими підприємствами / 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2024 роках (з 2024 року за умови, що частка оціночних даних комерційного обліку, використаних у розрахунку обсягу фактичних звітних витрат, не перевищує 3 % від загального їх обсягу електричної енергії відповідно до даних за формою звітності № 2 НКРЕКП розподіл електричної енергії).</w:t>
            </w:r>
          </w:p>
          <w:p w14:paraId="532ECF0D" w14:textId="77777777" w:rsidR="007366B9" w:rsidRPr="00C27A60" w:rsidRDefault="007366B9" w:rsidP="007366B9">
            <w:pPr>
              <w:spacing w:after="75"/>
              <w:ind w:firstLine="240"/>
              <w:jc w:val="both"/>
              <w:rPr>
                <w:b/>
                <w:sz w:val="22"/>
                <w:szCs w:val="22"/>
              </w:rPr>
            </w:pPr>
            <w:r w:rsidRPr="00C27A60">
              <w:rPr>
                <w:b/>
                <w:sz w:val="22"/>
                <w:szCs w:val="22"/>
              </w:rPr>
              <w:t xml:space="preserve">ДТВЕ </w:t>
            </w:r>
            <w:proofErr w:type="spellStart"/>
            <w:r w:rsidRPr="00C27A60">
              <w:rPr>
                <w:b/>
                <w:sz w:val="22"/>
                <w:szCs w:val="22"/>
              </w:rPr>
              <w:t>нф</w:t>
            </w:r>
            <w:proofErr w:type="spellEnd"/>
            <w:r w:rsidRPr="00C27A60">
              <w:rPr>
                <w:b/>
                <w:sz w:val="22"/>
                <w:szCs w:val="22"/>
              </w:rPr>
              <w:t xml:space="preserve"> і за 2022 – 2024 роки визначається за формулою</w:t>
            </w:r>
          </w:p>
          <w:p w14:paraId="45CA0D33" w14:textId="77777777" w:rsidR="007366B9" w:rsidRPr="00C27A60" w:rsidRDefault="007366B9" w:rsidP="007366B9">
            <w:pPr>
              <w:spacing w:after="75"/>
              <w:ind w:firstLine="240"/>
              <w:jc w:val="center"/>
              <w:rPr>
                <w:sz w:val="22"/>
                <w:szCs w:val="22"/>
              </w:rPr>
            </w:pPr>
            <w:r w:rsidRPr="00C27A60">
              <w:rPr>
                <w:b/>
                <w:sz w:val="22"/>
                <w:szCs w:val="22"/>
              </w:rPr>
              <w:lastRenderedPageBreak/>
              <w:t xml:space="preserve">ДТВЕ </w:t>
            </w:r>
            <w:proofErr w:type="spellStart"/>
            <w:r w:rsidRPr="00C27A60">
              <w:rPr>
                <w:b/>
                <w:sz w:val="22"/>
                <w:szCs w:val="22"/>
              </w:rPr>
              <w:t>нф</w:t>
            </w:r>
            <w:proofErr w:type="spellEnd"/>
            <w:r w:rsidRPr="00C27A60">
              <w:rPr>
                <w:b/>
                <w:sz w:val="22"/>
                <w:szCs w:val="22"/>
              </w:rPr>
              <w:t xml:space="preserve"> і = (ОТВЕ ф і – ОТВЕ он і) x ЦТВЕ і,</w:t>
            </w:r>
          </w:p>
          <w:p w14:paraId="73693172" w14:textId="77777777" w:rsidR="007366B9" w:rsidRPr="00C27A60" w:rsidRDefault="007366B9" w:rsidP="007366B9">
            <w:pPr>
              <w:ind w:firstLine="308"/>
              <w:jc w:val="both"/>
              <w:rPr>
                <w:sz w:val="22"/>
                <w:szCs w:val="22"/>
              </w:rPr>
            </w:pPr>
            <w:r w:rsidRPr="00C27A60">
              <w:rPr>
                <w:sz w:val="22"/>
                <w:szCs w:val="22"/>
              </w:rPr>
              <w:t>де О</w:t>
            </w:r>
            <w:r w:rsidRPr="00C27A60">
              <w:rPr>
                <w:sz w:val="22"/>
                <w:szCs w:val="22"/>
                <w:vertAlign w:val="subscript"/>
              </w:rPr>
              <w:t>ТВЕ ф і</w:t>
            </w:r>
            <w:r w:rsidRPr="00C27A60">
              <w:rPr>
                <w:sz w:val="22"/>
                <w:szCs w:val="22"/>
              </w:rPr>
              <w:t xml:space="preserve"> - фактичний обсяг технологічних витрат електричної енергії на її розподіл в і-му місяці звітного року, МВт·год;</w:t>
            </w:r>
          </w:p>
          <w:p w14:paraId="259ACD0A" w14:textId="77777777" w:rsidR="007366B9" w:rsidRPr="00C27A60" w:rsidRDefault="007366B9" w:rsidP="007366B9">
            <w:pPr>
              <w:ind w:firstLine="308"/>
              <w:jc w:val="both"/>
              <w:rPr>
                <w:b/>
                <w:sz w:val="22"/>
                <w:szCs w:val="22"/>
              </w:rPr>
            </w:pPr>
            <w:r w:rsidRPr="00C27A60">
              <w:rPr>
                <w:b/>
                <w:sz w:val="22"/>
                <w:szCs w:val="22"/>
              </w:rPr>
              <w:t>О</w:t>
            </w:r>
            <w:r w:rsidRPr="00C27A60">
              <w:rPr>
                <w:b/>
                <w:sz w:val="22"/>
                <w:szCs w:val="22"/>
                <w:vertAlign w:val="subscript"/>
              </w:rPr>
              <w:t>ТВЕ он і</w:t>
            </w:r>
            <w:r w:rsidRPr="00C27A60">
              <w:rPr>
                <w:b/>
                <w:sz w:val="22"/>
                <w:szCs w:val="22"/>
              </w:rPr>
              <w:t xml:space="preserve">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 / надходження / віддачі / транзиту електричної енергії тощо внаслідок введення воєнного стану та/або бойових дій в Україні, в і-му місяці звітного року, МВт·год;</w:t>
            </w:r>
          </w:p>
          <w:p w14:paraId="24865476" w14:textId="77777777" w:rsidR="007366B9" w:rsidRPr="00C27A60" w:rsidRDefault="007366B9" w:rsidP="007366B9">
            <w:pPr>
              <w:ind w:firstLine="308"/>
              <w:jc w:val="both"/>
              <w:rPr>
                <w:sz w:val="22"/>
                <w:szCs w:val="22"/>
                <w:shd w:val="clear" w:color="auto" w:fill="FFFFFF"/>
              </w:rPr>
            </w:pPr>
          </w:p>
          <w:p w14:paraId="0D6B6E21" w14:textId="77777777" w:rsidR="009504CE" w:rsidRPr="00C27A60" w:rsidRDefault="009504CE" w:rsidP="007F3D73">
            <w:pPr>
              <w:jc w:val="center"/>
              <w:rPr>
                <w:b/>
                <w:sz w:val="22"/>
                <w:szCs w:val="22"/>
              </w:rPr>
            </w:pPr>
          </w:p>
        </w:tc>
        <w:tc>
          <w:tcPr>
            <w:tcW w:w="5812" w:type="dxa"/>
            <w:shd w:val="clear" w:color="auto" w:fill="auto"/>
          </w:tcPr>
          <w:p w14:paraId="61D4895C" w14:textId="77777777" w:rsidR="009504CE" w:rsidRPr="00C27A60" w:rsidRDefault="007366B9" w:rsidP="007366B9">
            <w:pPr>
              <w:jc w:val="both"/>
              <w:rPr>
                <w:i/>
                <w:sz w:val="22"/>
                <w:szCs w:val="22"/>
              </w:rPr>
            </w:pPr>
            <w:r w:rsidRPr="00C27A60">
              <w:rPr>
                <w:i/>
                <w:sz w:val="22"/>
                <w:szCs w:val="22"/>
              </w:rPr>
              <w:lastRenderedPageBreak/>
              <w:t>АТ «ЧЕРНІГІВОБЛЕНЕРГО»</w:t>
            </w:r>
          </w:p>
          <w:p w14:paraId="58C3DAF5" w14:textId="77777777" w:rsidR="007366B9" w:rsidRPr="00C27A60" w:rsidRDefault="007366B9" w:rsidP="00EB3D9C">
            <w:pPr>
              <w:jc w:val="both"/>
              <w:rPr>
                <w:i/>
                <w:sz w:val="22"/>
                <w:szCs w:val="22"/>
              </w:rPr>
            </w:pPr>
          </w:p>
          <w:p w14:paraId="5FB30453" w14:textId="77777777" w:rsidR="00EB3D9C" w:rsidRPr="00C27A60" w:rsidRDefault="00EB3D9C" w:rsidP="00EB3D9C">
            <w:pPr>
              <w:ind w:firstLine="240"/>
              <w:jc w:val="both"/>
              <w:rPr>
                <w:sz w:val="22"/>
                <w:szCs w:val="22"/>
              </w:rPr>
            </w:pPr>
          </w:p>
          <w:p w14:paraId="01A5BDD1" w14:textId="77777777" w:rsidR="00EB3D9C" w:rsidRPr="00C27A60" w:rsidRDefault="00EB3D9C" w:rsidP="00EB3D9C">
            <w:pPr>
              <w:ind w:firstLine="240"/>
              <w:jc w:val="both"/>
              <w:rPr>
                <w:sz w:val="22"/>
                <w:szCs w:val="22"/>
              </w:rPr>
            </w:pPr>
          </w:p>
          <w:p w14:paraId="2AA29833" w14:textId="77777777" w:rsidR="00EB3D9C" w:rsidRPr="00C27A60" w:rsidRDefault="00EB3D9C" w:rsidP="00EB3D9C">
            <w:pPr>
              <w:ind w:firstLine="240"/>
              <w:jc w:val="both"/>
              <w:rPr>
                <w:sz w:val="22"/>
                <w:szCs w:val="22"/>
              </w:rPr>
            </w:pPr>
          </w:p>
          <w:p w14:paraId="66E8B3EA" w14:textId="77777777" w:rsidR="00EB3D9C" w:rsidRPr="00C27A60" w:rsidRDefault="00EB3D9C" w:rsidP="00EB3D9C">
            <w:pPr>
              <w:ind w:firstLine="240"/>
              <w:jc w:val="both"/>
              <w:rPr>
                <w:sz w:val="22"/>
                <w:szCs w:val="22"/>
              </w:rPr>
            </w:pPr>
          </w:p>
          <w:p w14:paraId="422F1556" w14:textId="77777777" w:rsidR="00EB3D9C" w:rsidRPr="00C27A60" w:rsidRDefault="00EB3D9C" w:rsidP="00EB3D9C">
            <w:pPr>
              <w:ind w:firstLine="240"/>
              <w:jc w:val="both"/>
              <w:rPr>
                <w:sz w:val="22"/>
                <w:szCs w:val="22"/>
              </w:rPr>
            </w:pPr>
          </w:p>
          <w:p w14:paraId="5AB5B366" w14:textId="084B0C9A" w:rsidR="007366B9" w:rsidRPr="00C27A60" w:rsidRDefault="007366B9" w:rsidP="00EB3D9C">
            <w:pPr>
              <w:ind w:firstLine="240"/>
              <w:jc w:val="both"/>
              <w:rPr>
                <w:sz w:val="22"/>
                <w:szCs w:val="22"/>
              </w:rPr>
            </w:pPr>
            <w:r w:rsidRPr="00C27A60">
              <w:rPr>
                <w:sz w:val="22"/>
                <w:szCs w:val="22"/>
              </w:rPr>
              <w:t>6)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C27A60">
              <w:rPr>
                <w:rFonts w:ascii="Symbol" w:hAnsi="Symbol"/>
                <w:sz w:val="22"/>
                <w:szCs w:val="22"/>
              </w:rPr>
              <w:t></w:t>
            </w:r>
            <w:proofErr w:type="spellStart"/>
            <w:r w:rsidRPr="00C27A60">
              <w:rPr>
                <w:sz w:val="22"/>
                <w:szCs w:val="22"/>
              </w:rPr>
              <w:t>Д</w:t>
            </w:r>
            <w:r w:rsidRPr="00C27A60">
              <w:rPr>
                <w:sz w:val="22"/>
                <w:szCs w:val="22"/>
                <w:vertAlign w:val="superscript"/>
              </w:rPr>
              <w:t>н</w:t>
            </w:r>
            <w:r w:rsidRPr="00C27A60">
              <w:rPr>
                <w:sz w:val="22"/>
                <w:szCs w:val="22"/>
                <w:vertAlign w:val="subscript"/>
              </w:rPr>
              <w:t>ТВЕ</w:t>
            </w:r>
            <w:proofErr w:type="spellEnd"/>
            <w:r w:rsidRPr="00C27A60">
              <w:rPr>
                <w:sz w:val="22"/>
                <w:szCs w:val="22"/>
              </w:rPr>
              <w:t>), тис. грн, що визначається за формулою</w:t>
            </w:r>
          </w:p>
          <w:tbl>
            <w:tblPr>
              <w:tblW w:w="5618" w:type="dxa"/>
              <w:tblLayout w:type="fixed"/>
              <w:tblLook w:val="04A0" w:firstRow="1" w:lastRow="0" w:firstColumn="1" w:lastColumn="0" w:noHBand="0" w:noVBand="1"/>
            </w:tblPr>
            <w:tblGrid>
              <w:gridCol w:w="3652"/>
              <w:gridCol w:w="1966"/>
            </w:tblGrid>
            <w:tr w:rsidR="00C27A60" w:rsidRPr="00C27A60" w14:paraId="43CD35C8" w14:textId="77777777" w:rsidTr="00EB3D9C">
              <w:trPr>
                <w:trHeight w:val="30"/>
              </w:trPr>
              <w:tc>
                <w:tcPr>
                  <w:tcW w:w="3652" w:type="dxa"/>
                  <w:vAlign w:val="center"/>
                  <w:hideMark/>
                </w:tcPr>
                <w:p w14:paraId="07B045EC" w14:textId="77777777" w:rsidR="007366B9" w:rsidRPr="00C27A60" w:rsidRDefault="007366B9" w:rsidP="007366B9">
                  <w:pPr>
                    <w:spacing w:after="75"/>
                    <w:jc w:val="both"/>
                    <w:rPr>
                      <w:sz w:val="22"/>
                      <w:szCs w:val="22"/>
                    </w:rPr>
                  </w:pPr>
                  <w:r w:rsidRPr="00C27A60">
                    <w:rPr>
                      <w:noProof/>
                      <w:sz w:val="22"/>
                      <w:szCs w:val="22"/>
                      <w:lang w:eastAsia="uk-UA"/>
                    </w:rPr>
                    <w:drawing>
                      <wp:inline distT="0" distB="0" distL="0" distR="0" wp14:anchorId="11A1B920" wp14:editId="4AF0FA22">
                        <wp:extent cx="2095500" cy="530591"/>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27022" cy="538573"/>
                                </a:xfrm>
                                <a:prstGeom prst="rect">
                                  <a:avLst/>
                                </a:prstGeom>
                                <a:noFill/>
                                <a:ln>
                                  <a:noFill/>
                                </a:ln>
                              </pic:spPr>
                            </pic:pic>
                          </a:graphicData>
                        </a:graphic>
                      </wp:inline>
                    </w:drawing>
                  </w:r>
                </w:p>
              </w:tc>
              <w:tc>
                <w:tcPr>
                  <w:tcW w:w="1966" w:type="dxa"/>
                  <w:vAlign w:val="center"/>
                  <w:hideMark/>
                </w:tcPr>
                <w:p w14:paraId="10771780" w14:textId="77777777" w:rsidR="007366B9" w:rsidRPr="00C27A60" w:rsidRDefault="007366B9" w:rsidP="007366B9">
                  <w:pPr>
                    <w:spacing w:after="75"/>
                    <w:jc w:val="both"/>
                    <w:rPr>
                      <w:sz w:val="22"/>
                      <w:szCs w:val="22"/>
                    </w:rPr>
                  </w:pPr>
                  <w:r w:rsidRPr="00C27A60">
                    <w:rPr>
                      <w:sz w:val="22"/>
                      <w:szCs w:val="22"/>
                    </w:rPr>
                    <w:t>,</w:t>
                  </w:r>
                </w:p>
              </w:tc>
            </w:tr>
          </w:tbl>
          <w:p w14:paraId="329520E9" w14:textId="77777777" w:rsidR="007366B9" w:rsidRPr="00C27A60" w:rsidRDefault="007366B9" w:rsidP="007366B9">
            <w:pPr>
              <w:spacing w:after="75"/>
              <w:ind w:firstLine="240"/>
              <w:jc w:val="both"/>
              <w:rPr>
                <w:sz w:val="22"/>
                <w:szCs w:val="22"/>
              </w:rPr>
            </w:pPr>
            <w:r w:rsidRPr="00C27A60">
              <w:rPr>
                <w:sz w:val="22"/>
                <w:szCs w:val="22"/>
              </w:rPr>
              <w:t>де і - місяць;</w:t>
            </w:r>
          </w:p>
          <w:p w14:paraId="1E1C49A9" w14:textId="77777777" w:rsidR="007366B9" w:rsidRPr="00C27A60" w:rsidRDefault="007366B9" w:rsidP="007366B9">
            <w:pPr>
              <w:spacing w:after="75"/>
              <w:ind w:firstLine="240"/>
              <w:jc w:val="both"/>
              <w:rPr>
                <w:sz w:val="22"/>
                <w:szCs w:val="22"/>
              </w:rPr>
            </w:pPr>
            <w:r w:rsidRPr="00C27A60">
              <w:rPr>
                <w:sz w:val="22"/>
                <w:szCs w:val="22"/>
              </w:rPr>
              <w:t>n - кількість місяців;</w:t>
            </w:r>
          </w:p>
          <w:p w14:paraId="3E42A905" w14:textId="77777777" w:rsidR="007366B9" w:rsidRPr="00C27A60" w:rsidRDefault="007366B9" w:rsidP="007366B9">
            <w:pPr>
              <w:spacing w:after="75"/>
              <w:ind w:firstLine="240"/>
              <w:jc w:val="both"/>
              <w:rPr>
                <w:sz w:val="22"/>
                <w:szCs w:val="22"/>
              </w:rPr>
            </w:pPr>
            <w:r w:rsidRPr="00C27A60">
              <w:rPr>
                <w:sz w:val="22"/>
                <w:szCs w:val="22"/>
              </w:rPr>
              <w:t>Д</w:t>
            </w:r>
            <w:r w:rsidRPr="00C27A60">
              <w:rPr>
                <w:sz w:val="22"/>
                <w:szCs w:val="22"/>
                <w:vertAlign w:val="subscript"/>
              </w:rPr>
              <w:t>ТВЕ т</w:t>
            </w:r>
            <w:r w:rsidRPr="00C27A60">
              <w:rPr>
                <w:sz w:val="22"/>
                <w:szCs w:val="22"/>
              </w:rPr>
              <w:t xml:space="preserve"> - вартість технологічних витрат електричної енергії, урахована в тарифах на звітний рік, тис. грн.</w:t>
            </w:r>
          </w:p>
          <w:p w14:paraId="1E5AE961" w14:textId="77777777" w:rsidR="007366B9" w:rsidRPr="00C27A60" w:rsidRDefault="007366B9" w:rsidP="007366B9">
            <w:pPr>
              <w:spacing w:after="75"/>
              <w:ind w:firstLine="240"/>
              <w:jc w:val="both"/>
              <w:rPr>
                <w:sz w:val="22"/>
                <w:szCs w:val="22"/>
              </w:rPr>
            </w:pPr>
            <w:r w:rsidRPr="00C27A60">
              <w:rPr>
                <w:sz w:val="22"/>
                <w:szCs w:val="22"/>
              </w:rPr>
              <w:t>Д</w:t>
            </w:r>
            <w:r w:rsidRPr="00C27A60">
              <w:rPr>
                <w:sz w:val="22"/>
                <w:szCs w:val="22"/>
                <w:vertAlign w:val="subscript"/>
              </w:rPr>
              <w:t>ТВЕ</w:t>
            </w:r>
            <w:r w:rsidRPr="00C27A60">
              <w:rPr>
                <w:sz w:val="22"/>
                <w:szCs w:val="22"/>
              </w:rPr>
              <w:t xml:space="preserve"> </w:t>
            </w:r>
            <w:proofErr w:type="spellStart"/>
            <w:r w:rsidRPr="00C27A60">
              <w:rPr>
                <w:sz w:val="22"/>
                <w:szCs w:val="22"/>
                <w:vertAlign w:val="subscript"/>
              </w:rPr>
              <w:t>нф</w:t>
            </w:r>
            <w:proofErr w:type="spellEnd"/>
            <w:r w:rsidRPr="00C27A60">
              <w:rPr>
                <w:sz w:val="22"/>
                <w:szCs w:val="22"/>
                <w:vertAlign w:val="subscript"/>
              </w:rPr>
              <w:t xml:space="preserve"> і</w:t>
            </w:r>
            <w:r w:rsidRPr="00C27A60">
              <w:rPr>
                <w:sz w:val="22"/>
                <w:szCs w:val="22"/>
              </w:rPr>
              <w:t xml:space="preserve"> розраховується до впровадження нового ринку (до 01 липня 2019 року) та після впровадження нового ринку (з 01 липня 2019 року) згідно з відповідними положеннями підпункту 22 пункту 4 цього додатка.</w:t>
            </w:r>
          </w:p>
          <w:p w14:paraId="20B7E96F" w14:textId="77777777" w:rsidR="007366B9" w:rsidRPr="00C27A60" w:rsidRDefault="007366B9" w:rsidP="007366B9">
            <w:pPr>
              <w:spacing w:after="75"/>
              <w:ind w:firstLine="240"/>
              <w:jc w:val="both"/>
              <w:rPr>
                <w:sz w:val="22"/>
                <w:szCs w:val="22"/>
              </w:rPr>
            </w:pPr>
            <w:r w:rsidRPr="00C27A60">
              <w:rPr>
                <w:sz w:val="22"/>
                <w:szCs w:val="22"/>
              </w:rPr>
              <w:t xml:space="preserve">Якщо </w:t>
            </w:r>
            <w:r w:rsidRPr="00C27A60">
              <w:rPr>
                <w:b/>
                <w:sz w:val="22"/>
                <w:szCs w:val="22"/>
              </w:rPr>
              <w:t>порушена схема нормального режиму роботи системи розподілу / змінені обсяги розподілу / надходження / віддачі / транзиту електричної енергії тощо внаслідок введення воєнного стану та/або бойових дій в Україні та за умови, що</w:t>
            </w:r>
          </w:p>
          <w:p w14:paraId="4A830DD5" w14:textId="77777777" w:rsidR="007366B9" w:rsidRPr="00C27A60" w:rsidRDefault="007366B9" w:rsidP="007366B9">
            <w:pPr>
              <w:ind w:firstLine="240"/>
              <w:jc w:val="both"/>
              <w:rPr>
                <w:sz w:val="22"/>
                <w:szCs w:val="22"/>
              </w:rPr>
            </w:pPr>
          </w:p>
          <w:p w14:paraId="20B67B4C" w14:textId="77777777" w:rsidR="007366B9" w:rsidRPr="00C27A60" w:rsidRDefault="007366B9" w:rsidP="007366B9">
            <w:pPr>
              <w:ind w:firstLine="240"/>
              <w:jc w:val="both"/>
              <w:rPr>
                <w:sz w:val="22"/>
                <w:szCs w:val="22"/>
              </w:rPr>
            </w:pPr>
            <w:r w:rsidRPr="00C27A60">
              <w:rPr>
                <w:noProof/>
                <w:sz w:val="22"/>
                <w:szCs w:val="22"/>
                <w:lang w:eastAsia="uk-UA"/>
              </w:rPr>
              <w:lastRenderedPageBreak/>
              <w:drawing>
                <wp:inline distT="0" distB="0" distL="0" distR="0" wp14:anchorId="50E01812" wp14:editId="40083FA8">
                  <wp:extent cx="3343275" cy="3524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3275" cy="352425"/>
                          </a:xfrm>
                          <a:prstGeom prst="rect">
                            <a:avLst/>
                          </a:prstGeom>
                          <a:noFill/>
                          <a:ln>
                            <a:noFill/>
                          </a:ln>
                        </pic:spPr>
                      </pic:pic>
                    </a:graphicData>
                  </a:graphic>
                </wp:inline>
              </w:drawing>
            </w:r>
            <w:r w:rsidRPr="00C27A60">
              <w:rPr>
                <w:sz w:val="22"/>
                <w:szCs w:val="22"/>
              </w:rPr>
              <w:t>,</w:t>
            </w:r>
          </w:p>
          <w:p w14:paraId="13A4E110" w14:textId="35E87DBE" w:rsidR="007366B9" w:rsidRPr="00C27A60" w:rsidRDefault="007366B9" w:rsidP="007366B9">
            <w:pPr>
              <w:spacing w:after="75"/>
              <w:ind w:firstLine="240"/>
              <w:jc w:val="both"/>
              <w:rPr>
                <w:sz w:val="22"/>
                <w:szCs w:val="22"/>
              </w:rPr>
            </w:pPr>
          </w:p>
          <w:p w14:paraId="332CBBDD" w14:textId="77777777" w:rsidR="00D4664C" w:rsidRPr="00C27A60" w:rsidRDefault="00D4664C" w:rsidP="007366B9">
            <w:pPr>
              <w:spacing w:after="75"/>
              <w:ind w:firstLine="240"/>
              <w:jc w:val="both"/>
              <w:rPr>
                <w:sz w:val="22"/>
                <w:szCs w:val="22"/>
              </w:rPr>
            </w:pPr>
          </w:p>
          <w:p w14:paraId="375ADD1C" w14:textId="77777777" w:rsidR="007366B9" w:rsidRPr="00C27A60" w:rsidRDefault="007366B9" w:rsidP="007366B9">
            <w:pPr>
              <w:spacing w:after="75"/>
              <w:ind w:firstLine="240"/>
              <w:jc w:val="both"/>
              <w:rPr>
                <w:sz w:val="22"/>
                <w:szCs w:val="22"/>
              </w:rPr>
            </w:pPr>
            <w:r w:rsidRPr="00C27A60">
              <w:rPr>
                <w:sz w:val="22"/>
                <w:szCs w:val="22"/>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33E13AC9" w14:textId="77777777" w:rsidR="007366B9" w:rsidRPr="00C27A60" w:rsidRDefault="007366B9" w:rsidP="007366B9">
            <w:pPr>
              <w:spacing w:after="75"/>
              <w:ind w:firstLine="240"/>
              <w:jc w:val="both"/>
              <w:rPr>
                <w:sz w:val="22"/>
                <w:szCs w:val="22"/>
              </w:rPr>
            </w:pPr>
            <w:r w:rsidRPr="00C27A60">
              <w:rPr>
                <w:sz w:val="22"/>
                <w:szCs w:val="22"/>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62991306" w14:textId="77777777" w:rsidR="007366B9" w:rsidRPr="00C27A60" w:rsidRDefault="007366B9" w:rsidP="007366B9">
            <w:pPr>
              <w:ind w:firstLine="240"/>
              <w:jc w:val="both"/>
              <w:rPr>
                <w:b/>
                <w:sz w:val="22"/>
                <w:szCs w:val="22"/>
              </w:rPr>
            </w:pPr>
            <w:r w:rsidRPr="00C27A60">
              <w:rPr>
                <w:b/>
                <w:sz w:val="22"/>
                <w:szCs w:val="22"/>
              </w:rPr>
              <w:t>належним чином оформлених розрахунків витрат електричної енергії за 2022 – 2024 роки згідно із фактичними схемами роботи системи розподілу / обсягами розподілу / надходження / віддачі / транзиту електричної енергії тощо за 2022 – 2024 роки (за характерними періодами роботи мережі) проведених спеціалізованими підприємствами / 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2024 роках.</w:t>
            </w:r>
          </w:p>
          <w:p w14:paraId="44B184D0" w14:textId="77777777" w:rsidR="00E573F4" w:rsidRPr="00C27A60" w:rsidRDefault="00E573F4" w:rsidP="00E573F4">
            <w:pPr>
              <w:spacing w:after="75"/>
              <w:jc w:val="both"/>
              <w:rPr>
                <w:b/>
                <w:strike/>
                <w:sz w:val="22"/>
                <w:szCs w:val="22"/>
              </w:rPr>
            </w:pPr>
            <w:r w:rsidRPr="00C27A60">
              <w:rPr>
                <w:b/>
                <w:strike/>
                <w:sz w:val="22"/>
                <w:szCs w:val="22"/>
              </w:rPr>
              <w:t>(з 2024 року за умови, що частка оціночних даних комерційного обліку, використаних у розрахунку обсягу фактичних звітних витрат, не перевищує 3 % від загального їх обсягу електричної енергії відповідно до даних за формою звітності № 2 НКРЕКП розподіл електричної енергії).</w:t>
            </w:r>
          </w:p>
          <w:p w14:paraId="1A170F7B" w14:textId="77777777" w:rsidR="007366B9" w:rsidRPr="00C27A60" w:rsidRDefault="007366B9" w:rsidP="007366B9">
            <w:pPr>
              <w:spacing w:after="75"/>
              <w:ind w:firstLine="240"/>
              <w:jc w:val="both"/>
              <w:rPr>
                <w:b/>
                <w:sz w:val="22"/>
                <w:szCs w:val="22"/>
              </w:rPr>
            </w:pPr>
            <w:r w:rsidRPr="00C27A60">
              <w:rPr>
                <w:b/>
                <w:sz w:val="22"/>
                <w:szCs w:val="22"/>
              </w:rPr>
              <w:t xml:space="preserve">ДТВЕ </w:t>
            </w:r>
            <w:proofErr w:type="spellStart"/>
            <w:r w:rsidRPr="00C27A60">
              <w:rPr>
                <w:b/>
                <w:sz w:val="22"/>
                <w:szCs w:val="22"/>
              </w:rPr>
              <w:t>нф</w:t>
            </w:r>
            <w:proofErr w:type="spellEnd"/>
            <w:r w:rsidRPr="00C27A60">
              <w:rPr>
                <w:b/>
                <w:sz w:val="22"/>
                <w:szCs w:val="22"/>
              </w:rPr>
              <w:t xml:space="preserve"> і за 2022 – 2024 роки визначається за формулою</w:t>
            </w:r>
          </w:p>
          <w:p w14:paraId="01B9A8A5" w14:textId="77777777" w:rsidR="007366B9" w:rsidRPr="00C27A60" w:rsidRDefault="007366B9" w:rsidP="007366B9">
            <w:pPr>
              <w:spacing w:after="75"/>
              <w:ind w:firstLine="240"/>
              <w:jc w:val="both"/>
              <w:rPr>
                <w:sz w:val="22"/>
                <w:szCs w:val="22"/>
              </w:rPr>
            </w:pPr>
            <w:r w:rsidRPr="00C27A60">
              <w:rPr>
                <w:b/>
                <w:sz w:val="22"/>
                <w:szCs w:val="22"/>
              </w:rPr>
              <w:t xml:space="preserve">ДТВЕ </w:t>
            </w:r>
            <w:proofErr w:type="spellStart"/>
            <w:r w:rsidRPr="00C27A60">
              <w:rPr>
                <w:b/>
                <w:sz w:val="22"/>
                <w:szCs w:val="22"/>
              </w:rPr>
              <w:t>нф</w:t>
            </w:r>
            <w:proofErr w:type="spellEnd"/>
            <w:r w:rsidRPr="00C27A60">
              <w:rPr>
                <w:b/>
                <w:sz w:val="22"/>
                <w:szCs w:val="22"/>
              </w:rPr>
              <w:t xml:space="preserve"> і = (ОТВЕ ф і – ОТВЕ он і) x ЦТВЕ і,</w:t>
            </w:r>
          </w:p>
          <w:p w14:paraId="4A8775F1" w14:textId="77777777" w:rsidR="007366B9" w:rsidRPr="00C27A60" w:rsidRDefault="007366B9" w:rsidP="007366B9">
            <w:pPr>
              <w:ind w:firstLine="308"/>
              <w:jc w:val="both"/>
              <w:rPr>
                <w:sz w:val="22"/>
                <w:szCs w:val="22"/>
              </w:rPr>
            </w:pPr>
            <w:r w:rsidRPr="00C27A60">
              <w:rPr>
                <w:sz w:val="22"/>
                <w:szCs w:val="22"/>
              </w:rPr>
              <w:lastRenderedPageBreak/>
              <w:t>де О</w:t>
            </w:r>
            <w:r w:rsidRPr="00C27A60">
              <w:rPr>
                <w:sz w:val="22"/>
                <w:szCs w:val="22"/>
                <w:vertAlign w:val="subscript"/>
              </w:rPr>
              <w:t>ТВЕ ф і</w:t>
            </w:r>
            <w:r w:rsidRPr="00C27A60">
              <w:rPr>
                <w:sz w:val="22"/>
                <w:szCs w:val="22"/>
              </w:rPr>
              <w:t xml:space="preserve"> - фактичний обсяг технологічних витрат електричної енергії на її розподіл в і-му місяці звітного року, МВт·год;</w:t>
            </w:r>
          </w:p>
          <w:p w14:paraId="49C47AA4" w14:textId="77777777" w:rsidR="007366B9" w:rsidRPr="00C27A60" w:rsidRDefault="007366B9" w:rsidP="007366B9">
            <w:pPr>
              <w:ind w:firstLine="308"/>
              <w:jc w:val="both"/>
              <w:rPr>
                <w:b/>
                <w:sz w:val="22"/>
                <w:szCs w:val="22"/>
              </w:rPr>
            </w:pPr>
            <w:r w:rsidRPr="00C27A60">
              <w:rPr>
                <w:b/>
                <w:sz w:val="22"/>
                <w:szCs w:val="22"/>
              </w:rPr>
              <w:t>О</w:t>
            </w:r>
            <w:r w:rsidRPr="00C27A60">
              <w:rPr>
                <w:b/>
                <w:sz w:val="22"/>
                <w:szCs w:val="22"/>
                <w:vertAlign w:val="subscript"/>
              </w:rPr>
              <w:t>ТВЕ он і</w:t>
            </w:r>
            <w:r w:rsidRPr="00C27A60">
              <w:rPr>
                <w:b/>
                <w:sz w:val="22"/>
                <w:szCs w:val="22"/>
              </w:rPr>
              <w:t xml:space="preserve">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 / надходження / віддачі / транзиту електричної енергії тощо внаслідок введення воєнного стану та/або бойових дій в Україні, в і-му місяці звітного року, МВт·год;</w:t>
            </w:r>
          </w:p>
          <w:p w14:paraId="58F1A75E" w14:textId="77777777" w:rsidR="007366B9" w:rsidRPr="00C27A60" w:rsidRDefault="007366B9" w:rsidP="007366B9">
            <w:pPr>
              <w:jc w:val="both"/>
              <w:rPr>
                <w:sz w:val="22"/>
                <w:szCs w:val="22"/>
              </w:rPr>
            </w:pPr>
          </w:p>
          <w:p w14:paraId="07EE2BA9" w14:textId="77777777" w:rsidR="00EB3D9C" w:rsidRPr="00C27A60" w:rsidRDefault="00EB3D9C" w:rsidP="007366B9">
            <w:pPr>
              <w:jc w:val="both"/>
              <w:rPr>
                <w:i/>
                <w:sz w:val="22"/>
                <w:szCs w:val="22"/>
              </w:rPr>
            </w:pPr>
            <w:r w:rsidRPr="00C27A60">
              <w:rPr>
                <w:i/>
                <w:sz w:val="22"/>
                <w:szCs w:val="22"/>
              </w:rPr>
              <w:t>ОБРГРУНТУВАННЯ:</w:t>
            </w:r>
          </w:p>
          <w:p w14:paraId="2E3EAC3F" w14:textId="77777777" w:rsidR="00F37F84" w:rsidRPr="00C27A60" w:rsidRDefault="00F37F84" w:rsidP="00F37F84">
            <w:pPr>
              <w:spacing w:before="100" w:beforeAutospacing="1" w:after="100" w:afterAutospacing="1"/>
              <w:jc w:val="both"/>
              <w:rPr>
                <w:sz w:val="22"/>
                <w:szCs w:val="22"/>
                <w:lang w:eastAsia="uk-UA"/>
              </w:rPr>
            </w:pPr>
            <w:r w:rsidRPr="00C27A60">
              <w:rPr>
                <w:sz w:val="22"/>
                <w:szCs w:val="22"/>
                <w:lang w:eastAsia="uk-UA"/>
              </w:rPr>
              <w:t xml:space="preserve">Товариство пропонує виключити з проєкту </w:t>
            </w:r>
            <w:r w:rsidRPr="00C27A60">
              <w:rPr>
                <w:sz w:val="22"/>
                <w:szCs w:val="22"/>
              </w:rPr>
              <w:t>рішення НКРЕКП</w:t>
            </w:r>
            <w:r w:rsidRPr="00C27A60">
              <w:rPr>
                <w:sz w:val="22"/>
                <w:szCs w:val="22"/>
                <w:lang w:eastAsia="uk-UA"/>
              </w:rPr>
              <w:t>:</w:t>
            </w:r>
          </w:p>
          <w:p w14:paraId="3562B45F" w14:textId="77777777" w:rsidR="00F37F84" w:rsidRPr="00C27A60" w:rsidRDefault="00F37F84" w:rsidP="00F37F84">
            <w:pPr>
              <w:spacing w:before="100" w:beforeAutospacing="1" w:after="100" w:afterAutospacing="1"/>
              <w:jc w:val="both"/>
              <w:rPr>
                <w:sz w:val="22"/>
                <w:szCs w:val="22"/>
                <w:lang w:eastAsia="uk-UA"/>
              </w:rPr>
            </w:pPr>
            <w:r w:rsidRPr="00C27A60">
              <w:rPr>
                <w:i/>
                <w:sz w:val="22"/>
                <w:szCs w:val="22"/>
                <w:u w:val="single"/>
                <w:lang w:eastAsia="uk-UA"/>
              </w:rPr>
              <w:t>«(з 2024 року за умови, що частка оціночних даних комерційного обліку, використаних у розрахунку обсягу фактичних звітних витрат, не перевищує 3 % від загального їх обсягу електричної енергії відповідно до даних за формою звітності № 2 НКРЕКП розподіл електричної енергії)»</w:t>
            </w:r>
            <w:r w:rsidRPr="00C27A60">
              <w:rPr>
                <w:sz w:val="22"/>
                <w:szCs w:val="22"/>
                <w:lang w:eastAsia="uk-UA"/>
              </w:rPr>
              <w:t>.</w:t>
            </w:r>
          </w:p>
          <w:p w14:paraId="26AE5EEE" w14:textId="77777777" w:rsidR="00F37F84" w:rsidRPr="00C27A60" w:rsidRDefault="00F37F84" w:rsidP="00F37F84">
            <w:pPr>
              <w:spacing w:before="100" w:beforeAutospacing="1" w:after="100" w:afterAutospacing="1"/>
              <w:jc w:val="both"/>
              <w:rPr>
                <w:sz w:val="22"/>
                <w:szCs w:val="22"/>
                <w:lang w:eastAsia="uk-UA"/>
              </w:rPr>
            </w:pPr>
            <w:r w:rsidRPr="00C27A60">
              <w:rPr>
                <w:sz w:val="22"/>
                <w:szCs w:val="22"/>
                <w:lang w:eastAsia="uk-UA"/>
              </w:rPr>
              <w:t>Зазначена пропозиція обґрунтовується наступним:</w:t>
            </w:r>
          </w:p>
          <w:p w14:paraId="0A7C8FB4" w14:textId="77777777" w:rsidR="00F37F84" w:rsidRPr="00C27A60" w:rsidRDefault="00F37F84" w:rsidP="00F37F84">
            <w:pPr>
              <w:spacing w:before="100" w:beforeAutospacing="1" w:after="100" w:afterAutospacing="1"/>
              <w:jc w:val="both"/>
              <w:rPr>
                <w:sz w:val="22"/>
                <w:szCs w:val="22"/>
                <w:lang w:eastAsia="uk-UA"/>
              </w:rPr>
            </w:pPr>
            <w:r w:rsidRPr="00C27A60">
              <w:rPr>
                <w:sz w:val="22"/>
                <w:szCs w:val="22"/>
                <w:lang w:eastAsia="uk-UA"/>
              </w:rPr>
              <w:t>1)</w:t>
            </w:r>
            <w:r w:rsidRPr="00C27A60">
              <w:rPr>
                <w:sz w:val="22"/>
                <w:szCs w:val="22"/>
                <w:lang w:eastAsia="uk-UA"/>
              </w:rPr>
              <w:tab/>
              <w:t>Щодо законодавчого визначення терміну «оціночні дані комерційного обліку електричної енергії»:</w:t>
            </w:r>
          </w:p>
          <w:p w14:paraId="67A1AB8E" w14:textId="77777777" w:rsidR="00F37F84" w:rsidRPr="00C27A60" w:rsidRDefault="00F37F84" w:rsidP="00F37F84">
            <w:pPr>
              <w:spacing w:before="100" w:beforeAutospacing="1" w:after="100" w:afterAutospacing="1"/>
              <w:jc w:val="both"/>
              <w:rPr>
                <w:sz w:val="22"/>
                <w:szCs w:val="22"/>
                <w:lang w:eastAsia="uk-UA"/>
              </w:rPr>
            </w:pPr>
            <w:r w:rsidRPr="00C27A60">
              <w:rPr>
                <w:sz w:val="22"/>
                <w:szCs w:val="22"/>
                <w:lang w:eastAsia="uk-UA"/>
              </w:rPr>
              <w:t xml:space="preserve">На сьогоднішній день серед визначень термінів, наведених у п. 1.2.1 чинної редакції «Кодексу комерційного обліку електричної енергії» (далі – ККОЕЕ), відсутнє визначення терміну «оціночні дані комерційного обліку електричної енергії». Відсутнє таке визначення і в інших нормативних </w:t>
            </w:r>
            <w:r w:rsidRPr="00C27A60">
              <w:rPr>
                <w:sz w:val="22"/>
                <w:szCs w:val="22"/>
                <w:lang w:eastAsia="uk-UA"/>
              </w:rPr>
              <w:lastRenderedPageBreak/>
              <w:t>документах, що призводить до правової невизначеності при застосуванні даного терміну.</w:t>
            </w:r>
          </w:p>
          <w:p w14:paraId="403F4525" w14:textId="77777777" w:rsidR="00F37F84" w:rsidRPr="00C27A60" w:rsidRDefault="00F37F84" w:rsidP="00F37F84">
            <w:pPr>
              <w:spacing w:before="100" w:beforeAutospacing="1" w:after="100" w:afterAutospacing="1"/>
              <w:jc w:val="both"/>
              <w:rPr>
                <w:sz w:val="22"/>
                <w:szCs w:val="22"/>
                <w:lang w:eastAsia="uk-UA"/>
              </w:rPr>
            </w:pPr>
            <w:r w:rsidRPr="00C27A60">
              <w:rPr>
                <w:sz w:val="22"/>
                <w:szCs w:val="22"/>
                <w:lang w:eastAsia="uk-UA"/>
              </w:rPr>
              <w:t>2)</w:t>
            </w:r>
            <w:r w:rsidRPr="00C27A60">
              <w:rPr>
                <w:sz w:val="22"/>
                <w:szCs w:val="22"/>
                <w:lang w:eastAsia="uk-UA"/>
              </w:rPr>
              <w:tab/>
              <w:t>Щодо порядку формування оціночних даних комерційного обліку:</w:t>
            </w:r>
          </w:p>
          <w:p w14:paraId="564C7F1F" w14:textId="77777777" w:rsidR="00F37F84" w:rsidRPr="00C27A60" w:rsidRDefault="00F37F84" w:rsidP="00F37F84">
            <w:pPr>
              <w:spacing w:before="100" w:beforeAutospacing="1" w:after="100" w:afterAutospacing="1"/>
              <w:jc w:val="both"/>
              <w:rPr>
                <w:sz w:val="22"/>
                <w:szCs w:val="22"/>
                <w:lang w:eastAsia="uk-UA"/>
              </w:rPr>
            </w:pPr>
            <w:r w:rsidRPr="00C27A60">
              <w:rPr>
                <w:sz w:val="22"/>
                <w:szCs w:val="22"/>
                <w:lang w:eastAsia="uk-UA"/>
              </w:rPr>
              <w:t xml:space="preserve">Згідно положень п. 9.10.2 ККОЕЕ, формування оціночних даних комерційного обліку проводиться відповідно до нормативного документа, що розробляється АКО. Станом на 03.12.2024 року АКО опублікував на сайті НЕК «УКРЕНЕРГО» в розділі «Новини» протокол узгоджувальної наради разом з порівняльними таблицями та проєкт Порядку формування оціночних даних комерційного обліку, формування профілів та профілювання даних комерційного обліку у центральній інформаційно-комунікаційній платформі </w:t>
            </w:r>
            <w:proofErr w:type="spellStart"/>
            <w:r w:rsidRPr="00C27A60">
              <w:rPr>
                <w:sz w:val="22"/>
                <w:szCs w:val="22"/>
                <w:lang w:eastAsia="uk-UA"/>
              </w:rPr>
              <w:t>Датахаб</w:t>
            </w:r>
            <w:proofErr w:type="spellEnd"/>
            <w:r w:rsidRPr="00C27A60">
              <w:rPr>
                <w:sz w:val="22"/>
                <w:szCs w:val="22"/>
                <w:lang w:eastAsia="uk-UA"/>
              </w:rPr>
              <w:t xml:space="preserve">, та </w:t>
            </w:r>
            <w:proofErr w:type="spellStart"/>
            <w:r w:rsidRPr="00C27A60">
              <w:rPr>
                <w:sz w:val="22"/>
                <w:szCs w:val="22"/>
                <w:lang w:eastAsia="uk-UA"/>
              </w:rPr>
              <w:t>проєкт</w:t>
            </w:r>
            <w:proofErr w:type="spellEnd"/>
            <w:r w:rsidRPr="00C27A60">
              <w:rPr>
                <w:sz w:val="22"/>
                <w:szCs w:val="22"/>
                <w:lang w:eastAsia="uk-UA"/>
              </w:rPr>
              <w:t xml:space="preserve"> Порядку агрегації даних комерційного обліку та складання балансу за областю комерційного обліку у центральній інформаційно-комунікаційній платформі </w:t>
            </w:r>
            <w:proofErr w:type="spellStart"/>
            <w:r w:rsidRPr="00C27A60">
              <w:rPr>
                <w:sz w:val="22"/>
                <w:szCs w:val="22"/>
                <w:lang w:eastAsia="uk-UA"/>
              </w:rPr>
              <w:t>Датахаб</w:t>
            </w:r>
            <w:proofErr w:type="spellEnd"/>
            <w:r w:rsidRPr="00C27A60">
              <w:rPr>
                <w:sz w:val="22"/>
                <w:szCs w:val="22"/>
                <w:lang w:eastAsia="uk-UA"/>
              </w:rPr>
              <w:t>.</w:t>
            </w:r>
          </w:p>
          <w:p w14:paraId="4FB5AA91" w14:textId="77777777" w:rsidR="00F37F84" w:rsidRPr="00C27A60" w:rsidRDefault="00F37F84" w:rsidP="00F37F84">
            <w:pPr>
              <w:spacing w:before="100" w:beforeAutospacing="1" w:after="100" w:afterAutospacing="1"/>
              <w:jc w:val="both"/>
              <w:rPr>
                <w:sz w:val="22"/>
                <w:szCs w:val="22"/>
                <w:lang w:eastAsia="uk-UA"/>
              </w:rPr>
            </w:pPr>
            <w:r w:rsidRPr="00C27A60">
              <w:rPr>
                <w:sz w:val="22"/>
                <w:szCs w:val="22"/>
                <w:lang w:eastAsia="uk-UA"/>
              </w:rPr>
              <w:t xml:space="preserve">Станом на 20.02.2025 року Товариство не має відомостей стосовно ухвалення вищезгаданих проєктів  та протягом 2024 року не була реалізована можливість передачі на платформу </w:t>
            </w:r>
            <w:proofErr w:type="spellStart"/>
            <w:r w:rsidRPr="00C27A60">
              <w:rPr>
                <w:sz w:val="22"/>
                <w:szCs w:val="22"/>
                <w:lang w:eastAsia="uk-UA"/>
              </w:rPr>
              <w:t>Датахаб</w:t>
            </w:r>
            <w:proofErr w:type="spellEnd"/>
            <w:r w:rsidRPr="00C27A60">
              <w:rPr>
                <w:sz w:val="22"/>
                <w:szCs w:val="22"/>
                <w:lang w:eastAsia="uk-UA"/>
              </w:rPr>
              <w:t xml:space="preserve"> даних комерційного обліку з позначкою «оціночні», тому механізм здійснення формування оціночних даних комерційного обліку за 2024 рік вважаємо не врегульованим.</w:t>
            </w:r>
          </w:p>
          <w:p w14:paraId="075D6282" w14:textId="77777777" w:rsidR="00F37F84" w:rsidRPr="00C27A60" w:rsidRDefault="00F37F84" w:rsidP="00F37F84">
            <w:pPr>
              <w:spacing w:before="100" w:beforeAutospacing="1" w:after="100" w:afterAutospacing="1"/>
              <w:jc w:val="both"/>
              <w:rPr>
                <w:sz w:val="22"/>
                <w:szCs w:val="22"/>
                <w:lang w:eastAsia="uk-UA"/>
              </w:rPr>
            </w:pPr>
            <w:r w:rsidRPr="00C27A60">
              <w:rPr>
                <w:sz w:val="22"/>
                <w:szCs w:val="22"/>
                <w:lang w:eastAsia="uk-UA"/>
              </w:rPr>
              <w:t>3)</w:t>
            </w:r>
            <w:r w:rsidRPr="00C27A60">
              <w:rPr>
                <w:sz w:val="22"/>
                <w:szCs w:val="22"/>
                <w:lang w:eastAsia="uk-UA"/>
              </w:rPr>
              <w:tab/>
              <w:t>Щодо врахування обсягів електроенергії, відпущеної споживачам:</w:t>
            </w:r>
          </w:p>
          <w:p w14:paraId="2498C2EF" w14:textId="77777777" w:rsidR="00F37F84" w:rsidRPr="00C27A60" w:rsidRDefault="00F37F84" w:rsidP="00F37F84">
            <w:pPr>
              <w:spacing w:before="100" w:beforeAutospacing="1" w:after="100" w:afterAutospacing="1"/>
              <w:jc w:val="both"/>
              <w:rPr>
                <w:sz w:val="22"/>
                <w:szCs w:val="22"/>
                <w:lang w:eastAsia="uk-UA"/>
              </w:rPr>
            </w:pPr>
            <w:r w:rsidRPr="00C27A60">
              <w:rPr>
                <w:sz w:val="22"/>
                <w:szCs w:val="22"/>
                <w:lang w:eastAsia="uk-UA"/>
              </w:rPr>
              <w:t xml:space="preserve">Згідно визначення фактичних звітних витрат електричної енергії, наведеного у розділі 3 ГНД 34.09.104-2003, «звітне значення витрат електроенергії – це кількість електроенергії, що визначається різницею між сумою значень надходжень і сумою значень </w:t>
            </w:r>
            <w:proofErr w:type="spellStart"/>
            <w:r w:rsidRPr="00C27A60">
              <w:rPr>
                <w:sz w:val="22"/>
                <w:szCs w:val="22"/>
                <w:lang w:eastAsia="uk-UA"/>
              </w:rPr>
              <w:t>віддач</w:t>
            </w:r>
            <w:proofErr w:type="spellEnd"/>
            <w:r w:rsidRPr="00C27A60">
              <w:rPr>
                <w:sz w:val="22"/>
                <w:szCs w:val="22"/>
                <w:lang w:eastAsia="uk-UA"/>
              </w:rPr>
              <w:t xml:space="preserve"> електроенергії, що визначені за показами розрахункових засобів обліку </w:t>
            </w:r>
            <w:r w:rsidRPr="00C27A60">
              <w:rPr>
                <w:sz w:val="22"/>
                <w:szCs w:val="22"/>
                <w:lang w:eastAsia="uk-UA"/>
              </w:rPr>
              <w:lastRenderedPageBreak/>
              <w:t>електроенергії». При цьому згідно визначення терміну «віддача електроенергії», також наведеного у розділі 3 ГНД 34.09.104-2003, до віддачі електроенергії належить її віддача як сусіднім ліцензіатам, так і споживачам.</w:t>
            </w:r>
          </w:p>
          <w:p w14:paraId="485DA781" w14:textId="77777777" w:rsidR="00EB3D9C" w:rsidRPr="00C27A60" w:rsidRDefault="00F37F84" w:rsidP="00F37F84">
            <w:pPr>
              <w:jc w:val="both"/>
              <w:rPr>
                <w:sz w:val="22"/>
                <w:szCs w:val="22"/>
                <w:lang w:eastAsia="uk-UA"/>
              </w:rPr>
            </w:pPr>
            <w:r w:rsidRPr="00C27A60">
              <w:rPr>
                <w:sz w:val="22"/>
                <w:szCs w:val="22"/>
                <w:lang w:eastAsia="uk-UA"/>
              </w:rPr>
              <w:t>Товариство приходить до цілком логічного висновку про те, що при розрахунку обсягів електроенергії, дані щодо комерційного обліку якого є оціночними, мають бути враховані серед іншого і дані щодо обсягів електроенергії, відданої споживачам. Але оскільки значна кількість побутових і непобутових споживачів не оснащені ТКО із дистанційною передачею показів (78,3% споживачів відноситься до групи «Б») та не передає вчасно дані комерційного обліку, для розрахунку з ними використовуються дані комерційного обліку, отримані розрахунковим шляхом. При цьому незрозуміло, чи належать такі розрахункові дані до оціночних (якщо так, то виникають сумніви щодо принципової можливості виконання умови щодо неперевищення частки оціночних даних комерційного обліку, використаних у розрахунку обсягу фактичних звітних витрат, в розмірі 3 % від загального обсягу електричної енергії).</w:t>
            </w:r>
          </w:p>
          <w:p w14:paraId="4B0B349B" w14:textId="77777777" w:rsidR="00F37F84" w:rsidRPr="00C27A60" w:rsidRDefault="00F37F84" w:rsidP="00F37F84">
            <w:pPr>
              <w:jc w:val="both"/>
              <w:rPr>
                <w:sz w:val="22"/>
                <w:szCs w:val="22"/>
              </w:rPr>
            </w:pPr>
          </w:p>
          <w:p w14:paraId="07EE00C5" w14:textId="77777777" w:rsidR="003A4C0F" w:rsidRPr="00C27A60" w:rsidRDefault="003A4C0F" w:rsidP="003A4C0F">
            <w:pPr>
              <w:ind w:firstLine="30"/>
              <w:jc w:val="both"/>
              <w:rPr>
                <w:i/>
                <w:sz w:val="22"/>
                <w:szCs w:val="22"/>
                <w:shd w:val="clear" w:color="auto" w:fill="FFFFFF"/>
              </w:rPr>
            </w:pPr>
            <w:r w:rsidRPr="00C27A60">
              <w:rPr>
                <w:i/>
                <w:sz w:val="22"/>
                <w:szCs w:val="22"/>
                <w:shd w:val="clear" w:color="auto" w:fill="FFFFFF"/>
              </w:rPr>
              <w:t>ГС «РЕУ»</w:t>
            </w:r>
          </w:p>
          <w:p w14:paraId="16DEC346" w14:textId="4E4CA57A" w:rsidR="00B91461" w:rsidRPr="00C27A60" w:rsidRDefault="00B91461" w:rsidP="00B91461">
            <w:pPr>
              <w:ind w:firstLine="30"/>
              <w:jc w:val="both"/>
              <w:rPr>
                <w:i/>
                <w:sz w:val="22"/>
                <w:szCs w:val="22"/>
                <w:shd w:val="clear" w:color="auto" w:fill="FFFFFF"/>
              </w:rPr>
            </w:pPr>
            <w:r w:rsidRPr="00C27A60">
              <w:rPr>
                <w:i/>
                <w:sz w:val="22"/>
                <w:szCs w:val="22"/>
                <w:shd w:val="clear" w:color="auto" w:fill="FFFFFF"/>
              </w:rPr>
              <w:t>АТ ДТЕК «ДОНЕЦЬКІ ЕЛЕКТРОМЕРЕЖІ»</w:t>
            </w:r>
          </w:p>
          <w:p w14:paraId="6D750D03" w14:textId="6C9A5C65" w:rsidR="00436F83" w:rsidRPr="00C27A60" w:rsidRDefault="00436F83" w:rsidP="00B91461">
            <w:pPr>
              <w:ind w:firstLine="30"/>
              <w:jc w:val="both"/>
              <w:rPr>
                <w:i/>
                <w:sz w:val="22"/>
                <w:szCs w:val="22"/>
                <w:shd w:val="clear" w:color="auto" w:fill="FFFFFF"/>
              </w:rPr>
            </w:pPr>
            <w:r w:rsidRPr="00C27A60">
              <w:rPr>
                <w:i/>
                <w:sz w:val="22"/>
                <w:szCs w:val="22"/>
                <w:shd w:val="clear" w:color="auto" w:fill="FFFFFF"/>
              </w:rPr>
              <w:t>АТ «ДТЕК ДНІПРОВСЬКІ ЕЛЕКТРОМЕРЕЖІ»</w:t>
            </w:r>
          </w:p>
          <w:p w14:paraId="50A02C9A" w14:textId="77777777" w:rsidR="003A4C0F" w:rsidRPr="00C27A60" w:rsidRDefault="003A4C0F" w:rsidP="003A4C0F">
            <w:pPr>
              <w:ind w:firstLine="308"/>
              <w:jc w:val="both"/>
              <w:rPr>
                <w:sz w:val="22"/>
                <w:szCs w:val="22"/>
                <w:shd w:val="clear" w:color="auto" w:fill="FFFFFF"/>
              </w:rPr>
            </w:pPr>
          </w:p>
          <w:p w14:paraId="5F891D0A" w14:textId="77777777" w:rsidR="003A4C0F" w:rsidRPr="00C27A60" w:rsidRDefault="003A4C0F" w:rsidP="003A4C0F">
            <w:pPr>
              <w:jc w:val="both"/>
              <w:rPr>
                <w:sz w:val="22"/>
                <w:szCs w:val="22"/>
                <w:lang w:eastAsia="uk-UA"/>
              </w:rPr>
            </w:pPr>
            <w:r w:rsidRPr="00C27A60">
              <w:rPr>
                <w:sz w:val="22"/>
                <w:szCs w:val="22"/>
                <w:lang w:eastAsia="uk-UA"/>
              </w:rPr>
              <w:t>6)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C27A60">
              <w:rPr>
                <w:sz w:val="22"/>
                <w:szCs w:val="22"/>
                <w:lang w:eastAsia="uk-UA"/>
              </w:rPr>
              <w:sym w:font="Times New Roman" w:char="F044"/>
            </w:r>
            <w:proofErr w:type="spellStart"/>
            <w:r w:rsidRPr="00C27A60">
              <w:rPr>
                <w:sz w:val="22"/>
                <w:szCs w:val="22"/>
                <w:lang w:eastAsia="uk-UA"/>
              </w:rPr>
              <w:t>Д</w:t>
            </w:r>
            <w:r w:rsidRPr="00C27A60">
              <w:rPr>
                <w:sz w:val="22"/>
                <w:szCs w:val="22"/>
                <w:vertAlign w:val="superscript"/>
                <w:lang w:eastAsia="uk-UA"/>
              </w:rPr>
              <w:t>н</w:t>
            </w:r>
            <w:r w:rsidRPr="00C27A60">
              <w:rPr>
                <w:sz w:val="22"/>
                <w:szCs w:val="22"/>
                <w:vertAlign w:val="subscript"/>
                <w:lang w:eastAsia="uk-UA"/>
              </w:rPr>
              <w:t>ТВЕ</w:t>
            </w:r>
            <w:proofErr w:type="spellEnd"/>
            <w:r w:rsidRPr="00C27A60">
              <w:rPr>
                <w:sz w:val="22"/>
                <w:szCs w:val="22"/>
                <w:lang w:eastAsia="uk-UA"/>
              </w:rPr>
              <w:t>), тис. грн, що визначається за формулою</w:t>
            </w:r>
          </w:p>
          <w:p w14:paraId="2A2BE03A" w14:textId="77777777" w:rsidR="003A4C0F" w:rsidRPr="00C27A60" w:rsidRDefault="003A4C0F" w:rsidP="003A4C0F">
            <w:pPr>
              <w:jc w:val="both"/>
              <w:rPr>
                <w:b/>
                <w:bCs/>
                <w:sz w:val="22"/>
                <w:szCs w:val="22"/>
                <w:lang w:eastAsia="uk-UA"/>
              </w:rPr>
            </w:pPr>
            <w:r w:rsidRPr="00C27A60">
              <w:rPr>
                <w:noProof/>
                <w:sz w:val="22"/>
                <w:szCs w:val="22"/>
                <w:lang w:eastAsia="uk-UA"/>
              </w:rPr>
              <w:drawing>
                <wp:inline distT="0" distB="0" distL="0" distR="0" wp14:anchorId="0F62BD7B" wp14:editId="5A0BC5EA">
                  <wp:extent cx="2476500" cy="628650"/>
                  <wp:effectExtent l="0" t="0" r="0" b="0"/>
                  <wp:docPr id="3" name="Рисунок 850264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026408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76500" cy="628650"/>
                          </a:xfrm>
                          <a:prstGeom prst="rect">
                            <a:avLst/>
                          </a:prstGeom>
                          <a:noFill/>
                          <a:ln>
                            <a:noFill/>
                          </a:ln>
                        </pic:spPr>
                      </pic:pic>
                    </a:graphicData>
                  </a:graphic>
                </wp:inline>
              </w:drawing>
            </w:r>
          </w:p>
          <w:p w14:paraId="7045D182" w14:textId="77777777" w:rsidR="003A4C0F" w:rsidRPr="00C27A60" w:rsidRDefault="003A4C0F" w:rsidP="003A4C0F">
            <w:pPr>
              <w:spacing w:after="75" w:line="256"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де і - місяць;</w:t>
            </w:r>
          </w:p>
          <w:p w14:paraId="41834A28" w14:textId="77777777" w:rsidR="003A4C0F" w:rsidRPr="00C27A60" w:rsidRDefault="003A4C0F" w:rsidP="003A4C0F">
            <w:pPr>
              <w:spacing w:after="75" w:line="256"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n - кількість місяців;</w:t>
            </w:r>
          </w:p>
          <w:p w14:paraId="64C0C9F4" w14:textId="77777777" w:rsidR="003A4C0F" w:rsidRPr="00C27A60" w:rsidRDefault="003A4C0F" w:rsidP="003A4C0F">
            <w:pPr>
              <w:jc w:val="both"/>
              <w:rPr>
                <w:sz w:val="22"/>
                <w:szCs w:val="22"/>
                <w:lang w:eastAsia="uk-UA"/>
              </w:rPr>
            </w:pPr>
            <w:r w:rsidRPr="00C27A60">
              <w:rPr>
                <w:sz w:val="22"/>
                <w:szCs w:val="22"/>
                <w:lang w:eastAsia="uk-UA"/>
              </w:rPr>
              <w:lastRenderedPageBreak/>
              <w:t>Д</w:t>
            </w:r>
            <w:r w:rsidRPr="00C27A60">
              <w:rPr>
                <w:sz w:val="22"/>
                <w:szCs w:val="22"/>
                <w:vertAlign w:val="subscript"/>
                <w:lang w:eastAsia="uk-UA"/>
              </w:rPr>
              <w:t>ТВЕ т</w:t>
            </w:r>
            <w:r w:rsidRPr="00C27A60">
              <w:rPr>
                <w:sz w:val="22"/>
                <w:szCs w:val="22"/>
                <w:lang w:eastAsia="uk-UA"/>
              </w:rPr>
              <w:t xml:space="preserve"> - вартість технологічних витрат електричної енергії, урахована в тарифах на звітний рік, тис. грн.</w:t>
            </w:r>
          </w:p>
          <w:p w14:paraId="53108548" w14:textId="77777777" w:rsidR="003A4C0F" w:rsidRPr="00C27A60" w:rsidRDefault="003A4C0F" w:rsidP="003A4C0F">
            <w:pPr>
              <w:spacing w:after="75" w:line="256"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w:t>
            </w:r>
            <w:r w:rsidRPr="00C27A60">
              <w:rPr>
                <w:rFonts w:eastAsia="Calibri"/>
                <w:kern w:val="2"/>
                <w:sz w:val="22"/>
                <w:szCs w:val="22"/>
                <w:vertAlign w:val="subscript"/>
                <w:lang w:eastAsia="en-US"/>
                <w14:ligatures w14:val="standardContextual"/>
              </w:rPr>
              <w:t>ТВЕ</w:t>
            </w:r>
            <w:r w:rsidRPr="00C27A60">
              <w:rPr>
                <w:rFonts w:eastAsia="Calibri"/>
                <w:kern w:val="2"/>
                <w:sz w:val="22"/>
                <w:szCs w:val="22"/>
                <w:lang w:eastAsia="en-US"/>
                <w14:ligatures w14:val="standardContextual"/>
              </w:rPr>
              <w:t xml:space="preserve"> </w:t>
            </w:r>
            <w:proofErr w:type="spellStart"/>
            <w:r w:rsidRPr="00C27A60">
              <w:rPr>
                <w:rFonts w:eastAsia="Calibri"/>
                <w:kern w:val="2"/>
                <w:sz w:val="22"/>
                <w:szCs w:val="22"/>
                <w:vertAlign w:val="subscript"/>
                <w:lang w:eastAsia="en-US"/>
                <w14:ligatures w14:val="standardContextual"/>
              </w:rPr>
              <w:t>нф</w:t>
            </w:r>
            <w:proofErr w:type="spellEnd"/>
            <w:r w:rsidRPr="00C27A60">
              <w:rPr>
                <w:rFonts w:eastAsia="Calibri"/>
                <w:kern w:val="2"/>
                <w:sz w:val="22"/>
                <w:szCs w:val="22"/>
                <w:vertAlign w:val="subscript"/>
                <w:lang w:eastAsia="en-US"/>
                <w14:ligatures w14:val="standardContextual"/>
              </w:rPr>
              <w:t xml:space="preserve"> і</w:t>
            </w:r>
            <w:r w:rsidRPr="00C27A60">
              <w:rPr>
                <w:rFonts w:eastAsia="Calibri"/>
                <w:kern w:val="2"/>
                <w:sz w:val="22"/>
                <w:szCs w:val="22"/>
                <w:lang w:eastAsia="en-US"/>
                <w14:ligatures w14:val="standardContextual"/>
              </w:rPr>
              <w:t xml:space="preserve"> розраховується до впровадження нового ринку (до 01 липня 2019 року) та після впровадження нового ринку (з 01 липня 2019 року) згідно з відповідними положеннями підпункту 22 пункту 4 цього додатка.</w:t>
            </w:r>
          </w:p>
          <w:p w14:paraId="3BD60DB9" w14:textId="77777777" w:rsidR="003A4C0F" w:rsidRPr="00C27A60" w:rsidRDefault="003A4C0F" w:rsidP="003A4C0F">
            <w:pPr>
              <w:shd w:val="clear" w:color="auto" w:fill="FFFFFF"/>
              <w:jc w:val="both"/>
              <w:rPr>
                <w:b/>
                <w:sz w:val="22"/>
                <w:szCs w:val="22"/>
                <w:lang w:eastAsia="uk-UA"/>
              </w:rPr>
            </w:pPr>
            <w:r w:rsidRPr="00C27A60">
              <w:rPr>
                <w:sz w:val="22"/>
                <w:szCs w:val="22"/>
                <w:lang w:eastAsia="uk-UA"/>
              </w:rPr>
              <w:t xml:space="preserve">Якщо </w:t>
            </w:r>
            <w:r w:rsidRPr="00C27A60">
              <w:rPr>
                <w:b/>
                <w:sz w:val="22"/>
                <w:szCs w:val="22"/>
                <w:lang w:eastAsia="uk-UA"/>
              </w:rPr>
              <w:t>порушена схема нормального режиму роботи системи розподілу / змінені обсяги розподілу / надходження / віддачі / транзиту електричної енергії тощо внаслідок введення воєнного стану та/або бойових дій в Україні та за умови, що</w:t>
            </w:r>
          </w:p>
          <w:p w14:paraId="1DD941A2" w14:textId="77777777" w:rsidR="003A4C0F" w:rsidRPr="00C27A60" w:rsidRDefault="003A4C0F" w:rsidP="003A4C0F">
            <w:pPr>
              <w:shd w:val="clear" w:color="auto" w:fill="FFFFFF"/>
              <w:jc w:val="both"/>
              <w:rPr>
                <w:b/>
                <w:bCs/>
                <w:sz w:val="22"/>
                <w:szCs w:val="22"/>
                <w:lang w:eastAsia="uk-UA"/>
              </w:rPr>
            </w:pPr>
            <w:r w:rsidRPr="00C27A60">
              <w:rPr>
                <w:noProof/>
                <w:sz w:val="22"/>
                <w:szCs w:val="22"/>
                <w:lang w:eastAsia="uk-UA"/>
              </w:rPr>
              <w:drawing>
                <wp:inline distT="0" distB="0" distL="0" distR="0" wp14:anchorId="10B47E9F" wp14:editId="776A60B7">
                  <wp:extent cx="2733675" cy="285750"/>
                  <wp:effectExtent l="0" t="0" r="9525" b="0"/>
                  <wp:docPr id="5" name="Рисунок 2012882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1288278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33675" cy="285750"/>
                          </a:xfrm>
                          <a:prstGeom prst="rect">
                            <a:avLst/>
                          </a:prstGeom>
                          <a:noFill/>
                          <a:ln>
                            <a:noFill/>
                          </a:ln>
                        </pic:spPr>
                      </pic:pic>
                    </a:graphicData>
                  </a:graphic>
                </wp:inline>
              </w:drawing>
            </w:r>
          </w:p>
          <w:p w14:paraId="32B7AC02" w14:textId="77777777" w:rsidR="003A4C0F" w:rsidRPr="00C27A60" w:rsidRDefault="003A4C0F" w:rsidP="003A4C0F">
            <w:pPr>
              <w:shd w:val="clear" w:color="auto" w:fill="FFFFFF"/>
              <w:jc w:val="both"/>
              <w:rPr>
                <w:b/>
                <w:bCs/>
                <w:sz w:val="22"/>
                <w:szCs w:val="22"/>
                <w:lang w:eastAsia="uk-UA"/>
              </w:rPr>
            </w:pPr>
          </w:p>
          <w:p w14:paraId="4B4E9F7E" w14:textId="77777777" w:rsidR="003A4C0F" w:rsidRPr="00C27A60" w:rsidRDefault="003A4C0F" w:rsidP="003A4C0F">
            <w:pPr>
              <w:spacing w:after="75" w:line="256"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22498BA7" w14:textId="77777777" w:rsidR="003A4C0F" w:rsidRPr="00C27A60" w:rsidRDefault="003A4C0F" w:rsidP="003A4C0F">
            <w:pPr>
              <w:spacing w:after="75" w:line="256"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7A7F4833" w14:textId="77777777" w:rsidR="003A4C0F" w:rsidRPr="00C27A60" w:rsidRDefault="003A4C0F" w:rsidP="003A4C0F">
            <w:pPr>
              <w:shd w:val="clear" w:color="auto" w:fill="FFFFFF"/>
              <w:jc w:val="both"/>
              <w:rPr>
                <w:b/>
                <w:bCs/>
                <w:sz w:val="22"/>
                <w:szCs w:val="22"/>
                <w:lang w:eastAsia="uk-UA"/>
              </w:rPr>
            </w:pPr>
            <w:r w:rsidRPr="00C27A60">
              <w:rPr>
                <w:b/>
                <w:sz w:val="22"/>
                <w:szCs w:val="22"/>
                <w:lang w:eastAsia="uk-UA"/>
              </w:rPr>
              <w:t xml:space="preserve">належним чином оформлених розрахунків витрат електричної енергії за 2022 – 2024 роки згідно із фактичними схемами роботи системи розподілу / обсягами розподілу / надходження / віддачі / транзиту електричної енергії тощо за 2022 – 2024 роки (за характерними періодами роботи мережі) проведених спеціалізованими підприємствами / 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w:t>
            </w:r>
            <w:r w:rsidRPr="00C27A60">
              <w:rPr>
                <w:b/>
                <w:sz w:val="22"/>
                <w:szCs w:val="22"/>
                <w:lang w:eastAsia="uk-UA"/>
              </w:rPr>
              <w:lastRenderedPageBreak/>
              <w:t>фактичному режиму роботи мережі у 2022 – 2024 роках (з 2024 року за умови, що частка оціночних даних комерційного обліку, використаних у розрахунку обсягу фактичних звітних витрат, не перевищує 5 % від загального річного обсягу розподілу електричної енергії відповідно до даних за формою звітності № 2 НКРЕКП розподіл електричної енергії).</w:t>
            </w:r>
          </w:p>
          <w:p w14:paraId="0001D81F" w14:textId="77777777" w:rsidR="003A4C0F" w:rsidRPr="00C27A60" w:rsidRDefault="003A4C0F" w:rsidP="003A4C0F">
            <w:pPr>
              <w:spacing w:after="75" w:line="256" w:lineRule="auto"/>
              <w:ind w:firstLine="240"/>
              <w:jc w:val="both"/>
              <w:rPr>
                <w:rFonts w:eastAsia="Calibri"/>
                <w:b/>
                <w:kern w:val="2"/>
                <w:sz w:val="22"/>
                <w:szCs w:val="22"/>
                <w:lang w:eastAsia="en-US"/>
                <w14:ligatures w14:val="standardContextual"/>
              </w:rPr>
            </w:pPr>
          </w:p>
          <w:p w14:paraId="61CCE005" w14:textId="77777777" w:rsidR="003A4C0F" w:rsidRPr="00C27A60" w:rsidRDefault="003A4C0F" w:rsidP="003A4C0F">
            <w:pPr>
              <w:spacing w:after="75" w:line="256" w:lineRule="auto"/>
              <w:ind w:firstLine="240"/>
              <w:jc w:val="both"/>
              <w:rPr>
                <w:rFonts w:eastAsia="Calibri"/>
                <w:b/>
                <w:kern w:val="2"/>
                <w:sz w:val="22"/>
                <w:szCs w:val="22"/>
                <w:lang w:eastAsia="en-US"/>
                <w14:ligatures w14:val="standardContextual"/>
              </w:rPr>
            </w:pPr>
            <w:r w:rsidRPr="00C27A60">
              <w:rPr>
                <w:rFonts w:eastAsia="Calibri"/>
                <w:b/>
                <w:kern w:val="2"/>
                <w:sz w:val="22"/>
                <w:szCs w:val="22"/>
                <w:lang w:eastAsia="en-US"/>
                <w14:ligatures w14:val="standardContextual"/>
              </w:rPr>
              <w:t xml:space="preserve">ДТВЕ </w:t>
            </w:r>
            <w:proofErr w:type="spellStart"/>
            <w:r w:rsidRPr="00C27A60">
              <w:rPr>
                <w:rFonts w:eastAsia="Calibri"/>
                <w:b/>
                <w:kern w:val="2"/>
                <w:sz w:val="22"/>
                <w:szCs w:val="22"/>
                <w:lang w:eastAsia="en-US"/>
                <w14:ligatures w14:val="standardContextual"/>
              </w:rPr>
              <w:t>нф</w:t>
            </w:r>
            <w:proofErr w:type="spellEnd"/>
            <w:r w:rsidRPr="00C27A60">
              <w:rPr>
                <w:rFonts w:eastAsia="Calibri"/>
                <w:b/>
                <w:kern w:val="2"/>
                <w:sz w:val="22"/>
                <w:szCs w:val="22"/>
                <w:lang w:eastAsia="en-US"/>
                <w14:ligatures w14:val="standardContextual"/>
              </w:rPr>
              <w:t xml:space="preserve"> і за 2022 – 2024 роки визначається за формулою</w:t>
            </w:r>
          </w:p>
          <w:p w14:paraId="0BBB19F4" w14:textId="77777777" w:rsidR="003A4C0F" w:rsidRPr="00C27A60" w:rsidRDefault="003A4C0F" w:rsidP="003A4C0F">
            <w:pPr>
              <w:shd w:val="clear" w:color="auto" w:fill="FFFFFF"/>
              <w:jc w:val="both"/>
              <w:rPr>
                <w:b/>
                <w:sz w:val="22"/>
                <w:szCs w:val="22"/>
                <w:lang w:eastAsia="uk-UA"/>
              </w:rPr>
            </w:pPr>
            <w:r w:rsidRPr="00C27A60">
              <w:rPr>
                <w:b/>
                <w:sz w:val="22"/>
                <w:szCs w:val="22"/>
                <w:lang w:eastAsia="uk-UA"/>
              </w:rPr>
              <w:t xml:space="preserve">ДТВЕ </w:t>
            </w:r>
            <w:proofErr w:type="spellStart"/>
            <w:r w:rsidRPr="00C27A60">
              <w:rPr>
                <w:b/>
                <w:sz w:val="22"/>
                <w:szCs w:val="22"/>
                <w:lang w:eastAsia="uk-UA"/>
              </w:rPr>
              <w:t>нф</w:t>
            </w:r>
            <w:proofErr w:type="spellEnd"/>
            <w:r w:rsidRPr="00C27A60">
              <w:rPr>
                <w:b/>
                <w:sz w:val="22"/>
                <w:szCs w:val="22"/>
                <w:lang w:eastAsia="uk-UA"/>
              </w:rPr>
              <w:t xml:space="preserve"> і = (ОТВЕ ф і – ОТВЕ он і) x ЦТВЕ і,</w:t>
            </w:r>
          </w:p>
          <w:p w14:paraId="23DF69D4" w14:textId="77777777" w:rsidR="003A4C0F" w:rsidRPr="00C27A60" w:rsidRDefault="003A4C0F" w:rsidP="003A4C0F">
            <w:pPr>
              <w:spacing w:after="160" w:line="256" w:lineRule="auto"/>
              <w:ind w:firstLine="308"/>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де О</w:t>
            </w:r>
            <w:r w:rsidRPr="00C27A60">
              <w:rPr>
                <w:rFonts w:eastAsia="Calibri"/>
                <w:kern w:val="2"/>
                <w:sz w:val="22"/>
                <w:szCs w:val="22"/>
                <w:vertAlign w:val="subscript"/>
                <w:lang w:eastAsia="en-US"/>
                <w14:ligatures w14:val="standardContextual"/>
              </w:rPr>
              <w:t>ТВЕ ф і</w:t>
            </w:r>
            <w:r w:rsidRPr="00C27A60">
              <w:rPr>
                <w:rFonts w:eastAsia="Calibri"/>
                <w:kern w:val="2"/>
                <w:sz w:val="22"/>
                <w:szCs w:val="22"/>
                <w:lang w:eastAsia="en-US"/>
                <w14:ligatures w14:val="standardContextual"/>
              </w:rPr>
              <w:t xml:space="preserve"> - фактичний обсяг технологічних витрат електричної енергії на її розподіл в і-му місяці звітного року, МВт·год;</w:t>
            </w:r>
          </w:p>
          <w:p w14:paraId="4CEBA8BB" w14:textId="77777777" w:rsidR="003A4C0F" w:rsidRPr="00C27A60" w:rsidRDefault="003A4C0F" w:rsidP="003A4C0F">
            <w:pPr>
              <w:shd w:val="clear" w:color="auto" w:fill="FFFFFF"/>
              <w:jc w:val="both"/>
              <w:rPr>
                <w:b/>
                <w:sz w:val="22"/>
                <w:szCs w:val="22"/>
                <w:lang w:eastAsia="uk-UA"/>
              </w:rPr>
            </w:pPr>
            <w:r w:rsidRPr="00C27A60">
              <w:rPr>
                <w:b/>
                <w:sz w:val="22"/>
                <w:szCs w:val="22"/>
                <w:lang w:eastAsia="uk-UA"/>
              </w:rPr>
              <w:t>О</w:t>
            </w:r>
            <w:r w:rsidRPr="00C27A60">
              <w:rPr>
                <w:b/>
                <w:sz w:val="22"/>
                <w:szCs w:val="22"/>
                <w:vertAlign w:val="subscript"/>
                <w:lang w:eastAsia="uk-UA"/>
              </w:rPr>
              <w:t>ТВЕ он і</w:t>
            </w:r>
            <w:r w:rsidRPr="00C27A60">
              <w:rPr>
                <w:b/>
                <w:sz w:val="22"/>
                <w:szCs w:val="22"/>
                <w:lang w:eastAsia="uk-UA"/>
              </w:rPr>
              <w:t xml:space="preserve">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 / надходження / віддачі / транзиту електричної енергії тощо внаслідок введення воєнного стану та/або бойових дій в Україні, в і-му місяці звітного року, МВт·год;</w:t>
            </w:r>
          </w:p>
          <w:p w14:paraId="07B4E90D" w14:textId="77777777" w:rsidR="003A4C0F" w:rsidRPr="00C27A60" w:rsidRDefault="003A4C0F" w:rsidP="003A4C0F">
            <w:pPr>
              <w:shd w:val="clear" w:color="auto" w:fill="FFFFFF"/>
              <w:jc w:val="both"/>
              <w:rPr>
                <w:b/>
                <w:sz w:val="22"/>
                <w:szCs w:val="22"/>
                <w:lang w:eastAsia="uk-UA"/>
              </w:rPr>
            </w:pPr>
          </w:p>
          <w:p w14:paraId="71ADE6B1" w14:textId="77777777" w:rsidR="003A4C0F" w:rsidRPr="00C27A60" w:rsidRDefault="003A4C0F" w:rsidP="003A4C0F">
            <w:pPr>
              <w:jc w:val="both"/>
              <w:rPr>
                <w:i/>
                <w:sz w:val="22"/>
                <w:szCs w:val="22"/>
              </w:rPr>
            </w:pPr>
            <w:r w:rsidRPr="00C27A60">
              <w:rPr>
                <w:i/>
                <w:sz w:val="22"/>
                <w:szCs w:val="22"/>
              </w:rPr>
              <w:t>ОБРГРУНТУВАННЯ:</w:t>
            </w:r>
          </w:p>
          <w:p w14:paraId="14782D75" w14:textId="562FDEF5" w:rsidR="003A4C0F" w:rsidRPr="00C27A60" w:rsidRDefault="003A4C0F" w:rsidP="003A4C0F">
            <w:pPr>
              <w:spacing w:after="160" w:line="256" w:lineRule="auto"/>
              <w:jc w:val="both"/>
              <w:rPr>
                <w:rFonts w:eastAsia="Calibri"/>
                <w:b/>
                <w:kern w:val="2"/>
                <w:sz w:val="22"/>
                <w:szCs w:val="22"/>
                <w:shd w:val="clear" w:color="auto" w:fill="FFFFFF"/>
                <w:lang w:eastAsia="en-US"/>
                <w14:ligatures w14:val="standardContextual"/>
              </w:rPr>
            </w:pPr>
            <w:r w:rsidRPr="00C27A60">
              <w:rPr>
                <w:rFonts w:eastAsia="Calibri"/>
                <w:kern w:val="2"/>
                <w:sz w:val="22"/>
                <w:szCs w:val="22"/>
                <w:lang w:eastAsia="en-US"/>
                <w14:ligatures w14:val="standardContextual"/>
              </w:rPr>
              <w:t>Відповідно до вимог кодексу</w:t>
            </w:r>
            <w:r w:rsidRPr="00C27A60">
              <w:rPr>
                <w:rFonts w:eastAsia="Calibri"/>
                <w:kern w:val="2"/>
                <w:sz w:val="22"/>
                <w:szCs w:val="22"/>
                <w:lang w:eastAsia="en-US"/>
                <w14:ligatures w14:val="standardContextual"/>
              </w:rPr>
              <w:br/>
              <w:t xml:space="preserve">комерційного обліку електричної енергії (п.6.5.1) ОСР зобов’язаний здійснювати зчитування даних з лічильників електричної енергії не рідше одного разу на </w:t>
            </w:r>
            <w:r w:rsidRPr="00C27A60">
              <w:rPr>
                <w:rFonts w:eastAsia="Calibri"/>
                <w:b/>
                <w:bCs/>
                <w:kern w:val="2"/>
                <w:sz w:val="22"/>
                <w:szCs w:val="22"/>
                <w:lang w:eastAsia="en-US"/>
                <w14:ligatures w14:val="standardContextual"/>
              </w:rPr>
              <w:t>шість</w:t>
            </w:r>
            <w:r w:rsidRPr="00C27A60">
              <w:rPr>
                <w:rFonts w:eastAsia="Calibri"/>
                <w:kern w:val="2"/>
                <w:sz w:val="22"/>
                <w:szCs w:val="22"/>
                <w:lang w:eastAsia="en-US"/>
                <w14:ligatures w14:val="standardContextual"/>
              </w:rPr>
              <w:t xml:space="preserve"> місяців</w:t>
            </w:r>
            <w:bookmarkStart w:id="0" w:name="n2702"/>
            <w:bookmarkEnd w:id="0"/>
            <w:r w:rsidRPr="00C27A60">
              <w:rPr>
                <w:rFonts w:eastAsia="Calibri"/>
                <w:kern w:val="2"/>
                <w:sz w:val="22"/>
                <w:szCs w:val="22"/>
                <w:lang w:eastAsia="en-US"/>
                <w14:ligatures w14:val="standardContextual"/>
              </w:rPr>
              <w:t>. З урахуванням цієї вимоги, пропонується врахування 5% (частка оціночних даних комерційного обліку) від загального річного обсягу розподілу.</w:t>
            </w:r>
          </w:p>
          <w:p w14:paraId="6D6C9757" w14:textId="19BEE2B0" w:rsidR="003A4C0F" w:rsidRPr="00C27A60" w:rsidRDefault="003A4C0F" w:rsidP="00F37F84">
            <w:pPr>
              <w:jc w:val="both"/>
              <w:rPr>
                <w:sz w:val="22"/>
                <w:szCs w:val="22"/>
              </w:rPr>
            </w:pPr>
          </w:p>
        </w:tc>
        <w:tc>
          <w:tcPr>
            <w:tcW w:w="3546" w:type="dxa"/>
            <w:shd w:val="clear" w:color="auto" w:fill="auto"/>
            <w:vAlign w:val="center"/>
          </w:tcPr>
          <w:p w14:paraId="1BCA7596" w14:textId="77777777" w:rsidR="009504CE" w:rsidRPr="00C27A60" w:rsidRDefault="009504CE" w:rsidP="00B542FA">
            <w:pPr>
              <w:rPr>
                <w:b/>
                <w:sz w:val="22"/>
                <w:szCs w:val="22"/>
              </w:rPr>
            </w:pPr>
          </w:p>
          <w:p w14:paraId="483CEC64" w14:textId="77777777" w:rsidR="002A6E11" w:rsidRPr="00C27A60" w:rsidRDefault="002A6E11" w:rsidP="00B542FA">
            <w:pPr>
              <w:rPr>
                <w:b/>
                <w:sz w:val="22"/>
                <w:szCs w:val="22"/>
              </w:rPr>
            </w:pPr>
          </w:p>
          <w:p w14:paraId="5BB1F10B" w14:textId="77777777" w:rsidR="002A6E11" w:rsidRPr="00C27A60" w:rsidRDefault="002A6E11" w:rsidP="00B542FA">
            <w:pPr>
              <w:rPr>
                <w:b/>
                <w:sz w:val="22"/>
                <w:szCs w:val="22"/>
              </w:rPr>
            </w:pPr>
          </w:p>
          <w:p w14:paraId="4386988F" w14:textId="77777777" w:rsidR="002A6E11" w:rsidRPr="00C27A60" w:rsidRDefault="002A6E11" w:rsidP="00B542FA">
            <w:pPr>
              <w:rPr>
                <w:b/>
                <w:sz w:val="22"/>
                <w:szCs w:val="22"/>
              </w:rPr>
            </w:pPr>
          </w:p>
          <w:p w14:paraId="59C04686" w14:textId="77777777" w:rsidR="002A6E11" w:rsidRPr="00C27A60" w:rsidRDefault="002A6E11" w:rsidP="00B542FA">
            <w:pPr>
              <w:rPr>
                <w:b/>
                <w:sz w:val="22"/>
                <w:szCs w:val="22"/>
              </w:rPr>
            </w:pPr>
          </w:p>
          <w:p w14:paraId="0379D92B" w14:textId="77777777" w:rsidR="002A6E11" w:rsidRPr="00C27A60" w:rsidRDefault="002A6E11" w:rsidP="00B542FA">
            <w:pPr>
              <w:rPr>
                <w:b/>
                <w:sz w:val="22"/>
                <w:szCs w:val="22"/>
              </w:rPr>
            </w:pPr>
          </w:p>
          <w:p w14:paraId="5E1311E2" w14:textId="77777777" w:rsidR="002A6E11" w:rsidRPr="00C27A60" w:rsidRDefault="002A6E11" w:rsidP="00B542FA">
            <w:pPr>
              <w:rPr>
                <w:b/>
                <w:sz w:val="22"/>
                <w:szCs w:val="22"/>
              </w:rPr>
            </w:pPr>
          </w:p>
          <w:p w14:paraId="0D0EDE3D" w14:textId="77777777" w:rsidR="002A6E11" w:rsidRPr="00C27A60" w:rsidRDefault="002A6E11" w:rsidP="00B542FA">
            <w:pPr>
              <w:rPr>
                <w:b/>
                <w:sz w:val="22"/>
                <w:szCs w:val="22"/>
              </w:rPr>
            </w:pPr>
          </w:p>
          <w:p w14:paraId="0E17964D" w14:textId="77777777" w:rsidR="002A6E11" w:rsidRPr="00C27A60" w:rsidRDefault="002A6E11" w:rsidP="00B542FA">
            <w:pPr>
              <w:rPr>
                <w:b/>
                <w:sz w:val="22"/>
                <w:szCs w:val="22"/>
              </w:rPr>
            </w:pPr>
          </w:p>
          <w:p w14:paraId="726AA35B" w14:textId="77777777" w:rsidR="002A6E11" w:rsidRPr="00C27A60" w:rsidRDefault="002A6E11" w:rsidP="00B542FA">
            <w:pPr>
              <w:rPr>
                <w:b/>
                <w:sz w:val="22"/>
                <w:szCs w:val="22"/>
              </w:rPr>
            </w:pPr>
          </w:p>
          <w:p w14:paraId="15E18443" w14:textId="77777777" w:rsidR="002A6E11" w:rsidRPr="00C27A60" w:rsidRDefault="002A6E11" w:rsidP="00B542FA">
            <w:pPr>
              <w:rPr>
                <w:b/>
                <w:sz w:val="22"/>
                <w:szCs w:val="22"/>
              </w:rPr>
            </w:pPr>
          </w:p>
          <w:p w14:paraId="7B0A1DDD" w14:textId="77777777" w:rsidR="002A6E11" w:rsidRPr="00C27A60" w:rsidRDefault="002A6E11" w:rsidP="00B542FA">
            <w:pPr>
              <w:rPr>
                <w:b/>
                <w:sz w:val="22"/>
                <w:szCs w:val="22"/>
              </w:rPr>
            </w:pPr>
          </w:p>
          <w:p w14:paraId="05EBD000" w14:textId="77777777" w:rsidR="002A6E11" w:rsidRPr="00C27A60" w:rsidRDefault="002A6E11" w:rsidP="00B542FA">
            <w:pPr>
              <w:rPr>
                <w:b/>
                <w:sz w:val="22"/>
                <w:szCs w:val="22"/>
              </w:rPr>
            </w:pPr>
          </w:p>
          <w:p w14:paraId="3E526485" w14:textId="77777777" w:rsidR="002A6E11" w:rsidRPr="00C27A60" w:rsidRDefault="002A6E11" w:rsidP="00B542FA">
            <w:pPr>
              <w:rPr>
                <w:b/>
                <w:sz w:val="22"/>
                <w:szCs w:val="22"/>
              </w:rPr>
            </w:pPr>
          </w:p>
          <w:p w14:paraId="33638E5E" w14:textId="77777777" w:rsidR="002A6E11" w:rsidRPr="00C27A60" w:rsidRDefault="002A6E11" w:rsidP="00B542FA">
            <w:pPr>
              <w:rPr>
                <w:b/>
                <w:sz w:val="22"/>
                <w:szCs w:val="22"/>
              </w:rPr>
            </w:pPr>
          </w:p>
          <w:p w14:paraId="3B906DF3" w14:textId="77777777" w:rsidR="002A6E11" w:rsidRPr="00C27A60" w:rsidRDefault="002A6E11" w:rsidP="00B542FA">
            <w:pPr>
              <w:rPr>
                <w:b/>
                <w:sz w:val="22"/>
                <w:szCs w:val="22"/>
              </w:rPr>
            </w:pPr>
          </w:p>
          <w:p w14:paraId="0238AD3B" w14:textId="77777777" w:rsidR="002A6E11" w:rsidRPr="00C27A60" w:rsidRDefault="002A6E11" w:rsidP="00B542FA">
            <w:pPr>
              <w:rPr>
                <w:b/>
                <w:sz w:val="22"/>
                <w:szCs w:val="22"/>
              </w:rPr>
            </w:pPr>
          </w:p>
          <w:p w14:paraId="4F895E5E" w14:textId="77777777" w:rsidR="002A6E11" w:rsidRPr="00C27A60" w:rsidRDefault="002A6E11" w:rsidP="00B542FA">
            <w:pPr>
              <w:rPr>
                <w:b/>
                <w:sz w:val="22"/>
                <w:szCs w:val="22"/>
              </w:rPr>
            </w:pPr>
          </w:p>
          <w:p w14:paraId="73C7704B" w14:textId="77777777" w:rsidR="002A6E11" w:rsidRPr="00C27A60" w:rsidRDefault="002A6E11" w:rsidP="00B542FA">
            <w:pPr>
              <w:rPr>
                <w:b/>
                <w:sz w:val="22"/>
                <w:szCs w:val="22"/>
              </w:rPr>
            </w:pPr>
          </w:p>
          <w:p w14:paraId="400214CE" w14:textId="77777777" w:rsidR="002A6E11" w:rsidRPr="00C27A60" w:rsidRDefault="002A6E11" w:rsidP="00B542FA">
            <w:pPr>
              <w:rPr>
                <w:b/>
                <w:sz w:val="22"/>
                <w:szCs w:val="22"/>
              </w:rPr>
            </w:pPr>
          </w:p>
          <w:p w14:paraId="2D3CF057" w14:textId="77777777" w:rsidR="002A6E11" w:rsidRPr="00C27A60" w:rsidRDefault="002A6E11" w:rsidP="00B542FA">
            <w:pPr>
              <w:rPr>
                <w:b/>
                <w:sz w:val="22"/>
                <w:szCs w:val="22"/>
              </w:rPr>
            </w:pPr>
          </w:p>
          <w:p w14:paraId="5C3A39DA" w14:textId="77777777" w:rsidR="002A6E11" w:rsidRPr="00C27A60" w:rsidRDefault="002A6E11" w:rsidP="00B542FA">
            <w:pPr>
              <w:rPr>
                <w:b/>
                <w:sz w:val="22"/>
                <w:szCs w:val="22"/>
              </w:rPr>
            </w:pPr>
          </w:p>
          <w:p w14:paraId="2D852A60" w14:textId="77777777" w:rsidR="002A6E11" w:rsidRPr="00C27A60" w:rsidRDefault="002A6E11" w:rsidP="00B542FA">
            <w:pPr>
              <w:rPr>
                <w:b/>
                <w:sz w:val="22"/>
                <w:szCs w:val="22"/>
              </w:rPr>
            </w:pPr>
          </w:p>
          <w:p w14:paraId="6270E50E" w14:textId="77777777" w:rsidR="002A6E11" w:rsidRPr="00C27A60" w:rsidRDefault="002A6E11" w:rsidP="00B542FA">
            <w:pPr>
              <w:rPr>
                <w:b/>
                <w:sz w:val="22"/>
                <w:szCs w:val="22"/>
              </w:rPr>
            </w:pPr>
          </w:p>
          <w:p w14:paraId="2A807BC2" w14:textId="77777777" w:rsidR="002A6E11" w:rsidRPr="00C27A60" w:rsidRDefault="002A6E11" w:rsidP="00B542FA">
            <w:pPr>
              <w:rPr>
                <w:b/>
                <w:sz w:val="22"/>
                <w:szCs w:val="22"/>
              </w:rPr>
            </w:pPr>
          </w:p>
          <w:p w14:paraId="2CE0D414" w14:textId="77777777" w:rsidR="002A6E11" w:rsidRPr="00C27A60" w:rsidRDefault="002A6E11" w:rsidP="00B542FA">
            <w:pPr>
              <w:rPr>
                <w:b/>
                <w:sz w:val="22"/>
                <w:szCs w:val="22"/>
              </w:rPr>
            </w:pPr>
          </w:p>
          <w:p w14:paraId="2E2A50F5" w14:textId="77777777" w:rsidR="002A6E11" w:rsidRPr="00C27A60" w:rsidRDefault="002A6E11" w:rsidP="00B542FA">
            <w:pPr>
              <w:rPr>
                <w:b/>
                <w:sz w:val="22"/>
                <w:szCs w:val="22"/>
              </w:rPr>
            </w:pPr>
          </w:p>
          <w:p w14:paraId="020E44B5" w14:textId="77777777" w:rsidR="002A6E11" w:rsidRPr="00C27A60" w:rsidRDefault="002A6E11" w:rsidP="00B542FA">
            <w:pPr>
              <w:rPr>
                <w:b/>
                <w:sz w:val="22"/>
                <w:szCs w:val="22"/>
              </w:rPr>
            </w:pPr>
          </w:p>
          <w:p w14:paraId="43AB4F95" w14:textId="77777777" w:rsidR="002A6E11" w:rsidRPr="00C27A60" w:rsidRDefault="002A6E11" w:rsidP="00B542FA">
            <w:pPr>
              <w:rPr>
                <w:b/>
                <w:sz w:val="22"/>
                <w:szCs w:val="22"/>
              </w:rPr>
            </w:pPr>
          </w:p>
          <w:p w14:paraId="3A7E6726" w14:textId="77777777" w:rsidR="002A6E11" w:rsidRPr="00C27A60" w:rsidRDefault="002A6E11" w:rsidP="00B542FA">
            <w:pPr>
              <w:rPr>
                <w:b/>
                <w:sz w:val="22"/>
                <w:szCs w:val="22"/>
              </w:rPr>
            </w:pPr>
          </w:p>
          <w:p w14:paraId="4697CE9A" w14:textId="77777777" w:rsidR="002A6E11" w:rsidRPr="00C27A60" w:rsidRDefault="002A6E11" w:rsidP="00B542FA">
            <w:pPr>
              <w:rPr>
                <w:b/>
                <w:sz w:val="22"/>
                <w:szCs w:val="22"/>
              </w:rPr>
            </w:pPr>
          </w:p>
          <w:p w14:paraId="7D035AD4" w14:textId="77777777" w:rsidR="002A6E11" w:rsidRPr="00C27A60" w:rsidRDefault="002A6E11" w:rsidP="00B542FA">
            <w:pPr>
              <w:rPr>
                <w:b/>
                <w:sz w:val="22"/>
                <w:szCs w:val="22"/>
              </w:rPr>
            </w:pPr>
          </w:p>
          <w:p w14:paraId="6603B897" w14:textId="77777777" w:rsidR="002A6E11" w:rsidRPr="00C27A60" w:rsidRDefault="002A6E11" w:rsidP="00B542FA">
            <w:pPr>
              <w:rPr>
                <w:b/>
                <w:sz w:val="22"/>
                <w:szCs w:val="22"/>
              </w:rPr>
            </w:pPr>
          </w:p>
          <w:p w14:paraId="5D378DD3" w14:textId="77777777" w:rsidR="002A6E11" w:rsidRPr="00C27A60" w:rsidRDefault="002A6E11" w:rsidP="00B542FA">
            <w:pPr>
              <w:rPr>
                <w:b/>
                <w:sz w:val="22"/>
                <w:szCs w:val="22"/>
              </w:rPr>
            </w:pPr>
          </w:p>
          <w:p w14:paraId="7A9D22A4" w14:textId="77777777" w:rsidR="002A6E11" w:rsidRPr="00C27A60" w:rsidRDefault="002A6E11" w:rsidP="00B542FA">
            <w:pPr>
              <w:rPr>
                <w:b/>
                <w:sz w:val="22"/>
                <w:szCs w:val="22"/>
              </w:rPr>
            </w:pPr>
          </w:p>
          <w:p w14:paraId="300BCF9E" w14:textId="77777777" w:rsidR="002A6E11" w:rsidRPr="00C27A60" w:rsidRDefault="002A6E11" w:rsidP="00B542FA">
            <w:pPr>
              <w:rPr>
                <w:b/>
                <w:sz w:val="22"/>
                <w:szCs w:val="22"/>
              </w:rPr>
            </w:pPr>
          </w:p>
          <w:p w14:paraId="40DD3D1D" w14:textId="77777777" w:rsidR="002A6E11" w:rsidRPr="00C27A60" w:rsidRDefault="002A6E11" w:rsidP="00B542FA">
            <w:pPr>
              <w:rPr>
                <w:b/>
                <w:sz w:val="22"/>
                <w:szCs w:val="22"/>
              </w:rPr>
            </w:pPr>
          </w:p>
          <w:p w14:paraId="45EE7340" w14:textId="77777777" w:rsidR="002A6E11" w:rsidRPr="00C27A60" w:rsidRDefault="002A6E11" w:rsidP="00B542FA">
            <w:pPr>
              <w:rPr>
                <w:b/>
                <w:sz w:val="22"/>
                <w:szCs w:val="22"/>
              </w:rPr>
            </w:pPr>
          </w:p>
          <w:p w14:paraId="09B79508" w14:textId="77777777" w:rsidR="002A6E11" w:rsidRPr="00C27A60" w:rsidRDefault="002A6E11" w:rsidP="00B542FA">
            <w:pPr>
              <w:rPr>
                <w:b/>
                <w:sz w:val="22"/>
                <w:szCs w:val="22"/>
              </w:rPr>
            </w:pPr>
          </w:p>
          <w:p w14:paraId="5376F786" w14:textId="77777777" w:rsidR="002A6E11" w:rsidRPr="00C27A60" w:rsidRDefault="002A6E11" w:rsidP="00B542FA">
            <w:pPr>
              <w:rPr>
                <w:b/>
                <w:sz w:val="22"/>
                <w:szCs w:val="22"/>
              </w:rPr>
            </w:pPr>
          </w:p>
          <w:p w14:paraId="0119AEE1" w14:textId="77777777" w:rsidR="002A6E11" w:rsidRPr="00C27A60" w:rsidRDefault="002A6E11" w:rsidP="00B542FA">
            <w:pPr>
              <w:rPr>
                <w:b/>
                <w:sz w:val="22"/>
                <w:szCs w:val="22"/>
              </w:rPr>
            </w:pPr>
          </w:p>
          <w:p w14:paraId="014305E0" w14:textId="77777777" w:rsidR="002A6E11" w:rsidRPr="00C27A60" w:rsidRDefault="002A6E11" w:rsidP="00B542FA">
            <w:pPr>
              <w:rPr>
                <w:b/>
                <w:sz w:val="22"/>
                <w:szCs w:val="22"/>
              </w:rPr>
            </w:pPr>
          </w:p>
          <w:p w14:paraId="0DBD0E5A" w14:textId="77777777" w:rsidR="002A6E11" w:rsidRPr="00C27A60" w:rsidRDefault="002A6E11" w:rsidP="00B542FA">
            <w:pPr>
              <w:rPr>
                <w:b/>
                <w:sz w:val="22"/>
                <w:szCs w:val="22"/>
              </w:rPr>
            </w:pPr>
          </w:p>
          <w:p w14:paraId="27C5B656" w14:textId="77777777" w:rsidR="002A6E11" w:rsidRPr="00C27A60" w:rsidRDefault="002A6E11" w:rsidP="00B542FA">
            <w:pPr>
              <w:rPr>
                <w:b/>
                <w:sz w:val="22"/>
                <w:szCs w:val="22"/>
              </w:rPr>
            </w:pPr>
          </w:p>
          <w:p w14:paraId="3BF2F4D5" w14:textId="77777777" w:rsidR="00E10423" w:rsidRPr="00C27A60" w:rsidRDefault="00E10423" w:rsidP="00E10423">
            <w:pPr>
              <w:jc w:val="both"/>
              <w:rPr>
                <w:b/>
                <w:sz w:val="22"/>
                <w:szCs w:val="22"/>
              </w:rPr>
            </w:pPr>
            <w:r w:rsidRPr="00C27A60">
              <w:rPr>
                <w:b/>
                <w:sz w:val="22"/>
                <w:szCs w:val="22"/>
              </w:rPr>
              <w:t>Пропонується до обговорення</w:t>
            </w:r>
          </w:p>
          <w:p w14:paraId="6F4FE399" w14:textId="77777777" w:rsidR="009A62DA" w:rsidRPr="00C27A60" w:rsidRDefault="009A62DA" w:rsidP="009A62DA">
            <w:pPr>
              <w:jc w:val="both"/>
              <w:rPr>
                <w:b/>
                <w:sz w:val="22"/>
                <w:szCs w:val="22"/>
              </w:rPr>
            </w:pPr>
            <w:r w:rsidRPr="00C27A60">
              <w:rPr>
                <w:b/>
                <w:sz w:val="22"/>
                <w:szCs w:val="22"/>
              </w:rPr>
              <w:t>Пропонується викласти в наступній редакції</w:t>
            </w:r>
          </w:p>
          <w:p w14:paraId="66DB519A" w14:textId="77777777" w:rsidR="009A62DA" w:rsidRPr="00C27A60" w:rsidRDefault="009A62DA" w:rsidP="009A62DA">
            <w:pPr>
              <w:jc w:val="both"/>
              <w:rPr>
                <w:b/>
                <w:sz w:val="22"/>
                <w:szCs w:val="22"/>
              </w:rPr>
            </w:pPr>
            <w:r w:rsidRPr="00C27A60">
              <w:rPr>
                <w:b/>
                <w:sz w:val="22"/>
                <w:szCs w:val="22"/>
              </w:rPr>
              <w:t>….</w:t>
            </w:r>
          </w:p>
          <w:p w14:paraId="06D665E1" w14:textId="3EDACDE7" w:rsidR="009A62DA" w:rsidRPr="00C27A60" w:rsidRDefault="009A62DA" w:rsidP="009A62DA">
            <w:pPr>
              <w:jc w:val="both"/>
              <w:rPr>
                <w:b/>
                <w:sz w:val="22"/>
                <w:szCs w:val="22"/>
              </w:rPr>
            </w:pPr>
            <w:r w:rsidRPr="00C27A60">
              <w:rPr>
                <w:sz w:val="22"/>
                <w:szCs w:val="22"/>
              </w:rPr>
              <w:t>«(з 2024 року за умови, що величина загального обсягу віддачі електричної енергії (в тис. кВт*год), що визначена за фактичними показами розрахункових засобів обліку електроенергії за звітний рік, складає не менше ніж 97% від суми величин загального обсягу віддачі електричної енергії (в тис. кВт*год), що наведені у формі звітності № 5 НКРЕКП-моніторинг-розподіл (місячна) за відповідний звітний рік).»</w:t>
            </w:r>
          </w:p>
          <w:p w14:paraId="6A0F0F8D" w14:textId="77777777" w:rsidR="009A62DA" w:rsidRPr="00C27A60" w:rsidRDefault="009A62DA" w:rsidP="009A62DA">
            <w:pPr>
              <w:jc w:val="both"/>
              <w:rPr>
                <w:b/>
                <w:sz w:val="22"/>
                <w:szCs w:val="22"/>
              </w:rPr>
            </w:pPr>
            <w:r w:rsidRPr="00C27A60">
              <w:rPr>
                <w:b/>
                <w:sz w:val="22"/>
                <w:szCs w:val="22"/>
              </w:rPr>
              <w:t>…..</w:t>
            </w:r>
          </w:p>
          <w:p w14:paraId="626331B3" w14:textId="77777777" w:rsidR="002A6E11" w:rsidRPr="00C27A60" w:rsidRDefault="002A6E11" w:rsidP="00B542FA">
            <w:pPr>
              <w:rPr>
                <w:b/>
                <w:sz w:val="22"/>
                <w:szCs w:val="22"/>
              </w:rPr>
            </w:pPr>
          </w:p>
          <w:p w14:paraId="66CC2435" w14:textId="77777777" w:rsidR="002A6E11" w:rsidRPr="00C27A60" w:rsidRDefault="002A6E11" w:rsidP="00B542FA">
            <w:pPr>
              <w:rPr>
                <w:b/>
                <w:sz w:val="22"/>
                <w:szCs w:val="22"/>
              </w:rPr>
            </w:pPr>
          </w:p>
          <w:p w14:paraId="51124816" w14:textId="77777777" w:rsidR="002A6E11" w:rsidRPr="00C27A60" w:rsidRDefault="002A6E11" w:rsidP="00B542FA">
            <w:pPr>
              <w:rPr>
                <w:b/>
                <w:sz w:val="22"/>
                <w:szCs w:val="22"/>
              </w:rPr>
            </w:pPr>
          </w:p>
          <w:p w14:paraId="37662F62" w14:textId="77777777" w:rsidR="002A6E11" w:rsidRPr="00C27A60" w:rsidRDefault="002A6E11" w:rsidP="00B542FA">
            <w:pPr>
              <w:rPr>
                <w:b/>
                <w:sz w:val="22"/>
                <w:szCs w:val="22"/>
              </w:rPr>
            </w:pPr>
          </w:p>
          <w:p w14:paraId="0AA1D564" w14:textId="77777777" w:rsidR="002A6E11" w:rsidRPr="00C27A60" w:rsidRDefault="002A6E11" w:rsidP="00B542FA">
            <w:pPr>
              <w:rPr>
                <w:b/>
                <w:sz w:val="22"/>
                <w:szCs w:val="22"/>
              </w:rPr>
            </w:pPr>
          </w:p>
          <w:p w14:paraId="6B96E350" w14:textId="77777777" w:rsidR="002A6E11" w:rsidRPr="00C27A60" w:rsidRDefault="002A6E11" w:rsidP="00B542FA">
            <w:pPr>
              <w:rPr>
                <w:b/>
                <w:sz w:val="22"/>
                <w:szCs w:val="22"/>
              </w:rPr>
            </w:pPr>
          </w:p>
          <w:p w14:paraId="6477AA12" w14:textId="77777777" w:rsidR="002A6E11" w:rsidRPr="00C27A60" w:rsidRDefault="002A6E11" w:rsidP="00B542FA">
            <w:pPr>
              <w:rPr>
                <w:b/>
                <w:sz w:val="22"/>
                <w:szCs w:val="22"/>
              </w:rPr>
            </w:pPr>
          </w:p>
          <w:p w14:paraId="50054524" w14:textId="77777777" w:rsidR="002A6E11" w:rsidRPr="00C27A60" w:rsidRDefault="002A6E11" w:rsidP="00B542FA">
            <w:pPr>
              <w:rPr>
                <w:b/>
                <w:sz w:val="22"/>
                <w:szCs w:val="22"/>
              </w:rPr>
            </w:pPr>
          </w:p>
          <w:p w14:paraId="5A520DF2" w14:textId="77777777" w:rsidR="002A6E11" w:rsidRPr="00C27A60" w:rsidRDefault="002A6E11" w:rsidP="00B542FA">
            <w:pPr>
              <w:rPr>
                <w:b/>
                <w:sz w:val="22"/>
                <w:szCs w:val="22"/>
              </w:rPr>
            </w:pPr>
          </w:p>
          <w:p w14:paraId="78F26929" w14:textId="77777777" w:rsidR="002A6E11" w:rsidRPr="00C27A60" w:rsidRDefault="002A6E11" w:rsidP="00B542FA">
            <w:pPr>
              <w:rPr>
                <w:b/>
                <w:sz w:val="22"/>
                <w:szCs w:val="22"/>
              </w:rPr>
            </w:pPr>
          </w:p>
          <w:p w14:paraId="0A9952A6" w14:textId="77777777" w:rsidR="002A6E11" w:rsidRPr="00C27A60" w:rsidRDefault="002A6E11" w:rsidP="00B542FA">
            <w:pPr>
              <w:rPr>
                <w:b/>
                <w:sz w:val="22"/>
                <w:szCs w:val="22"/>
              </w:rPr>
            </w:pPr>
          </w:p>
          <w:p w14:paraId="3B3B8E19" w14:textId="77777777" w:rsidR="002A6E11" w:rsidRPr="00C27A60" w:rsidRDefault="002A6E11" w:rsidP="00B542FA">
            <w:pPr>
              <w:rPr>
                <w:b/>
                <w:sz w:val="22"/>
                <w:szCs w:val="22"/>
              </w:rPr>
            </w:pPr>
          </w:p>
          <w:p w14:paraId="53AA7688" w14:textId="77777777" w:rsidR="002A6E11" w:rsidRPr="00C27A60" w:rsidRDefault="002A6E11" w:rsidP="00B542FA">
            <w:pPr>
              <w:rPr>
                <w:b/>
                <w:sz w:val="22"/>
                <w:szCs w:val="22"/>
              </w:rPr>
            </w:pPr>
          </w:p>
          <w:p w14:paraId="7C886D65" w14:textId="77777777" w:rsidR="002A6E11" w:rsidRPr="00C27A60" w:rsidRDefault="002A6E11" w:rsidP="00B542FA">
            <w:pPr>
              <w:rPr>
                <w:b/>
                <w:sz w:val="22"/>
                <w:szCs w:val="22"/>
              </w:rPr>
            </w:pPr>
          </w:p>
          <w:p w14:paraId="73DC1401" w14:textId="77777777" w:rsidR="002A6E11" w:rsidRPr="00C27A60" w:rsidRDefault="002A6E11" w:rsidP="00B542FA">
            <w:pPr>
              <w:rPr>
                <w:b/>
                <w:sz w:val="22"/>
                <w:szCs w:val="22"/>
              </w:rPr>
            </w:pPr>
          </w:p>
          <w:p w14:paraId="407935DF" w14:textId="77777777" w:rsidR="002A6E11" w:rsidRPr="00C27A60" w:rsidRDefault="002A6E11" w:rsidP="00B542FA">
            <w:pPr>
              <w:rPr>
                <w:b/>
                <w:sz w:val="22"/>
                <w:szCs w:val="22"/>
              </w:rPr>
            </w:pPr>
          </w:p>
          <w:p w14:paraId="7C5A90A7" w14:textId="77777777" w:rsidR="002A6E11" w:rsidRPr="00C27A60" w:rsidRDefault="002A6E11" w:rsidP="00B542FA">
            <w:pPr>
              <w:rPr>
                <w:b/>
                <w:sz w:val="22"/>
                <w:szCs w:val="22"/>
              </w:rPr>
            </w:pPr>
          </w:p>
          <w:p w14:paraId="0BA3E251" w14:textId="77777777" w:rsidR="002A6E11" w:rsidRPr="00C27A60" w:rsidRDefault="002A6E11" w:rsidP="00B542FA">
            <w:pPr>
              <w:rPr>
                <w:b/>
                <w:sz w:val="22"/>
                <w:szCs w:val="22"/>
              </w:rPr>
            </w:pPr>
          </w:p>
          <w:p w14:paraId="645FA9FE" w14:textId="77777777" w:rsidR="002A6E11" w:rsidRPr="00C27A60" w:rsidRDefault="002A6E11" w:rsidP="00B542FA">
            <w:pPr>
              <w:rPr>
                <w:b/>
                <w:sz w:val="22"/>
                <w:szCs w:val="22"/>
              </w:rPr>
            </w:pPr>
          </w:p>
          <w:p w14:paraId="1174B9FA" w14:textId="77777777" w:rsidR="002A6E11" w:rsidRPr="00C27A60" w:rsidRDefault="002A6E11" w:rsidP="00B542FA">
            <w:pPr>
              <w:rPr>
                <w:b/>
                <w:sz w:val="22"/>
                <w:szCs w:val="22"/>
              </w:rPr>
            </w:pPr>
          </w:p>
          <w:p w14:paraId="5885443C" w14:textId="77777777" w:rsidR="002A6E11" w:rsidRPr="00C27A60" w:rsidRDefault="002A6E11" w:rsidP="00B542FA">
            <w:pPr>
              <w:rPr>
                <w:b/>
                <w:sz w:val="22"/>
                <w:szCs w:val="22"/>
              </w:rPr>
            </w:pPr>
          </w:p>
          <w:p w14:paraId="51C60783" w14:textId="77777777" w:rsidR="002A6E11" w:rsidRPr="00C27A60" w:rsidRDefault="002A6E11" w:rsidP="00B542FA">
            <w:pPr>
              <w:rPr>
                <w:b/>
                <w:sz w:val="22"/>
                <w:szCs w:val="22"/>
              </w:rPr>
            </w:pPr>
          </w:p>
          <w:p w14:paraId="6B2580DC" w14:textId="77777777" w:rsidR="002A6E11" w:rsidRPr="00C27A60" w:rsidRDefault="002A6E11" w:rsidP="00B542FA">
            <w:pPr>
              <w:rPr>
                <w:b/>
                <w:sz w:val="22"/>
                <w:szCs w:val="22"/>
              </w:rPr>
            </w:pPr>
          </w:p>
          <w:p w14:paraId="1C1925B9" w14:textId="77777777" w:rsidR="002A6E11" w:rsidRPr="00C27A60" w:rsidRDefault="002A6E11" w:rsidP="00B542FA">
            <w:pPr>
              <w:rPr>
                <w:b/>
                <w:sz w:val="22"/>
                <w:szCs w:val="22"/>
              </w:rPr>
            </w:pPr>
          </w:p>
          <w:p w14:paraId="378DCA7A" w14:textId="77777777" w:rsidR="002A6E11" w:rsidRPr="00C27A60" w:rsidRDefault="002A6E11" w:rsidP="00B542FA">
            <w:pPr>
              <w:rPr>
                <w:b/>
                <w:sz w:val="22"/>
                <w:szCs w:val="22"/>
              </w:rPr>
            </w:pPr>
          </w:p>
          <w:p w14:paraId="12D07984" w14:textId="77777777" w:rsidR="002A6E11" w:rsidRPr="00C27A60" w:rsidRDefault="002A6E11" w:rsidP="00B542FA">
            <w:pPr>
              <w:rPr>
                <w:b/>
                <w:sz w:val="22"/>
                <w:szCs w:val="22"/>
              </w:rPr>
            </w:pPr>
          </w:p>
          <w:p w14:paraId="3E161ECC" w14:textId="77777777" w:rsidR="002A6E11" w:rsidRPr="00C27A60" w:rsidRDefault="002A6E11" w:rsidP="00B542FA">
            <w:pPr>
              <w:rPr>
                <w:b/>
                <w:sz w:val="22"/>
                <w:szCs w:val="22"/>
              </w:rPr>
            </w:pPr>
          </w:p>
          <w:p w14:paraId="611A8BEC" w14:textId="77777777" w:rsidR="002A6E11" w:rsidRPr="00C27A60" w:rsidRDefault="002A6E11" w:rsidP="00B542FA">
            <w:pPr>
              <w:rPr>
                <w:b/>
                <w:sz w:val="22"/>
                <w:szCs w:val="22"/>
              </w:rPr>
            </w:pPr>
          </w:p>
          <w:p w14:paraId="31ED588E" w14:textId="77777777" w:rsidR="002A6E11" w:rsidRPr="00C27A60" w:rsidRDefault="002A6E11" w:rsidP="00B542FA">
            <w:pPr>
              <w:rPr>
                <w:b/>
                <w:sz w:val="22"/>
                <w:szCs w:val="22"/>
              </w:rPr>
            </w:pPr>
          </w:p>
          <w:p w14:paraId="1AA49454" w14:textId="77777777" w:rsidR="002A6E11" w:rsidRPr="00C27A60" w:rsidRDefault="002A6E11" w:rsidP="00B542FA">
            <w:pPr>
              <w:rPr>
                <w:b/>
                <w:sz w:val="22"/>
                <w:szCs w:val="22"/>
              </w:rPr>
            </w:pPr>
          </w:p>
          <w:p w14:paraId="0C869D05" w14:textId="77777777" w:rsidR="002A6E11" w:rsidRPr="00C27A60" w:rsidRDefault="002A6E11" w:rsidP="00B542FA">
            <w:pPr>
              <w:rPr>
                <w:b/>
                <w:sz w:val="22"/>
                <w:szCs w:val="22"/>
              </w:rPr>
            </w:pPr>
          </w:p>
          <w:p w14:paraId="46F7EE51" w14:textId="77777777" w:rsidR="002A6E11" w:rsidRPr="00C27A60" w:rsidRDefault="002A6E11" w:rsidP="00B542FA">
            <w:pPr>
              <w:rPr>
                <w:b/>
                <w:sz w:val="22"/>
                <w:szCs w:val="22"/>
              </w:rPr>
            </w:pPr>
          </w:p>
          <w:p w14:paraId="7EAE42A6" w14:textId="77777777" w:rsidR="002A6E11" w:rsidRPr="00C27A60" w:rsidRDefault="002A6E11" w:rsidP="00B542FA">
            <w:pPr>
              <w:rPr>
                <w:b/>
                <w:sz w:val="22"/>
                <w:szCs w:val="22"/>
              </w:rPr>
            </w:pPr>
          </w:p>
          <w:p w14:paraId="6F3EE68B" w14:textId="77777777" w:rsidR="002A6E11" w:rsidRPr="00C27A60" w:rsidRDefault="002A6E11" w:rsidP="00B542FA">
            <w:pPr>
              <w:rPr>
                <w:b/>
                <w:sz w:val="22"/>
                <w:szCs w:val="22"/>
              </w:rPr>
            </w:pPr>
          </w:p>
          <w:p w14:paraId="5E597BED" w14:textId="77777777" w:rsidR="002A6E11" w:rsidRPr="00C27A60" w:rsidRDefault="002A6E11" w:rsidP="00B542FA">
            <w:pPr>
              <w:rPr>
                <w:b/>
                <w:sz w:val="22"/>
                <w:szCs w:val="22"/>
              </w:rPr>
            </w:pPr>
          </w:p>
          <w:p w14:paraId="17444F73" w14:textId="77777777" w:rsidR="002A6E11" w:rsidRPr="00C27A60" w:rsidRDefault="002A6E11" w:rsidP="00B542FA">
            <w:pPr>
              <w:rPr>
                <w:b/>
                <w:sz w:val="22"/>
                <w:szCs w:val="22"/>
              </w:rPr>
            </w:pPr>
          </w:p>
          <w:p w14:paraId="0DFA6009" w14:textId="77777777" w:rsidR="002A6E11" w:rsidRPr="00C27A60" w:rsidRDefault="002A6E11" w:rsidP="00B542FA">
            <w:pPr>
              <w:rPr>
                <w:b/>
                <w:sz w:val="22"/>
                <w:szCs w:val="22"/>
              </w:rPr>
            </w:pPr>
          </w:p>
          <w:p w14:paraId="75E61F8D" w14:textId="77777777" w:rsidR="002A6E11" w:rsidRPr="00C27A60" w:rsidRDefault="002A6E11" w:rsidP="00B542FA">
            <w:pPr>
              <w:rPr>
                <w:b/>
                <w:sz w:val="22"/>
                <w:szCs w:val="22"/>
              </w:rPr>
            </w:pPr>
          </w:p>
          <w:p w14:paraId="1B3D467D" w14:textId="77777777" w:rsidR="002A6E11" w:rsidRPr="00C27A60" w:rsidRDefault="002A6E11" w:rsidP="00B542FA">
            <w:pPr>
              <w:rPr>
                <w:b/>
                <w:sz w:val="22"/>
                <w:szCs w:val="22"/>
              </w:rPr>
            </w:pPr>
          </w:p>
          <w:p w14:paraId="7A6CD9FC" w14:textId="77777777" w:rsidR="002A6E11" w:rsidRPr="00C27A60" w:rsidRDefault="002A6E11" w:rsidP="00B542FA">
            <w:pPr>
              <w:rPr>
                <w:b/>
                <w:sz w:val="22"/>
                <w:szCs w:val="22"/>
              </w:rPr>
            </w:pPr>
          </w:p>
          <w:p w14:paraId="697CA0CE" w14:textId="77777777" w:rsidR="002A6E11" w:rsidRPr="00C27A60" w:rsidRDefault="002A6E11" w:rsidP="00B542FA">
            <w:pPr>
              <w:rPr>
                <w:b/>
                <w:sz w:val="22"/>
                <w:szCs w:val="22"/>
              </w:rPr>
            </w:pPr>
          </w:p>
          <w:p w14:paraId="31349E44" w14:textId="77777777" w:rsidR="002A6E11" w:rsidRPr="00C27A60" w:rsidRDefault="002A6E11" w:rsidP="00B542FA">
            <w:pPr>
              <w:rPr>
                <w:b/>
                <w:sz w:val="22"/>
                <w:szCs w:val="22"/>
              </w:rPr>
            </w:pPr>
          </w:p>
          <w:p w14:paraId="36B3C70E" w14:textId="77777777" w:rsidR="002A6E11" w:rsidRPr="00C27A60" w:rsidRDefault="002A6E11" w:rsidP="00B542FA">
            <w:pPr>
              <w:rPr>
                <w:b/>
                <w:sz w:val="22"/>
                <w:szCs w:val="22"/>
              </w:rPr>
            </w:pPr>
          </w:p>
          <w:p w14:paraId="4B4699AB" w14:textId="77777777" w:rsidR="002A6E11" w:rsidRPr="00C27A60" w:rsidRDefault="002A6E11" w:rsidP="00B542FA">
            <w:pPr>
              <w:rPr>
                <w:b/>
                <w:sz w:val="22"/>
                <w:szCs w:val="22"/>
              </w:rPr>
            </w:pPr>
          </w:p>
          <w:p w14:paraId="106D6F0F" w14:textId="77777777" w:rsidR="002A6E11" w:rsidRPr="00C27A60" w:rsidRDefault="002A6E11" w:rsidP="00B542FA">
            <w:pPr>
              <w:rPr>
                <w:b/>
                <w:sz w:val="22"/>
                <w:szCs w:val="22"/>
              </w:rPr>
            </w:pPr>
          </w:p>
          <w:p w14:paraId="27D6F8E0" w14:textId="77777777" w:rsidR="002A6E11" w:rsidRPr="00C27A60" w:rsidRDefault="002A6E11" w:rsidP="00B542FA">
            <w:pPr>
              <w:rPr>
                <w:b/>
                <w:sz w:val="22"/>
                <w:szCs w:val="22"/>
              </w:rPr>
            </w:pPr>
          </w:p>
          <w:p w14:paraId="63DCE4D7" w14:textId="77777777" w:rsidR="002A6E11" w:rsidRPr="00C27A60" w:rsidRDefault="002A6E11" w:rsidP="00B542FA">
            <w:pPr>
              <w:rPr>
                <w:b/>
                <w:sz w:val="22"/>
                <w:szCs w:val="22"/>
              </w:rPr>
            </w:pPr>
          </w:p>
          <w:p w14:paraId="46A22683" w14:textId="77777777" w:rsidR="002A6E11" w:rsidRPr="00C27A60" w:rsidRDefault="002A6E11" w:rsidP="00B542FA">
            <w:pPr>
              <w:rPr>
                <w:b/>
                <w:sz w:val="22"/>
                <w:szCs w:val="22"/>
              </w:rPr>
            </w:pPr>
          </w:p>
          <w:p w14:paraId="4F897B9D" w14:textId="77777777" w:rsidR="002A6E11" w:rsidRPr="00C27A60" w:rsidRDefault="002A6E11" w:rsidP="00B542FA">
            <w:pPr>
              <w:rPr>
                <w:b/>
                <w:sz w:val="22"/>
                <w:szCs w:val="22"/>
              </w:rPr>
            </w:pPr>
          </w:p>
          <w:p w14:paraId="14A25ED8" w14:textId="77777777" w:rsidR="002A6E11" w:rsidRPr="00C27A60" w:rsidRDefault="002A6E11" w:rsidP="00B542FA">
            <w:pPr>
              <w:rPr>
                <w:b/>
                <w:sz w:val="22"/>
                <w:szCs w:val="22"/>
              </w:rPr>
            </w:pPr>
          </w:p>
          <w:p w14:paraId="61A73D2F" w14:textId="77777777" w:rsidR="002A6E11" w:rsidRPr="00C27A60" w:rsidRDefault="002A6E11" w:rsidP="00B542FA">
            <w:pPr>
              <w:rPr>
                <w:b/>
                <w:sz w:val="22"/>
                <w:szCs w:val="22"/>
              </w:rPr>
            </w:pPr>
          </w:p>
          <w:p w14:paraId="11A161BF" w14:textId="77777777" w:rsidR="002A6E11" w:rsidRPr="00C27A60" w:rsidRDefault="002A6E11" w:rsidP="00B542FA">
            <w:pPr>
              <w:rPr>
                <w:b/>
                <w:sz w:val="22"/>
                <w:szCs w:val="22"/>
              </w:rPr>
            </w:pPr>
          </w:p>
          <w:p w14:paraId="75E5AC02" w14:textId="77777777" w:rsidR="002A6E11" w:rsidRPr="00C27A60" w:rsidRDefault="002A6E11" w:rsidP="00B542FA">
            <w:pPr>
              <w:rPr>
                <w:b/>
                <w:sz w:val="22"/>
                <w:szCs w:val="22"/>
              </w:rPr>
            </w:pPr>
          </w:p>
          <w:p w14:paraId="5AC8C4CC" w14:textId="77777777" w:rsidR="002A6E11" w:rsidRPr="00C27A60" w:rsidRDefault="002A6E11" w:rsidP="00B542FA">
            <w:pPr>
              <w:rPr>
                <w:b/>
                <w:sz w:val="22"/>
                <w:szCs w:val="22"/>
              </w:rPr>
            </w:pPr>
          </w:p>
          <w:p w14:paraId="29908F0B" w14:textId="77777777" w:rsidR="002A6E11" w:rsidRPr="00C27A60" w:rsidRDefault="002A6E11" w:rsidP="00B542FA">
            <w:pPr>
              <w:rPr>
                <w:b/>
                <w:sz w:val="22"/>
                <w:szCs w:val="22"/>
              </w:rPr>
            </w:pPr>
          </w:p>
          <w:p w14:paraId="2213BC4A" w14:textId="77777777" w:rsidR="002A6E11" w:rsidRPr="00C27A60" w:rsidRDefault="002A6E11" w:rsidP="00B542FA">
            <w:pPr>
              <w:rPr>
                <w:b/>
                <w:sz w:val="22"/>
                <w:szCs w:val="22"/>
              </w:rPr>
            </w:pPr>
          </w:p>
          <w:p w14:paraId="13FCA277" w14:textId="77777777" w:rsidR="002A6E11" w:rsidRPr="00C27A60" w:rsidRDefault="002A6E11" w:rsidP="00B542FA">
            <w:pPr>
              <w:rPr>
                <w:b/>
                <w:sz w:val="22"/>
                <w:szCs w:val="22"/>
              </w:rPr>
            </w:pPr>
          </w:p>
          <w:p w14:paraId="117B5EE2" w14:textId="77777777" w:rsidR="002A6E11" w:rsidRPr="00C27A60" w:rsidRDefault="002A6E11" w:rsidP="00B542FA">
            <w:pPr>
              <w:rPr>
                <w:b/>
                <w:sz w:val="22"/>
                <w:szCs w:val="22"/>
              </w:rPr>
            </w:pPr>
          </w:p>
          <w:p w14:paraId="581AF4CD" w14:textId="77777777" w:rsidR="002A6E11" w:rsidRPr="00C27A60" w:rsidRDefault="002A6E11" w:rsidP="00B542FA">
            <w:pPr>
              <w:rPr>
                <w:b/>
                <w:sz w:val="22"/>
                <w:szCs w:val="22"/>
              </w:rPr>
            </w:pPr>
          </w:p>
          <w:p w14:paraId="15169C80" w14:textId="77777777" w:rsidR="002A6E11" w:rsidRPr="00C27A60" w:rsidRDefault="002A6E11" w:rsidP="00B542FA">
            <w:pPr>
              <w:rPr>
                <w:b/>
                <w:sz w:val="22"/>
                <w:szCs w:val="22"/>
              </w:rPr>
            </w:pPr>
          </w:p>
          <w:p w14:paraId="54A3A6CB" w14:textId="77777777" w:rsidR="002A6E11" w:rsidRPr="00C27A60" w:rsidRDefault="002A6E11" w:rsidP="00B542FA">
            <w:pPr>
              <w:rPr>
                <w:b/>
                <w:sz w:val="22"/>
                <w:szCs w:val="22"/>
              </w:rPr>
            </w:pPr>
          </w:p>
          <w:p w14:paraId="0866792C" w14:textId="77777777" w:rsidR="002A6E11" w:rsidRPr="00C27A60" w:rsidRDefault="002A6E11" w:rsidP="00B542FA">
            <w:pPr>
              <w:rPr>
                <w:b/>
                <w:sz w:val="22"/>
                <w:szCs w:val="22"/>
              </w:rPr>
            </w:pPr>
          </w:p>
          <w:p w14:paraId="57544649" w14:textId="77777777" w:rsidR="002A6E11" w:rsidRPr="00C27A60" w:rsidRDefault="002A6E11" w:rsidP="00B542FA">
            <w:pPr>
              <w:rPr>
                <w:b/>
                <w:sz w:val="22"/>
                <w:szCs w:val="22"/>
              </w:rPr>
            </w:pPr>
          </w:p>
          <w:p w14:paraId="7E9F4710" w14:textId="77777777" w:rsidR="002A6E11" w:rsidRPr="00C27A60" w:rsidRDefault="002A6E11" w:rsidP="00B542FA">
            <w:pPr>
              <w:rPr>
                <w:b/>
                <w:sz w:val="22"/>
                <w:szCs w:val="22"/>
              </w:rPr>
            </w:pPr>
          </w:p>
          <w:p w14:paraId="34405868" w14:textId="77777777" w:rsidR="002A6E11" w:rsidRPr="00C27A60" w:rsidRDefault="002A6E11" w:rsidP="00B542FA">
            <w:pPr>
              <w:rPr>
                <w:b/>
                <w:sz w:val="22"/>
                <w:szCs w:val="22"/>
              </w:rPr>
            </w:pPr>
          </w:p>
          <w:p w14:paraId="5953D441" w14:textId="77777777" w:rsidR="002A6E11" w:rsidRPr="00C27A60" w:rsidRDefault="002A6E11" w:rsidP="00B542FA">
            <w:pPr>
              <w:rPr>
                <w:b/>
                <w:sz w:val="22"/>
                <w:szCs w:val="22"/>
              </w:rPr>
            </w:pPr>
          </w:p>
          <w:p w14:paraId="0359B18B" w14:textId="77777777" w:rsidR="002A6E11" w:rsidRPr="00C27A60" w:rsidRDefault="002A6E11" w:rsidP="00B542FA">
            <w:pPr>
              <w:rPr>
                <w:b/>
                <w:sz w:val="22"/>
                <w:szCs w:val="22"/>
              </w:rPr>
            </w:pPr>
          </w:p>
          <w:p w14:paraId="58DC4FF4" w14:textId="77777777" w:rsidR="002A6E11" w:rsidRPr="00C27A60" w:rsidRDefault="002A6E11" w:rsidP="00B542FA">
            <w:pPr>
              <w:rPr>
                <w:b/>
                <w:sz w:val="22"/>
                <w:szCs w:val="22"/>
              </w:rPr>
            </w:pPr>
          </w:p>
          <w:p w14:paraId="2E8064D5" w14:textId="77777777" w:rsidR="002A6E11" w:rsidRPr="00C27A60" w:rsidRDefault="002A6E11" w:rsidP="00B542FA">
            <w:pPr>
              <w:rPr>
                <w:b/>
                <w:sz w:val="22"/>
                <w:szCs w:val="22"/>
              </w:rPr>
            </w:pPr>
          </w:p>
          <w:p w14:paraId="03C9DE1A" w14:textId="77777777" w:rsidR="002A6E11" w:rsidRPr="00C27A60" w:rsidRDefault="002A6E11" w:rsidP="00B542FA">
            <w:pPr>
              <w:rPr>
                <w:b/>
                <w:sz w:val="22"/>
                <w:szCs w:val="22"/>
              </w:rPr>
            </w:pPr>
          </w:p>
          <w:p w14:paraId="0D96B99B" w14:textId="77777777" w:rsidR="002A6E11" w:rsidRPr="00C27A60" w:rsidRDefault="002A6E11" w:rsidP="00B542FA">
            <w:pPr>
              <w:rPr>
                <w:b/>
                <w:sz w:val="22"/>
                <w:szCs w:val="22"/>
              </w:rPr>
            </w:pPr>
          </w:p>
          <w:p w14:paraId="44B711AD" w14:textId="77777777" w:rsidR="002A6E11" w:rsidRPr="00C27A60" w:rsidRDefault="002A6E11" w:rsidP="00B542FA">
            <w:pPr>
              <w:rPr>
                <w:b/>
                <w:sz w:val="22"/>
                <w:szCs w:val="22"/>
              </w:rPr>
            </w:pPr>
          </w:p>
          <w:p w14:paraId="02B40695" w14:textId="77777777" w:rsidR="002A6E11" w:rsidRPr="00C27A60" w:rsidRDefault="002A6E11" w:rsidP="00B542FA">
            <w:pPr>
              <w:rPr>
                <w:b/>
                <w:sz w:val="22"/>
                <w:szCs w:val="22"/>
              </w:rPr>
            </w:pPr>
          </w:p>
          <w:p w14:paraId="2952A825" w14:textId="77777777" w:rsidR="002A6E11" w:rsidRPr="00C27A60" w:rsidRDefault="002A6E11" w:rsidP="00B542FA">
            <w:pPr>
              <w:rPr>
                <w:b/>
                <w:sz w:val="22"/>
                <w:szCs w:val="22"/>
              </w:rPr>
            </w:pPr>
          </w:p>
          <w:p w14:paraId="76CA0D57" w14:textId="77777777" w:rsidR="002A6E11" w:rsidRPr="00C27A60" w:rsidRDefault="002A6E11" w:rsidP="00B542FA">
            <w:pPr>
              <w:rPr>
                <w:b/>
                <w:sz w:val="22"/>
                <w:szCs w:val="22"/>
              </w:rPr>
            </w:pPr>
          </w:p>
          <w:p w14:paraId="73CFB565" w14:textId="77777777" w:rsidR="002A6E11" w:rsidRPr="00C27A60" w:rsidRDefault="002A6E11" w:rsidP="00B542FA">
            <w:pPr>
              <w:rPr>
                <w:b/>
                <w:sz w:val="22"/>
                <w:szCs w:val="22"/>
              </w:rPr>
            </w:pPr>
          </w:p>
          <w:p w14:paraId="71B6CAB2" w14:textId="77777777" w:rsidR="002A6E11" w:rsidRPr="00C27A60" w:rsidRDefault="002A6E11" w:rsidP="00B542FA">
            <w:pPr>
              <w:rPr>
                <w:b/>
                <w:sz w:val="22"/>
                <w:szCs w:val="22"/>
              </w:rPr>
            </w:pPr>
          </w:p>
          <w:p w14:paraId="493A17C6" w14:textId="77777777" w:rsidR="002A6E11" w:rsidRPr="00C27A60" w:rsidRDefault="002A6E11" w:rsidP="00B542FA">
            <w:pPr>
              <w:rPr>
                <w:b/>
                <w:sz w:val="22"/>
                <w:szCs w:val="22"/>
              </w:rPr>
            </w:pPr>
          </w:p>
          <w:p w14:paraId="56787A24" w14:textId="77777777" w:rsidR="002A6E11" w:rsidRPr="00C27A60" w:rsidRDefault="002A6E11" w:rsidP="00B542FA">
            <w:pPr>
              <w:rPr>
                <w:b/>
                <w:sz w:val="22"/>
                <w:szCs w:val="22"/>
              </w:rPr>
            </w:pPr>
          </w:p>
          <w:p w14:paraId="01A30513" w14:textId="77777777" w:rsidR="002A6E11" w:rsidRPr="00C27A60" w:rsidRDefault="002A6E11" w:rsidP="00B542FA">
            <w:pPr>
              <w:rPr>
                <w:b/>
                <w:sz w:val="22"/>
                <w:szCs w:val="22"/>
              </w:rPr>
            </w:pPr>
          </w:p>
          <w:p w14:paraId="1D198556" w14:textId="77777777" w:rsidR="002A6E11" w:rsidRPr="00C27A60" w:rsidRDefault="002A6E11" w:rsidP="00B542FA">
            <w:pPr>
              <w:rPr>
                <w:b/>
                <w:sz w:val="22"/>
                <w:szCs w:val="22"/>
              </w:rPr>
            </w:pPr>
          </w:p>
          <w:p w14:paraId="2DA4307B" w14:textId="77777777" w:rsidR="002A6E11" w:rsidRPr="00C27A60" w:rsidRDefault="002A6E11" w:rsidP="00B542FA">
            <w:pPr>
              <w:rPr>
                <w:b/>
                <w:sz w:val="22"/>
                <w:szCs w:val="22"/>
              </w:rPr>
            </w:pPr>
          </w:p>
          <w:p w14:paraId="72FE7299" w14:textId="77777777" w:rsidR="002A6E11" w:rsidRPr="00C27A60" w:rsidRDefault="002A6E11" w:rsidP="00B542FA">
            <w:pPr>
              <w:rPr>
                <w:b/>
                <w:sz w:val="22"/>
                <w:szCs w:val="22"/>
              </w:rPr>
            </w:pPr>
          </w:p>
          <w:p w14:paraId="7AD0F45F" w14:textId="77777777" w:rsidR="002A6E11" w:rsidRPr="00C27A60" w:rsidRDefault="002A6E11" w:rsidP="00B542FA">
            <w:pPr>
              <w:rPr>
                <w:b/>
                <w:sz w:val="22"/>
                <w:szCs w:val="22"/>
              </w:rPr>
            </w:pPr>
          </w:p>
          <w:p w14:paraId="3C9604C0" w14:textId="77777777" w:rsidR="002A6E11" w:rsidRPr="00C27A60" w:rsidRDefault="002A6E11" w:rsidP="00B542FA">
            <w:pPr>
              <w:rPr>
                <w:b/>
                <w:sz w:val="22"/>
                <w:szCs w:val="22"/>
              </w:rPr>
            </w:pPr>
          </w:p>
          <w:p w14:paraId="72889CD5" w14:textId="77777777" w:rsidR="002A6E11" w:rsidRPr="00C27A60" w:rsidRDefault="002A6E11" w:rsidP="00B542FA">
            <w:pPr>
              <w:rPr>
                <w:b/>
                <w:sz w:val="22"/>
                <w:szCs w:val="22"/>
              </w:rPr>
            </w:pPr>
          </w:p>
          <w:p w14:paraId="4DD40E32" w14:textId="77777777" w:rsidR="002A6E11" w:rsidRPr="00C27A60" w:rsidRDefault="002A6E11" w:rsidP="00B542FA">
            <w:pPr>
              <w:rPr>
                <w:b/>
                <w:sz w:val="22"/>
                <w:szCs w:val="22"/>
              </w:rPr>
            </w:pPr>
          </w:p>
          <w:p w14:paraId="10958237" w14:textId="77777777" w:rsidR="002A6E11" w:rsidRPr="00C27A60" w:rsidRDefault="002A6E11" w:rsidP="00B542FA">
            <w:pPr>
              <w:rPr>
                <w:b/>
                <w:sz w:val="22"/>
                <w:szCs w:val="22"/>
              </w:rPr>
            </w:pPr>
          </w:p>
          <w:p w14:paraId="706749FC" w14:textId="77777777" w:rsidR="002A6E11" w:rsidRPr="00C27A60" w:rsidRDefault="002A6E11" w:rsidP="00B542FA">
            <w:pPr>
              <w:rPr>
                <w:b/>
                <w:sz w:val="22"/>
                <w:szCs w:val="22"/>
              </w:rPr>
            </w:pPr>
          </w:p>
          <w:p w14:paraId="7E44C299" w14:textId="77777777" w:rsidR="002A6E11" w:rsidRPr="00C27A60" w:rsidRDefault="002A6E11" w:rsidP="00B542FA">
            <w:pPr>
              <w:rPr>
                <w:b/>
                <w:sz w:val="22"/>
                <w:szCs w:val="22"/>
              </w:rPr>
            </w:pPr>
          </w:p>
          <w:p w14:paraId="70298C86" w14:textId="77777777" w:rsidR="002A6E11" w:rsidRPr="00C27A60" w:rsidRDefault="002A6E11" w:rsidP="00B542FA">
            <w:pPr>
              <w:rPr>
                <w:b/>
                <w:sz w:val="22"/>
                <w:szCs w:val="22"/>
              </w:rPr>
            </w:pPr>
          </w:p>
          <w:p w14:paraId="0B99B44E" w14:textId="77777777" w:rsidR="002A6E11" w:rsidRPr="00C27A60" w:rsidRDefault="002A6E11" w:rsidP="00B542FA">
            <w:pPr>
              <w:rPr>
                <w:b/>
                <w:sz w:val="22"/>
                <w:szCs w:val="22"/>
              </w:rPr>
            </w:pPr>
          </w:p>
          <w:p w14:paraId="727A71AC" w14:textId="77777777" w:rsidR="002A6E11" w:rsidRPr="00C27A60" w:rsidRDefault="002A6E11" w:rsidP="00B542FA">
            <w:pPr>
              <w:rPr>
                <w:b/>
                <w:sz w:val="22"/>
                <w:szCs w:val="22"/>
              </w:rPr>
            </w:pPr>
          </w:p>
          <w:p w14:paraId="4F36C3DC" w14:textId="77777777" w:rsidR="002A6E11" w:rsidRPr="00C27A60" w:rsidRDefault="002A6E11" w:rsidP="00B542FA">
            <w:pPr>
              <w:rPr>
                <w:b/>
                <w:sz w:val="22"/>
                <w:szCs w:val="22"/>
              </w:rPr>
            </w:pPr>
          </w:p>
          <w:p w14:paraId="66B69C65" w14:textId="77777777" w:rsidR="002A6E11" w:rsidRPr="00C27A60" w:rsidRDefault="002A6E11" w:rsidP="00B542FA">
            <w:pPr>
              <w:rPr>
                <w:b/>
                <w:sz w:val="22"/>
                <w:szCs w:val="22"/>
              </w:rPr>
            </w:pPr>
          </w:p>
          <w:p w14:paraId="79CF8915" w14:textId="77777777" w:rsidR="002A6E11" w:rsidRPr="00C27A60" w:rsidRDefault="002A6E11" w:rsidP="00B542FA">
            <w:pPr>
              <w:rPr>
                <w:b/>
                <w:sz w:val="22"/>
                <w:szCs w:val="22"/>
              </w:rPr>
            </w:pPr>
          </w:p>
          <w:p w14:paraId="66E5130A" w14:textId="77777777" w:rsidR="002A6E11" w:rsidRPr="00C27A60" w:rsidRDefault="002A6E11" w:rsidP="00B542FA">
            <w:pPr>
              <w:rPr>
                <w:b/>
                <w:sz w:val="22"/>
                <w:szCs w:val="22"/>
              </w:rPr>
            </w:pPr>
          </w:p>
          <w:p w14:paraId="2A87646D" w14:textId="77777777" w:rsidR="002A6E11" w:rsidRPr="00C27A60" w:rsidRDefault="002A6E11" w:rsidP="00B542FA">
            <w:pPr>
              <w:rPr>
                <w:b/>
                <w:sz w:val="22"/>
                <w:szCs w:val="22"/>
              </w:rPr>
            </w:pPr>
          </w:p>
          <w:p w14:paraId="3D913FD8" w14:textId="77777777" w:rsidR="002A6E11" w:rsidRPr="00C27A60" w:rsidRDefault="002A6E11" w:rsidP="00B542FA">
            <w:pPr>
              <w:rPr>
                <w:b/>
                <w:sz w:val="22"/>
                <w:szCs w:val="22"/>
              </w:rPr>
            </w:pPr>
          </w:p>
          <w:p w14:paraId="44803614" w14:textId="77777777" w:rsidR="002A6E11" w:rsidRPr="00C27A60" w:rsidRDefault="002A6E11" w:rsidP="00B542FA">
            <w:pPr>
              <w:rPr>
                <w:b/>
                <w:sz w:val="22"/>
                <w:szCs w:val="22"/>
              </w:rPr>
            </w:pPr>
          </w:p>
          <w:p w14:paraId="04129E2D" w14:textId="77777777" w:rsidR="002A6E11" w:rsidRPr="00C27A60" w:rsidRDefault="002A6E11" w:rsidP="00B542FA">
            <w:pPr>
              <w:rPr>
                <w:b/>
                <w:sz w:val="22"/>
                <w:szCs w:val="22"/>
              </w:rPr>
            </w:pPr>
          </w:p>
          <w:p w14:paraId="25A2DE35" w14:textId="77777777" w:rsidR="002A6E11" w:rsidRPr="00C27A60" w:rsidRDefault="002A6E11" w:rsidP="00B542FA">
            <w:pPr>
              <w:rPr>
                <w:b/>
                <w:sz w:val="22"/>
                <w:szCs w:val="22"/>
              </w:rPr>
            </w:pPr>
          </w:p>
          <w:p w14:paraId="72A38D1D" w14:textId="77777777" w:rsidR="002A6E11" w:rsidRPr="00C27A60" w:rsidRDefault="002A6E11" w:rsidP="00B542FA">
            <w:pPr>
              <w:rPr>
                <w:b/>
                <w:sz w:val="22"/>
                <w:szCs w:val="22"/>
              </w:rPr>
            </w:pPr>
          </w:p>
          <w:p w14:paraId="78424ED1" w14:textId="77777777" w:rsidR="002A6E11" w:rsidRPr="00C27A60" w:rsidRDefault="002A6E11" w:rsidP="00B542FA">
            <w:pPr>
              <w:rPr>
                <w:b/>
                <w:sz w:val="22"/>
                <w:szCs w:val="22"/>
              </w:rPr>
            </w:pPr>
          </w:p>
          <w:p w14:paraId="201C6A64" w14:textId="77777777" w:rsidR="002A6E11" w:rsidRPr="00C27A60" w:rsidRDefault="002A6E11" w:rsidP="00B542FA">
            <w:pPr>
              <w:rPr>
                <w:b/>
                <w:sz w:val="22"/>
                <w:szCs w:val="22"/>
              </w:rPr>
            </w:pPr>
          </w:p>
          <w:p w14:paraId="57BF9241" w14:textId="77777777" w:rsidR="002A6E11" w:rsidRPr="00C27A60" w:rsidRDefault="002A6E11" w:rsidP="00B542FA">
            <w:pPr>
              <w:rPr>
                <w:b/>
                <w:sz w:val="22"/>
                <w:szCs w:val="22"/>
              </w:rPr>
            </w:pPr>
          </w:p>
          <w:p w14:paraId="12A54623" w14:textId="77777777" w:rsidR="002A6E11" w:rsidRPr="00C27A60" w:rsidRDefault="002A6E11" w:rsidP="00B542FA">
            <w:pPr>
              <w:rPr>
                <w:b/>
                <w:sz w:val="22"/>
                <w:szCs w:val="22"/>
              </w:rPr>
            </w:pPr>
          </w:p>
          <w:p w14:paraId="001065C8" w14:textId="77777777" w:rsidR="002A6E11" w:rsidRPr="00C27A60" w:rsidRDefault="002A6E11" w:rsidP="00B542FA">
            <w:pPr>
              <w:rPr>
                <w:b/>
                <w:sz w:val="22"/>
                <w:szCs w:val="22"/>
              </w:rPr>
            </w:pPr>
          </w:p>
          <w:p w14:paraId="537EDC85" w14:textId="77777777" w:rsidR="002A6E11" w:rsidRPr="00C27A60" w:rsidRDefault="002A6E11" w:rsidP="00B542FA">
            <w:pPr>
              <w:rPr>
                <w:b/>
                <w:sz w:val="22"/>
                <w:szCs w:val="22"/>
              </w:rPr>
            </w:pPr>
          </w:p>
          <w:p w14:paraId="327300F5" w14:textId="77777777" w:rsidR="002A6E11" w:rsidRPr="00C27A60" w:rsidRDefault="002A6E11" w:rsidP="00B542FA">
            <w:pPr>
              <w:rPr>
                <w:b/>
                <w:sz w:val="22"/>
                <w:szCs w:val="22"/>
              </w:rPr>
            </w:pPr>
          </w:p>
          <w:p w14:paraId="5B101DAF" w14:textId="77777777" w:rsidR="002A6E11" w:rsidRPr="00C27A60" w:rsidRDefault="002A6E11" w:rsidP="00B542FA">
            <w:pPr>
              <w:rPr>
                <w:b/>
                <w:sz w:val="22"/>
                <w:szCs w:val="22"/>
              </w:rPr>
            </w:pPr>
          </w:p>
          <w:p w14:paraId="4CE2CF23" w14:textId="77777777" w:rsidR="002A6E11" w:rsidRPr="00C27A60" w:rsidRDefault="002A6E11" w:rsidP="00B542FA">
            <w:pPr>
              <w:rPr>
                <w:b/>
                <w:sz w:val="22"/>
                <w:szCs w:val="22"/>
              </w:rPr>
            </w:pPr>
          </w:p>
          <w:p w14:paraId="6054ED77" w14:textId="77777777" w:rsidR="002A6E11" w:rsidRPr="00C27A60" w:rsidRDefault="002A6E11" w:rsidP="00B542FA">
            <w:pPr>
              <w:rPr>
                <w:b/>
                <w:sz w:val="22"/>
                <w:szCs w:val="22"/>
              </w:rPr>
            </w:pPr>
          </w:p>
          <w:p w14:paraId="2F51441F" w14:textId="77777777" w:rsidR="002A6E11" w:rsidRPr="00C27A60" w:rsidRDefault="002A6E11" w:rsidP="00B542FA">
            <w:pPr>
              <w:rPr>
                <w:b/>
                <w:sz w:val="22"/>
                <w:szCs w:val="22"/>
              </w:rPr>
            </w:pPr>
          </w:p>
          <w:p w14:paraId="697C52CF" w14:textId="77777777" w:rsidR="002A6E11" w:rsidRPr="00C27A60" w:rsidRDefault="002A6E11" w:rsidP="00B542FA">
            <w:pPr>
              <w:rPr>
                <w:b/>
                <w:sz w:val="22"/>
                <w:szCs w:val="22"/>
              </w:rPr>
            </w:pPr>
          </w:p>
          <w:p w14:paraId="47416AAA" w14:textId="77777777" w:rsidR="002A6E11" w:rsidRPr="00C27A60" w:rsidRDefault="002A6E11" w:rsidP="00B542FA">
            <w:pPr>
              <w:rPr>
                <w:b/>
                <w:sz w:val="22"/>
                <w:szCs w:val="22"/>
              </w:rPr>
            </w:pPr>
          </w:p>
          <w:p w14:paraId="7DD78B0A" w14:textId="77777777" w:rsidR="002A6E11" w:rsidRPr="00C27A60" w:rsidRDefault="002A6E11" w:rsidP="00B542FA">
            <w:pPr>
              <w:rPr>
                <w:b/>
                <w:sz w:val="22"/>
                <w:szCs w:val="22"/>
              </w:rPr>
            </w:pPr>
          </w:p>
          <w:p w14:paraId="3D4850EB" w14:textId="77777777" w:rsidR="002A6E11" w:rsidRPr="00C27A60" w:rsidRDefault="002A6E11" w:rsidP="00B542FA">
            <w:pPr>
              <w:rPr>
                <w:b/>
                <w:sz w:val="22"/>
                <w:szCs w:val="22"/>
              </w:rPr>
            </w:pPr>
          </w:p>
          <w:p w14:paraId="4D865632" w14:textId="77777777" w:rsidR="002A6E11" w:rsidRPr="00C27A60" w:rsidRDefault="002A6E11" w:rsidP="00B542FA">
            <w:pPr>
              <w:rPr>
                <w:b/>
                <w:sz w:val="22"/>
                <w:szCs w:val="22"/>
              </w:rPr>
            </w:pPr>
          </w:p>
          <w:p w14:paraId="2DA088B7" w14:textId="77777777" w:rsidR="002A6E11" w:rsidRPr="00C27A60" w:rsidRDefault="002A6E11" w:rsidP="00B542FA">
            <w:pPr>
              <w:rPr>
                <w:b/>
                <w:sz w:val="22"/>
                <w:szCs w:val="22"/>
              </w:rPr>
            </w:pPr>
          </w:p>
          <w:p w14:paraId="42213681" w14:textId="77777777" w:rsidR="002A6E11" w:rsidRPr="00C27A60" w:rsidRDefault="002A6E11" w:rsidP="00B542FA">
            <w:pPr>
              <w:rPr>
                <w:b/>
                <w:sz w:val="22"/>
                <w:szCs w:val="22"/>
              </w:rPr>
            </w:pPr>
          </w:p>
          <w:p w14:paraId="78A3924B" w14:textId="77777777" w:rsidR="002A6E11" w:rsidRPr="00C27A60" w:rsidRDefault="002A6E11" w:rsidP="00B542FA">
            <w:pPr>
              <w:rPr>
                <w:b/>
                <w:sz w:val="22"/>
                <w:szCs w:val="22"/>
              </w:rPr>
            </w:pPr>
          </w:p>
          <w:p w14:paraId="750F5A13" w14:textId="77777777" w:rsidR="002A6E11" w:rsidRPr="00C27A60" w:rsidRDefault="002A6E11" w:rsidP="00B542FA">
            <w:pPr>
              <w:rPr>
                <w:b/>
                <w:sz w:val="22"/>
                <w:szCs w:val="22"/>
              </w:rPr>
            </w:pPr>
          </w:p>
          <w:p w14:paraId="2B6C2075" w14:textId="77777777" w:rsidR="002A6E11" w:rsidRPr="00C27A60" w:rsidRDefault="002A6E11" w:rsidP="00B542FA">
            <w:pPr>
              <w:rPr>
                <w:b/>
                <w:sz w:val="22"/>
                <w:szCs w:val="22"/>
              </w:rPr>
            </w:pPr>
          </w:p>
          <w:p w14:paraId="3E1316BE" w14:textId="77777777" w:rsidR="002A6E11" w:rsidRPr="00C27A60" w:rsidRDefault="002A6E11" w:rsidP="00B542FA">
            <w:pPr>
              <w:rPr>
                <w:b/>
                <w:sz w:val="22"/>
                <w:szCs w:val="22"/>
              </w:rPr>
            </w:pPr>
          </w:p>
          <w:p w14:paraId="5A0FBA86" w14:textId="77777777" w:rsidR="002A6E11" w:rsidRPr="00C27A60" w:rsidRDefault="002A6E11" w:rsidP="00B542FA">
            <w:pPr>
              <w:rPr>
                <w:b/>
                <w:sz w:val="22"/>
                <w:szCs w:val="22"/>
              </w:rPr>
            </w:pPr>
          </w:p>
          <w:p w14:paraId="74D3A06E" w14:textId="77777777" w:rsidR="002A6E11" w:rsidRPr="00C27A60" w:rsidRDefault="002A6E11" w:rsidP="00B542FA">
            <w:pPr>
              <w:rPr>
                <w:b/>
                <w:sz w:val="22"/>
                <w:szCs w:val="22"/>
              </w:rPr>
            </w:pPr>
          </w:p>
          <w:p w14:paraId="2B3217C0" w14:textId="77777777" w:rsidR="002A6E11" w:rsidRPr="00C27A60" w:rsidRDefault="002A6E11" w:rsidP="00B542FA">
            <w:pPr>
              <w:rPr>
                <w:b/>
                <w:sz w:val="22"/>
                <w:szCs w:val="22"/>
              </w:rPr>
            </w:pPr>
          </w:p>
          <w:p w14:paraId="31D2AB11" w14:textId="77777777" w:rsidR="002A6E11" w:rsidRPr="00C27A60" w:rsidRDefault="002A6E11" w:rsidP="00B542FA">
            <w:pPr>
              <w:rPr>
                <w:b/>
                <w:sz w:val="22"/>
                <w:szCs w:val="22"/>
              </w:rPr>
            </w:pPr>
          </w:p>
          <w:p w14:paraId="7470BC1F" w14:textId="77777777" w:rsidR="002A6E11" w:rsidRPr="00C27A60" w:rsidRDefault="002A6E11" w:rsidP="00B542FA">
            <w:pPr>
              <w:rPr>
                <w:b/>
                <w:sz w:val="22"/>
                <w:szCs w:val="22"/>
              </w:rPr>
            </w:pPr>
          </w:p>
          <w:p w14:paraId="7A49B47E" w14:textId="77777777" w:rsidR="002A6E11" w:rsidRPr="00C27A60" w:rsidRDefault="002A6E11" w:rsidP="00B542FA">
            <w:pPr>
              <w:rPr>
                <w:b/>
                <w:sz w:val="22"/>
                <w:szCs w:val="22"/>
              </w:rPr>
            </w:pPr>
          </w:p>
          <w:p w14:paraId="68A21427" w14:textId="77777777" w:rsidR="002A6E11" w:rsidRPr="00C27A60" w:rsidRDefault="002A6E11" w:rsidP="00B542FA">
            <w:pPr>
              <w:rPr>
                <w:b/>
                <w:sz w:val="22"/>
                <w:szCs w:val="22"/>
              </w:rPr>
            </w:pPr>
          </w:p>
          <w:p w14:paraId="75716391" w14:textId="77777777" w:rsidR="002A6E11" w:rsidRPr="00C27A60" w:rsidRDefault="002A6E11" w:rsidP="00B542FA">
            <w:pPr>
              <w:rPr>
                <w:b/>
                <w:sz w:val="22"/>
                <w:szCs w:val="22"/>
              </w:rPr>
            </w:pPr>
          </w:p>
          <w:p w14:paraId="63DCC0A5" w14:textId="77777777" w:rsidR="002A6E11" w:rsidRPr="00C27A60" w:rsidRDefault="002A6E11" w:rsidP="00B542FA">
            <w:pPr>
              <w:rPr>
                <w:b/>
                <w:sz w:val="22"/>
                <w:szCs w:val="22"/>
              </w:rPr>
            </w:pPr>
          </w:p>
          <w:p w14:paraId="2ECCC4C9" w14:textId="77777777" w:rsidR="002A6E11" w:rsidRPr="00C27A60" w:rsidRDefault="002A6E11" w:rsidP="00B542FA">
            <w:pPr>
              <w:rPr>
                <w:b/>
                <w:sz w:val="22"/>
                <w:szCs w:val="22"/>
              </w:rPr>
            </w:pPr>
          </w:p>
          <w:p w14:paraId="7F98822C" w14:textId="77777777" w:rsidR="002A6E11" w:rsidRPr="00C27A60" w:rsidRDefault="002A6E11" w:rsidP="00B542FA">
            <w:pPr>
              <w:rPr>
                <w:b/>
                <w:sz w:val="22"/>
                <w:szCs w:val="22"/>
              </w:rPr>
            </w:pPr>
          </w:p>
          <w:p w14:paraId="1CEACAA1" w14:textId="77777777" w:rsidR="002A6E11" w:rsidRPr="00C27A60" w:rsidRDefault="002A6E11" w:rsidP="00B542FA">
            <w:pPr>
              <w:rPr>
                <w:b/>
                <w:sz w:val="22"/>
                <w:szCs w:val="22"/>
              </w:rPr>
            </w:pPr>
          </w:p>
          <w:p w14:paraId="2FC0FD84" w14:textId="77777777" w:rsidR="002A6E11" w:rsidRPr="00C27A60" w:rsidRDefault="002A6E11" w:rsidP="00B542FA">
            <w:pPr>
              <w:rPr>
                <w:b/>
                <w:sz w:val="22"/>
                <w:szCs w:val="22"/>
              </w:rPr>
            </w:pPr>
          </w:p>
          <w:p w14:paraId="09A5E626" w14:textId="77777777" w:rsidR="002A6E11" w:rsidRPr="00C27A60" w:rsidRDefault="002A6E11" w:rsidP="00B542FA">
            <w:pPr>
              <w:rPr>
                <w:b/>
                <w:sz w:val="22"/>
                <w:szCs w:val="22"/>
              </w:rPr>
            </w:pPr>
          </w:p>
          <w:p w14:paraId="51613F05" w14:textId="77777777" w:rsidR="002A6E11" w:rsidRPr="00C27A60" w:rsidRDefault="002A6E11" w:rsidP="00B542FA">
            <w:pPr>
              <w:rPr>
                <w:b/>
                <w:sz w:val="22"/>
                <w:szCs w:val="22"/>
              </w:rPr>
            </w:pPr>
          </w:p>
          <w:p w14:paraId="27FFEFCE" w14:textId="77777777" w:rsidR="002A6E11" w:rsidRPr="00C27A60" w:rsidRDefault="002A6E11" w:rsidP="00B542FA">
            <w:pPr>
              <w:rPr>
                <w:b/>
                <w:sz w:val="22"/>
                <w:szCs w:val="22"/>
              </w:rPr>
            </w:pPr>
          </w:p>
          <w:p w14:paraId="21B3150F" w14:textId="77777777" w:rsidR="002A6E11" w:rsidRPr="00C27A60" w:rsidRDefault="002A6E11" w:rsidP="00B542FA">
            <w:pPr>
              <w:rPr>
                <w:b/>
                <w:sz w:val="22"/>
                <w:szCs w:val="22"/>
              </w:rPr>
            </w:pPr>
          </w:p>
          <w:p w14:paraId="01C01914" w14:textId="77777777" w:rsidR="002A6E11" w:rsidRPr="00C27A60" w:rsidRDefault="002A6E11" w:rsidP="00B542FA">
            <w:pPr>
              <w:rPr>
                <w:b/>
                <w:sz w:val="22"/>
                <w:szCs w:val="22"/>
              </w:rPr>
            </w:pPr>
          </w:p>
          <w:p w14:paraId="1F8B7EF0" w14:textId="77777777" w:rsidR="002A6E11" w:rsidRPr="00C27A60" w:rsidRDefault="002A6E11" w:rsidP="00B542FA">
            <w:pPr>
              <w:rPr>
                <w:b/>
                <w:sz w:val="22"/>
                <w:szCs w:val="22"/>
              </w:rPr>
            </w:pPr>
          </w:p>
          <w:p w14:paraId="7B872E4B" w14:textId="77777777" w:rsidR="002A6E11" w:rsidRPr="00C27A60" w:rsidRDefault="002A6E11" w:rsidP="00B542FA">
            <w:pPr>
              <w:rPr>
                <w:b/>
                <w:sz w:val="22"/>
                <w:szCs w:val="22"/>
              </w:rPr>
            </w:pPr>
          </w:p>
          <w:p w14:paraId="253095D6" w14:textId="77777777" w:rsidR="002A6E11" w:rsidRPr="00C27A60" w:rsidRDefault="002A6E11" w:rsidP="00B542FA">
            <w:pPr>
              <w:rPr>
                <w:b/>
                <w:sz w:val="22"/>
                <w:szCs w:val="22"/>
              </w:rPr>
            </w:pPr>
          </w:p>
          <w:p w14:paraId="61402484" w14:textId="77777777" w:rsidR="002A6E11" w:rsidRPr="00C27A60" w:rsidRDefault="002A6E11" w:rsidP="00B542FA">
            <w:pPr>
              <w:rPr>
                <w:b/>
                <w:sz w:val="22"/>
                <w:szCs w:val="22"/>
              </w:rPr>
            </w:pPr>
          </w:p>
          <w:p w14:paraId="61434E40" w14:textId="77777777" w:rsidR="002A6E11" w:rsidRPr="00C27A60" w:rsidRDefault="002A6E11" w:rsidP="00B542FA">
            <w:pPr>
              <w:rPr>
                <w:b/>
                <w:sz w:val="22"/>
                <w:szCs w:val="22"/>
              </w:rPr>
            </w:pPr>
          </w:p>
          <w:p w14:paraId="35036C83" w14:textId="77777777" w:rsidR="009A62DA" w:rsidRPr="00C27A60" w:rsidRDefault="009A62DA" w:rsidP="009A62DA">
            <w:pPr>
              <w:jc w:val="both"/>
              <w:rPr>
                <w:b/>
                <w:sz w:val="22"/>
                <w:szCs w:val="22"/>
              </w:rPr>
            </w:pPr>
          </w:p>
          <w:p w14:paraId="5F66A512" w14:textId="77777777" w:rsidR="009A62DA" w:rsidRPr="00C27A60" w:rsidRDefault="009A62DA" w:rsidP="009A62DA">
            <w:pPr>
              <w:jc w:val="both"/>
              <w:rPr>
                <w:b/>
                <w:sz w:val="22"/>
                <w:szCs w:val="22"/>
              </w:rPr>
            </w:pPr>
            <w:r w:rsidRPr="00C27A60">
              <w:rPr>
                <w:b/>
                <w:sz w:val="22"/>
                <w:szCs w:val="22"/>
              </w:rPr>
              <w:t>Пропонується викласти в наступній редакції</w:t>
            </w:r>
          </w:p>
          <w:p w14:paraId="7FD78850" w14:textId="77777777" w:rsidR="009A62DA" w:rsidRPr="00C27A60" w:rsidRDefault="009A62DA" w:rsidP="009A62DA">
            <w:pPr>
              <w:jc w:val="both"/>
              <w:rPr>
                <w:b/>
                <w:sz w:val="22"/>
                <w:szCs w:val="22"/>
              </w:rPr>
            </w:pPr>
            <w:r w:rsidRPr="00C27A60">
              <w:rPr>
                <w:b/>
                <w:sz w:val="22"/>
                <w:szCs w:val="22"/>
              </w:rPr>
              <w:t>….</w:t>
            </w:r>
          </w:p>
          <w:p w14:paraId="0A957108" w14:textId="77777777" w:rsidR="009A62DA" w:rsidRPr="00C27A60" w:rsidRDefault="009A62DA" w:rsidP="009A62DA">
            <w:pPr>
              <w:jc w:val="both"/>
              <w:rPr>
                <w:b/>
                <w:sz w:val="22"/>
                <w:szCs w:val="22"/>
              </w:rPr>
            </w:pPr>
            <w:r w:rsidRPr="00C27A60">
              <w:rPr>
                <w:sz w:val="22"/>
                <w:szCs w:val="22"/>
              </w:rPr>
              <w:t xml:space="preserve">«(з 2024 року за умови, що величина загального обсягу віддачі електричної енергії (в тис. кВт*год), що визначена за фактичними показами розрахункових засобів обліку електроенергії за звітний рік, складає не менше ніж 97% від суми величин загального обсягу віддачі електричної енергії (в тис. </w:t>
            </w:r>
            <w:r w:rsidRPr="00C27A60">
              <w:rPr>
                <w:sz w:val="22"/>
                <w:szCs w:val="22"/>
              </w:rPr>
              <w:lastRenderedPageBreak/>
              <w:t>кВт*год), що наведені у формі звітності № 5 НКРЕКП-моніторинг-розподіл (місячна) за відповідний звітний рік).»</w:t>
            </w:r>
          </w:p>
          <w:p w14:paraId="221DFF13" w14:textId="77777777" w:rsidR="009A62DA" w:rsidRPr="00C27A60" w:rsidRDefault="009A62DA" w:rsidP="009A62DA">
            <w:pPr>
              <w:jc w:val="both"/>
              <w:rPr>
                <w:b/>
                <w:sz w:val="22"/>
                <w:szCs w:val="22"/>
              </w:rPr>
            </w:pPr>
            <w:r w:rsidRPr="00C27A60">
              <w:rPr>
                <w:b/>
                <w:sz w:val="22"/>
                <w:szCs w:val="22"/>
              </w:rPr>
              <w:t>…..</w:t>
            </w:r>
          </w:p>
          <w:p w14:paraId="73CF3419" w14:textId="77777777" w:rsidR="009A62DA" w:rsidRPr="00C27A60" w:rsidRDefault="009A62DA" w:rsidP="009A62DA">
            <w:pPr>
              <w:rPr>
                <w:b/>
                <w:sz w:val="22"/>
                <w:szCs w:val="22"/>
              </w:rPr>
            </w:pPr>
          </w:p>
          <w:p w14:paraId="0AA769C9" w14:textId="77777777" w:rsidR="002A6E11" w:rsidRPr="00C27A60" w:rsidRDefault="002A6E11" w:rsidP="00B542FA">
            <w:pPr>
              <w:rPr>
                <w:b/>
                <w:sz w:val="22"/>
                <w:szCs w:val="22"/>
              </w:rPr>
            </w:pPr>
          </w:p>
          <w:p w14:paraId="22211131" w14:textId="77777777" w:rsidR="002A6E11" w:rsidRPr="00C27A60" w:rsidRDefault="002A6E11" w:rsidP="00B542FA">
            <w:pPr>
              <w:rPr>
                <w:b/>
                <w:sz w:val="22"/>
                <w:szCs w:val="22"/>
              </w:rPr>
            </w:pPr>
          </w:p>
          <w:p w14:paraId="4F680EC2" w14:textId="77777777" w:rsidR="002A6E11" w:rsidRPr="00C27A60" w:rsidRDefault="002A6E11" w:rsidP="00B542FA">
            <w:pPr>
              <w:rPr>
                <w:b/>
                <w:sz w:val="22"/>
                <w:szCs w:val="22"/>
              </w:rPr>
            </w:pPr>
          </w:p>
          <w:p w14:paraId="4FC0AAF5" w14:textId="77777777" w:rsidR="002A6E11" w:rsidRPr="00C27A60" w:rsidRDefault="002A6E11" w:rsidP="00B542FA">
            <w:pPr>
              <w:rPr>
                <w:b/>
                <w:sz w:val="22"/>
                <w:szCs w:val="22"/>
              </w:rPr>
            </w:pPr>
          </w:p>
          <w:p w14:paraId="0C8095AD" w14:textId="77777777" w:rsidR="002A6E11" w:rsidRPr="00C27A60" w:rsidRDefault="002A6E11" w:rsidP="00B542FA">
            <w:pPr>
              <w:rPr>
                <w:b/>
                <w:sz w:val="22"/>
                <w:szCs w:val="22"/>
              </w:rPr>
            </w:pPr>
          </w:p>
          <w:p w14:paraId="5CD8AC74" w14:textId="77777777" w:rsidR="002A6E11" w:rsidRPr="00C27A60" w:rsidRDefault="002A6E11" w:rsidP="00B542FA">
            <w:pPr>
              <w:rPr>
                <w:b/>
                <w:sz w:val="22"/>
                <w:szCs w:val="22"/>
              </w:rPr>
            </w:pPr>
          </w:p>
          <w:p w14:paraId="27A294F7" w14:textId="77777777" w:rsidR="002A6E11" w:rsidRPr="00C27A60" w:rsidRDefault="002A6E11" w:rsidP="00B542FA">
            <w:pPr>
              <w:rPr>
                <w:b/>
                <w:sz w:val="22"/>
                <w:szCs w:val="22"/>
              </w:rPr>
            </w:pPr>
          </w:p>
          <w:p w14:paraId="6F88EE4D" w14:textId="77777777" w:rsidR="002A6E11" w:rsidRPr="00C27A60" w:rsidRDefault="002A6E11" w:rsidP="00B542FA">
            <w:pPr>
              <w:rPr>
                <w:b/>
                <w:sz w:val="22"/>
                <w:szCs w:val="22"/>
              </w:rPr>
            </w:pPr>
          </w:p>
          <w:p w14:paraId="5395D163" w14:textId="77777777" w:rsidR="002A6E11" w:rsidRPr="00C27A60" w:rsidRDefault="002A6E11" w:rsidP="00B542FA">
            <w:pPr>
              <w:rPr>
                <w:b/>
                <w:sz w:val="22"/>
                <w:szCs w:val="22"/>
              </w:rPr>
            </w:pPr>
          </w:p>
          <w:p w14:paraId="3C8C8C37" w14:textId="77777777" w:rsidR="002A6E11" w:rsidRPr="00C27A60" w:rsidRDefault="002A6E11" w:rsidP="00B542FA">
            <w:pPr>
              <w:rPr>
                <w:b/>
                <w:sz w:val="22"/>
                <w:szCs w:val="22"/>
              </w:rPr>
            </w:pPr>
          </w:p>
          <w:p w14:paraId="51D0B52C" w14:textId="77777777" w:rsidR="002A6E11" w:rsidRPr="00C27A60" w:rsidRDefault="002A6E11" w:rsidP="00B542FA">
            <w:pPr>
              <w:rPr>
                <w:b/>
                <w:sz w:val="22"/>
                <w:szCs w:val="22"/>
              </w:rPr>
            </w:pPr>
          </w:p>
          <w:p w14:paraId="31E915AB" w14:textId="77777777" w:rsidR="002A6E11" w:rsidRPr="00C27A60" w:rsidRDefault="002A6E11" w:rsidP="00B542FA">
            <w:pPr>
              <w:rPr>
                <w:b/>
                <w:sz w:val="22"/>
                <w:szCs w:val="22"/>
              </w:rPr>
            </w:pPr>
          </w:p>
          <w:p w14:paraId="1E565906" w14:textId="77777777" w:rsidR="002A6E11" w:rsidRPr="00C27A60" w:rsidRDefault="002A6E11" w:rsidP="00B542FA">
            <w:pPr>
              <w:rPr>
                <w:b/>
                <w:sz w:val="22"/>
                <w:szCs w:val="22"/>
              </w:rPr>
            </w:pPr>
          </w:p>
          <w:p w14:paraId="6E305EF9" w14:textId="77777777" w:rsidR="002A6E11" w:rsidRPr="00C27A60" w:rsidRDefault="002A6E11" w:rsidP="00B542FA">
            <w:pPr>
              <w:rPr>
                <w:b/>
                <w:sz w:val="22"/>
                <w:szCs w:val="22"/>
              </w:rPr>
            </w:pPr>
          </w:p>
          <w:p w14:paraId="4F5C86C3" w14:textId="77777777" w:rsidR="002A6E11" w:rsidRPr="00C27A60" w:rsidRDefault="002A6E11" w:rsidP="00B542FA">
            <w:pPr>
              <w:rPr>
                <w:b/>
                <w:sz w:val="22"/>
                <w:szCs w:val="22"/>
              </w:rPr>
            </w:pPr>
          </w:p>
          <w:p w14:paraId="51B4391D" w14:textId="77777777" w:rsidR="002A6E11" w:rsidRPr="00C27A60" w:rsidRDefault="002A6E11" w:rsidP="00B542FA">
            <w:pPr>
              <w:rPr>
                <w:b/>
                <w:sz w:val="22"/>
                <w:szCs w:val="22"/>
              </w:rPr>
            </w:pPr>
          </w:p>
          <w:p w14:paraId="3A957173" w14:textId="77777777" w:rsidR="002A6E11" w:rsidRPr="00C27A60" w:rsidRDefault="002A6E11" w:rsidP="00B542FA">
            <w:pPr>
              <w:rPr>
                <w:b/>
                <w:sz w:val="22"/>
                <w:szCs w:val="22"/>
              </w:rPr>
            </w:pPr>
          </w:p>
          <w:p w14:paraId="108DE694" w14:textId="77777777" w:rsidR="002A6E11" w:rsidRPr="00C27A60" w:rsidRDefault="002A6E11" w:rsidP="00B542FA">
            <w:pPr>
              <w:rPr>
                <w:b/>
                <w:sz w:val="22"/>
                <w:szCs w:val="22"/>
              </w:rPr>
            </w:pPr>
          </w:p>
          <w:p w14:paraId="03FA25B0" w14:textId="77777777" w:rsidR="002A6E11" w:rsidRPr="00C27A60" w:rsidRDefault="002A6E11" w:rsidP="00B542FA">
            <w:pPr>
              <w:rPr>
                <w:b/>
                <w:sz w:val="22"/>
                <w:szCs w:val="22"/>
              </w:rPr>
            </w:pPr>
          </w:p>
          <w:p w14:paraId="2A0168E7" w14:textId="77777777" w:rsidR="002A6E11" w:rsidRPr="00C27A60" w:rsidRDefault="002A6E11" w:rsidP="00B542FA">
            <w:pPr>
              <w:rPr>
                <w:b/>
                <w:sz w:val="22"/>
                <w:szCs w:val="22"/>
              </w:rPr>
            </w:pPr>
          </w:p>
          <w:p w14:paraId="1F295E5F" w14:textId="77777777" w:rsidR="002A6E11" w:rsidRPr="00C27A60" w:rsidRDefault="002A6E11" w:rsidP="00B542FA">
            <w:pPr>
              <w:rPr>
                <w:b/>
                <w:sz w:val="22"/>
                <w:szCs w:val="22"/>
              </w:rPr>
            </w:pPr>
          </w:p>
          <w:p w14:paraId="1C4443CF" w14:textId="77777777" w:rsidR="002A6E11" w:rsidRPr="00C27A60" w:rsidRDefault="002A6E11" w:rsidP="00B542FA">
            <w:pPr>
              <w:rPr>
                <w:b/>
                <w:sz w:val="22"/>
                <w:szCs w:val="22"/>
              </w:rPr>
            </w:pPr>
          </w:p>
          <w:p w14:paraId="102DDA8F" w14:textId="77777777" w:rsidR="002A6E11" w:rsidRPr="00C27A60" w:rsidRDefault="002A6E11" w:rsidP="00B542FA">
            <w:pPr>
              <w:rPr>
                <w:b/>
                <w:sz w:val="22"/>
                <w:szCs w:val="22"/>
              </w:rPr>
            </w:pPr>
          </w:p>
          <w:p w14:paraId="4F969439" w14:textId="77777777" w:rsidR="002A6E11" w:rsidRPr="00C27A60" w:rsidRDefault="002A6E11" w:rsidP="00B542FA">
            <w:pPr>
              <w:rPr>
                <w:b/>
                <w:sz w:val="22"/>
                <w:szCs w:val="22"/>
              </w:rPr>
            </w:pPr>
          </w:p>
          <w:p w14:paraId="320122C2" w14:textId="77777777" w:rsidR="002A6E11" w:rsidRPr="00C27A60" w:rsidRDefault="002A6E11" w:rsidP="00B542FA">
            <w:pPr>
              <w:rPr>
                <w:b/>
                <w:sz w:val="22"/>
                <w:szCs w:val="22"/>
              </w:rPr>
            </w:pPr>
          </w:p>
          <w:p w14:paraId="0FAA67A7" w14:textId="0488C147" w:rsidR="002A6E11" w:rsidRPr="00C27A60" w:rsidRDefault="002A6E11" w:rsidP="00B542FA">
            <w:pPr>
              <w:rPr>
                <w:b/>
                <w:sz w:val="22"/>
                <w:szCs w:val="22"/>
              </w:rPr>
            </w:pPr>
          </w:p>
        </w:tc>
      </w:tr>
      <w:tr w:rsidR="00C27A60" w:rsidRPr="00C27A60" w14:paraId="4403D956" w14:textId="77777777" w:rsidTr="00E85B3F">
        <w:trPr>
          <w:trHeight w:val="595"/>
        </w:trPr>
        <w:tc>
          <w:tcPr>
            <w:tcW w:w="5839" w:type="dxa"/>
            <w:shd w:val="clear" w:color="auto" w:fill="auto"/>
          </w:tcPr>
          <w:p w14:paraId="1ACE54F8" w14:textId="77777777" w:rsidR="003A4C0F" w:rsidRPr="00C27A60" w:rsidRDefault="003A4C0F" w:rsidP="00D4664C">
            <w:pPr>
              <w:ind w:firstLine="308"/>
              <w:jc w:val="both"/>
              <w:rPr>
                <w:sz w:val="22"/>
                <w:szCs w:val="22"/>
                <w:shd w:val="clear" w:color="auto" w:fill="FFFFFF"/>
              </w:rPr>
            </w:pPr>
            <w:r w:rsidRPr="00C27A60">
              <w:rPr>
                <w:sz w:val="22"/>
                <w:szCs w:val="22"/>
                <w:shd w:val="clear" w:color="auto" w:fill="FFFFFF"/>
              </w:rPr>
              <w:lastRenderedPageBreak/>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789E5C79" w14:textId="77777777" w:rsidR="003A4C0F" w:rsidRPr="00C27A60" w:rsidRDefault="003A4C0F" w:rsidP="00D4664C">
            <w:pPr>
              <w:ind w:firstLine="308"/>
              <w:jc w:val="both"/>
              <w:rPr>
                <w:sz w:val="22"/>
                <w:szCs w:val="22"/>
                <w:shd w:val="clear" w:color="auto" w:fill="FFFFFF"/>
              </w:rPr>
            </w:pPr>
          </w:p>
          <w:p w14:paraId="22A3E53A" w14:textId="77777777" w:rsidR="003A4C0F" w:rsidRPr="00C27A60" w:rsidRDefault="003A4C0F" w:rsidP="00D4664C">
            <w:pPr>
              <w:ind w:firstLine="308"/>
              <w:jc w:val="both"/>
              <w:rPr>
                <w:sz w:val="22"/>
                <w:szCs w:val="22"/>
                <w:shd w:val="clear" w:color="auto" w:fill="FFFFFF"/>
              </w:rPr>
            </w:pPr>
            <w:r w:rsidRPr="00C27A60">
              <w:rPr>
                <w:sz w:val="22"/>
                <w:szCs w:val="22"/>
                <w:shd w:val="clear" w:color="auto" w:fill="FFFFFF"/>
              </w:rPr>
              <w:t>&lt;…&gt;</w:t>
            </w:r>
          </w:p>
          <w:p w14:paraId="049DB83E" w14:textId="77777777" w:rsidR="003A4C0F" w:rsidRPr="00C27A60" w:rsidRDefault="003A4C0F" w:rsidP="00D4664C">
            <w:pPr>
              <w:ind w:firstLine="308"/>
              <w:jc w:val="both"/>
              <w:rPr>
                <w:sz w:val="22"/>
                <w:szCs w:val="22"/>
                <w:shd w:val="clear" w:color="auto" w:fill="FFFFFF"/>
              </w:rPr>
            </w:pPr>
          </w:p>
          <w:p w14:paraId="31B1DD28" w14:textId="77777777" w:rsidR="003A4C0F" w:rsidRPr="00C27A60" w:rsidRDefault="003A4C0F" w:rsidP="00D4664C">
            <w:pPr>
              <w:ind w:firstLine="308"/>
              <w:jc w:val="both"/>
              <w:rPr>
                <w:b/>
                <w:sz w:val="22"/>
                <w:szCs w:val="22"/>
                <w:shd w:val="clear" w:color="auto" w:fill="FFFFFF"/>
              </w:rPr>
            </w:pPr>
            <w:r w:rsidRPr="00C27A60">
              <w:rPr>
                <w:b/>
                <w:sz w:val="22"/>
                <w:szCs w:val="22"/>
                <w:shd w:val="clear" w:color="auto" w:fill="FFFFFF"/>
              </w:rPr>
              <w:t>9) фактична сума перевищення максимального розміру заробітної плати, яка фінансується за рахунок тарифів на послуги з розподілу електричної енергії, що перевищує десятикратний розмір середньої заробітної плати, урахованої у структурі тарифів на послуги з розподілу електричної енергії, з урахуванням приведення до середньорічного розміру заробітної плати у звітному році, що підлягає вилученню.</w:t>
            </w:r>
          </w:p>
          <w:p w14:paraId="3FEE2906" w14:textId="77777777" w:rsidR="003A4C0F" w:rsidRPr="00C27A60" w:rsidRDefault="003A4C0F" w:rsidP="00D4664C">
            <w:pPr>
              <w:ind w:firstLine="308"/>
              <w:jc w:val="both"/>
              <w:rPr>
                <w:sz w:val="22"/>
                <w:szCs w:val="22"/>
                <w:shd w:val="clear" w:color="auto" w:fill="FFFFFF"/>
              </w:rPr>
            </w:pPr>
          </w:p>
        </w:tc>
        <w:tc>
          <w:tcPr>
            <w:tcW w:w="5812" w:type="dxa"/>
            <w:shd w:val="clear" w:color="auto" w:fill="auto"/>
          </w:tcPr>
          <w:p w14:paraId="7494C5D3" w14:textId="77777777" w:rsidR="003A4C0F" w:rsidRPr="00C27A60" w:rsidRDefault="003A4C0F" w:rsidP="003A4C0F">
            <w:pPr>
              <w:ind w:firstLine="30"/>
              <w:jc w:val="both"/>
              <w:rPr>
                <w:i/>
                <w:sz w:val="22"/>
                <w:szCs w:val="22"/>
                <w:shd w:val="clear" w:color="auto" w:fill="FFFFFF"/>
              </w:rPr>
            </w:pPr>
            <w:r w:rsidRPr="00C27A60">
              <w:rPr>
                <w:i/>
                <w:sz w:val="22"/>
                <w:szCs w:val="22"/>
                <w:shd w:val="clear" w:color="auto" w:fill="FFFFFF"/>
              </w:rPr>
              <w:t>ГС «РЕУ»</w:t>
            </w:r>
          </w:p>
          <w:p w14:paraId="62E51E9E" w14:textId="78D77869" w:rsidR="00B91461" w:rsidRPr="00C27A60" w:rsidRDefault="00B91461" w:rsidP="00B91461">
            <w:pPr>
              <w:jc w:val="both"/>
              <w:rPr>
                <w:i/>
                <w:sz w:val="22"/>
                <w:szCs w:val="22"/>
                <w:shd w:val="clear" w:color="auto" w:fill="FFFFFF"/>
              </w:rPr>
            </w:pPr>
            <w:r w:rsidRPr="00C27A60">
              <w:rPr>
                <w:i/>
                <w:sz w:val="22"/>
                <w:szCs w:val="22"/>
                <w:shd w:val="clear" w:color="auto" w:fill="FFFFFF"/>
              </w:rPr>
              <w:t>АТ ДТЕК «ДОНЕЦЬКІ ЕЛЕКТРОМЕРЕЖІ»</w:t>
            </w:r>
          </w:p>
          <w:p w14:paraId="7D335FBC" w14:textId="435160B5" w:rsidR="00436F83" w:rsidRPr="00C27A60" w:rsidRDefault="00436F83" w:rsidP="00B91461">
            <w:pPr>
              <w:jc w:val="both"/>
              <w:rPr>
                <w:i/>
                <w:sz w:val="22"/>
                <w:szCs w:val="22"/>
                <w:shd w:val="clear" w:color="auto" w:fill="FFFFFF"/>
              </w:rPr>
            </w:pPr>
            <w:r w:rsidRPr="00C27A60">
              <w:rPr>
                <w:i/>
                <w:sz w:val="22"/>
                <w:szCs w:val="22"/>
                <w:shd w:val="clear" w:color="auto" w:fill="FFFFFF"/>
              </w:rPr>
              <w:t>АТ «ДТЕК ДНІПРОВСЬКІ ЕЛЕКТРОМЕРЕЖІ»</w:t>
            </w:r>
          </w:p>
          <w:p w14:paraId="0A7623F2" w14:textId="05893666" w:rsidR="003A4C0F" w:rsidRPr="00C27A60" w:rsidRDefault="003A4C0F" w:rsidP="003A4C0F">
            <w:pPr>
              <w:ind w:firstLine="308"/>
              <w:jc w:val="both"/>
              <w:rPr>
                <w:sz w:val="22"/>
                <w:szCs w:val="22"/>
                <w:shd w:val="clear" w:color="auto" w:fill="FFFFFF"/>
              </w:rPr>
            </w:pPr>
          </w:p>
          <w:p w14:paraId="7BF88EEA" w14:textId="77777777" w:rsidR="00D4664C" w:rsidRPr="00C27A60" w:rsidRDefault="00D4664C" w:rsidP="003A4C0F">
            <w:pPr>
              <w:ind w:firstLine="308"/>
              <w:jc w:val="both"/>
              <w:rPr>
                <w:sz w:val="22"/>
                <w:szCs w:val="22"/>
                <w:shd w:val="clear" w:color="auto" w:fill="FFFFFF"/>
              </w:rPr>
            </w:pPr>
          </w:p>
          <w:p w14:paraId="40748D87" w14:textId="77777777" w:rsidR="003A4C0F" w:rsidRPr="00C27A60" w:rsidRDefault="003A4C0F" w:rsidP="007366B9">
            <w:pPr>
              <w:jc w:val="both"/>
              <w:rPr>
                <w:b/>
                <w:sz w:val="22"/>
                <w:szCs w:val="22"/>
                <w:shd w:val="clear" w:color="auto" w:fill="FFFFFF"/>
              </w:rPr>
            </w:pPr>
            <w:r w:rsidRPr="00C27A60">
              <w:rPr>
                <w:b/>
                <w:sz w:val="22"/>
                <w:szCs w:val="22"/>
                <w:shd w:val="clear" w:color="auto" w:fill="FFFFFF"/>
              </w:rPr>
              <w:t>9) фактична сума перевищення максимального розміру  середньорічної заробітної плати, яка фінансується за рахунок тарифів на послуги з розподілу електричної енергії, що перевищує десятикратний розмір середньорічної заробітної плати, урахованої у структурі тарифів на послуги з розподілу електричної енергії.</w:t>
            </w:r>
          </w:p>
          <w:p w14:paraId="3770C3AD" w14:textId="77777777" w:rsidR="003A4C0F" w:rsidRPr="00C27A60" w:rsidRDefault="003A4C0F" w:rsidP="007366B9">
            <w:pPr>
              <w:jc w:val="both"/>
              <w:rPr>
                <w:i/>
                <w:sz w:val="22"/>
                <w:szCs w:val="22"/>
              </w:rPr>
            </w:pPr>
          </w:p>
          <w:p w14:paraId="7C0F840F" w14:textId="77777777" w:rsidR="003A4C0F" w:rsidRPr="00C27A60" w:rsidRDefault="003A4C0F" w:rsidP="003A4C0F">
            <w:pPr>
              <w:shd w:val="clear" w:color="auto" w:fill="FFFFFF"/>
              <w:jc w:val="both"/>
              <w:rPr>
                <w:b/>
                <w:sz w:val="22"/>
                <w:szCs w:val="22"/>
                <w:lang w:eastAsia="uk-UA"/>
              </w:rPr>
            </w:pPr>
          </w:p>
          <w:p w14:paraId="7A4A26D6" w14:textId="77777777" w:rsidR="003A4C0F" w:rsidRPr="00C27A60" w:rsidRDefault="003A4C0F" w:rsidP="003A4C0F">
            <w:pPr>
              <w:jc w:val="both"/>
              <w:rPr>
                <w:i/>
                <w:sz w:val="22"/>
                <w:szCs w:val="22"/>
              </w:rPr>
            </w:pPr>
            <w:r w:rsidRPr="00C27A60">
              <w:rPr>
                <w:i/>
                <w:sz w:val="22"/>
                <w:szCs w:val="22"/>
              </w:rPr>
              <w:t>ОБРГРУНТУВАННЯ:</w:t>
            </w:r>
          </w:p>
          <w:p w14:paraId="5560692D" w14:textId="77777777" w:rsidR="003A4C0F" w:rsidRPr="00C27A60" w:rsidRDefault="003A4C0F" w:rsidP="003A4C0F">
            <w:pPr>
              <w:jc w:val="both"/>
              <w:rPr>
                <w:sz w:val="22"/>
                <w:szCs w:val="22"/>
              </w:rPr>
            </w:pPr>
            <w:r w:rsidRPr="00C27A60">
              <w:rPr>
                <w:sz w:val="22"/>
                <w:szCs w:val="22"/>
              </w:rPr>
              <w:t>Уточнення для зрозумілості норми та уникнення різночитання</w:t>
            </w:r>
          </w:p>
          <w:p w14:paraId="6EAFCCEB" w14:textId="77777777" w:rsidR="003A4C0F" w:rsidRPr="00C27A60" w:rsidRDefault="003A4C0F" w:rsidP="003A4C0F">
            <w:pPr>
              <w:jc w:val="both"/>
              <w:rPr>
                <w:sz w:val="22"/>
                <w:szCs w:val="22"/>
              </w:rPr>
            </w:pPr>
          </w:p>
          <w:p w14:paraId="2EA89177" w14:textId="52663E4C" w:rsidR="003A4C0F" w:rsidRPr="00C27A60" w:rsidRDefault="003A4C0F" w:rsidP="007366B9">
            <w:pPr>
              <w:jc w:val="both"/>
              <w:rPr>
                <w:i/>
                <w:sz w:val="22"/>
                <w:szCs w:val="22"/>
              </w:rPr>
            </w:pPr>
          </w:p>
        </w:tc>
        <w:tc>
          <w:tcPr>
            <w:tcW w:w="3546" w:type="dxa"/>
            <w:shd w:val="clear" w:color="auto" w:fill="auto"/>
          </w:tcPr>
          <w:p w14:paraId="7A7D7B62" w14:textId="77777777" w:rsidR="00E85B3F" w:rsidRPr="00C27A60" w:rsidRDefault="00E85B3F" w:rsidP="00B542FA">
            <w:pPr>
              <w:rPr>
                <w:b/>
                <w:i/>
                <w:sz w:val="22"/>
                <w:szCs w:val="22"/>
              </w:rPr>
            </w:pPr>
          </w:p>
          <w:p w14:paraId="255AD8A7" w14:textId="77777777" w:rsidR="00E85B3F" w:rsidRPr="00C27A60" w:rsidRDefault="00E85B3F" w:rsidP="00B542FA">
            <w:pPr>
              <w:rPr>
                <w:b/>
                <w:i/>
                <w:sz w:val="22"/>
                <w:szCs w:val="22"/>
              </w:rPr>
            </w:pPr>
          </w:p>
          <w:p w14:paraId="244A6C46" w14:textId="77777777" w:rsidR="00E85B3F" w:rsidRPr="00C27A60" w:rsidRDefault="00E85B3F" w:rsidP="00B542FA">
            <w:pPr>
              <w:rPr>
                <w:b/>
                <w:i/>
                <w:sz w:val="22"/>
                <w:szCs w:val="22"/>
              </w:rPr>
            </w:pPr>
          </w:p>
          <w:p w14:paraId="688AAA94" w14:textId="77777777" w:rsidR="00E85B3F" w:rsidRPr="00C27A60" w:rsidRDefault="00E85B3F" w:rsidP="00B542FA">
            <w:pPr>
              <w:rPr>
                <w:b/>
                <w:i/>
                <w:sz w:val="22"/>
                <w:szCs w:val="22"/>
              </w:rPr>
            </w:pPr>
          </w:p>
          <w:p w14:paraId="314A6843" w14:textId="77777777" w:rsidR="00B542FA" w:rsidRPr="00C27A60" w:rsidRDefault="00B542FA" w:rsidP="00B542FA">
            <w:pPr>
              <w:rPr>
                <w:b/>
                <w:sz w:val="22"/>
                <w:szCs w:val="22"/>
              </w:rPr>
            </w:pPr>
            <w:r w:rsidRPr="00C27A60">
              <w:rPr>
                <w:b/>
                <w:sz w:val="22"/>
                <w:szCs w:val="22"/>
              </w:rPr>
              <w:t xml:space="preserve">Не враховується </w:t>
            </w:r>
          </w:p>
          <w:p w14:paraId="0E8EB10D" w14:textId="2F6228CB" w:rsidR="00B542FA" w:rsidRPr="00C27A60" w:rsidRDefault="00B542FA" w:rsidP="00B542FA">
            <w:pPr>
              <w:pStyle w:val="af5"/>
              <w:spacing w:before="0" w:beforeAutospacing="0" w:after="0" w:afterAutospacing="0"/>
              <w:rPr>
                <w:b/>
                <w:sz w:val="22"/>
                <w:szCs w:val="22"/>
                <w:lang w:eastAsia="ru-RU"/>
              </w:rPr>
            </w:pPr>
          </w:p>
          <w:p w14:paraId="13E1443F" w14:textId="176B592B" w:rsidR="002A6E11" w:rsidRPr="00C27A60" w:rsidRDefault="00B542FA" w:rsidP="002A6E11">
            <w:pPr>
              <w:jc w:val="both"/>
              <w:rPr>
                <w:sz w:val="22"/>
                <w:szCs w:val="22"/>
              </w:rPr>
            </w:pPr>
            <w:r w:rsidRPr="00C27A60">
              <w:rPr>
                <w:sz w:val="22"/>
                <w:szCs w:val="22"/>
              </w:rPr>
              <w:t>Запропонована редакція не змінює та не удосконалює трактування норми порівняно зі схваленою редакцією</w:t>
            </w:r>
            <w:r w:rsidR="002A6E11" w:rsidRPr="00C27A60">
              <w:rPr>
                <w:sz w:val="22"/>
                <w:szCs w:val="22"/>
              </w:rPr>
              <w:t xml:space="preserve"> (аналіз здійснюється помісячно, а кінцевий результат приймається за результатом середньорічних показників).</w:t>
            </w:r>
          </w:p>
        </w:tc>
      </w:tr>
      <w:tr w:rsidR="00C27A60" w:rsidRPr="00C27A60" w14:paraId="73CB75A5" w14:textId="77777777" w:rsidTr="00FC32FE">
        <w:trPr>
          <w:trHeight w:val="595"/>
        </w:trPr>
        <w:tc>
          <w:tcPr>
            <w:tcW w:w="15197" w:type="dxa"/>
            <w:gridSpan w:val="3"/>
            <w:shd w:val="clear" w:color="auto" w:fill="BDD6EE" w:themeFill="accent1" w:themeFillTint="66"/>
            <w:vAlign w:val="center"/>
          </w:tcPr>
          <w:p w14:paraId="16CE7005" w14:textId="77777777" w:rsidR="007F3D73" w:rsidRPr="00C27A60" w:rsidRDefault="007F3D73" w:rsidP="007F3D73">
            <w:pPr>
              <w:jc w:val="center"/>
              <w:rPr>
                <w:b/>
                <w:sz w:val="22"/>
                <w:szCs w:val="22"/>
              </w:rPr>
            </w:pPr>
            <w:r w:rsidRPr="00C27A60">
              <w:rPr>
                <w:b/>
                <w:sz w:val="22"/>
                <w:szCs w:val="22"/>
              </w:rPr>
              <w:t>Додаток 25</w:t>
            </w:r>
          </w:p>
          <w:p w14:paraId="5921767D" w14:textId="08AC295D" w:rsidR="001277C9" w:rsidRPr="00C27A60" w:rsidRDefault="007F3D73" w:rsidP="007F3D73">
            <w:pPr>
              <w:jc w:val="center"/>
              <w:rPr>
                <w:b/>
                <w:sz w:val="22"/>
                <w:szCs w:val="22"/>
              </w:rPr>
            </w:pPr>
            <w:r w:rsidRPr="00C27A60">
              <w:rPr>
                <w:b/>
                <w:sz w:val="22"/>
                <w:szCs w:val="22"/>
              </w:rPr>
              <w:t>Методика 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w:t>
            </w:r>
          </w:p>
        </w:tc>
      </w:tr>
      <w:tr w:rsidR="00C27A60" w:rsidRPr="00C27A60" w14:paraId="69D28F4D" w14:textId="77777777" w:rsidTr="008D1DC5">
        <w:trPr>
          <w:trHeight w:val="595"/>
        </w:trPr>
        <w:tc>
          <w:tcPr>
            <w:tcW w:w="5839" w:type="dxa"/>
            <w:shd w:val="clear" w:color="auto" w:fill="auto"/>
          </w:tcPr>
          <w:p w14:paraId="536455F6" w14:textId="7EECD2A9" w:rsidR="006B4ED1" w:rsidRPr="00C27A60" w:rsidRDefault="006B4ED1" w:rsidP="006B4ED1">
            <w:pPr>
              <w:rPr>
                <w:sz w:val="22"/>
                <w:szCs w:val="22"/>
              </w:rPr>
            </w:pPr>
          </w:p>
          <w:p w14:paraId="5E5A9E92" w14:textId="55822692" w:rsidR="006B4ED1" w:rsidRPr="00C27A60" w:rsidRDefault="006B4ED1" w:rsidP="006B4ED1">
            <w:pPr>
              <w:rPr>
                <w:sz w:val="22"/>
                <w:szCs w:val="22"/>
              </w:rPr>
            </w:pPr>
          </w:p>
          <w:p w14:paraId="7D0E9F94" w14:textId="77777777" w:rsidR="006B4ED1" w:rsidRPr="00C27A60" w:rsidRDefault="006B4ED1" w:rsidP="006B4ED1">
            <w:pPr>
              <w:rPr>
                <w:sz w:val="22"/>
                <w:szCs w:val="22"/>
              </w:rPr>
            </w:pPr>
          </w:p>
          <w:p w14:paraId="0E961E05" w14:textId="34F26DA0" w:rsidR="006B4ED1" w:rsidRPr="00C27A60" w:rsidRDefault="006B4ED1" w:rsidP="006B4ED1">
            <w:pPr>
              <w:ind w:firstLine="240"/>
              <w:rPr>
                <w:sz w:val="22"/>
                <w:szCs w:val="22"/>
              </w:rPr>
            </w:pPr>
            <w:r w:rsidRPr="00C27A60">
              <w:rPr>
                <w:sz w:val="22"/>
                <w:szCs w:val="22"/>
              </w:rPr>
              <w:t>&lt;…&gt;</w:t>
            </w:r>
          </w:p>
          <w:p w14:paraId="300A5D90" w14:textId="77777777" w:rsidR="006B4ED1" w:rsidRPr="00C27A60" w:rsidRDefault="006B4ED1" w:rsidP="006B4ED1">
            <w:pPr>
              <w:ind w:firstLine="240"/>
              <w:rPr>
                <w:sz w:val="22"/>
                <w:szCs w:val="22"/>
              </w:rPr>
            </w:pPr>
            <w:r w:rsidRPr="00C27A60">
              <w:rPr>
                <w:sz w:val="22"/>
                <w:szCs w:val="22"/>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18B43C8D" w14:textId="77777777" w:rsidR="006B4ED1" w:rsidRPr="00C27A60" w:rsidRDefault="006B4ED1" w:rsidP="006B4ED1">
            <w:pPr>
              <w:ind w:firstLine="240"/>
              <w:rPr>
                <w:sz w:val="22"/>
                <w:szCs w:val="22"/>
              </w:rPr>
            </w:pPr>
            <w:r w:rsidRPr="00C27A60">
              <w:rPr>
                <w:sz w:val="22"/>
                <w:szCs w:val="22"/>
              </w:rPr>
              <w:t>&lt;…&gt;</w:t>
            </w:r>
          </w:p>
          <w:p w14:paraId="212B0646" w14:textId="77777777" w:rsidR="006B4ED1" w:rsidRPr="00C27A60" w:rsidRDefault="006B4ED1" w:rsidP="006B4ED1">
            <w:pPr>
              <w:ind w:firstLine="308"/>
              <w:jc w:val="both"/>
              <w:rPr>
                <w:sz w:val="22"/>
                <w:szCs w:val="22"/>
                <w:shd w:val="clear" w:color="auto" w:fill="FFFFFF"/>
              </w:rPr>
            </w:pPr>
          </w:p>
          <w:p w14:paraId="0A9C7C5B" w14:textId="77777777" w:rsidR="006B4ED1" w:rsidRPr="00C27A60" w:rsidRDefault="006B4ED1" w:rsidP="006B4ED1">
            <w:pPr>
              <w:ind w:firstLine="308"/>
              <w:jc w:val="both"/>
              <w:rPr>
                <w:b/>
                <w:sz w:val="22"/>
                <w:szCs w:val="22"/>
                <w:shd w:val="clear" w:color="auto" w:fill="FFFFFF"/>
              </w:rPr>
            </w:pPr>
            <w:r w:rsidRPr="00C27A60">
              <w:rPr>
                <w:b/>
                <w:sz w:val="22"/>
                <w:szCs w:val="22"/>
                <w:shd w:val="clear" w:color="auto" w:fill="FFFFFF"/>
              </w:rPr>
              <w:t>9) фактичний максимальний розмір заробітної плати, яка фінансується за рахунок тарифів на послуги постачальника універсальних послуг, що перевищує десятикратний розмір середньої заробітної плати, урахованої у структурі тарифів на послуги постачальника універсальних послуг, з урахуванням приведення до середньорічного розміру заробітної плати у звітному році.</w:t>
            </w:r>
          </w:p>
          <w:p w14:paraId="7C246F34" w14:textId="1227EFE6" w:rsidR="007F3D73" w:rsidRPr="00C27A60" w:rsidRDefault="007F3D73" w:rsidP="006B4ED1">
            <w:pPr>
              <w:ind w:firstLine="240"/>
              <w:rPr>
                <w:sz w:val="22"/>
                <w:szCs w:val="22"/>
              </w:rPr>
            </w:pPr>
          </w:p>
        </w:tc>
        <w:tc>
          <w:tcPr>
            <w:tcW w:w="5812" w:type="dxa"/>
            <w:shd w:val="clear" w:color="auto" w:fill="auto"/>
          </w:tcPr>
          <w:p w14:paraId="33FBEF93" w14:textId="77777777" w:rsidR="007F3D73" w:rsidRPr="00C27A60" w:rsidRDefault="006B4ED1" w:rsidP="006B4ED1">
            <w:pPr>
              <w:rPr>
                <w:i/>
                <w:sz w:val="22"/>
                <w:szCs w:val="22"/>
              </w:rPr>
            </w:pPr>
            <w:r w:rsidRPr="00C27A60">
              <w:rPr>
                <w:i/>
                <w:sz w:val="22"/>
                <w:szCs w:val="22"/>
              </w:rPr>
              <w:lastRenderedPageBreak/>
              <w:t>ТОВ «КИЇВСЬКІ ЕНЕРГЕТИЧНІ ПОСЛУГИ»</w:t>
            </w:r>
          </w:p>
          <w:p w14:paraId="46B41153" w14:textId="77777777" w:rsidR="006B4ED1" w:rsidRPr="00C27A60" w:rsidRDefault="006B4ED1" w:rsidP="006B4ED1">
            <w:pPr>
              <w:rPr>
                <w:i/>
                <w:sz w:val="22"/>
                <w:szCs w:val="22"/>
              </w:rPr>
            </w:pPr>
          </w:p>
          <w:p w14:paraId="1A82140F" w14:textId="77777777" w:rsidR="006B4ED1" w:rsidRPr="00C27A60" w:rsidRDefault="006B4ED1" w:rsidP="006B4ED1">
            <w:pPr>
              <w:spacing w:after="120"/>
              <w:jc w:val="both"/>
              <w:rPr>
                <w:sz w:val="22"/>
                <w:szCs w:val="22"/>
                <w:shd w:val="clear" w:color="auto" w:fill="FFFFFF"/>
              </w:rPr>
            </w:pPr>
            <w:r w:rsidRPr="00C27A60">
              <w:rPr>
                <w:sz w:val="22"/>
                <w:szCs w:val="22"/>
                <w:shd w:val="clear" w:color="auto" w:fill="FFFFFF"/>
              </w:rPr>
              <w:t>&lt;…&gt;</w:t>
            </w:r>
          </w:p>
          <w:p w14:paraId="0B4851E7" w14:textId="77777777" w:rsidR="006B4ED1" w:rsidRPr="00C27A60" w:rsidRDefault="006B4ED1" w:rsidP="006B4ED1">
            <w:pPr>
              <w:spacing w:after="120"/>
              <w:jc w:val="both"/>
              <w:rPr>
                <w:sz w:val="22"/>
                <w:szCs w:val="22"/>
                <w:shd w:val="clear" w:color="auto" w:fill="FFFFFF"/>
              </w:rPr>
            </w:pPr>
            <w:r w:rsidRPr="00C27A60">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707AC536" w14:textId="77777777" w:rsidR="006B4ED1" w:rsidRPr="00C27A60" w:rsidRDefault="006B4ED1" w:rsidP="006B4ED1">
            <w:pPr>
              <w:spacing w:after="120"/>
              <w:jc w:val="both"/>
              <w:rPr>
                <w:sz w:val="22"/>
                <w:szCs w:val="22"/>
                <w:shd w:val="clear" w:color="auto" w:fill="FFFFFF"/>
              </w:rPr>
            </w:pPr>
            <w:r w:rsidRPr="00C27A60">
              <w:rPr>
                <w:sz w:val="22"/>
                <w:szCs w:val="22"/>
                <w:shd w:val="clear" w:color="auto" w:fill="FFFFFF"/>
              </w:rPr>
              <w:t>&lt;…&gt;</w:t>
            </w:r>
          </w:p>
          <w:p w14:paraId="701C7D32" w14:textId="77777777" w:rsidR="006B4ED1" w:rsidRPr="00C27A60" w:rsidRDefault="006B4ED1" w:rsidP="002A6E11">
            <w:pPr>
              <w:jc w:val="both"/>
              <w:rPr>
                <w:b/>
                <w:bCs/>
                <w:strike/>
                <w:sz w:val="22"/>
                <w:szCs w:val="22"/>
                <w:shd w:val="clear" w:color="auto" w:fill="FFFFFF"/>
              </w:rPr>
            </w:pPr>
            <w:r w:rsidRPr="00C27A60">
              <w:rPr>
                <w:b/>
                <w:bCs/>
                <w:strike/>
                <w:sz w:val="22"/>
                <w:szCs w:val="22"/>
                <w:shd w:val="clear" w:color="auto" w:fill="FFFFFF"/>
              </w:rPr>
              <w:t>9) фактичний максимальний розмір заробітної плати, яка фінансується за рахунок тарифів на послуги постачальника універсальних послуг, що перевищує десятикратний розмір середньої заробітної плати, урахованої у структурі тарифів на послуги постачальника універсальних послуг, з урахуванням приведення до середньорічного розміру заробітної плати у звітному році.</w:t>
            </w:r>
          </w:p>
          <w:p w14:paraId="4B3BB1AD" w14:textId="77777777" w:rsidR="006B4ED1" w:rsidRPr="00C27A60" w:rsidRDefault="006B4ED1" w:rsidP="006B4ED1">
            <w:pPr>
              <w:rPr>
                <w:sz w:val="22"/>
                <w:szCs w:val="22"/>
              </w:rPr>
            </w:pPr>
          </w:p>
          <w:p w14:paraId="6397C9AD" w14:textId="77777777" w:rsidR="006B4ED1" w:rsidRPr="00C27A60" w:rsidRDefault="006B4ED1" w:rsidP="006B4ED1">
            <w:pPr>
              <w:rPr>
                <w:i/>
                <w:sz w:val="22"/>
                <w:szCs w:val="22"/>
              </w:rPr>
            </w:pPr>
            <w:r w:rsidRPr="00C27A60">
              <w:rPr>
                <w:i/>
                <w:sz w:val="22"/>
                <w:szCs w:val="22"/>
              </w:rPr>
              <w:lastRenderedPageBreak/>
              <w:t>ОБРГРУНТУВАННЯ:</w:t>
            </w:r>
          </w:p>
          <w:p w14:paraId="3612DCE4" w14:textId="77777777" w:rsidR="006B4ED1" w:rsidRPr="00C27A60" w:rsidRDefault="006B4ED1" w:rsidP="006B4ED1">
            <w:pPr>
              <w:rPr>
                <w:sz w:val="22"/>
                <w:szCs w:val="22"/>
              </w:rPr>
            </w:pPr>
            <w:r w:rsidRPr="00C27A60">
              <w:rPr>
                <w:sz w:val="22"/>
                <w:szCs w:val="22"/>
              </w:rPr>
              <w:t>З огляду на запропоновані зміни до п.5.</w:t>
            </w:r>
          </w:p>
          <w:p w14:paraId="1CCB1BD9" w14:textId="61D150BA" w:rsidR="00EB3D9C" w:rsidRPr="00C27A60" w:rsidRDefault="00EB3D9C" w:rsidP="006B4ED1">
            <w:pPr>
              <w:rPr>
                <w:sz w:val="22"/>
                <w:szCs w:val="22"/>
              </w:rPr>
            </w:pPr>
          </w:p>
        </w:tc>
        <w:tc>
          <w:tcPr>
            <w:tcW w:w="3546" w:type="dxa"/>
            <w:shd w:val="clear" w:color="auto" w:fill="auto"/>
            <w:vAlign w:val="center"/>
          </w:tcPr>
          <w:p w14:paraId="4BBA8763" w14:textId="77777777" w:rsidR="002A6E11" w:rsidRPr="00C27A60" w:rsidRDefault="002A6E11" w:rsidP="002A6E11">
            <w:pPr>
              <w:rPr>
                <w:b/>
                <w:i/>
                <w:sz w:val="22"/>
                <w:szCs w:val="22"/>
              </w:rPr>
            </w:pPr>
          </w:p>
          <w:p w14:paraId="18C89C15" w14:textId="77777777" w:rsidR="002A6E11" w:rsidRPr="00C27A60" w:rsidRDefault="002A6E11" w:rsidP="002A6E11">
            <w:pPr>
              <w:rPr>
                <w:b/>
                <w:i/>
                <w:sz w:val="22"/>
                <w:szCs w:val="22"/>
              </w:rPr>
            </w:pPr>
          </w:p>
          <w:p w14:paraId="3FA2E3E0" w14:textId="77777777" w:rsidR="002A6E11" w:rsidRPr="00C27A60" w:rsidRDefault="002A6E11" w:rsidP="002A6E11">
            <w:pPr>
              <w:rPr>
                <w:b/>
                <w:i/>
                <w:sz w:val="22"/>
                <w:szCs w:val="22"/>
              </w:rPr>
            </w:pPr>
          </w:p>
          <w:p w14:paraId="75579DC0" w14:textId="77777777" w:rsidR="002A6E11" w:rsidRPr="00C27A60" w:rsidRDefault="002A6E11" w:rsidP="002A6E11">
            <w:pPr>
              <w:rPr>
                <w:b/>
                <w:i/>
                <w:sz w:val="22"/>
                <w:szCs w:val="22"/>
              </w:rPr>
            </w:pPr>
          </w:p>
          <w:p w14:paraId="20EA7168" w14:textId="77777777" w:rsidR="002A6E11" w:rsidRPr="00C27A60" w:rsidRDefault="002A6E11" w:rsidP="002A6E11">
            <w:pPr>
              <w:rPr>
                <w:b/>
                <w:i/>
                <w:sz w:val="22"/>
                <w:szCs w:val="22"/>
              </w:rPr>
            </w:pPr>
          </w:p>
          <w:p w14:paraId="65D23B34" w14:textId="77777777" w:rsidR="002A6E11" w:rsidRPr="00C27A60" w:rsidRDefault="002A6E11" w:rsidP="002A6E11">
            <w:pPr>
              <w:rPr>
                <w:b/>
                <w:i/>
                <w:sz w:val="22"/>
                <w:szCs w:val="22"/>
              </w:rPr>
            </w:pPr>
          </w:p>
          <w:p w14:paraId="70130102" w14:textId="77777777" w:rsidR="00DC56B8" w:rsidRPr="00C27A60" w:rsidRDefault="00DC56B8" w:rsidP="002A6E11">
            <w:pPr>
              <w:rPr>
                <w:b/>
                <w:i/>
                <w:sz w:val="22"/>
                <w:szCs w:val="22"/>
              </w:rPr>
            </w:pPr>
          </w:p>
          <w:p w14:paraId="2CD66E24" w14:textId="77777777" w:rsidR="00DC56B8" w:rsidRPr="00C27A60" w:rsidRDefault="00DC56B8" w:rsidP="002A6E11">
            <w:pPr>
              <w:rPr>
                <w:b/>
                <w:i/>
                <w:sz w:val="22"/>
                <w:szCs w:val="22"/>
              </w:rPr>
            </w:pPr>
          </w:p>
          <w:p w14:paraId="3290B137" w14:textId="77777777" w:rsidR="002A6E11" w:rsidRPr="00C27A60" w:rsidRDefault="002A6E11" w:rsidP="002A6E11">
            <w:pPr>
              <w:rPr>
                <w:b/>
                <w:i/>
                <w:sz w:val="22"/>
                <w:szCs w:val="22"/>
              </w:rPr>
            </w:pPr>
          </w:p>
          <w:p w14:paraId="18C5D07D" w14:textId="77777777" w:rsidR="00DC56B8" w:rsidRPr="00C27A60" w:rsidRDefault="00DC56B8" w:rsidP="00DC56B8">
            <w:pPr>
              <w:rPr>
                <w:b/>
                <w:sz w:val="22"/>
                <w:szCs w:val="22"/>
              </w:rPr>
            </w:pPr>
            <w:r w:rsidRPr="00C27A60">
              <w:rPr>
                <w:b/>
                <w:sz w:val="22"/>
                <w:szCs w:val="22"/>
              </w:rPr>
              <w:t xml:space="preserve">Не враховується </w:t>
            </w:r>
          </w:p>
          <w:p w14:paraId="77DC0BB2" w14:textId="63C3C0EC" w:rsidR="00DC56B8" w:rsidRPr="00C27A60" w:rsidRDefault="00DC56B8" w:rsidP="00DC56B8">
            <w:pPr>
              <w:pStyle w:val="af5"/>
              <w:spacing w:before="0" w:beforeAutospacing="0" w:after="0" w:afterAutospacing="0"/>
              <w:rPr>
                <w:b/>
                <w:sz w:val="22"/>
                <w:szCs w:val="22"/>
                <w:lang w:eastAsia="ru-RU"/>
              </w:rPr>
            </w:pPr>
          </w:p>
          <w:p w14:paraId="4FB9A605" w14:textId="77777777" w:rsidR="00DC56B8" w:rsidRPr="00C27A60" w:rsidRDefault="00DC56B8" w:rsidP="00DC56B8">
            <w:pPr>
              <w:jc w:val="both"/>
              <w:rPr>
                <w:sz w:val="22"/>
                <w:szCs w:val="22"/>
              </w:rPr>
            </w:pPr>
            <w:r w:rsidRPr="00C27A60">
              <w:rPr>
                <w:sz w:val="22"/>
                <w:szCs w:val="22"/>
              </w:rPr>
              <w:t xml:space="preserve">Норма щодо </w:t>
            </w:r>
            <w:proofErr w:type="spellStart"/>
            <w:r w:rsidRPr="00C27A60">
              <w:rPr>
                <w:sz w:val="22"/>
                <w:szCs w:val="22"/>
              </w:rPr>
              <w:t>неперевищення</w:t>
            </w:r>
            <w:proofErr w:type="spellEnd"/>
            <w:r w:rsidRPr="00C27A60">
              <w:rPr>
                <w:sz w:val="22"/>
                <w:szCs w:val="22"/>
              </w:rPr>
              <w:t xml:space="preserve"> максимального розміру заробітної плати, яка фінансується за рахунок тарифу на послуги постачальника універсальних послуг, десятикратного розміру середньої заробітної плати, урахованої у </w:t>
            </w:r>
            <w:r w:rsidRPr="00C27A60">
              <w:rPr>
                <w:sz w:val="22"/>
                <w:szCs w:val="22"/>
              </w:rPr>
              <w:lastRenderedPageBreak/>
              <w:t>структурі тарифу, визначена рішеннями НКРЕКП про встановлення тарифів на 2024 рік.</w:t>
            </w:r>
          </w:p>
          <w:p w14:paraId="74FEB0D3" w14:textId="2022FF7C" w:rsidR="007F3D73" w:rsidRPr="00C27A60" w:rsidRDefault="00DC56B8" w:rsidP="00DC56B8">
            <w:pPr>
              <w:jc w:val="both"/>
              <w:rPr>
                <w:sz w:val="22"/>
                <w:szCs w:val="22"/>
              </w:rPr>
            </w:pPr>
            <w:r w:rsidRPr="00C27A60">
              <w:rPr>
                <w:sz w:val="22"/>
                <w:szCs w:val="22"/>
              </w:rPr>
              <w:t>Крім цього, компанії можуть приймати управлінські рішення щодо часткового фінансування заробітної плати висококваліфікованих працівників за рахунок іншої діяльності та/або інших джерел, не заборонених законодавством.</w:t>
            </w:r>
          </w:p>
        </w:tc>
      </w:tr>
      <w:tr w:rsidR="00C27A60" w:rsidRPr="00C27A60" w14:paraId="7C267A1D" w14:textId="77777777" w:rsidTr="00E85B3F">
        <w:trPr>
          <w:trHeight w:val="595"/>
        </w:trPr>
        <w:tc>
          <w:tcPr>
            <w:tcW w:w="5839" w:type="dxa"/>
            <w:shd w:val="clear" w:color="auto" w:fill="auto"/>
          </w:tcPr>
          <w:p w14:paraId="0E87A4EE" w14:textId="77777777" w:rsidR="006B4ED1" w:rsidRPr="00C27A60" w:rsidRDefault="006B4ED1" w:rsidP="006B4ED1">
            <w:pPr>
              <w:spacing w:after="160" w:line="259" w:lineRule="auto"/>
              <w:ind w:firstLine="308"/>
              <w:jc w:val="both"/>
              <w:rPr>
                <w:rFonts w:eastAsia="Calibri"/>
                <w:sz w:val="22"/>
                <w:szCs w:val="22"/>
                <w:shd w:val="clear" w:color="auto" w:fill="FFFFFF"/>
                <w:lang w:eastAsia="en-US"/>
              </w:rPr>
            </w:pPr>
          </w:p>
          <w:p w14:paraId="04CF0187" w14:textId="77777777" w:rsidR="006B4ED1" w:rsidRPr="00C27A60" w:rsidRDefault="006B4ED1" w:rsidP="006B4ED1">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147A3AF6" w14:textId="77777777" w:rsidR="006B4ED1" w:rsidRPr="00C27A60" w:rsidRDefault="006B4ED1" w:rsidP="006B4ED1">
            <w:pPr>
              <w:spacing w:after="160" w:line="259" w:lineRule="auto"/>
              <w:ind w:firstLine="308"/>
              <w:jc w:val="both"/>
              <w:rPr>
                <w:rFonts w:eastAsia="Calibri"/>
                <w:sz w:val="22"/>
                <w:szCs w:val="22"/>
                <w:shd w:val="clear" w:color="auto" w:fill="FFFFFF"/>
                <w:lang w:eastAsia="en-US"/>
              </w:rPr>
            </w:pPr>
          </w:p>
          <w:p w14:paraId="3034BB92" w14:textId="77777777" w:rsidR="006B4ED1" w:rsidRPr="00C27A60" w:rsidRDefault="006B4ED1" w:rsidP="006B4ED1">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&lt;…&gt;</w:t>
            </w:r>
          </w:p>
          <w:p w14:paraId="720C9F76" w14:textId="77777777" w:rsidR="006B4ED1" w:rsidRPr="00C27A60" w:rsidRDefault="006B4ED1" w:rsidP="006B4ED1">
            <w:pPr>
              <w:spacing w:after="160" w:line="259" w:lineRule="auto"/>
              <w:ind w:firstLine="308"/>
              <w:jc w:val="both"/>
              <w:rPr>
                <w:rFonts w:eastAsia="Calibri"/>
                <w:sz w:val="22"/>
                <w:szCs w:val="22"/>
                <w:shd w:val="clear" w:color="auto" w:fill="FFFFFF"/>
                <w:lang w:eastAsia="en-US"/>
              </w:rPr>
            </w:pPr>
          </w:p>
          <w:p w14:paraId="694E6062" w14:textId="77777777" w:rsidR="006B4ED1" w:rsidRPr="00C27A60" w:rsidRDefault="006B4ED1" w:rsidP="006B4ED1">
            <w:pPr>
              <w:spacing w:after="160" w:line="259" w:lineRule="auto"/>
              <w:ind w:firstLine="308"/>
              <w:jc w:val="both"/>
              <w:rPr>
                <w:rFonts w:eastAsia="Calibri"/>
                <w:b/>
                <w:sz w:val="22"/>
                <w:szCs w:val="22"/>
                <w:shd w:val="clear" w:color="auto" w:fill="FFFFFF"/>
                <w:lang w:eastAsia="en-US"/>
              </w:rPr>
            </w:pPr>
            <w:r w:rsidRPr="00C27A60">
              <w:rPr>
                <w:rFonts w:eastAsia="Calibri"/>
                <w:b/>
                <w:sz w:val="22"/>
                <w:szCs w:val="22"/>
                <w:shd w:val="clear" w:color="auto" w:fill="FFFFFF"/>
                <w:lang w:eastAsia="en-US"/>
              </w:rPr>
              <w:t>3) фактична сума перевищення максимального розміру заробітної плати, яка фінансується за рахунок тарифу на послуги постачальника універсальних послуг, що перевищує десятикратний розмір середньої заробітної плати, урахованої у структурі тарифу на послуги постачальника універсальних послуг, з урахуванням приведення до середньорічного розміру заробітної плати у звітному році, що підлягає вилученню.</w:t>
            </w:r>
          </w:p>
          <w:p w14:paraId="4C3BCC64" w14:textId="77777777" w:rsidR="006B4ED1" w:rsidRPr="00C27A60" w:rsidRDefault="006B4ED1" w:rsidP="006B4ED1">
            <w:pPr>
              <w:jc w:val="both"/>
              <w:rPr>
                <w:sz w:val="22"/>
                <w:szCs w:val="22"/>
              </w:rPr>
            </w:pPr>
          </w:p>
        </w:tc>
        <w:tc>
          <w:tcPr>
            <w:tcW w:w="5812" w:type="dxa"/>
            <w:shd w:val="clear" w:color="auto" w:fill="auto"/>
          </w:tcPr>
          <w:p w14:paraId="6E960023" w14:textId="77777777" w:rsidR="006B4ED1" w:rsidRPr="00C27A60" w:rsidRDefault="006B4ED1" w:rsidP="006B4ED1">
            <w:pPr>
              <w:rPr>
                <w:i/>
                <w:sz w:val="22"/>
                <w:szCs w:val="22"/>
              </w:rPr>
            </w:pPr>
            <w:r w:rsidRPr="00C27A60">
              <w:rPr>
                <w:i/>
                <w:sz w:val="22"/>
                <w:szCs w:val="22"/>
              </w:rPr>
              <w:t>ТОВ «КИЇВСЬКІ ЕНЕРГЕТИЧНІ ПОСЛУГИ»</w:t>
            </w:r>
          </w:p>
          <w:p w14:paraId="0B903242" w14:textId="77777777" w:rsidR="006B4ED1" w:rsidRPr="00C27A60" w:rsidRDefault="006B4ED1" w:rsidP="006B4ED1">
            <w:pPr>
              <w:rPr>
                <w:i/>
                <w:sz w:val="22"/>
                <w:szCs w:val="22"/>
              </w:rPr>
            </w:pPr>
          </w:p>
          <w:p w14:paraId="4438C8E8" w14:textId="77777777" w:rsidR="006B4ED1" w:rsidRPr="00C27A60" w:rsidRDefault="006B4ED1" w:rsidP="006B4ED1">
            <w:pPr>
              <w:rPr>
                <w:b/>
                <w:strike/>
                <w:sz w:val="22"/>
                <w:szCs w:val="22"/>
                <w:shd w:val="clear" w:color="auto" w:fill="FFFFFF"/>
              </w:rPr>
            </w:pPr>
            <w:r w:rsidRPr="00C27A60">
              <w:rPr>
                <w:b/>
                <w:strike/>
                <w:sz w:val="22"/>
                <w:szCs w:val="22"/>
                <w:shd w:val="clear" w:color="auto" w:fill="FFFFFF"/>
              </w:rPr>
              <w:t>3) фактична сума перевищення максимального розміру заробітної плати, яка фінансується за рахунок тарифу на послуги постачальника універсальних послуг, що перевищує десятикратний розмір середньої заробітної плати, урахованої у структурі тарифу на послуги постачальника універсальних послуг, з урахуванням приведення до середньорічного розміру заробітної плати у звітному році, що підлягає вилученню.</w:t>
            </w:r>
          </w:p>
          <w:p w14:paraId="3E57443B" w14:textId="77777777" w:rsidR="006B4ED1" w:rsidRPr="00C27A60" w:rsidRDefault="006B4ED1" w:rsidP="006B4ED1">
            <w:pPr>
              <w:rPr>
                <w:i/>
                <w:sz w:val="22"/>
                <w:szCs w:val="22"/>
              </w:rPr>
            </w:pPr>
          </w:p>
          <w:p w14:paraId="34E164AD" w14:textId="77777777" w:rsidR="006B4ED1" w:rsidRPr="00C27A60" w:rsidRDefault="006B4ED1" w:rsidP="006B4ED1">
            <w:pPr>
              <w:rPr>
                <w:i/>
                <w:sz w:val="22"/>
                <w:szCs w:val="22"/>
              </w:rPr>
            </w:pPr>
            <w:r w:rsidRPr="00C27A60">
              <w:rPr>
                <w:i/>
                <w:sz w:val="22"/>
                <w:szCs w:val="22"/>
              </w:rPr>
              <w:t>ОБРГРУНТУВАННЯ:</w:t>
            </w:r>
          </w:p>
          <w:p w14:paraId="17DE09F8" w14:textId="77777777" w:rsidR="00541B40" w:rsidRPr="00C27A60" w:rsidRDefault="00541B40" w:rsidP="00541B40">
            <w:pPr>
              <w:spacing w:after="120"/>
              <w:jc w:val="both"/>
              <w:rPr>
                <w:bCs/>
                <w:sz w:val="22"/>
                <w:szCs w:val="22"/>
              </w:rPr>
            </w:pPr>
            <w:r w:rsidRPr="00C27A60">
              <w:rPr>
                <w:bCs/>
                <w:sz w:val="22"/>
                <w:szCs w:val="22"/>
              </w:rPr>
              <w:t xml:space="preserve">Від початку повномасштабного вторгнення багато висококваліфікованих спеціалістів виїхали закордон, а ті громадяни, що залишились в Україні через постійно зростаючий рівень цін на товари і послуги, змушені шукати вакансії з вищим рівнем оплати праці. </w:t>
            </w:r>
          </w:p>
          <w:p w14:paraId="3C312887" w14:textId="77777777" w:rsidR="00541B40" w:rsidRPr="00C27A60" w:rsidRDefault="00541B40" w:rsidP="00541B40">
            <w:pPr>
              <w:spacing w:after="120"/>
              <w:jc w:val="both"/>
              <w:rPr>
                <w:bCs/>
                <w:sz w:val="22"/>
                <w:szCs w:val="22"/>
              </w:rPr>
            </w:pPr>
            <w:r w:rsidRPr="00C27A60">
              <w:rPr>
                <w:bCs/>
                <w:sz w:val="22"/>
                <w:szCs w:val="22"/>
              </w:rPr>
              <w:t>Станом на сьогодні максимальний розмір заробітної плати, яка фінансується за рахунок тарифу на послуги ПУП, жодним чином не покриває фактичного середнього розміру заробітної плати висококваліфікованих спеціалістів на ринку праці України.</w:t>
            </w:r>
          </w:p>
          <w:p w14:paraId="44EC926E" w14:textId="77777777" w:rsidR="00541B40" w:rsidRPr="00C27A60" w:rsidRDefault="00541B40" w:rsidP="00541B40">
            <w:pPr>
              <w:spacing w:after="120"/>
              <w:jc w:val="both"/>
              <w:rPr>
                <w:bCs/>
                <w:sz w:val="22"/>
                <w:szCs w:val="22"/>
              </w:rPr>
            </w:pPr>
            <w:r w:rsidRPr="00C27A60">
              <w:rPr>
                <w:bCs/>
                <w:sz w:val="22"/>
                <w:szCs w:val="22"/>
              </w:rPr>
              <w:t xml:space="preserve">Тож запровадження НКРЕКП </w:t>
            </w:r>
            <w:r w:rsidRPr="00C27A60">
              <w:rPr>
                <w:bCs/>
                <w:sz w:val="22"/>
                <w:szCs w:val="22"/>
                <w:shd w:val="clear" w:color="auto" w:fill="FFFFFF"/>
              </w:rPr>
              <w:t xml:space="preserve">максимального розміру заробітної плати вже поставило учасників ринку електроенергії (зокрема, постачальників універсальних послуг) в нерівні умові порівняно з іншими суб’єктами господарювання, через невідворотний відтік </w:t>
            </w:r>
            <w:r w:rsidRPr="00C27A60">
              <w:rPr>
                <w:bCs/>
                <w:sz w:val="22"/>
                <w:szCs w:val="22"/>
                <w:shd w:val="clear" w:color="auto" w:fill="FFFFFF"/>
              </w:rPr>
              <w:lastRenderedPageBreak/>
              <w:t xml:space="preserve">висококваліфікованих кадрів. </w:t>
            </w:r>
            <w:r w:rsidRPr="00C27A60">
              <w:rPr>
                <w:bCs/>
                <w:sz w:val="22"/>
                <w:szCs w:val="22"/>
              </w:rPr>
              <w:t>Це впливає на оперативність діяльності компанії та підвищує рівень витрат на пошук нових співробітників. І, як наслідок, відволікає кошти, які б могли бути сплачені в рахунок фінансових обов’язків перед іншими учасниками ринку. Тому додаткове фінансове навантаження на учасників ринку електроенергії не матиме стимулюючого ефекту, а лише загострить фінансові складнощі на ринку.</w:t>
            </w:r>
          </w:p>
          <w:p w14:paraId="2D1CEF19" w14:textId="42BA5DC7" w:rsidR="006B4ED1" w:rsidRPr="00C27A60" w:rsidRDefault="00541B40" w:rsidP="00541B40">
            <w:pPr>
              <w:rPr>
                <w:i/>
                <w:sz w:val="22"/>
                <w:szCs w:val="22"/>
              </w:rPr>
            </w:pPr>
            <w:r w:rsidRPr="00C27A60">
              <w:rPr>
                <w:bCs/>
                <w:sz w:val="22"/>
                <w:szCs w:val="22"/>
              </w:rPr>
              <w:t>З іншого боку даний показник фактично не є</w:t>
            </w:r>
            <w:r w:rsidRPr="00C27A60">
              <w:rPr>
                <w:sz w:val="22"/>
                <w:szCs w:val="22"/>
                <w:shd w:val="clear" w:color="auto" w:fill="FFFFFF"/>
              </w:rPr>
              <w:t xml:space="preserve"> додатково отриманим доходом. І якщо бути послідовним, то від’ємна сума цього показника має визначатись як недоотриманий дохід і включатись до структури тарифу в наступних періодах.</w:t>
            </w:r>
          </w:p>
        </w:tc>
        <w:tc>
          <w:tcPr>
            <w:tcW w:w="3546" w:type="dxa"/>
            <w:shd w:val="clear" w:color="auto" w:fill="auto"/>
          </w:tcPr>
          <w:p w14:paraId="17B12E38" w14:textId="77777777" w:rsidR="00F624B1" w:rsidRPr="00C27A60" w:rsidRDefault="00F624B1" w:rsidP="00E85B3F">
            <w:pPr>
              <w:rPr>
                <w:b/>
                <w:sz w:val="22"/>
                <w:szCs w:val="22"/>
              </w:rPr>
            </w:pPr>
          </w:p>
          <w:p w14:paraId="07874887" w14:textId="44449FBF" w:rsidR="00E85B3F" w:rsidRPr="00C27A60" w:rsidRDefault="00E85B3F" w:rsidP="00E85B3F">
            <w:pPr>
              <w:rPr>
                <w:b/>
                <w:sz w:val="22"/>
                <w:szCs w:val="22"/>
              </w:rPr>
            </w:pPr>
            <w:r w:rsidRPr="00C27A60">
              <w:rPr>
                <w:b/>
                <w:sz w:val="22"/>
                <w:szCs w:val="22"/>
              </w:rPr>
              <w:t xml:space="preserve">Не враховується </w:t>
            </w:r>
          </w:p>
          <w:p w14:paraId="6BF61F22" w14:textId="67CCFB05" w:rsidR="00E85B3F" w:rsidRPr="00C27A60" w:rsidRDefault="00E85B3F" w:rsidP="00E85B3F">
            <w:pPr>
              <w:pStyle w:val="af5"/>
              <w:spacing w:before="0" w:beforeAutospacing="0" w:after="0" w:afterAutospacing="0"/>
              <w:rPr>
                <w:b/>
                <w:sz w:val="22"/>
                <w:szCs w:val="22"/>
                <w:lang w:eastAsia="ru-RU"/>
              </w:rPr>
            </w:pPr>
          </w:p>
          <w:p w14:paraId="56241654" w14:textId="6231B6CC" w:rsidR="006B4ED1" w:rsidRPr="00C27A60" w:rsidRDefault="00730F66" w:rsidP="00E85B3F">
            <w:pPr>
              <w:jc w:val="both"/>
              <w:rPr>
                <w:sz w:val="22"/>
                <w:szCs w:val="22"/>
              </w:rPr>
            </w:pPr>
            <w:r w:rsidRPr="00C27A60">
              <w:rPr>
                <w:sz w:val="22"/>
                <w:szCs w:val="22"/>
              </w:rPr>
              <w:t>Норма щодо неперевищення максимального розміру заробітної плати, яка фінансується за рахунок тарифу на послуги постачальника універсальних послуг, десятикратного розміру середньої заробітної плати, урахованої у структурі тарифу,</w:t>
            </w:r>
            <w:r w:rsidR="00E85B3F" w:rsidRPr="00C27A60">
              <w:rPr>
                <w:sz w:val="22"/>
                <w:szCs w:val="22"/>
              </w:rPr>
              <w:t xml:space="preserve"> </w:t>
            </w:r>
            <w:r w:rsidR="00B1441B" w:rsidRPr="00C27A60">
              <w:rPr>
                <w:sz w:val="22"/>
                <w:szCs w:val="22"/>
              </w:rPr>
              <w:t>визначен</w:t>
            </w:r>
            <w:r w:rsidRPr="00C27A60">
              <w:rPr>
                <w:sz w:val="22"/>
                <w:szCs w:val="22"/>
              </w:rPr>
              <w:t>а</w:t>
            </w:r>
            <w:r w:rsidR="00B1441B" w:rsidRPr="00C27A60">
              <w:rPr>
                <w:sz w:val="22"/>
                <w:szCs w:val="22"/>
              </w:rPr>
              <w:t xml:space="preserve"> рішеннями НКРЕКП про встановлення</w:t>
            </w:r>
            <w:r w:rsidRPr="00C27A60">
              <w:rPr>
                <w:sz w:val="22"/>
                <w:szCs w:val="22"/>
              </w:rPr>
              <w:t xml:space="preserve"> тарифів на 2024 рік.</w:t>
            </w:r>
          </w:p>
          <w:p w14:paraId="4A0D5298" w14:textId="283EAC7E" w:rsidR="00730F66" w:rsidRPr="00C27A60" w:rsidRDefault="002454DB" w:rsidP="00E85B3F">
            <w:pPr>
              <w:jc w:val="both"/>
              <w:rPr>
                <w:sz w:val="22"/>
                <w:szCs w:val="22"/>
              </w:rPr>
            </w:pPr>
            <w:r w:rsidRPr="00C27A60">
              <w:rPr>
                <w:sz w:val="22"/>
                <w:szCs w:val="22"/>
              </w:rPr>
              <w:t>Крім цього</w:t>
            </w:r>
            <w:r w:rsidR="00730F66" w:rsidRPr="00C27A60">
              <w:rPr>
                <w:sz w:val="22"/>
                <w:szCs w:val="22"/>
              </w:rPr>
              <w:t xml:space="preserve">, компанії можуть приймати </w:t>
            </w:r>
            <w:r w:rsidRPr="00C27A60">
              <w:rPr>
                <w:sz w:val="22"/>
                <w:szCs w:val="22"/>
              </w:rPr>
              <w:t xml:space="preserve">управлінські </w:t>
            </w:r>
            <w:r w:rsidR="00730F66" w:rsidRPr="00C27A60">
              <w:rPr>
                <w:sz w:val="22"/>
                <w:szCs w:val="22"/>
              </w:rPr>
              <w:t xml:space="preserve">рішення щодо </w:t>
            </w:r>
            <w:r w:rsidR="002C6DD1" w:rsidRPr="00C27A60">
              <w:rPr>
                <w:sz w:val="22"/>
                <w:szCs w:val="22"/>
              </w:rPr>
              <w:t xml:space="preserve">часткового </w:t>
            </w:r>
            <w:r w:rsidR="00730F66" w:rsidRPr="00C27A60">
              <w:rPr>
                <w:sz w:val="22"/>
                <w:szCs w:val="22"/>
              </w:rPr>
              <w:t>фінансування заробітної плати високо</w:t>
            </w:r>
            <w:r w:rsidR="00F624B1" w:rsidRPr="00C27A60">
              <w:rPr>
                <w:sz w:val="22"/>
                <w:szCs w:val="22"/>
              </w:rPr>
              <w:t>кваліфікованих</w:t>
            </w:r>
            <w:r w:rsidR="00730F66" w:rsidRPr="00C27A60">
              <w:rPr>
                <w:sz w:val="22"/>
                <w:szCs w:val="22"/>
              </w:rPr>
              <w:t xml:space="preserve"> працівників за рахунок </w:t>
            </w:r>
            <w:r w:rsidR="002C6DD1" w:rsidRPr="00C27A60">
              <w:rPr>
                <w:sz w:val="22"/>
                <w:szCs w:val="22"/>
              </w:rPr>
              <w:t xml:space="preserve">іншої діяльності </w:t>
            </w:r>
            <w:r w:rsidRPr="00C27A60">
              <w:rPr>
                <w:sz w:val="22"/>
                <w:szCs w:val="22"/>
              </w:rPr>
              <w:t xml:space="preserve">та/або </w:t>
            </w:r>
            <w:r w:rsidR="00730F66" w:rsidRPr="00C27A60">
              <w:rPr>
                <w:sz w:val="22"/>
                <w:szCs w:val="22"/>
              </w:rPr>
              <w:t>інших джерел, не заборонених законодавством</w:t>
            </w:r>
            <w:r w:rsidR="009A62DA" w:rsidRPr="00C27A60">
              <w:rPr>
                <w:sz w:val="22"/>
                <w:szCs w:val="22"/>
              </w:rPr>
              <w:t>.</w:t>
            </w:r>
          </w:p>
        </w:tc>
      </w:tr>
      <w:tr w:rsidR="00C27A60" w:rsidRPr="00C27A60" w14:paraId="1442C6A9" w14:textId="77777777" w:rsidTr="00B522EF">
        <w:trPr>
          <w:trHeight w:val="595"/>
        </w:trPr>
        <w:tc>
          <w:tcPr>
            <w:tcW w:w="15197" w:type="dxa"/>
            <w:gridSpan w:val="3"/>
            <w:shd w:val="clear" w:color="auto" w:fill="BDD6EE" w:themeFill="accent1" w:themeFillTint="66"/>
          </w:tcPr>
          <w:p w14:paraId="56CD6723" w14:textId="77777777" w:rsidR="00B522EF" w:rsidRPr="00C27A60" w:rsidRDefault="00B522EF" w:rsidP="00B522EF">
            <w:pPr>
              <w:jc w:val="center"/>
              <w:rPr>
                <w:b/>
                <w:sz w:val="22"/>
                <w:szCs w:val="22"/>
              </w:rPr>
            </w:pPr>
            <w:r w:rsidRPr="00C27A60">
              <w:rPr>
                <w:b/>
                <w:sz w:val="22"/>
                <w:szCs w:val="22"/>
              </w:rPr>
              <w:t>Додаток 27</w:t>
            </w:r>
          </w:p>
          <w:p w14:paraId="30D91D38" w14:textId="20FA9CE2" w:rsidR="008D1DC5" w:rsidRPr="00C27A60" w:rsidRDefault="00B522EF" w:rsidP="00B522EF">
            <w:pPr>
              <w:jc w:val="center"/>
              <w:rPr>
                <w:b/>
                <w:sz w:val="22"/>
                <w:szCs w:val="22"/>
              </w:rPr>
            </w:pPr>
            <w:r w:rsidRPr="00C27A60">
              <w:rPr>
                <w:b/>
                <w:sz w:val="22"/>
                <w:szCs w:val="22"/>
              </w:rPr>
              <w:t>Методика визначення сум надлишково отриманого або недоотриманого доходу оператора системи передачі від здійснення діяльності з передачі електричної енергії</w:t>
            </w:r>
          </w:p>
        </w:tc>
      </w:tr>
      <w:tr w:rsidR="00C27A60" w:rsidRPr="00C27A60" w14:paraId="1B51AB63" w14:textId="77777777" w:rsidTr="008D1DC5">
        <w:trPr>
          <w:trHeight w:val="595"/>
        </w:trPr>
        <w:tc>
          <w:tcPr>
            <w:tcW w:w="5839" w:type="dxa"/>
            <w:shd w:val="clear" w:color="auto" w:fill="auto"/>
          </w:tcPr>
          <w:p w14:paraId="21E4D60D" w14:textId="77777777" w:rsidR="00C533B1" w:rsidRPr="00C27A60" w:rsidRDefault="00C533B1" w:rsidP="00C533B1">
            <w:pPr>
              <w:spacing w:after="160" w:line="259" w:lineRule="auto"/>
              <w:ind w:firstLine="308"/>
              <w:jc w:val="both"/>
              <w:rPr>
                <w:rFonts w:eastAsia="Calibri"/>
                <w:sz w:val="22"/>
                <w:szCs w:val="22"/>
                <w:shd w:val="clear" w:color="auto" w:fill="FFFFFF"/>
                <w:lang w:eastAsia="en-US"/>
              </w:rPr>
            </w:pPr>
          </w:p>
          <w:p w14:paraId="6F87C752" w14:textId="2BB7F6C6" w:rsidR="00C533B1" w:rsidRPr="00C27A60" w:rsidRDefault="00C533B1" w:rsidP="00C533B1">
            <w:pPr>
              <w:rPr>
                <w:sz w:val="22"/>
                <w:szCs w:val="22"/>
              </w:rPr>
            </w:pPr>
            <w:r w:rsidRPr="00C27A60">
              <w:rPr>
                <w:b/>
                <w:sz w:val="22"/>
                <w:szCs w:val="22"/>
                <w:shd w:val="clear" w:color="auto" w:fill="FFFFFF"/>
              </w:rPr>
              <w:t>ЗМІНИ НЕ ПРОПОНУВАЛИСЬ</w:t>
            </w:r>
          </w:p>
        </w:tc>
        <w:tc>
          <w:tcPr>
            <w:tcW w:w="5812" w:type="dxa"/>
            <w:shd w:val="clear" w:color="auto" w:fill="auto"/>
          </w:tcPr>
          <w:p w14:paraId="79917EB1" w14:textId="02F1B242" w:rsidR="00C533B1" w:rsidRPr="00C27A60" w:rsidRDefault="00C533B1" w:rsidP="00842295">
            <w:pPr>
              <w:spacing w:after="160" w:line="259" w:lineRule="auto"/>
              <w:jc w:val="both"/>
              <w:rPr>
                <w:rFonts w:eastAsia="Calibri"/>
                <w:i/>
                <w:sz w:val="22"/>
                <w:szCs w:val="22"/>
                <w:shd w:val="clear" w:color="auto" w:fill="FFFFFF"/>
                <w:lang w:eastAsia="en-US"/>
              </w:rPr>
            </w:pPr>
            <w:r w:rsidRPr="00C27A60">
              <w:rPr>
                <w:rFonts w:eastAsia="Calibri"/>
                <w:i/>
                <w:kern w:val="2"/>
                <w:sz w:val="22"/>
                <w:szCs w:val="22"/>
                <w:lang w:eastAsia="en-US"/>
                <w14:ligatures w14:val="standardContextual"/>
              </w:rPr>
              <w:t>НЕК «УКРЕНЕРГО»</w:t>
            </w:r>
          </w:p>
          <w:p w14:paraId="007F218B" w14:textId="5DB63B7E" w:rsidR="00C533B1" w:rsidRPr="00C27A60" w:rsidRDefault="00C533B1" w:rsidP="00C533B1">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4. З метою визначення об'єктивної суми коштів, отриманої для фінансування ОСП від здійснення діяльності з передачі електричної енергії, при проведенні планових або позапланових перевірок в акті перевірки фіксуються такі показники:</w:t>
            </w:r>
          </w:p>
          <w:p w14:paraId="4D1CA733" w14:textId="77777777" w:rsidR="00C533B1" w:rsidRPr="00C27A60" w:rsidRDefault="00C533B1" w:rsidP="00C533B1">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&lt;…&gt;</w:t>
            </w:r>
          </w:p>
          <w:p w14:paraId="59347429" w14:textId="77777777" w:rsidR="00C533B1" w:rsidRPr="00C27A60" w:rsidRDefault="00C533B1" w:rsidP="00C533B1">
            <w:pPr>
              <w:spacing w:after="160" w:line="259" w:lineRule="auto"/>
              <w:jc w:val="both"/>
              <w:rPr>
                <w:rFonts w:eastAsia="Calibri"/>
                <w:bCs/>
                <w:kern w:val="2"/>
                <w:sz w:val="22"/>
                <w:szCs w:val="22"/>
                <w:lang w:eastAsia="en-US"/>
                <w14:ligatures w14:val="standardContextual"/>
              </w:rPr>
            </w:pPr>
            <w:r w:rsidRPr="00C27A60">
              <w:rPr>
                <w:rFonts w:eastAsia="Calibri"/>
                <w:bCs/>
                <w:kern w:val="2"/>
                <w:sz w:val="22"/>
                <w:szCs w:val="22"/>
                <w:lang w:eastAsia="en-US"/>
                <w14:ligatures w14:val="standardContextual"/>
              </w:rPr>
              <w:t>39) фактичні витрати, понесені ліцензіатом у звітному році відповідно до постанов НКРЕКП:</w:t>
            </w:r>
          </w:p>
          <w:p w14:paraId="4C593E28" w14:textId="77777777" w:rsidR="00C533B1" w:rsidRPr="00C27A60" w:rsidRDefault="00C533B1" w:rsidP="00C533B1">
            <w:pPr>
              <w:spacing w:after="160" w:line="259" w:lineRule="auto"/>
              <w:jc w:val="both"/>
              <w:rPr>
                <w:rFonts w:eastAsia="Calibri"/>
                <w:bCs/>
                <w:kern w:val="2"/>
                <w:sz w:val="22"/>
                <w:szCs w:val="22"/>
                <w:lang w:eastAsia="en-US"/>
                <w14:ligatures w14:val="standardContextual"/>
              </w:rPr>
            </w:pPr>
            <w:r w:rsidRPr="00C27A60">
              <w:rPr>
                <w:rFonts w:eastAsia="Calibri"/>
                <w:bCs/>
                <w:kern w:val="2"/>
                <w:sz w:val="22"/>
                <w:szCs w:val="22"/>
                <w:lang w:eastAsia="en-US"/>
                <w14:ligatures w14:val="standardContextual"/>
              </w:rPr>
              <w:t>від 17 березня 2022 року № 345 «Щодо врахування при проведенні перевірок сум видатків ліцензіатів НКРЕКП, здійснених під час запровадження воєнного стану в Україні» (далі – постанова № 345);</w:t>
            </w:r>
          </w:p>
          <w:p w14:paraId="16B268A3" w14:textId="77777777" w:rsidR="00C533B1" w:rsidRPr="00C27A60" w:rsidRDefault="00C533B1" w:rsidP="00C533B1">
            <w:pPr>
              <w:spacing w:after="160" w:line="259" w:lineRule="auto"/>
              <w:jc w:val="both"/>
              <w:rPr>
                <w:rFonts w:eastAsia="Calibri"/>
                <w:bCs/>
                <w:kern w:val="2"/>
                <w:sz w:val="22"/>
                <w:szCs w:val="22"/>
                <w:lang w:eastAsia="en-US"/>
                <w14:ligatures w14:val="standardContextual"/>
              </w:rPr>
            </w:pPr>
            <w:r w:rsidRPr="00C27A60">
              <w:rPr>
                <w:rFonts w:eastAsia="Calibri"/>
                <w:bCs/>
                <w:kern w:val="2"/>
                <w:sz w:val="22"/>
                <w:szCs w:val="22"/>
                <w:lang w:eastAsia="en-US"/>
                <w14:ligatures w14:val="standardContextual"/>
              </w:rPr>
              <w:t xml:space="preserve">від 25 жовтня 2022 року № 1342 «Про затвердження Тимчасового порядку дій оператора системи передачі з відновлення електричних мереж та/або їх складових, </w:t>
            </w:r>
            <w:r w:rsidRPr="00C27A60">
              <w:rPr>
                <w:rFonts w:eastAsia="Calibri"/>
                <w:bCs/>
                <w:kern w:val="2"/>
                <w:sz w:val="22"/>
                <w:szCs w:val="22"/>
                <w:lang w:eastAsia="en-US"/>
                <w14:ligatures w14:val="standardContextual"/>
              </w:rPr>
              <w:lastRenderedPageBreak/>
              <w:t>пошкоджених внаслідок бойових дій, у період дії в Україні воєнного стану» (далі – постанова № 1342);</w:t>
            </w:r>
          </w:p>
          <w:p w14:paraId="2187373D" w14:textId="77777777" w:rsidR="00C533B1" w:rsidRPr="00C27A60" w:rsidRDefault="00C533B1" w:rsidP="002A6E11">
            <w:pPr>
              <w:jc w:val="both"/>
              <w:rPr>
                <w:rFonts w:eastAsia="Calibri"/>
                <w:b/>
                <w:bCs/>
                <w:kern w:val="2"/>
                <w:sz w:val="22"/>
                <w:szCs w:val="22"/>
                <w:lang w:eastAsia="en-US"/>
                <w14:ligatures w14:val="standardContextual"/>
              </w:rPr>
            </w:pPr>
            <w:r w:rsidRPr="00C27A60">
              <w:rPr>
                <w:rFonts w:eastAsia="Calibri"/>
                <w:b/>
                <w:bCs/>
                <w:kern w:val="2"/>
                <w:sz w:val="22"/>
                <w:szCs w:val="22"/>
                <w:lang w:eastAsia="en-US"/>
                <w14:ligatures w14:val="standardContextual"/>
              </w:rPr>
              <w:t>а також виплати персоналу НЕК «Укренерго» (з нарахуваннями), пов’язані з виконанням функцій та завдань в умовах воєнних дій.</w:t>
            </w:r>
          </w:p>
          <w:p w14:paraId="6016E522" w14:textId="2097CD13" w:rsidR="00C533B1" w:rsidRPr="00C27A60" w:rsidRDefault="00C533B1" w:rsidP="00C533B1">
            <w:pPr>
              <w:rPr>
                <w:i/>
                <w:sz w:val="22"/>
                <w:szCs w:val="22"/>
              </w:rPr>
            </w:pPr>
          </w:p>
          <w:p w14:paraId="5F117DDE" w14:textId="77777777" w:rsidR="00C533B1" w:rsidRPr="00C27A60" w:rsidRDefault="00C533B1" w:rsidP="00C533B1">
            <w:pPr>
              <w:rPr>
                <w:i/>
                <w:sz w:val="22"/>
                <w:szCs w:val="22"/>
              </w:rPr>
            </w:pPr>
            <w:r w:rsidRPr="00C27A60">
              <w:rPr>
                <w:i/>
                <w:sz w:val="22"/>
                <w:szCs w:val="22"/>
              </w:rPr>
              <w:t>ОБРГРУНТУВАННЯ:</w:t>
            </w:r>
          </w:p>
          <w:p w14:paraId="042BBB7A" w14:textId="77777777" w:rsidR="00C533B1" w:rsidRPr="00C27A60" w:rsidRDefault="00C533B1" w:rsidP="00C533B1">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НЕК «Укренерго» - стратегічне підприємство національного рівня, яке з початком повномасштабної війни з </w:t>
            </w:r>
            <w:proofErr w:type="spellStart"/>
            <w:r w:rsidRPr="00C27A60">
              <w:rPr>
                <w:rFonts w:eastAsia="Calibri"/>
                <w:kern w:val="2"/>
                <w:sz w:val="22"/>
                <w:szCs w:val="22"/>
                <w:lang w:eastAsia="en-US"/>
                <w14:ligatures w14:val="standardContextual"/>
              </w:rPr>
              <w:t>рф</w:t>
            </w:r>
            <w:proofErr w:type="spellEnd"/>
            <w:r w:rsidRPr="00C27A60">
              <w:rPr>
                <w:rFonts w:eastAsia="Calibri"/>
                <w:kern w:val="2"/>
                <w:sz w:val="22"/>
                <w:szCs w:val="22"/>
                <w:lang w:eastAsia="en-US"/>
                <w14:ligatures w14:val="standardContextual"/>
              </w:rPr>
              <w:t xml:space="preserve"> працює в надскладних та небезпечних умовах з підвищеним рівнем загрози втрати життя співробітників безпосередньо на робочому місці під час виконання своїх обов’язків. У результаті таких атак маємо нещасні випадки, у тому числі зі смертельними наслідками.</w:t>
            </w:r>
          </w:p>
          <w:p w14:paraId="1CC3F2D1" w14:textId="076C2555" w:rsidR="00C533B1" w:rsidRPr="00C27A60" w:rsidRDefault="00C533B1" w:rsidP="00C533B1">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У зв’язку з повномасштабними військовими діями на території нашої країни  та виконанням персоналом своїх завдань в таких умовах НЕК «Укренерго» здійснює  додаткові виплати своїм працівникам:</w:t>
            </w:r>
          </w:p>
          <w:p w14:paraId="2446F7F2" w14:textId="77777777" w:rsidR="00C533B1" w:rsidRPr="00C27A60" w:rsidRDefault="00C533B1" w:rsidP="00C533B1">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w:t>
            </w:r>
            <w:r w:rsidRPr="00C27A60">
              <w:rPr>
                <w:rFonts w:eastAsia="Calibri"/>
                <w:kern w:val="2"/>
                <w:sz w:val="22"/>
                <w:szCs w:val="22"/>
                <w:lang w:eastAsia="en-US"/>
                <w14:ligatures w14:val="standardContextual"/>
              </w:rPr>
              <w:tab/>
              <w:t>виплати оперативному персоналу та персоналу, задіяному на роботах з ремонту та експлуатації електротехнічного обладнання, за роботу з відновлення енергетичної інфраструктури, в тому числі і у вихідні дні, та особливо важливі завдання з усунення наслідків руйнувань в умовах бойових дій, що сталися внаслідок військової агресії на території нашої держави;</w:t>
            </w:r>
          </w:p>
          <w:p w14:paraId="51A2C559" w14:textId="77777777" w:rsidR="00C533B1" w:rsidRPr="00C27A60" w:rsidRDefault="00C533B1" w:rsidP="00C533B1">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w:t>
            </w:r>
            <w:r w:rsidRPr="00C27A60">
              <w:rPr>
                <w:rFonts w:eastAsia="Calibri"/>
                <w:kern w:val="2"/>
                <w:sz w:val="22"/>
                <w:szCs w:val="22"/>
                <w:lang w:eastAsia="en-US"/>
                <w14:ligatures w14:val="standardContextual"/>
              </w:rPr>
              <w:tab/>
              <w:t>виплати  працівникам призваним на строкову військову службу, військову службу за призовом осіб офіцерського складу, військову службу за призовом під час мобілізації, на особливий період, військову службу за призовом осіб із числа резервістів в особливий період або прийнятим на військову службу за контрактом, у тому числі шляхом укладення нового контракту на проходження військової служби, під час дії особливого періоду на строк до його закінчення або до дня фактичного звільнення;</w:t>
            </w:r>
          </w:p>
          <w:p w14:paraId="28A8666C" w14:textId="6C79B747" w:rsidR="00C533B1" w:rsidRPr="00C27A60" w:rsidRDefault="00C533B1" w:rsidP="00C533B1">
            <w:pPr>
              <w:rPr>
                <w:i/>
                <w:sz w:val="22"/>
                <w:szCs w:val="22"/>
              </w:rPr>
            </w:pPr>
            <w:r w:rsidRPr="00C27A60">
              <w:rPr>
                <w:rFonts w:eastAsia="Calibri"/>
                <w:kern w:val="2"/>
                <w:sz w:val="22"/>
                <w:szCs w:val="22"/>
                <w:lang w:eastAsia="en-US"/>
                <w14:ligatures w14:val="standardContextual"/>
              </w:rPr>
              <w:lastRenderedPageBreak/>
              <w:t>-</w:t>
            </w:r>
            <w:r w:rsidRPr="00C27A60">
              <w:rPr>
                <w:rFonts w:eastAsia="Calibri"/>
                <w:kern w:val="2"/>
                <w:sz w:val="22"/>
                <w:szCs w:val="22"/>
                <w:lang w:eastAsia="en-US"/>
                <w14:ligatures w14:val="standardContextual"/>
              </w:rPr>
              <w:tab/>
              <w:t>з 2024 року впроваджено додаткові виплати з особливими умовами праці працівникам, які щоденно працюють  в небезпечних умовах на прифронтових територіях, які є вкрай необхідними, оскільки це є додатковою підтримкою наших співробітників та визнанням того, що в цих регіонах збільшений ризик для життя на робочому місці.</w:t>
            </w:r>
          </w:p>
          <w:p w14:paraId="46F6985D" w14:textId="5B5ED4CF" w:rsidR="00C533B1" w:rsidRPr="00C27A60" w:rsidRDefault="00C533B1" w:rsidP="00C533B1">
            <w:pPr>
              <w:rPr>
                <w:i/>
                <w:sz w:val="22"/>
                <w:szCs w:val="22"/>
              </w:rPr>
            </w:pPr>
          </w:p>
        </w:tc>
        <w:tc>
          <w:tcPr>
            <w:tcW w:w="3546" w:type="dxa"/>
            <w:shd w:val="clear" w:color="auto" w:fill="auto"/>
            <w:vAlign w:val="center"/>
          </w:tcPr>
          <w:p w14:paraId="453FED35" w14:textId="77777777" w:rsidR="00C533B1" w:rsidRPr="00C27A60" w:rsidRDefault="00C533B1" w:rsidP="00CB6943">
            <w:pPr>
              <w:jc w:val="both"/>
              <w:rPr>
                <w:sz w:val="22"/>
                <w:szCs w:val="22"/>
              </w:rPr>
            </w:pPr>
          </w:p>
          <w:p w14:paraId="69831A10" w14:textId="77777777" w:rsidR="00CB6943" w:rsidRPr="00C27A60" w:rsidRDefault="00CB6943" w:rsidP="00CB6943">
            <w:pPr>
              <w:jc w:val="both"/>
              <w:rPr>
                <w:sz w:val="22"/>
                <w:szCs w:val="22"/>
              </w:rPr>
            </w:pPr>
          </w:p>
          <w:p w14:paraId="40C864AD" w14:textId="77777777" w:rsidR="00CB6943" w:rsidRPr="00C27A60" w:rsidRDefault="00CB6943" w:rsidP="00CB6943">
            <w:pPr>
              <w:jc w:val="both"/>
              <w:rPr>
                <w:sz w:val="22"/>
                <w:szCs w:val="22"/>
              </w:rPr>
            </w:pPr>
          </w:p>
          <w:p w14:paraId="2663D13F" w14:textId="77777777" w:rsidR="00CB6943" w:rsidRPr="00C27A60" w:rsidRDefault="00CB6943" w:rsidP="00CB6943">
            <w:pPr>
              <w:jc w:val="both"/>
              <w:rPr>
                <w:sz w:val="22"/>
                <w:szCs w:val="22"/>
              </w:rPr>
            </w:pPr>
          </w:p>
          <w:p w14:paraId="0462BDD6" w14:textId="77777777" w:rsidR="00CB6943" w:rsidRPr="00C27A60" w:rsidRDefault="00CB6943" w:rsidP="00CB6943">
            <w:pPr>
              <w:jc w:val="both"/>
              <w:rPr>
                <w:sz w:val="22"/>
                <w:szCs w:val="22"/>
              </w:rPr>
            </w:pPr>
          </w:p>
          <w:p w14:paraId="775606A7" w14:textId="77777777" w:rsidR="00CB6943" w:rsidRPr="00C27A60" w:rsidRDefault="00CB6943" w:rsidP="00CB6943">
            <w:pPr>
              <w:jc w:val="both"/>
              <w:rPr>
                <w:sz w:val="22"/>
                <w:szCs w:val="22"/>
              </w:rPr>
            </w:pPr>
          </w:p>
          <w:p w14:paraId="4C879900" w14:textId="77777777" w:rsidR="00CB6943" w:rsidRPr="00C27A60" w:rsidRDefault="00CB6943" w:rsidP="00CB6943">
            <w:pPr>
              <w:jc w:val="both"/>
              <w:rPr>
                <w:sz w:val="22"/>
                <w:szCs w:val="22"/>
              </w:rPr>
            </w:pPr>
          </w:p>
          <w:p w14:paraId="2EE4B203" w14:textId="77777777" w:rsidR="00CB6943" w:rsidRPr="00C27A60" w:rsidRDefault="00CB6943" w:rsidP="00CB6943">
            <w:pPr>
              <w:jc w:val="both"/>
              <w:rPr>
                <w:sz w:val="22"/>
                <w:szCs w:val="22"/>
              </w:rPr>
            </w:pPr>
          </w:p>
          <w:p w14:paraId="600D3135" w14:textId="77777777" w:rsidR="00CB6943" w:rsidRPr="00C27A60" w:rsidRDefault="00CB6943" w:rsidP="00CB6943">
            <w:pPr>
              <w:jc w:val="both"/>
              <w:rPr>
                <w:sz w:val="22"/>
                <w:szCs w:val="22"/>
              </w:rPr>
            </w:pPr>
          </w:p>
          <w:p w14:paraId="41989C3D" w14:textId="77777777" w:rsidR="00CB6943" w:rsidRPr="00C27A60" w:rsidRDefault="00CB6943" w:rsidP="00CB6943">
            <w:pPr>
              <w:jc w:val="both"/>
              <w:rPr>
                <w:sz w:val="22"/>
                <w:szCs w:val="22"/>
              </w:rPr>
            </w:pPr>
          </w:p>
          <w:p w14:paraId="47773FC1" w14:textId="77777777" w:rsidR="00CB6943" w:rsidRPr="00C27A60" w:rsidRDefault="00CB6943" w:rsidP="00CB6943">
            <w:pPr>
              <w:jc w:val="both"/>
              <w:rPr>
                <w:sz w:val="22"/>
                <w:szCs w:val="22"/>
              </w:rPr>
            </w:pPr>
          </w:p>
          <w:p w14:paraId="564ECCD3" w14:textId="77777777" w:rsidR="00CB6943" w:rsidRPr="00C27A60" w:rsidRDefault="00CB6943" w:rsidP="00CB6943">
            <w:pPr>
              <w:jc w:val="both"/>
              <w:rPr>
                <w:sz w:val="22"/>
                <w:szCs w:val="22"/>
              </w:rPr>
            </w:pPr>
          </w:p>
          <w:p w14:paraId="3B6B9699" w14:textId="77777777" w:rsidR="00CB6943" w:rsidRPr="00C27A60" w:rsidRDefault="00CB6943" w:rsidP="00CB6943">
            <w:pPr>
              <w:jc w:val="both"/>
              <w:rPr>
                <w:sz w:val="22"/>
                <w:szCs w:val="22"/>
              </w:rPr>
            </w:pPr>
          </w:p>
          <w:p w14:paraId="44282590" w14:textId="77777777" w:rsidR="00CB6943" w:rsidRPr="00C27A60" w:rsidRDefault="00CB6943" w:rsidP="00CB6943">
            <w:pPr>
              <w:jc w:val="both"/>
              <w:rPr>
                <w:sz w:val="22"/>
                <w:szCs w:val="22"/>
              </w:rPr>
            </w:pPr>
          </w:p>
          <w:p w14:paraId="569057E3" w14:textId="77777777" w:rsidR="00CB6943" w:rsidRPr="00C27A60" w:rsidRDefault="00CB6943" w:rsidP="00CB6943">
            <w:pPr>
              <w:jc w:val="both"/>
              <w:rPr>
                <w:sz w:val="22"/>
                <w:szCs w:val="22"/>
              </w:rPr>
            </w:pPr>
          </w:p>
          <w:p w14:paraId="6400D035" w14:textId="77777777" w:rsidR="00CB6943" w:rsidRPr="00C27A60" w:rsidRDefault="00CB6943" w:rsidP="00CB6943">
            <w:pPr>
              <w:jc w:val="both"/>
              <w:rPr>
                <w:sz w:val="22"/>
                <w:szCs w:val="22"/>
              </w:rPr>
            </w:pPr>
          </w:p>
          <w:p w14:paraId="5A5A46B2" w14:textId="77777777" w:rsidR="00CB6943" w:rsidRPr="00C27A60" w:rsidRDefault="00CB6943" w:rsidP="00CB6943">
            <w:pPr>
              <w:jc w:val="both"/>
              <w:rPr>
                <w:sz w:val="22"/>
                <w:szCs w:val="22"/>
              </w:rPr>
            </w:pPr>
          </w:p>
          <w:p w14:paraId="263C928E" w14:textId="77777777" w:rsidR="00CB6943" w:rsidRPr="00C27A60" w:rsidRDefault="00CB6943" w:rsidP="00CB6943">
            <w:pPr>
              <w:jc w:val="both"/>
              <w:rPr>
                <w:sz w:val="22"/>
                <w:szCs w:val="22"/>
              </w:rPr>
            </w:pPr>
          </w:p>
          <w:p w14:paraId="30BC5D8D" w14:textId="77777777" w:rsidR="00CB6943" w:rsidRPr="00C27A60" w:rsidRDefault="00CB6943" w:rsidP="00CB6943">
            <w:pPr>
              <w:jc w:val="both"/>
              <w:rPr>
                <w:sz w:val="22"/>
                <w:szCs w:val="22"/>
              </w:rPr>
            </w:pPr>
          </w:p>
          <w:p w14:paraId="355A97F9" w14:textId="77777777" w:rsidR="00CB6943" w:rsidRPr="00C27A60" w:rsidRDefault="00CB6943" w:rsidP="00CB6943">
            <w:pPr>
              <w:jc w:val="both"/>
              <w:rPr>
                <w:sz w:val="22"/>
                <w:szCs w:val="22"/>
              </w:rPr>
            </w:pPr>
          </w:p>
          <w:p w14:paraId="5CD2CA29" w14:textId="77777777" w:rsidR="00CB6943" w:rsidRPr="00C27A60" w:rsidRDefault="00CB6943" w:rsidP="00CB6943">
            <w:pPr>
              <w:jc w:val="both"/>
              <w:rPr>
                <w:sz w:val="22"/>
                <w:szCs w:val="22"/>
              </w:rPr>
            </w:pPr>
          </w:p>
          <w:p w14:paraId="7A9C5000" w14:textId="77777777" w:rsidR="00CB6943" w:rsidRPr="00C27A60" w:rsidRDefault="00CB6943" w:rsidP="00CB6943">
            <w:pPr>
              <w:jc w:val="both"/>
              <w:rPr>
                <w:sz w:val="22"/>
                <w:szCs w:val="22"/>
              </w:rPr>
            </w:pPr>
          </w:p>
          <w:p w14:paraId="3511D53F" w14:textId="77777777" w:rsidR="00CB6943" w:rsidRPr="00C27A60" w:rsidRDefault="00CB6943" w:rsidP="00CB6943">
            <w:pPr>
              <w:jc w:val="both"/>
              <w:rPr>
                <w:sz w:val="22"/>
                <w:szCs w:val="22"/>
              </w:rPr>
            </w:pPr>
          </w:p>
          <w:p w14:paraId="0224EF0E" w14:textId="30260B92" w:rsidR="00CB6943" w:rsidRPr="00C27A60" w:rsidRDefault="00E10423" w:rsidP="00CB6943">
            <w:pPr>
              <w:jc w:val="both"/>
              <w:rPr>
                <w:b/>
                <w:sz w:val="22"/>
                <w:szCs w:val="22"/>
              </w:rPr>
            </w:pPr>
            <w:r w:rsidRPr="00C27A60">
              <w:rPr>
                <w:b/>
                <w:sz w:val="22"/>
                <w:szCs w:val="22"/>
              </w:rPr>
              <w:t>Пропонується до обговорення</w:t>
            </w:r>
          </w:p>
          <w:p w14:paraId="6BECE904" w14:textId="343967E3" w:rsidR="002A6E11" w:rsidRPr="00C27A60" w:rsidRDefault="002A6E11" w:rsidP="00CB6943">
            <w:pPr>
              <w:jc w:val="both"/>
              <w:rPr>
                <w:sz w:val="22"/>
                <w:szCs w:val="22"/>
              </w:rPr>
            </w:pPr>
            <w:r w:rsidRPr="00C27A60">
              <w:rPr>
                <w:b/>
                <w:sz w:val="22"/>
                <w:szCs w:val="22"/>
              </w:rPr>
              <w:t>пропонується редакція</w:t>
            </w:r>
            <w:r w:rsidR="00FF1FA0" w:rsidRPr="00C27A60">
              <w:rPr>
                <w:b/>
                <w:sz w:val="22"/>
                <w:szCs w:val="22"/>
              </w:rPr>
              <w:t>:</w:t>
            </w:r>
          </w:p>
          <w:p w14:paraId="7D40001F" w14:textId="529C0DB4" w:rsidR="00CB6943" w:rsidRPr="00C27A60" w:rsidRDefault="00FF1FA0" w:rsidP="00FF1FA0">
            <w:pPr>
              <w:jc w:val="both"/>
              <w:rPr>
                <w:sz w:val="22"/>
                <w:szCs w:val="22"/>
              </w:rPr>
            </w:pPr>
            <w:r w:rsidRPr="00C27A60">
              <w:rPr>
                <w:rFonts w:eastAsia="Calibri"/>
                <w:kern w:val="2"/>
                <w:sz w:val="22"/>
                <w:szCs w:val="22"/>
                <w:lang w:eastAsia="en-US"/>
                <w14:ligatures w14:val="standardContextual"/>
              </w:rPr>
              <w:t>«</w:t>
            </w:r>
            <w:r w:rsidR="002A6E11" w:rsidRPr="00C27A60">
              <w:rPr>
                <w:rFonts w:eastAsia="Calibri"/>
                <w:kern w:val="2"/>
                <w:sz w:val="22"/>
                <w:szCs w:val="22"/>
                <w:lang w:eastAsia="en-US"/>
                <w14:ligatures w14:val="standardContextual"/>
              </w:rPr>
              <w:t>також сума обґрунтованих перевитрат</w:t>
            </w:r>
            <w:r w:rsidRPr="00C27A60">
              <w:rPr>
                <w:rFonts w:eastAsia="Calibri"/>
                <w:kern w:val="2"/>
                <w:sz w:val="22"/>
                <w:szCs w:val="22"/>
                <w:lang w:eastAsia="en-US"/>
                <w14:ligatures w14:val="standardContextual"/>
              </w:rPr>
              <w:t>, пов’язаних</w:t>
            </w:r>
            <w:r w:rsidR="002A6E11" w:rsidRPr="00C27A60">
              <w:rPr>
                <w:rFonts w:eastAsia="Calibri"/>
                <w:kern w:val="2"/>
                <w:sz w:val="22"/>
                <w:szCs w:val="22"/>
                <w:lang w:eastAsia="en-US"/>
                <w14:ligatures w14:val="standardContextual"/>
              </w:rPr>
              <w:t xml:space="preserve"> </w:t>
            </w:r>
            <w:r w:rsidRPr="00C27A60">
              <w:rPr>
                <w:rFonts w:eastAsia="Calibri"/>
                <w:kern w:val="2"/>
                <w:sz w:val="22"/>
                <w:szCs w:val="22"/>
                <w:lang w:eastAsia="en-US"/>
                <w14:ligatures w14:val="standardContextual"/>
              </w:rPr>
              <w:t>з виплатами оплати праці (з нарахуваннями)</w:t>
            </w:r>
            <w:r w:rsidR="002A6E11" w:rsidRPr="00C27A60">
              <w:rPr>
                <w:rFonts w:eastAsia="Calibri"/>
                <w:kern w:val="2"/>
                <w:sz w:val="22"/>
                <w:szCs w:val="22"/>
                <w:lang w:eastAsia="en-US"/>
                <w14:ligatures w14:val="standardContextual"/>
              </w:rPr>
              <w:t xml:space="preserve"> виробничо-техніч</w:t>
            </w:r>
            <w:r w:rsidRPr="00C27A60">
              <w:rPr>
                <w:rFonts w:eastAsia="Calibri"/>
                <w:kern w:val="2"/>
                <w:sz w:val="22"/>
                <w:szCs w:val="22"/>
                <w:lang w:eastAsia="en-US"/>
                <w14:ligatures w14:val="standardContextual"/>
              </w:rPr>
              <w:t>ному</w:t>
            </w:r>
            <w:r w:rsidR="002A6E11" w:rsidRPr="00C27A60">
              <w:rPr>
                <w:rFonts w:eastAsia="Calibri"/>
                <w:kern w:val="2"/>
                <w:sz w:val="22"/>
                <w:szCs w:val="22"/>
                <w:lang w:eastAsia="en-US"/>
                <w14:ligatures w14:val="standardContextual"/>
              </w:rPr>
              <w:t xml:space="preserve"> персоналу, </w:t>
            </w:r>
            <w:r w:rsidRPr="00C27A60">
              <w:rPr>
                <w:rFonts w:eastAsia="Calibri"/>
                <w:kern w:val="2"/>
                <w:sz w:val="22"/>
                <w:szCs w:val="22"/>
                <w:lang w:eastAsia="en-US"/>
                <w14:ligatures w14:val="standardContextual"/>
              </w:rPr>
              <w:t>у зв’язку із виконанням функцій та завдань в умовах воєнних дій (</w:t>
            </w:r>
            <w:r w:rsidR="004A0738" w:rsidRPr="00C27A60">
              <w:rPr>
                <w:rFonts w:eastAsia="Calibri"/>
                <w:kern w:val="2"/>
                <w:sz w:val="22"/>
                <w:szCs w:val="22"/>
                <w:lang w:eastAsia="en-US"/>
                <w14:ligatures w14:val="standardContextual"/>
              </w:rPr>
              <w:t>зокрема на</w:t>
            </w:r>
            <w:r w:rsidR="002A6E11" w:rsidRPr="00C27A60">
              <w:rPr>
                <w:rFonts w:eastAsia="Calibri"/>
                <w:kern w:val="2"/>
                <w:sz w:val="22"/>
                <w:szCs w:val="22"/>
                <w:lang w:eastAsia="en-US"/>
                <w14:ligatures w14:val="standardContextual"/>
              </w:rPr>
              <w:t xml:space="preserve"> аварійн</w:t>
            </w:r>
            <w:r w:rsidR="009A62DA" w:rsidRPr="00C27A60">
              <w:rPr>
                <w:rFonts w:eastAsia="Calibri"/>
                <w:kern w:val="2"/>
                <w:sz w:val="22"/>
                <w:szCs w:val="22"/>
                <w:lang w:eastAsia="en-US"/>
                <w14:ligatures w14:val="standardContextual"/>
              </w:rPr>
              <w:t>о</w:t>
            </w:r>
            <w:r w:rsidR="002A6E11" w:rsidRPr="00C27A60">
              <w:rPr>
                <w:rFonts w:eastAsia="Calibri"/>
                <w:kern w:val="2"/>
                <w:sz w:val="22"/>
                <w:szCs w:val="22"/>
                <w:lang w:eastAsia="en-US"/>
                <w14:ligatures w14:val="standardContextual"/>
              </w:rPr>
              <w:t>-відновлювальні роботи</w:t>
            </w:r>
            <w:r w:rsidRPr="00C27A60">
              <w:rPr>
                <w:rFonts w:eastAsia="Calibri"/>
                <w:kern w:val="2"/>
                <w:sz w:val="22"/>
                <w:szCs w:val="22"/>
                <w:lang w:eastAsia="en-US"/>
                <w14:ligatures w14:val="standardContextual"/>
              </w:rPr>
              <w:t>)».</w:t>
            </w:r>
          </w:p>
        </w:tc>
      </w:tr>
      <w:tr w:rsidR="00C27A60" w:rsidRPr="00C27A60" w14:paraId="3CA4238A" w14:textId="77777777" w:rsidTr="00F624B1">
        <w:trPr>
          <w:trHeight w:val="595"/>
        </w:trPr>
        <w:tc>
          <w:tcPr>
            <w:tcW w:w="5839" w:type="dxa"/>
            <w:shd w:val="clear" w:color="auto" w:fill="auto"/>
          </w:tcPr>
          <w:p w14:paraId="7FA8499D" w14:textId="77777777" w:rsidR="00404084" w:rsidRPr="00C27A60" w:rsidRDefault="00404084" w:rsidP="00404084">
            <w:pPr>
              <w:ind w:firstLine="308"/>
              <w:jc w:val="both"/>
              <w:rPr>
                <w:sz w:val="22"/>
                <w:szCs w:val="22"/>
                <w:shd w:val="clear" w:color="auto" w:fill="FFFFFF"/>
              </w:rPr>
            </w:pPr>
            <w:r w:rsidRPr="00C27A60">
              <w:rPr>
                <w:sz w:val="22"/>
                <w:szCs w:val="22"/>
                <w:shd w:val="clear" w:color="auto" w:fill="FFFFFF"/>
              </w:rPr>
              <w:lastRenderedPageBreak/>
              <w:t>4. З метою визначення об'єктивної суми коштів, отриманої для фінансування ОСП від здійснення діяльності з передачі електричної енергії, при проведенні планових або позапланових перевірок в акті перевірки фіксуються такі показники:</w:t>
            </w:r>
          </w:p>
          <w:p w14:paraId="761D093D" w14:textId="77777777" w:rsidR="00404084" w:rsidRPr="00C27A60" w:rsidRDefault="00404084" w:rsidP="00404084">
            <w:pPr>
              <w:ind w:firstLine="308"/>
              <w:jc w:val="both"/>
              <w:rPr>
                <w:sz w:val="22"/>
                <w:szCs w:val="22"/>
                <w:shd w:val="clear" w:color="auto" w:fill="FFFFFF"/>
              </w:rPr>
            </w:pPr>
          </w:p>
          <w:p w14:paraId="52F85714" w14:textId="77777777" w:rsidR="00404084" w:rsidRPr="00C27A60" w:rsidRDefault="00404084" w:rsidP="00404084">
            <w:pPr>
              <w:ind w:firstLine="308"/>
              <w:jc w:val="both"/>
              <w:rPr>
                <w:sz w:val="22"/>
                <w:szCs w:val="22"/>
                <w:shd w:val="clear" w:color="auto" w:fill="FFFFFF"/>
              </w:rPr>
            </w:pPr>
            <w:r w:rsidRPr="00C27A60">
              <w:rPr>
                <w:sz w:val="22"/>
                <w:szCs w:val="22"/>
                <w:shd w:val="clear" w:color="auto" w:fill="FFFFFF"/>
              </w:rPr>
              <w:t>&lt;…&gt;</w:t>
            </w:r>
          </w:p>
          <w:p w14:paraId="1C318617" w14:textId="77777777" w:rsidR="00404084" w:rsidRPr="00C27A60" w:rsidRDefault="00404084" w:rsidP="00404084">
            <w:pPr>
              <w:ind w:firstLine="308"/>
              <w:jc w:val="both"/>
              <w:rPr>
                <w:sz w:val="22"/>
                <w:szCs w:val="22"/>
                <w:shd w:val="clear" w:color="auto" w:fill="FFFFFF"/>
              </w:rPr>
            </w:pPr>
          </w:p>
          <w:p w14:paraId="7158F551" w14:textId="32F1E271" w:rsidR="00C533B1" w:rsidRPr="00C27A60" w:rsidRDefault="00404084" w:rsidP="00FF1FA0">
            <w:pPr>
              <w:jc w:val="both"/>
              <w:rPr>
                <w:sz w:val="22"/>
                <w:szCs w:val="22"/>
              </w:rPr>
            </w:pPr>
            <w:r w:rsidRPr="00C27A60">
              <w:rPr>
                <w:b/>
                <w:sz w:val="22"/>
                <w:szCs w:val="22"/>
                <w:shd w:val="clear" w:color="auto" w:fill="FFFFFF"/>
              </w:rPr>
              <w:t>40) фактичний максимальний розмір заробітної плати, яка фінансується за рахунок тарифу на послуги з передачі електричної енергії, що перевищує десятикратний розмір середньої заробітної плати, урахованої у структурі тарифу на послуги з передачі електричної енергії, з урахуванням приведення до середньорічного розміру заробітної плати у звітному році.</w:t>
            </w:r>
          </w:p>
        </w:tc>
        <w:tc>
          <w:tcPr>
            <w:tcW w:w="5812" w:type="dxa"/>
            <w:shd w:val="clear" w:color="auto" w:fill="auto"/>
          </w:tcPr>
          <w:p w14:paraId="5A14DE4C" w14:textId="77777777" w:rsidR="00404084" w:rsidRPr="00C27A60" w:rsidRDefault="00404084" w:rsidP="00842295">
            <w:pPr>
              <w:spacing w:after="160" w:line="259" w:lineRule="auto"/>
              <w:jc w:val="both"/>
              <w:rPr>
                <w:rFonts w:eastAsia="Calibri"/>
                <w:i/>
                <w:sz w:val="22"/>
                <w:szCs w:val="22"/>
                <w:shd w:val="clear" w:color="auto" w:fill="FFFFFF"/>
                <w:lang w:eastAsia="en-US"/>
              </w:rPr>
            </w:pPr>
            <w:r w:rsidRPr="00C27A60">
              <w:rPr>
                <w:rFonts w:eastAsia="Calibri"/>
                <w:i/>
                <w:kern w:val="2"/>
                <w:sz w:val="22"/>
                <w:szCs w:val="22"/>
                <w:lang w:eastAsia="en-US"/>
                <w14:ligatures w14:val="standardContextual"/>
              </w:rPr>
              <w:t>НЕК «УКРЕНЕРГО»</w:t>
            </w:r>
          </w:p>
          <w:p w14:paraId="5E994C96" w14:textId="77777777" w:rsidR="00404084" w:rsidRPr="00C27A60" w:rsidRDefault="00404084" w:rsidP="00404084">
            <w:pPr>
              <w:spacing w:after="160" w:line="259" w:lineRule="auto"/>
              <w:jc w:val="both"/>
              <w:rPr>
                <w:rFonts w:eastAsia="Aptos"/>
                <w:b/>
                <w:kern w:val="2"/>
                <w:sz w:val="22"/>
                <w:szCs w:val="22"/>
                <w:shd w:val="clear" w:color="auto" w:fill="FFFFFF"/>
                <w:lang w:eastAsia="en-US"/>
                <w14:ligatures w14:val="standardContextual"/>
              </w:rPr>
            </w:pPr>
            <w:r w:rsidRPr="00C27A60">
              <w:rPr>
                <w:rFonts w:eastAsia="Aptos"/>
                <w:b/>
                <w:kern w:val="2"/>
                <w:sz w:val="22"/>
                <w:szCs w:val="22"/>
                <w:shd w:val="clear" w:color="auto" w:fill="FFFFFF"/>
                <w:lang w:eastAsia="en-US"/>
                <w14:ligatures w14:val="standardContextual"/>
              </w:rPr>
              <w:t>40) фактичний максимальний розмір заробітної плати, у тому числі капіталізованої (з розподілом між тарифами на передачу електричної енергії та диспетчерського (оперативно-технологічного) управління), яка фінансується за рахунок тарифу на послуги з передачі електричної енергії (зазначена у колонках 2, 10 та 11 Форми № 1-НКРЕКП-передача електричної енергії (квартальна)), що перевищує десятикратний розмір тарифної середньої заробітної плати по областях</w:t>
            </w:r>
            <w:r w:rsidRPr="00C27A60">
              <w:rPr>
                <w:rFonts w:ascii="Aptos" w:eastAsia="Aptos" w:hAnsi="Aptos" w:cs="Arial"/>
                <w:kern w:val="2"/>
                <w:sz w:val="22"/>
                <w:szCs w:val="22"/>
                <w:lang w:eastAsia="en-US"/>
                <w14:ligatures w14:val="standardContextual"/>
              </w:rPr>
              <w:t xml:space="preserve"> </w:t>
            </w:r>
            <w:r w:rsidRPr="00C27A60">
              <w:rPr>
                <w:rFonts w:eastAsia="Aptos"/>
                <w:b/>
                <w:kern w:val="2"/>
                <w:sz w:val="22"/>
                <w:szCs w:val="22"/>
                <w:shd w:val="clear" w:color="auto" w:fill="FFFFFF"/>
                <w:lang w:eastAsia="en-US"/>
                <w14:ligatures w14:val="standardContextual"/>
              </w:rPr>
              <w:t>відповідно до затвердженого Регулятором перерахунку, урахованої у структурі тарифу на послуги з передачі електричної енергії, з урахуванням приведення до середньорічного розміру заробітної плати у звітному році.</w:t>
            </w:r>
          </w:p>
          <w:p w14:paraId="01A19F77" w14:textId="77777777" w:rsidR="00404084" w:rsidRPr="00C27A60" w:rsidRDefault="00404084" w:rsidP="00404084">
            <w:pPr>
              <w:rPr>
                <w:i/>
                <w:sz w:val="22"/>
                <w:szCs w:val="22"/>
              </w:rPr>
            </w:pPr>
            <w:r w:rsidRPr="00C27A60">
              <w:rPr>
                <w:i/>
                <w:sz w:val="22"/>
                <w:szCs w:val="22"/>
              </w:rPr>
              <w:t>ОБРГРУНТУВАННЯ:</w:t>
            </w:r>
          </w:p>
          <w:p w14:paraId="7CC81A22" w14:textId="0F113C27" w:rsidR="00404084" w:rsidRPr="00C27A60" w:rsidRDefault="00404084" w:rsidP="00BA6AA2">
            <w:pPr>
              <w:spacing w:after="160" w:line="259" w:lineRule="auto"/>
              <w:ind w:firstLine="312"/>
              <w:jc w:val="both"/>
              <w:rPr>
                <w:i/>
                <w:sz w:val="22"/>
                <w:szCs w:val="22"/>
              </w:rPr>
            </w:pPr>
            <w:r w:rsidRPr="00C27A60">
              <w:rPr>
                <w:rFonts w:eastAsia="Calibri"/>
                <w:kern w:val="2"/>
                <w:sz w:val="22"/>
                <w:szCs w:val="22"/>
                <w:lang w:eastAsia="en-US"/>
                <w14:ligatures w14:val="standardContextual"/>
              </w:rPr>
              <w:t>При визначенні фактичного максимального розміру заробітної плати, що перевищує десятикратний розмір середньої заробітної плати, урахованої у структурі тарифу на послуги з передачі електричної енергії, з урахуванням приведення до середньорічного розміру заробітної плати у звітному році, пропонується конкретизувати підхід при визначенні перевищення та виключати витрати, які фінансуються за рахунок доходів від іншої діяльності, тобто не потребують відшкодування споживачами електричної енергії цих витрат через тариф ОСП.</w:t>
            </w:r>
          </w:p>
        </w:tc>
        <w:tc>
          <w:tcPr>
            <w:tcW w:w="3546" w:type="dxa"/>
            <w:shd w:val="clear" w:color="auto" w:fill="auto"/>
          </w:tcPr>
          <w:p w14:paraId="582D7C32" w14:textId="77777777" w:rsidR="00F624B1" w:rsidRPr="00C27A60" w:rsidRDefault="00F624B1" w:rsidP="00F624B1">
            <w:pPr>
              <w:jc w:val="both"/>
              <w:rPr>
                <w:b/>
                <w:sz w:val="22"/>
                <w:szCs w:val="22"/>
              </w:rPr>
            </w:pPr>
          </w:p>
          <w:p w14:paraId="4A0E342F" w14:textId="77777777" w:rsidR="00F624B1" w:rsidRPr="00C27A60" w:rsidRDefault="00F624B1" w:rsidP="00F624B1">
            <w:pPr>
              <w:jc w:val="both"/>
              <w:rPr>
                <w:b/>
                <w:sz w:val="22"/>
                <w:szCs w:val="22"/>
              </w:rPr>
            </w:pPr>
          </w:p>
          <w:p w14:paraId="456870A7" w14:textId="5F4B0ED9" w:rsidR="00E10423" w:rsidRPr="00C27A60" w:rsidRDefault="003E1E4D" w:rsidP="00E10423">
            <w:pPr>
              <w:jc w:val="both"/>
              <w:rPr>
                <w:b/>
                <w:sz w:val="22"/>
                <w:szCs w:val="22"/>
              </w:rPr>
            </w:pPr>
            <w:r>
              <w:rPr>
                <w:b/>
                <w:sz w:val="22"/>
                <w:szCs w:val="22"/>
              </w:rPr>
              <w:t>Потребує</w:t>
            </w:r>
            <w:r w:rsidR="00E10423" w:rsidRPr="00C27A60">
              <w:rPr>
                <w:b/>
                <w:sz w:val="22"/>
                <w:szCs w:val="22"/>
              </w:rPr>
              <w:t xml:space="preserve"> обговорення</w:t>
            </w:r>
          </w:p>
          <w:p w14:paraId="239F9858" w14:textId="3519DC36" w:rsidR="0073326F" w:rsidRPr="00C27A60" w:rsidRDefault="0073326F" w:rsidP="00F624B1">
            <w:pPr>
              <w:jc w:val="both"/>
              <w:rPr>
                <w:sz w:val="22"/>
                <w:szCs w:val="22"/>
              </w:rPr>
            </w:pPr>
          </w:p>
        </w:tc>
      </w:tr>
      <w:tr w:rsidR="00C27A60" w:rsidRPr="00C27A60" w14:paraId="241C66D3" w14:textId="77777777" w:rsidTr="0073326F">
        <w:trPr>
          <w:trHeight w:val="595"/>
        </w:trPr>
        <w:tc>
          <w:tcPr>
            <w:tcW w:w="5839" w:type="dxa"/>
            <w:shd w:val="clear" w:color="auto" w:fill="auto"/>
          </w:tcPr>
          <w:p w14:paraId="1A4DAC11" w14:textId="77777777" w:rsidR="00842295" w:rsidRPr="00C27A60" w:rsidRDefault="00842295" w:rsidP="00842295">
            <w:pPr>
              <w:spacing w:after="160" w:line="259" w:lineRule="auto"/>
              <w:ind w:firstLine="308"/>
              <w:jc w:val="both"/>
              <w:rPr>
                <w:rFonts w:eastAsia="Calibri"/>
                <w:sz w:val="22"/>
                <w:szCs w:val="22"/>
                <w:shd w:val="clear" w:color="auto" w:fill="FFFFFF"/>
                <w:lang w:eastAsia="en-US"/>
              </w:rPr>
            </w:pPr>
          </w:p>
          <w:p w14:paraId="4C77507D" w14:textId="30CEC6BE" w:rsidR="00C533B1" w:rsidRPr="00C27A60" w:rsidRDefault="00842295" w:rsidP="00842295">
            <w:pPr>
              <w:rPr>
                <w:sz w:val="22"/>
                <w:szCs w:val="22"/>
              </w:rPr>
            </w:pPr>
            <w:r w:rsidRPr="00C27A60">
              <w:rPr>
                <w:b/>
                <w:sz w:val="22"/>
                <w:szCs w:val="22"/>
                <w:shd w:val="clear" w:color="auto" w:fill="FFFFFF"/>
              </w:rPr>
              <w:t>ЗМІНИ НЕ ПРОПОНУВАЛИСЬ</w:t>
            </w:r>
          </w:p>
        </w:tc>
        <w:tc>
          <w:tcPr>
            <w:tcW w:w="5812" w:type="dxa"/>
            <w:shd w:val="clear" w:color="auto" w:fill="auto"/>
          </w:tcPr>
          <w:p w14:paraId="160AE250" w14:textId="77777777" w:rsidR="00C533B1" w:rsidRPr="00C27A60" w:rsidRDefault="00842295" w:rsidP="00C533B1">
            <w:pPr>
              <w:rPr>
                <w:i/>
                <w:sz w:val="22"/>
                <w:szCs w:val="22"/>
              </w:rPr>
            </w:pPr>
            <w:r w:rsidRPr="00C27A60">
              <w:rPr>
                <w:i/>
                <w:sz w:val="22"/>
                <w:szCs w:val="22"/>
              </w:rPr>
              <w:t>НЕК «УКРЕНЕРГО»</w:t>
            </w:r>
          </w:p>
          <w:p w14:paraId="158FFFED" w14:textId="77777777" w:rsidR="00842295" w:rsidRPr="00C27A60" w:rsidRDefault="00842295" w:rsidP="00C533B1">
            <w:pPr>
              <w:rPr>
                <w:i/>
                <w:sz w:val="22"/>
                <w:szCs w:val="22"/>
              </w:rPr>
            </w:pPr>
          </w:p>
          <w:p w14:paraId="00045A95" w14:textId="77777777" w:rsidR="00842295" w:rsidRPr="00C27A60" w:rsidRDefault="00842295" w:rsidP="00842295">
            <w:pPr>
              <w:spacing w:after="160" w:line="259" w:lineRule="auto"/>
              <w:jc w:val="both"/>
              <w:rPr>
                <w:rFonts w:eastAsia="Aptos"/>
                <w:b/>
                <w:kern w:val="2"/>
                <w:sz w:val="22"/>
                <w:szCs w:val="22"/>
                <w:shd w:val="clear" w:color="auto" w:fill="FFFFFF"/>
                <w:lang w:eastAsia="en-US"/>
                <w14:ligatures w14:val="standardContextual"/>
              </w:rPr>
            </w:pPr>
            <w:r w:rsidRPr="00C27A60">
              <w:rPr>
                <w:rFonts w:eastAsia="Aptos"/>
                <w:b/>
                <w:kern w:val="2"/>
                <w:sz w:val="22"/>
                <w:szCs w:val="22"/>
                <w:shd w:val="clear" w:color="auto" w:fill="FFFFFF"/>
                <w:lang w:eastAsia="en-US"/>
                <w14:ligatures w14:val="standardContextual"/>
              </w:rPr>
              <w:t>41) перевищення витрат</w:t>
            </w:r>
            <w:r w:rsidRPr="00C27A60">
              <w:rPr>
                <w:rFonts w:eastAsia="Aptos"/>
                <w:b/>
                <w:kern w:val="2"/>
                <w:sz w:val="22"/>
                <w:szCs w:val="22"/>
                <w:shd w:val="clear" w:color="auto" w:fill="FFFFFF"/>
                <w:lang w:val="ru-RU" w:eastAsia="en-US"/>
                <w14:ligatures w14:val="standardContextual"/>
              </w:rPr>
              <w:t xml:space="preserve"> над</w:t>
            </w:r>
            <w:r w:rsidRPr="00C27A60">
              <w:rPr>
                <w:rFonts w:eastAsia="Aptos"/>
                <w:b/>
                <w:kern w:val="2"/>
                <w:sz w:val="22"/>
                <w:szCs w:val="22"/>
                <w:shd w:val="clear" w:color="auto" w:fill="FFFFFF"/>
                <w:lang w:eastAsia="en-US"/>
                <w14:ligatures w14:val="standardContextual"/>
              </w:rPr>
              <w:t xml:space="preserve"> доходами з нарахування  інфляційних втрат на суму боргу за договорами з ліцензованої діяльності</w:t>
            </w:r>
          </w:p>
          <w:p w14:paraId="4213C43F" w14:textId="57520F40" w:rsidR="00842295" w:rsidRPr="00C27A60" w:rsidRDefault="00842295" w:rsidP="00842295">
            <w:pPr>
              <w:spacing w:after="160" w:line="259" w:lineRule="auto"/>
              <w:jc w:val="both"/>
              <w:rPr>
                <w:rFonts w:eastAsia="Aptos"/>
                <w:b/>
                <w:kern w:val="2"/>
                <w:sz w:val="22"/>
                <w:szCs w:val="22"/>
                <w:shd w:val="clear" w:color="auto" w:fill="FFFFFF"/>
                <w:lang w:eastAsia="en-US"/>
                <w14:ligatures w14:val="standardContextual"/>
              </w:rPr>
            </w:pPr>
          </w:p>
          <w:p w14:paraId="021FFDDE" w14:textId="77777777" w:rsidR="0073326F" w:rsidRPr="00C27A60" w:rsidRDefault="0073326F" w:rsidP="00842295">
            <w:pPr>
              <w:spacing w:after="160" w:line="259" w:lineRule="auto"/>
              <w:jc w:val="both"/>
              <w:rPr>
                <w:rFonts w:eastAsia="Aptos"/>
                <w:b/>
                <w:kern w:val="2"/>
                <w:sz w:val="22"/>
                <w:szCs w:val="22"/>
                <w:shd w:val="clear" w:color="auto" w:fill="FFFFFF"/>
                <w:lang w:eastAsia="en-US"/>
                <w14:ligatures w14:val="standardContextual"/>
              </w:rPr>
            </w:pPr>
          </w:p>
          <w:p w14:paraId="1EBA387F" w14:textId="77777777" w:rsidR="00842295" w:rsidRPr="00C27A60" w:rsidRDefault="00842295" w:rsidP="00842295">
            <w:pPr>
              <w:rPr>
                <w:rFonts w:eastAsia="Aptos"/>
                <w:b/>
                <w:kern w:val="2"/>
                <w:sz w:val="22"/>
                <w:szCs w:val="22"/>
                <w:shd w:val="clear" w:color="auto" w:fill="FFFFFF"/>
                <w:lang w:eastAsia="en-US"/>
                <w14:ligatures w14:val="standardContextual"/>
              </w:rPr>
            </w:pPr>
            <w:r w:rsidRPr="00C27A60">
              <w:rPr>
                <w:rFonts w:eastAsia="Aptos"/>
                <w:b/>
                <w:kern w:val="2"/>
                <w:sz w:val="22"/>
                <w:szCs w:val="22"/>
                <w:shd w:val="clear" w:color="auto" w:fill="FFFFFF"/>
                <w:lang w:eastAsia="en-US"/>
                <w14:ligatures w14:val="standardContextual"/>
              </w:rPr>
              <w:t>42) перевищення витрат</w:t>
            </w:r>
            <w:r w:rsidRPr="00C27A60">
              <w:rPr>
                <w:rFonts w:eastAsia="Aptos"/>
                <w:b/>
                <w:kern w:val="2"/>
                <w:sz w:val="22"/>
                <w:szCs w:val="22"/>
                <w:shd w:val="clear" w:color="auto" w:fill="FFFFFF"/>
                <w:lang w:val="ru-RU" w:eastAsia="en-US"/>
                <w14:ligatures w14:val="standardContextual"/>
              </w:rPr>
              <w:t xml:space="preserve"> над</w:t>
            </w:r>
            <w:r w:rsidRPr="00C27A60">
              <w:rPr>
                <w:rFonts w:eastAsia="Aptos"/>
                <w:b/>
                <w:kern w:val="2"/>
                <w:sz w:val="22"/>
                <w:szCs w:val="22"/>
                <w:shd w:val="clear" w:color="auto" w:fill="FFFFFF"/>
                <w:lang w:eastAsia="en-US"/>
                <w14:ligatures w14:val="standardContextual"/>
              </w:rPr>
              <w:t xml:space="preserve"> доходами з нарахування трьох процентів річних на суму боргу за договорами з ліцензованої діяльності</w:t>
            </w:r>
          </w:p>
          <w:p w14:paraId="13288F9A" w14:textId="77777777" w:rsidR="00842295" w:rsidRPr="00C27A60" w:rsidRDefault="00842295" w:rsidP="00842295">
            <w:pPr>
              <w:rPr>
                <w:i/>
                <w:sz w:val="22"/>
                <w:szCs w:val="22"/>
              </w:rPr>
            </w:pPr>
          </w:p>
          <w:p w14:paraId="69177223" w14:textId="77777777" w:rsidR="00842295" w:rsidRPr="00C27A60" w:rsidRDefault="00842295" w:rsidP="00842295">
            <w:pPr>
              <w:rPr>
                <w:i/>
                <w:sz w:val="22"/>
                <w:szCs w:val="22"/>
              </w:rPr>
            </w:pPr>
            <w:r w:rsidRPr="00C27A60">
              <w:rPr>
                <w:i/>
                <w:sz w:val="22"/>
                <w:szCs w:val="22"/>
              </w:rPr>
              <w:t>ОБРГРУНТУВАННЯ:</w:t>
            </w:r>
          </w:p>
          <w:p w14:paraId="05A59BE9" w14:textId="77777777" w:rsidR="00842295" w:rsidRPr="00C27A60" w:rsidRDefault="00842295" w:rsidP="00842295">
            <w:pPr>
              <w:rPr>
                <w:i/>
                <w:sz w:val="22"/>
                <w:szCs w:val="22"/>
              </w:rPr>
            </w:pPr>
          </w:p>
          <w:p w14:paraId="3ADDFDBB" w14:textId="77777777" w:rsidR="004F24D4" w:rsidRPr="00C27A60" w:rsidRDefault="004F24D4" w:rsidP="00A96234">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Велика Палата Верховного Суду вже звертала увагу на те, що нарахування інфляційних втрат на суму боргу та трьох процентів річних відповідно до статті 625 Цивільного Кодексу України є мірою відповідальності боржника за прострочення грошового зобов`язання, оскільки виступає способом захисту майнового права та інтересу, який полягає у відшкодуванні матеріальних втрат кредитора від знецінення грошових коштів унаслідок інфляційних процесів та отриманні компенсації боржника за неналежне виконання зобов`язання. Ці кошти нараховуються незалежно від вини боржника, зупинення виконавчого провадження чи виконання рішення суду про стягнення грошової суми, та не є за своєю сутністю ані штрафними санкціями, ані пенею. </w:t>
            </w:r>
          </w:p>
          <w:p w14:paraId="09B62F49" w14:textId="77777777" w:rsidR="00842295" w:rsidRPr="00C27A60" w:rsidRDefault="004F24D4" w:rsidP="00A96234">
            <w:pPr>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Отже, витрати на сплату інфляційних втрат на суму боргу та трьох процентів річних, понесені НЕК «Укренерго» при здійсненні позовної роботи, мають бути невід’ємною складовою структури тарифів на послуги з передачі електричної енергії та послуги з диспетчерського (оперативно-технологічного) управління, що не протирічить частині 3 статті 9 Закону України «Про природні монополії».</w:t>
            </w:r>
          </w:p>
          <w:p w14:paraId="257A14AA" w14:textId="4B06CED2" w:rsidR="004F24D4" w:rsidRPr="00C27A60" w:rsidRDefault="004F24D4" w:rsidP="004F24D4">
            <w:pPr>
              <w:rPr>
                <w:i/>
                <w:sz w:val="22"/>
                <w:szCs w:val="22"/>
              </w:rPr>
            </w:pPr>
          </w:p>
          <w:p w14:paraId="2DAE7835" w14:textId="77777777" w:rsidR="004F24D4" w:rsidRPr="00C27A60" w:rsidRDefault="004F24D4" w:rsidP="004F24D4">
            <w:pPr>
              <w:rPr>
                <w:i/>
                <w:sz w:val="22"/>
                <w:szCs w:val="22"/>
              </w:rPr>
            </w:pPr>
            <w:r w:rsidRPr="00C27A60">
              <w:rPr>
                <w:i/>
                <w:sz w:val="22"/>
                <w:szCs w:val="22"/>
              </w:rPr>
              <w:t>НЕК «УКРЕНЕРГО»</w:t>
            </w:r>
          </w:p>
          <w:p w14:paraId="5F3920DC" w14:textId="77777777" w:rsidR="004F24D4" w:rsidRPr="00C27A60" w:rsidRDefault="004F24D4" w:rsidP="004F24D4">
            <w:pPr>
              <w:rPr>
                <w:i/>
                <w:sz w:val="22"/>
                <w:szCs w:val="22"/>
              </w:rPr>
            </w:pPr>
          </w:p>
          <w:p w14:paraId="036CEBED" w14:textId="3DBA5F78" w:rsidR="004F24D4" w:rsidRPr="00C27A60" w:rsidRDefault="004F24D4" w:rsidP="00A96234">
            <w:pPr>
              <w:jc w:val="both"/>
              <w:rPr>
                <w:rFonts w:eastAsia="Calibri"/>
                <w:b/>
                <w:bCs/>
                <w:kern w:val="2"/>
                <w:sz w:val="22"/>
                <w:szCs w:val="22"/>
                <w:lang w:eastAsia="en-US"/>
                <w14:ligatures w14:val="standardContextual"/>
              </w:rPr>
            </w:pPr>
            <w:r w:rsidRPr="00C27A60">
              <w:rPr>
                <w:rFonts w:eastAsia="Calibri"/>
                <w:b/>
                <w:bCs/>
                <w:kern w:val="2"/>
                <w:sz w:val="22"/>
                <w:szCs w:val="22"/>
                <w:lang w:eastAsia="en-US"/>
                <w14:ligatures w14:val="standardContextual"/>
              </w:rPr>
              <w:t>43) економія, яка виникла при виконанні заходів Інвестиційної програми за умови виконання фізичних обсягів у повному обсязі, направлена на збільшення витрат на оплату праці (із нарахуваннями) персоналу компанії.</w:t>
            </w:r>
          </w:p>
          <w:p w14:paraId="06D1BDDA" w14:textId="376CFDA2" w:rsidR="004F24D4" w:rsidRPr="00C27A60" w:rsidRDefault="004F24D4" w:rsidP="004F24D4">
            <w:pPr>
              <w:rPr>
                <w:rFonts w:eastAsia="Calibri"/>
                <w:b/>
                <w:bCs/>
                <w:kern w:val="2"/>
                <w:sz w:val="22"/>
                <w:szCs w:val="22"/>
                <w:lang w:eastAsia="en-US"/>
                <w14:ligatures w14:val="standardContextual"/>
              </w:rPr>
            </w:pPr>
          </w:p>
          <w:p w14:paraId="421EC6DD" w14:textId="77777777" w:rsidR="004F24D4" w:rsidRPr="00C27A60" w:rsidRDefault="004F24D4" w:rsidP="004F24D4">
            <w:pPr>
              <w:rPr>
                <w:i/>
                <w:sz w:val="22"/>
                <w:szCs w:val="22"/>
              </w:rPr>
            </w:pPr>
            <w:r w:rsidRPr="00C27A60">
              <w:rPr>
                <w:i/>
                <w:sz w:val="22"/>
                <w:szCs w:val="22"/>
              </w:rPr>
              <w:t>ОБРГРУНТУВАННЯ:</w:t>
            </w:r>
          </w:p>
          <w:p w14:paraId="2A95C3AB" w14:textId="17146AE5" w:rsidR="004F24D4" w:rsidRPr="00C27A60" w:rsidRDefault="004F24D4" w:rsidP="004F24D4">
            <w:pPr>
              <w:rPr>
                <w:i/>
                <w:sz w:val="22"/>
                <w:szCs w:val="22"/>
              </w:rPr>
            </w:pPr>
            <w:r w:rsidRPr="00C27A60">
              <w:rPr>
                <w:i/>
                <w:sz w:val="22"/>
                <w:szCs w:val="22"/>
              </w:rPr>
              <w:t xml:space="preserve">Аналогічне </w:t>
            </w:r>
            <w:proofErr w:type="spellStart"/>
            <w:r w:rsidRPr="00C27A60">
              <w:rPr>
                <w:i/>
                <w:sz w:val="22"/>
                <w:szCs w:val="22"/>
              </w:rPr>
              <w:t>пп</w:t>
            </w:r>
            <w:proofErr w:type="spellEnd"/>
            <w:r w:rsidRPr="00C27A60">
              <w:rPr>
                <w:i/>
                <w:sz w:val="22"/>
                <w:szCs w:val="22"/>
              </w:rPr>
              <w:t>. 39 п. 4</w:t>
            </w:r>
          </w:p>
          <w:p w14:paraId="1857B955" w14:textId="04A3A078" w:rsidR="004F24D4" w:rsidRPr="00C27A60" w:rsidRDefault="004F24D4" w:rsidP="004F24D4">
            <w:pPr>
              <w:rPr>
                <w:i/>
                <w:sz w:val="22"/>
                <w:szCs w:val="22"/>
              </w:rPr>
            </w:pPr>
          </w:p>
        </w:tc>
        <w:tc>
          <w:tcPr>
            <w:tcW w:w="3546" w:type="dxa"/>
            <w:shd w:val="clear" w:color="auto" w:fill="auto"/>
          </w:tcPr>
          <w:p w14:paraId="5AA08517" w14:textId="77777777" w:rsidR="0073326F" w:rsidRPr="00C27A60" w:rsidRDefault="0073326F" w:rsidP="0073326F">
            <w:pPr>
              <w:jc w:val="both"/>
              <w:rPr>
                <w:b/>
                <w:sz w:val="22"/>
                <w:szCs w:val="22"/>
              </w:rPr>
            </w:pPr>
          </w:p>
          <w:p w14:paraId="4172CDF9" w14:textId="77777777" w:rsidR="0073326F" w:rsidRPr="00C27A60" w:rsidRDefault="0073326F" w:rsidP="0073326F">
            <w:pPr>
              <w:jc w:val="both"/>
              <w:rPr>
                <w:b/>
                <w:sz w:val="22"/>
                <w:szCs w:val="22"/>
              </w:rPr>
            </w:pPr>
          </w:p>
          <w:p w14:paraId="72966BD0" w14:textId="5908C9A2" w:rsidR="0073326F" w:rsidRPr="00495B7A" w:rsidRDefault="00495B7A" w:rsidP="0073326F">
            <w:pPr>
              <w:pStyle w:val="af5"/>
              <w:spacing w:before="0" w:beforeAutospacing="0" w:after="0" w:afterAutospacing="0"/>
              <w:rPr>
                <w:b/>
                <w:sz w:val="22"/>
                <w:szCs w:val="22"/>
              </w:rPr>
            </w:pPr>
            <w:r w:rsidRPr="00495B7A">
              <w:rPr>
                <w:b/>
                <w:sz w:val="22"/>
                <w:szCs w:val="22"/>
              </w:rPr>
              <w:t>Потребує обговорення</w:t>
            </w:r>
          </w:p>
          <w:p w14:paraId="0FB3102A" w14:textId="339D8B6F" w:rsidR="0073326F" w:rsidRDefault="0073326F" w:rsidP="0073326F">
            <w:pPr>
              <w:ind w:firstLine="240"/>
              <w:jc w:val="both"/>
              <w:rPr>
                <w:sz w:val="22"/>
                <w:szCs w:val="22"/>
              </w:rPr>
            </w:pPr>
          </w:p>
          <w:p w14:paraId="3DFADE04" w14:textId="5C241E3C" w:rsidR="00495B7A" w:rsidRDefault="00495B7A" w:rsidP="0073326F">
            <w:pPr>
              <w:ind w:firstLine="240"/>
              <w:jc w:val="both"/>
              <w:rPr>
                <w:sz w:val="22"/>
                <w:szCs w:val="22"/>
              </w:rPr>
            </w:pPr>
          </w:p>
          <w:p w14:paraId="70A8DB61" w14:textId="18F5148C" w:rsidR="00495B7A" w:rsidRDefault="00495B7A" w:rsidP="0073326F">
            <w:pPr>
              <w:ind w:firstLine="240"/>
              <w:jc w:val="both"/>
              <w:rPr>
                <w:sz w:val="22"/>
                <w:szCs w:val="22"/>
              </w:rPr>
            </w:pPr>
          </w:p>
          <w:p w14:paraId="0D21FF87" w14:textId="6C548826" w:rsidR="00495B7A" w:rsidRDefault="00495B7A" w:rsidP="0073326F">
            <w:pPr>
              <w:ind w:firstLine="240"/>
              <w:jc w:val="both"/>
              <w:rPr>
                <w:sz w:val="22"/>
                <w:szCs w:val="22"/>
              </w:rPr>
            </w:pPr>
          </w:p>
          <w:p w14:paraId="01F81D28" w14:textId="26834B0B" w:rsidR="00495B7A" w:rsidRDefault="00495B7A" w:rsidP="0073326F">
            <w:pPr>
              <w:ind w:firstLine="240"/>
              <w:jc w:val="both"/>
              <w:rPr>
                <w:sz w:val="22"/>
                <w:szCs w:val="22"/>
              </w:rPr>
            </w:pPr>
          </w:p>
          <w:p w14:paraId="15E2B1BA" w14:textId="77777777" w:rsidR="00495B7A" w:rsidRPr="00C27A60" w:rsidRDefault="00495B7A" w:rsidP="0073326F">
            <w:pPr>
              <w:ind w:firstLine="240"/>
              <w:jc w:val="both"/>
              <w:rPr>
                <w:sz w:val="22"/>
                <w:szCs w:val="22"/>
              </w:rPr>
            </w:pPr>
          </w:p>
          <w:p w14:paraId="5482A916" w14:textId="77777777" w:rsidR="00495B7A" w:rsidRPr="00495B7A" w:rsidRDefault="00495B7A" w:rsidP="00495B7A">
            <w:pPr>
              <w:pStyle w:val="af5"/>
              <w:spacing w:before="0" w:beforeAutospacing="0" w:after="0" w:afterAutospacing="0"/>
              <w:rPr>
                <w:b/>
                <w:sz w:val="22"/>
                <w:szCs w:val="22"/>
              </w:rPr>
            </w:pPr>
            <w:r w:rsidRPr="00495B7A">
              <w:rPr>
                <w:b/>
                <w:sz w:val="22"/>
                <w:szCs w:val="22"/>
              </w:rPr>
              <w:t>Потребує обговорення</w:t>
            </w:r>
          </w:p>
          <w:p w14:paraId="4BDEA9CF" w14:textId="77777777" w:rsidR="00C533B1" w:rsidRPr="00C27A60" w:rsidRDefault="00C533B1" w:rsidP="00C533B1">
            <w:pPr>
              <w:ind w:firstLine="240"/>
              <w:jc w:val="both"/>
              <w:rPr>
                <w:sz w:val="22"/>
                <w:szCs w:val="22"/>
              </w:rPr>
            </w:pPr>
          </w:p>
          <w:p w14:paraId="0AA9EE8C" w14:textId="77777777" w:rsidR="00924AD9" w:rsidRPr="00C27A60" w:rsidRDefault="00924AD9" w:rsidP="00C533B1">
            <w:pPr>
              <w:ind w:firstLine="240"/>
              <w:jc w:val="both"/>
              <w:rPr>
                <w:sz w:val="22"/>
                <w:szCs w:val="22"/>
              </w:rPr>
            </w:pPr>
          </w:p>
          <w:p w14:paraId="5CC4837B" w14:textId="77777777" w:rsidR="00924AD9" w:rsidRPr="00C27A60" w:rsidRDefault="00924AD9" w:rsidP="00C533B1">
            <w:pPr>
              <w:ind w:firstLine="240"/>
              <w:jc w:val="both"/>
              <w:rPr>
                <w:sz w:val="22"/>
                <w:szCs w:val="22"/>
              </w:rPr>
            </w:pPr>
          </w:p>
          <w:p w14:paraId="44ED49CC" w14:textId="77777777" w:rsidR="00924AD9" w:rsidRPr="00C27A60" w:rsidRDefault="00924AD9" w:rsidP="00C533B1">
            <w:pPr>
              <w:ind w:firstLine="240"/>
              <w:jc w:val="both"/>
              <w:rPr>
                <w:sz w:val="22"/>
                <w:szCs w:val="22"/>
              </w:rPr>
            </w:pPr>
          </w:p>
          <w:p w14:paraId="2ECA7A6F" w14:textId="77777777" w:rsidR="00924AD9" w:rsidRPr="00C27A60" w:rsidRDefault="00924AD9" w:rsidP="00C533B1">
            <w:pPr>
              <w:ind w:firstLine="240"/>
              <w:jc w:val="both"/>
              <w:rPr>
                <w:sz w:val="22"/>
                <w:szCs w:val="22"/>
              </w:rPr>
            </w:pPr>
          </w:p>
          <w:p w14:paraId="1459B1A4" w14:textId="77777777" w:rsidR="00924AD9" w:rsidRPr="00C27A60" w:rsidRDefault="00924AD9" w:rsidP="00C533B1">
            <w:pPr>
              <w:ind w:firstLine="240"/>
              <w:jc w:val="both"/>
              <w:rPr>
                <w:sz w:val="22"/>
                <w:szCs w:val="22"/>
              </w:rPr>
            </w:pPr>
          </w:p>
          <w:p w14:paraId="40BE3473" w14:textId="77777777" w:rsidR="00924AD9" w:rsidRPr="00C27A60" w:rsidRDefault="00924AD9" w:rsidP="00C533B1">
            <w:pPr>
              <w:ind w:firstLine="240"/>
              <w:jc w:val="both"/>
              <w:rPr>
                <w:sz w:val="22"/>
                <w:szCs w:val="22"/>
              </w:rPr>
            </w:pPr>
          </w:p>
          <w:p w14:paraId="784746F3" w14:textId="77777777" w:rsidR="00924AD9" w:rsidRPr="00C27A60" w:rsidRDefault="00924AD9" w:rsidP="00C533B1">
            <w:pPr>
              <w:ind w:firstLine="240"/>
              <w:jc w:val="both"/>
              <w:rPr>
                <w:sz w:val="22"/>
                <w:szCs w:val="22"/>
              </w:rPr>
            </w:pPr>
          </w:p>
          <w:p w14:paraId="188FCE29" w14:textId="77777777" w:rsidR="00924AD9" w:rsidRPr="00C27A60" w:rsidRDefault="00924AD9" w:rsidP="00C533B1">
            <w:pPr>
              <w:ind w:firstLine="240"/>
              <w:jc w:val="both"/>
              <w:rPr>
                <w:sz w:val="22"/>
                <w:szCs w:val="22"/>
              </w:rPr>
            </w:pPr>
          </w:p>
          <w:p w14:paraId="644155D4" w14:textId="77777777" w:rsidR="00924AD9" w:rsidRPr="00C27A60" w:rsidRDefault="00924AD9" w:rsidP="00C533B1">
            <w:pPr>
              <w:ind w:firstLine="240"/>
              <w:jc w:val="both"/>
              <w:rPr>
                <w:sz w:val="22"/>
                <w:szCs w:val="22"/>
              </w:rPr>
            </w:pPr>
          </w:p>
          <w:p w14:paraId="7842A1F6" w14:textId="77777777" w:rsidR="00924AD9" w:rsidRPr="00C27A60" w:rsidRDefault="00924AD9" w:rsidP="00C533B1">
            <w:pPr>
              <w:ind w:firstLine="240"/>
              <w:jc w:val="both"/>
              <w:rPr>
                <w:sz w:val="22"/>
                <w:szCs w:val="22"/>
              </w:rPr>
            </w:pPr>
          </w:p>
          <w:p w14:paraId="1C0829B9" w14:textId="77777777" w:rsidR="00924AD9" w:rsidRPr="00C27A60" w:rsidRDefault="00924AD9" w:rsidP="00C533B1">
            <w:pPr>
              <w:ind w:firstLine="240"/>
              <w:jc w:val="both"/>
              <w:rPr>
                <w:sz w:val="22"/>
                <w:szCs w:val="22"/>
              </w:rPr>
            </w:pPr>
          </w:p>
          <w:p w14:paraId="185A9A73" w14:textId="77777777" w:rsidR="00924AD9" w:rsidRPr="00C27A60" w:rsidRDefault="00924AD9" w:rsidP="00C533B1">
            <w:pPr>
              <w:ind w:firstLine="240"/>
              <w:jc w:val="both"/>
              <w:rPr>
                <w:sz w:val="22"/>
                <w:szCs w:val="22"/>
              </w:rPr>
            </w:pPr>
          </w:p>
          <w:p w14:paraId="4E3446F0" w14:textId="77777777" w:rsidR="00924AD9" w:rsidRPr="00C27A60" w:rsidRDefault="00924AD9" w:rsidP="00C533B1">
            <w:pPr>
              <w:ind w:firstLine="240"/>
              <w:jc w:val="both"/>
              <w:rPr>
                <w:sz w:val="22"/>
                <w:szCs w:val="22"/>
              </w:rPr>
            </w:pPr>
          </w:p>
          <w:p w14:paraId="751B2F1B" w14:textId="77777777" w:rsidR="00924AD9" w:rsidRPr="00C27A60" w:rsidRDefault="00924AD9" w:rsidP="00C533B1">
            <w:pPr>
              <w:ind w:firstLine="240"/>
              <w:jc w:val="both"/>
              <w:rPr>
                <w:sz w:val="22"/>
                <w:szCs w:val="22"/>
              </w:rPr>
            </w:pPr>
          </w:p>
          <w:p w14:paraId="0CC6CB34" w14:textId="77777777" w:rsidR="00924AD9" w:rsidRPr="00C27A60" w:rsidRDefault="00924AD9" w:rsidP="00C533B1">
            <w:pPr>
              <w:ind w:firstLine="240"/>
              <w:jc w:val="both"/>
              <w:rPr>
                <w:sz w:val="22"/>
                <w:szCs w:val="22"/>
              </w:rPr>
            </w:pPr>
          </w:p>
          <w:p w14:paraId="3CFE7347" w14:textId="77777777" w:rsidR="00924AD9" w:rsidRPr="00C27A60" w:rsidRDefault="00924AD9" w:rsidP="00C533B1">
            <w:pPr>
              <w:ind w:firstLine="240"/>
              <w:jc w:val="both"/>
              <w:rPr>
                <w:sz w:val="22"/>
                <w:szCs w:val="22"/>
              </w:rPr>
            </w:pPr>
          </w:p>
          <w:p w14:paraId="7B15EA95" w14:textId="77777777" w:rsidR="00924AD9" w:rsidRPr="00C27A60" w:rsidRDefault="00924AD9" w:rsidP="00C533B1">
            <w:pPr>
              <w:ind w:firstLine="240"/>
              <w:jc w:val="both"/>
              <w:rPr>
                <w:sz w:val="22"/>
                <w:szCs w:val="22"/>
              </w:rPr>
            </w:pPr>
          </w:p>
          <w:p w14:paraId="19C8D5CF" w14:textId="77777777" w:rsidR="00924AD9" w:rsidRPr="00C27A60" w:rsidRDefault="00924AD9" w:rsidP="00C533B1">
            <w:pPr>
              <w:ind w:firstLine="240"/>
              <w:jc w:val="both"/>
              <w:rPr>
                <w:sz w:val="22"/>
                <w:szCs w:val="22"/>
              </w:rPr>
            </w:pPr>
          </w:p>
          <w:p w14:paraId="67C16293" w14:textId="77777777" w:rsidR="00924AD9" w:rsidRPr="00C27A60" w:rsidRDefault="00924AD9" w:rsidP="00C533B1">
            <w:pPr>
              <w:ind w:firstLine="240"/>
              <w:jc w:val="both"/>
              <w:rPr>
                <w:sz w:val="22"/>
                <w:szCs w:val="22"/>
              </w:rPr>
            </w:pPr>
          </w:p>
          <w:p w14:paraId="039BEE8C" w14:textId="77777777" w:rsidR="00924AD9" w:rsidRPr="00C27A60" w:rsidRDefault="00924AD9" w:rsidP="00C533B1">
            <w:pPr>
              <w:ind w:firstLine="240"/>
              <w:jc w:val="both"/>
              <w:rPr>
                <w:sz w:val="22"/>
                <w:szCs w:val="22"/>
              </w:rPr>
            </w:pPr>
          </w:p>
          <w:p w14:paraId="7A0C0E67" w14:textId="77777777" w:rsidR="00924AD9" w:rsidRPr="00C27A60" w:rsidRDefault="00924AD9" w:rsidP="00C533B1">
            <w:pPr>
              <w:ind w:firstLine="240"/>
              <w:jc w:val="both"/>
              <w:rPr>
                <w:sz w:val="22"/>
                <w:szCs w:val="22"/>
              </w:rPr>
            </w:pPr>
          </w:p>
          <w:p w14:paraId="57636E35" w14:textId="2EF2B505" w:rsidR="00924AD9" w:rsidRPr="00C27A60" w:rsidRDefault="00924AD9" w:rsidP="00C533B1">
            <w:pPr>
              <w:ind w:firstLine="240"/>
              <w:jc w:val="both"/>
              <w:rPr>
                <w:sz w:val="22"/>
                <w:szCs w:val="22"/>
              </w:rPr>
            </w:pPr>
          </w:p>
          <w:p w14:paraId="30175EC7" w14:textId="0B9BC998" w:rsidR="00924AD9" w:rsidRPr="00C27A60" w:rsidRDefault="00924AD9" w:rsidP="00C533B1">
            <w:pPr>
              <w:ind w:firstLine="240"/>
              <w:jc w:val="both"/>
              <w:rPr>
                <w:sz w:val="22"/>
                <w:szCs w:val="22"/>
              </w:rPr>
            </w:pPr>
          </w:p>
          <w:p w14:paraId="729182C4" w14:textId="77777777" w:rsidR="00924AD9" w:rsidRPr="00C27A60" w:rsidRDefault="00924AD9" w:rsidP="00C533B1">
            <w:pPr>
              <w:ind w:firstLine="240"/>
              <w:jc w:val="both"/>
              <w:rPr>
                <w:sz w:val="22"/>
                <w:szCs w:val="22"/>
              </w:rPr>
            </w:pPr>
          </w:p>
          <w:p w14:paraId="2069177C" w14:textId="1CBA7655" w:rsidR="00924AD9" w:rsidRDefault="00924AD9" w:rsidP="00C533B1">
            <w:pPr>
              <w:ind w:firstLine="240"/>
              <w:jc w:val="both"/>
              <w:rPr>
                <w:sz w:val="22"/>
                <w:szCs w:val="22"/>
              </w:rPr>
            </w:pPr>
          </w:p>
          <w:p w14:paraId="385A4EBB" w14:textId="7B8B2A15" w:rsidR="00495B7A" w:rsidRDefault="00495B7A" w:rsidP="00C533B1">
            <w:pPr>
              <w:ind w:firstLine="240"/>
              <w:jc w:val="both"/>
              <w:rPr>
                <w:sz w:val="22"/>
                <w:szCs w:val="22"/>
              </w:rPr>
            </w:pPr>
          </w:p>
          <w:p w14:paraId="24DA52C7" w14:textId="66A66C8A" w:rsidR="00495B7A" w:rsidRDefault="00495B7A" w:rsidP="00C533B1">
            <w:pPr>
              <w:ind w:firstLine="240"/>
              <w:jc w:val="both"/>
              <w:rPr>
                <w:sz w:val="22"/>
                <w:szCs w:val="22"/>
              </w:rPr>
            </w:pPr>
          </w:p>
          <w:p w14:paraId="199ED894" w14:textId="77777777" w:rsidR="00495B7A" w:rsidRPr="00C27A60" w:rsidRDefault="00495B7A" w:rsidP="00C533B1">
            <w:pPr>
              <w:ind w:firstLine="240"/>
              <w:jc w:val="both"/>
              <w:rPr>
                <w:sz w:val="22"/>
                <w:szCs w:val="22"/>
              </w:rPr>
            </w:pPr>
          </w:p>
          <w:p w14:paraId="50214A02" w14:textId="7DE77590" w:rsidR="00924AD9" w:rsidRDefault="00924AD9" w:rsidP="00C533B1">
            <w:pPr>
              <w:ind w:firstLine="240"/>
              <w:jc w:val="both"/>
              <w:rPr>
                <w:sz w:val="22"/>
                <w:szCs w:val="22"/>
              </w:rPr>
            </w:pPr>
          </w:p>
          <w:p w14:paraId="33960050" w14:textId="77777777" w:rsidR="00495B7A" w:rsidRPr="00C27A60" w:rsidRDefault="00495B7A" w:rsidP="00C533B1">
            <w:pPr>
              <w:ind w:firstLine="240"/>
              <w:jc w:val="both"/>
              <w:rPr>
                <w:sz w:val="22"/>
                <w:szCs w:val="22"/>
              </w:rPr>
            </w:pPr>
          </w:p>
          <w:p w14:paraId="44AF207A" w14:textId="77777777" w:rsidR="00924AD9" w:rsidRPr="00C27A60" w:rsidRDefault="00924AD9" w:rsidP="00924AD9">
            <w:pPr>
              <w:jc w:val="both"/>
              <w:rPr>
                <w:b/>
                <w:sz w:val="22"/>
                <w:szCs w:val="22"/>
              </w:rPr>
            </w:pPr>
            <w:r w:rsidRPr="00C27A60">
              <w:rPr>
                <w:b/>
                <w:sz w:val="22"/>
                <w:szCs w:val="22"/>
              </w:rPr>
              <w:t>Не враховується</w:t>
            </w:r>
          </w:p>
          <w:p w14:paraId="743E952A" w14:textId="0002334C" w:rsidR="00A96234" w:rsidRPr="00C27A60" w:rsidRDefault="00A96234" w:rsidP="00924AD9">
            <w:pPr>
              <w:jc w:val="both"/>
              <w:rPr>
                <w:b/>
                <w:sz w:val="22"/>
                <w:szCs w:val="22"/>
              </w:rPr>
            </w:pPr>
            <w:r w:rsidRPr="00C27A60">
              <w:rPr>
                <w:bCs/>
                <w:sz w:val="22"/>
                <w:szCs w:val="22"/>
              </w:rPr>
              <w:t xml:space="preserve">Викривлення </w:t>
            </w:r>
            <w:r w:rsidR="00DC56B8" w:rsidRPr="00C27A60">
              <w:rPr>
                <w:bCs/>
                <w:sz w:val="22"/>
                <w:szCs w:val="22"/>
              </w:rPr>
              <w:t>принципів</w:t>
            </w:r>
            <w:r w:rsidRPr="00C27A60">
              <w:rPr>
                <w:bCs/>
                <w:sz w:val="22"/>
                <w:szCs w:val="22"/>
              </w:rPr>
              <w:t xml:space="preserve"> обґрунтованого виконання заходів Інвестиційної</w:t>
            </w:r>
            <w:r w:rsidRPr="00C27A60">
              <w:rPr>
                <w:b/>
                <w:sz w:val="22"/>
                <w:szCs w:val="22"/>
              </w:rPr>
              <w:t xml:space="preserve"> </w:t>
            </w:r>
            <w:r w:rsidRPr="00C27A60">
              <w:rPr>
                <w:bCs/>
                <w:sz w:val="22"/>
                <w:szCs w:val="22"/>
              </w:rPr>
              <w:t>програми.</w:t>
            </w:r>
          </w:p>
          <w:p w14:paraId="786DB742" w14:textId="074D682B" w:rsidR="00924AD9" w:rsidRPr="00C27A60" w:rsidRDefault="00DC56B8" w:rsidP="00DC56B8">
            <w:pPr>
              <w:jc w:val="both"/>
              <w:rPr>
                <w:sz w:val="22"/>
                <w:szCs w:val="22"/>
              </w:rPr>
            </w:pPr>
            <w:r w:rsidRPr="00C27A60">
              <w:rPr>
                <w:bCs/>
                <w:sz w:val="22"/>
                <w:szCs w:val="22"/>
              </w:rPr>
              <w:t>Механізм врахування економії, що виникла внаслідок виконання заходів Інвестиційної програми, визначений, зокрема, пунктом 13 цієї методики.</w:t>
            </w:r>
          </w:p>
        </w:tc>
      </w:tr>
      <w:tr w:rsidR="00C27A60" w:rsidRPr="00C27A60" w14:paraId="6D48E46F" w14:textId="77777777" w:rsidTr="00C94631">
        <w:trPr>
          <w:trHeight w:val="595"/>
        </w:trPr>
        <w:tc>
          <w:tcPr>
            <w:tcW w:w="5839" w:type="dxa"/>
            <w:shd w:val="clear" w:color="auto" w:fill="auto"/>
          </w:tcPr>
          <w:p w14:paraId="6D036571" w14:textId="77777777" w:rsidR="004F24D4" w:rsidRPr="00C27A60" w:rsidRDefault="004F24D4" w:rsidP="004F24D4">
            <w:pPr>
              <w:spacing w:after="160" w:line="259" w:lineRule="auto"/>
              <w:ind w:firstLine="308"/>
              <w:jc w:val="both"/>
              <w:rPr>
                <w:rFonts w:eastAsia="Calibri"/>
                <w:sz w:val="22"/>
                <w:szCs w:val="22"/>
                <w:shd w:val="clear" w:color="auto" w:fill="FFFFFF"/>
                <w:lang w:eastAsia="en-US"/>
              </w:rPr>
            </w:pPr>
          </w:p>
          <w:p w14:paraId="36578774" w14:textId="77777777" w:rsidR="004F24D4" w:rsidRPr="00C27A60" w:rsidRDefault="004F24D4" w:rsidP="004F24D4">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5. Загальна сума додатково отриманого або недоотриманого доходу ОСП від здійснення діяльності з передачі електричної енергії у звітному році визначається як сума таких складових:</w:t>
            </w:r>
          </w:p>
          <w:p w14:paraId="56F43A17" w14:textId="77777777" w:rsidR="004F24D4" w:rsidRPr="00C27A60" w:rsidRDefault="004F24D4" w:rsidP="004F24D4">
            <w:pPr>
              <w:spacing w:after="160" w:line="259" w:lineRule="auto"/>
              <w:ind w:firstLine="308"/>
              <w:jc w:val="both"/>
              <w:rPr>
                <w:rFonts w:eastAsia="Calibri"/>
                <w:sz w:val="22"/>
                <w:szCs w:val="22"/>
                <w:shd w:val="clear" w:color="auto" w:fill="FFFFFF"/>
                <w:lang w:eastAsia="en-US"/>
              </w:rPr>
            </w:pPr>
          </w:p>
          <w:p w14:paraId="72657319" w14:textId="77777777" w:rsidR="004F24D4" w:rsidRPr="00C27A60" w:rsidRDefault="004F24D4" w:rsidP="004F24D4">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&lt;…&gt;</w:t>
            </w:r>
          </w:p>
          <w:p w14:paraId="38FD71C1" w14:textId="77777777" w:rsidR="004F24D4" w:rsidRPr="00C27A60" w:rsidRDefault="004F24D4" w:rsidP="004F24D4">
            <w:pPr>
              <w:spacing w:after="160" w:line="259" w:lineRule="auto"/>
              <w:ind w:firstLine="308"/>
              <w:jc w:val="both"/>
              <w:rPr>
                <w:rFonts w:eastAsia="Calibri"/>
                <w:sz w:val="22"/>
                <w:szCs w:val="22"/>
                <w:shd w:val="clear" w:color="auto" w:fill="FFFFFF"/>
                <w:lang w:eastAsia="en-US"/>
              </w:rPr>
            </w:pPr>
          </w:p>
          <w:p w14:paraId="6E01D3B3" w14:textId="77777777" w:rsidR="004F24D4" w:rsidRPr="00C27A60" w:rsidRDefault="004F24D4" w:rsidP="004F24D4">
            <w:pPr>
              <w:spacing w:after="160" w:line="259" w:lineRule="auto"/>
              <w:ind w:firstLine="308"/>
              <w:jc w:val="both"/>
              <w:rPr>
                <w:rFonts w:eastAsia="Calibri"/>
                <w:b/>
                <w:sz w:val="22"/>
                <w:szCs w:val="22"/>
                <w:shd w:val="clear" w:color="auto" w:fill="FFFFFF"/>
                <w:lang w:eastAsia="en-US"/>
              </w:rPr>
            </w:pPr>
            <w:r w:rsidRPr="00C27A60">
              <w:rPr>
                <w:rFonts w:eastAsia="Calibri"/>
                <w:b/>
                <w:sz w:val="22"/>
                <w:szCs w:val="22"/>
                <w:shd w:val="clear" w:color="auto" w:fill="FFFFFF"/>
                <w:lang w:eastAsia="en-US"/>
              </w:rPr>
              <w:t>8) фактична сума перевищення максимального розміру заробітної плати, яка фінансується за рахунок тарифу на послуги з передачі електричної енергії, що перевищує десятикратний розмір середньої заробітної плати, урахованої у структурі тарифу на послуги з передачі електричної енергії, з урахуванням приведення до середньорічного розміру заробітної плати у звітному році, що підлягає вилученню.</w:t>
            </w:r>
          </w:p>
          <w:p w14:paraId="79EBA52A" w14:textId="77777777" w:rsidR="00C533B1" w:rsidRPr="00C27A60" w:rsidRDefault="00C533B1" w:rsidP="00C533B1">
            <w:pPr>
              <w:rPr>
                <w:sz w:val="22"/>
                <w:szCs w:val="22"/>
              </w:rPr>
            </w:pPr>
          </w:p>
        </w:tc>
        <w:tc>
          <w:tcPr>
            <w:tcW w:w="5812" w:type="dxa"/>
            <w:shd w:val="clear" w:color="auto" w:fill="auto"/>
          </w:tcPr>
          <w:p w14:paraId="591C1C64" w14:textId="77777777" w:rsidR="004F24D4" w:rsidRPr="00C27A60" w:rsidRDefault="004F24D4" w:rsidP="004F24D4">
            <w:pPr>
              <w:rPr>
                <w:i/>
                <w:sz w:val="22"/>
                <w:szCs w:val="22"/>
              </w:rPr>
            </w:pPr>
          </w:p>
          <w:p w14:paraId="267A1D98" w14:textId="77777777" w:rsidR="004F24D4" w:rsidRPr="00C27A60" w:rsidRDefault="004F24D4" w:rsidP="004F24D4">
            <w:pPr>
              <w:rPr>
                <w:i/>
                <w:sz w:val="22"/>
                <w:szCs w:val="22"/>
              </w:rPr>
            </w:pPr>
            <w:r w:rsidRPr="00C27A60">
              <w:rPr>
                <w:i/>
                <w:sz w:val="22"/>
                <w:szCs w:val="22"/>
              </w:rPr>
              <w:t>НЕК «УКРЕНЕРГО»</w:t>
            </w:r>
          </w:p>
          <w:p w14:paraId="3CFA639E" w14:textId="77777777" w:rsidR="00C533B1" w:rsidRPr="00C27A60" w:rsidRDefault="00C533B1" w:rsidP="00C533B1">
            <w:pPr>
              <w:rPr>
                <w:i/>
                <w:sz w:val="22"/>
                <w:szCs w:val="22"/>
              </w:rPr>
            </w:pPr>
          </w:p>
          <w:p w14:paraId="7DA349DA" w14:textId="77777777" w:rsidR="004F24D4" w:rsidRPr="00C27A60" w:rsidRDefault="004F24D4" w:rsidP="004F24D4">
            <w:pPr>
              <w:ind w:firstLine="308"/>
              <w:jc w:val="both"/>
              <w:rPr>
                <w:b/>
                <w:sz w:val="22"/>
                <w:szCs w:val="22"/>
                <w:shd w:val="clear" w:color="auto" w:fill="FFFFFF"/>
              </w:rPr>
            </w:pPr>
            <w:r w:rsidRPr="00C27A60">
              <w:rPr>
                <w:b/>
                <w:sz w:val="22"/>
                <w:szCs w:val="22"/>
                <w:shd w:val="clear" w:color="auto" w:fill="FFFFFF"/>
              </w:rPr>
              <w:t>8) фактична сума перевищення максимального розміру заробітної плати, у тому числі капіталізованої (з розподілом між тарифами на передачу електричної енергії та диспетчерського (оперативно-технологічного) управління), яка фінансується за рахунок тарифу на послуги з передачі електричної енергії (зазначена у колонках 2, 10 та 11 Форми № 1-НКРЕКП-передача електричної енергії (квартальна)), що перевищує десятикратний розмір тарифної середньої заробітної плати по областях відповідно до затвердженого Регулятором перерахунку, урахованої у структурі тарифу на послуги з передачі електричної енергії, з урахуванням приведення до середньорічного розміру заробітної плати у звітному році, що підлягає вилученню.</w:t>
            </w:r>
          </w:p>
          <w:p w14:paraId="5FD023A0" w14:textId="77777777" w:rsidR="004F24D4" w:rsidRPr="00C27A60" w:rsidRDefault="004F24D4" w:rsidP="00C533B1">
            <w:pPr>
              <w:rPr>
                <w:i/>
                <w:sz w:val="22"/>
                <w:szCs w:val="22"/>
              </w:rPr>
            </w:pPr>
          </w:p>
          <w:p w14:paraId="4EF38D83" w14:textId="77777777" w:rsidR="004F24D4" w:rsidRPr="00C27A60" w:rsidRDefault="004F24D4" w:rsidP="004F24D4">
            <w:pPr>
              <w:rPr>
                <w:i/>
                <w:sz w:val="22"/>
                <w:szCs w:val="22"/>
              </w:rPr>
            </w:pPr>
            <w:r w:rsidRPr="00C27A60">
              <w:rPr>
                <w:i/>
                <w:sz w:val="22"/>
                <w:szCs w:val="22"/>
              </w:rPr>
              <w:t>ОБРГРУНТУВАННЯ:</w:t>
            </w:r>
          </w:p>
          <w:p w14:paraId="75D19DC4" w14:textId="77777777" w:rsidR="004F24D4" w:rsidRPr="00C27A60" w:rsidRDefault="004F24D4" w:rsidP="004F24D4">
            <w:pPr>
              <w:ind w:firstLine="312"/>
              <w:jc w:val="both"/>
              <w:rPr>
                <w:rFonts w:eastAsia="Calibri"/>
                <w:sz w:val="22"/>
                <w:szCs w:val="22"/>
              </w:rPr>
            </w:pPr>
            <w:r w:rsidRPr="00C27A60">
              <w:rPr>
                <w:rFonts w:eastAsia="Calibri"/>
                <w:sz w:val="22"/>
                <w:szCs w:val="22"/>
              </w:rPr>
              <w:t xml:space="preserve">При визначенні у загальній сумі додатково отриманого або недоотриманого доходу фактичного максимального розміру заробітної плати, що перевищує десятикратний розмір середньої заробітної плати, урахованої у структурі тарифу на послуги з передачі електричної енергії, з урахуванням приведення до середньорічного розміру заробітної плати у звітному році, пропонується </w:t>
            </w:r>
            <w:r w:rsidRPr="00C27A60">
              <w:rPr>
                <w:rFonts w:eastAsia="Calibri"/>
                <w:sz w:val="22"/>
                <w:szCs w:val="22"/>
              </w:rPr>
              <w:lastRenderedPageBreak/>
              <w:t xml:space="preserve">конкретизувати підхід при визначенні перевищення та виключити витрати, які фінансуються за рахунок доходів від іншої діяльності, тобто не потребують відшкодування споживачами електричної енергії цих витрат через тариф ОСП.  </w:t>
            </w:r>
          </w:p>
          <w:p w14:paraId="602C3A49" w14:textId="7088B301" w:rsidR="004F24D4" w:rsidRPr="00C27A60" w:rsidRDefault="004F24D4" w:rsidP="00C533B1">
            <w:pPr>
              <w:rPr>
                <w:i/>
                <w:sz w:val="22"/>
                <w:szCs w:val="22"/>
              </w:rPr>
            </w:pPr>
          </w:p>
        </w:tc>
        <w:tc>
          <w:tcPr>
            <w:tcW w:w="3546" w:type="dxa"/>
            <w:shd w:val="clear" w:color="auto" w:fill="auto"/>
          </w:tcPr>
          <w:p w14:paraId="0DF3EF13" w14:textId="7082373C" w:rsidR="00C94631" w:rsidRDefault="00C94631" w:rsidP="00C94631">
            <w:pPr>
              <w:jc w:val="both"/>
              <w:rPr>
                <w:b/>
                <w:sz w:val="22"/>
                <w:szCs w:val="22"/>
              </w:rPr>
            </w:pPr>
          </w:p>
          <w:p w14:paraId="4E8DE405" w14:textId="34716AF6" w:rsidR="003E1E4D" w:rsidRDefault="003E1E4D" w:rsidP="00C94631">
            <w:pPr>
              <w:jc w:val="both"/>
              <w:rPr>
                <w:b/>
                <w:sz w:val="22"/>
                <w:szCs w:val="22"/>
              </w:rPr>
            </w:pPr>
          </w:p>
          <w:p w14:paraId="7E211C5B" w14:textId="77777777" w:rsidR="003E1E4D" w:rsidRPr="00C27A60" w:rsidRDefault="003E1E4D" w:rsidP="00C94631">
            <w:pPr>
              <w:jc w:val="both"/>
              <w:rPr>
                <w:b/>
                <w:sz w:val="22"/>
                <w:szCs w:val="22"/>
              </w:rPr>
            </w:pPr>
          </w:p>
          <w:p w14:paraId="1BC4F071" w14:textId="469580FD" w:rsidR="00C533B1" w:rsidRPr="00C27A60" w:rsidRDefault="003E1E4D" w:rsidP="00DC56B8">
            <w:pPr>
              <w:jc w:val="both"/>
              <w:rPr>
                <w:sz w:val="22"/>
                <w:szCs w:val="22"/>
              </w:rPr>
            </w:pPr>
            <w:r>
              <w:rPr>
                <w:b/>
                <w:sz w:val="22"/>
                <w:szCs w:val="22"/>
              </w:rPr>
              <w:t>Потребує</w:t>
            </w:r>
            <w:r w:rsidRPr="00C27A60">
              <w:rPr>
                <w:b/>
                <w:sz w:val="22"/>
                <w:szCs w:val="22"/>
              </w:rPr>
              <w:t xml:space="preserve"> обговорення</w:t>
            </w:r>
          </w:p>
        </w:tc>
      </w:tr>
      <w:tr w:rsidR="00C27A60" w:rsidRPr="00C27A60" w14:paraId="0869DD79" w14:textId="77777777" w:rsidTr="008204F4">
        <w:trPr>
          <w:trHeight w:val="595"/>
        </w:trPr>
        <w:tc>
          <w:tcPr>
            <w:tcW w:w="5839" w:type="dxa"/>
            <w:shd w:val="clear" w:color="auto" w:fill="auto"/>
          </w:tcPr>
          <w:p w14:paraId="05057B4C" w14:textId="77777777" w:rsidR="004F24D4" w:rsidRPr="00C27A60" w:rsidRDefault="004F24D4" w:rsidP="004F24D4">
            <w:pPr>
              <w:spacing w:after="160" w:line="259" w:lineRule="auto"/>
              <w:ind w:firstLine="308"/>
              <w:jc w:val="both"/>
              <w:rPr>
                <w:rFonts w:eastAsia="Calibri"/>
                <w:sz w:val="22"/>
                <w:szCs w:val="22"/>
                <w:shd w:val="clear" w:color="auto" w:fill="FFFFFF"/>
                <w:lang w:eastAsia="en-US"/>
              </w:rPr>
            </w:pPr>
          </w:p>
          <w:p w14:paraId="004BFAFF" w14:textId="3E57C3B0" w:rsidR="00C533B1" w:rsidRPr="00C27A60" w:rsidRDefault="004F24D4" w:rsidP="004F24D4">
            <w:pPr>
              <w:rPr>
                <w:sz w:val="22"/>
                <w:szCs w:val="22"/>
              </w:rPr>
            </w:pPr>
            <w:r w:rsidRPr="00C27A60">
              <w:rPr>
                <w:b/>
                <w:sz w:val="22"/>
                <w:szCs w:val="22"/>
                <w:shd w:val="clear" w:color="auto" w:fill="FFFFFF"/>
              </w:rPr>
              <w:t>ЗМІНИ НЕ ПРОПОНУВАЛИСЬ</w:t>
            </w:r>
          </w:p>
        </w:tc>
        <w:tc>
          <w:tcPr>
            <w:tcW w:w="5812" w:type="dxa"/>
            <w:shd w:val="clear" w:color="auto" w:fill="auto"/>
          </w:tcPr>
          <w:p w14:paraId="3642225E" w14:textId="77777777" w:rsidR="004F24D4" w:rsidRPr="00C27A60" w:rsidRDefault="004F24D4" w:rsidP="004F24D4">
            <w:pPr>
              <w:rPr>
                <w:i/>
                <w:sz w:val="22"/>
                <w:szCs w:val="22"/>
              </w:rPr>
            </w:pPr>
          </w:p>
          <w:p w14:paraId="222D5275" w14:textId="77777777" w:rsidR="004F24D4" w:rsidRPr="00C27A60" w:rsidRDefault="004F24D4" w:rsidP="004F24D4">
            <w:pPr>
              <w:rPr>
                <w:i/>
                <w:sz w:val="22"/>
                <w:szCs w:val="22"/>
              </w:rPr>
            </w:pPr>
            <w:r w:rsidRPr="00C27A60">
              <w:rPr>
                <w:i/>
                <w:sz w:val="22"/>
                <w:szCs w:val="22"/>
              </w:rPr>
              <w:t>НЕК «УКРЕНЕРГО»</w:t>
            </w:r>
          </w:p>
          <w:p w14:paraId="31026877" w14:textId="77777777" w:rsidR="004F24D4" w:rsidRPr="00C27A60" w:rsidRDefault="004F24D4" w:rsidP="004F24D4">
            <w:pPr>
              <w:spacing w:after="160" w:line="259" w:lineRule="auto"/>
              <w:jc w:val="both"/>
              <w:rPr>
                <w:rFonts w:eastAsia="Aptos"/>
                <w:b/>
                <w:kern w:val="2"/>
                <w:sz w:val="22"/>
                <w:szCs w:val="22"/>
                <w:shd w:val="clear" w:color="auto" w:fill="FFFFFF"/>
                <w:lang w:eastAsia="en-US"/>
                <w14:ligatures w14:val="standardContextual"/>
              </w:rPr>
            </w:pPr>
            <w:r w:rsidRPr="00C27A60">
              <w:rPr>
                <w:rFonts w:eastAsia="Aptos"/>
                <w:b/>
                <w:kern w:val="2"/>
                <w:sz w:val="22"/>
                <w:szCs w:val="22"/>
                <w:shd w:val="clear" w:color="auto" w:fill="FFFFFF"/>
                <w:lang w:eastAsia="en-US"/>
                <w14:ligatures w14:val="standardContextual"/>
              </w:rPr>
              <w:t>9) перевищення витрат</w:t>
            </w:r>
            <w:r w:rsidRPr="00C27A60">
              <w:rPr>
                <w:rFonts w:eastAsia="Aptos"/>
                <w:b/>
                <w:kern w:val="2"/>
                <w:sz w:val="22"/>
                <w:szCs w:val="22"/>
                <w:shd w:val="clear" w:color="auto" w:fill="FFFFFF"/>
                <w:lang w:val="ru-RU" w:eastAsia="en-US"/>
                <w14:ligatures w14:val="standardContextual"/>
              </w:rPr>
              <w:t xml:space="preserve"> над</w:t>
            </w:r>
            <w:r w:rsidRPr="00C27A60">
              <w:rPr>
                <w:rFonts w:eastAsia="Aptos"/>
                <w:b/>
                <w:kern w:val="2"/>
                <w:sz w:val="22"/>
                <w:szCs w:val="22"/>
                <w:shd w:val="clear" w:color="auto" w:fill="FFFFFF"/>
                <w:lang w:eastAsia="en-US"/>
                <w14:ligatures w14:val="standardContextual"/>
              </w:rPr>
              <w:t xml:space="preserve"> доходами з нарахування  інфляційних втрат на суму боргу за договорами з ліцензованої діяльності</w:t>
            </w:r>
          </w:p>
          <w:p w14:paraId="446E5C18" w14:textId="319C871A" w:rsidR="004F24D4" w:rsidRPr="00C27A60" w:rsidRDefault="004F24D4" w:rsidP="004F24D4">
            <w:pPr>
              <w:spacing w:after="160" w:line="259" w:lineRule="auto"/>
              <w:jc w:val="both"/>
              <w:rPr>
                <w:rFonts w:eastAsia="Aptos"/>
                <w:b/>
                <w:kern w:val="2"/>
                <w:sz w:val="22"/>
                <w:szCs w:val="22"/>
                <w:shd w:val="clear" w:color="auto" w:fill="FFFFFF"/>
                <w:lang w:eastAsia="en-US"/>
                <w14:ligatures w14:val="standardContextual"/>
              </w:rPr>
            </w:pPr>
          </w:p>
          <w:p w14:paraId="5CF7C629" w14:textId="77777777" w:rsidR="008204F4" w:rsidRPr="00C27A60" w:rsidRDefault="008204F4" w:rsidP="004F24D4">
            <w:pPr>
              <w:spacing w:after="160" w:line="259" w:lineRule="auto"/>
              <w:jc w:val="both"/>
              <w:rPr>
                <w:rFonts w:eastAsia="Aptos"/>
                <w:b/>
                <w:kern w:val="2"/>
                <w:sz w:val="22"/>
                <w:szCs w:val="22"/>
                <w:shd w:val="clear" w:color="auto" w:fill="FFFFFF"/>
                <w:lang w:eastAsia="en-US"/>
                <w14:ligatures w14:val="standardContextual"/>
              </w:rPr>
            </w:pPr>
          </w:p>
          <w:p w14:paraId="58CFEDC4" w14:textId="77777777" w:rsidR="004F24D4" w:rsidRPr="00C27A60" w:rsidRDefault="004F24D4" w:rsidP="004F24D4">
            <w:pPr>
              <w:spacing w:after="160" w:line="259" w:lineRule="auto"/>
              <w:jc w:val="both"/>
              <w:rPr>
                <w:rFonts w:eastAsia="Aptos"/>
                <w:b/>
                <w:kern w:val="2"/>
                <w:sz w:val="22"/>
                <w:szCs w:val="22"/>
                <w:shd w:val="clear" w:color="auto" w:fill="FFFFFF"/>
                <w:lang w:eastAsia="en-US"/>
                <w14:ligatures w14:val="standardContextual"/>
              </w:rPr>
            </w:pPr>
            <w:r w:rsidRPr="00C27A60">
              <w:rPr>
                <w:rFonts w:eastAsia="Aptos"/>
                <w:b/>
                <w:kern w:val="2"/>
                <w:sz w:val="22"/>
                <w:szCs w:val="22"/>
                <w:shd w:val="clear" w:color="auto" w:fill="FFFFFF"/>
                <w:lang w:eastAsia="en-US"/>
                <w14:ligatures w14:val="standardContextual"/>
              </w:rPr>
              <w:t>10) перевищення витрат</w:t>
            </w:r>
            <w:r w:rsidRPr="00C27A60">
              <w:rPr>
                <w:rFonts w:eastAsia="Aptos"/>
                <w:b/>
                <w:kern w:val="2"/>
                <w:sz w:val="22"/>
                <w:szCs w:val="22"/>
                <w:shd w:val="clear" w:color="auto" w:fill="FFFFFF"/>
                <w:lang w:val="ru-RU" w:eastAsia="en-US"/>
                <w14:ligatures w14:val="standardContextual"/>
              </w:rPr>
              <w:t xml:space="preserve"> над</w:t>
            </w:r>
            <w:r w:rsidRPr="00C27A60">
              <w:rPr>
                <w:rFonts w:eastAsia="Aptos"/>
                <w:b/>
                <w:kern w:val="2"/>
                <w:sz w:val="22"/>
                <w:szCs w:val="22"/>
                <w:shd w:val="clear" w:color="auto" w:fill="FFFFFF"/>
                <w:lang w:eastAsia="en-US"/>
                <w14:ligatures w14:val="standardContextual"/>
              </w:rPr>
              <w:t xml:space="preserve"> доходами з нарахування трьох процентів річних на суму боргу за договорами з ліцензованої діяльності</w:t>
            </w:r>
          </w:p>
          <w:p w14:paraId="7C99AF86" w14:textId="77777777" w:rsidR="004F24D4" w:rsidRPr="00C27A60" w:rsidRDefault="004F24D4" w:rsidP="004F24D4">
            <w:pPr>
              <w:rPr>
                <w:i/>
                <w:sz w:val="22"/>
                <w:szCs w:val="22"/>
              </w:rPr>
            </w:pPr>
            <w:r w:rsidRPr="00C27A60">
              <w:rPr>
                <w:i/>
                <w:sz w:val="22"/>
                <w:szCs w:val="22"/>
              </w:rPr>
              <w:t>ОБРГРУНТУВАННЯ:</w:t>
            </w:r>
          </w:p>
          <w:p w14:paraId="7DE8C6D3" w14:textId="7ECEBA34" w:rsidR="004F24D4" w:rsidRPr="00C27A60" w:rsidRDefault="004F24D4" w:rsidP="004F24D4">
            <w:pPr>
              <w:rPr>
                <w:i/>
                <w:sz w:val="22"/>
                <w:szCs w:val="22"/>
              </w:rPr>
            </w:pPr>
            <w:r w:rsidRPr="00C27A60">
              <w:rPr>
                <w:rFonts w:eastAsia="Calibri"/>
                <w:kern w:val="2"/>
                <w:sz w:val="22"/>
                <w:szCs w:val="22"/>
                <w:lang w:eastAsia="en-US"/>
                <w14:ligatures w14:val="standardContextual"/>
              </w:rPr>
              <w:t>При визначенні у загальній сумі додатково отриманого або недоотриманого доходу пропонується враховувати перевищення витрат над доходами з нарахування  інфляційних втрат на суму боргу та трьох процентів річних, які за  своєю сутністю не є ані штрафними санкціями, ані пенею, а мають бути невід’ємною складовою структури тарифів ОСП.</w:t>
            </w:r>
          </w:p>
        </w:tc>
        <w:tc>
          <w:tcPr>
            <w:tcW w:w="3546" w:type="dxa"/>
            <w:shd w:val="clear" w:color="auto" w:fill="auto"/>
          </w:tcPr>
          <w:p w14:paraId="06248B20" w14:textId="77777777" w:rsidR="008204F4" w:rsidRPr="00C27A60" w:rsidRDefault="008204F4" w:rsidP="008204F4">
            <w:pPr>
              <w:jc w:val="both"/>
              <w:rPr>
                <w:b/>
                <w:sz w:val="22"/>
                <w:szCs w:val="22"/>
              </w:rPr>
            </w:pPr>
          </w:p>
          <w:p w14:paraId="420EC9E2" w14:textId="77777777" w:rsidR="00DC56B8" w:rsidRPr="00C27A60" w:rsidRDefault="00DC56B8" w:rsidP="008204F4">
            <w:pPr>
              <w:jc w:val="both"/>
              <w:rPr>
                <w:b/>
                <w:sz w:val="22"/>
                <w:szCs w:val="22"/>
              </w:rPr>
            </w:pPr>
          </w:p>
          <w:p w14:paraId="77807142" w14:textId="342817FA" w:rsidR="008204F4" w:rsidRPr="00495B7A" w:rsidRDefault="00495B7A" w:rsidP="008204F4">
            <w:pPr>
              <w:pStyle w:val="af5"/>
              <w:spacing w:before="0" w:beforeAutospacing="0" w:after="0" w:afterAutospacing="0"/>
              <w:rPr>
                <w:b/>
                <w:sz w:val="22"/>
                <w:szCs w:val="22"/>
              </w:rPr>
            </w:pPr>
            <w:r w:rsidRPr="00495B7A">
              <w:rPr>
                <w:b/>
                <w:sz w:val="22"/>
                <w:szCs w:val="22"/>
              </w:rPr>
              <w:t>Потребує обговорення</w:t>
            </w:r>
          </w:p>
          <w:p w14:paraId="1585DED3" w14:textId="287A0B4E" w:rsidR="008204F4" w:rsidRPr="00C27A60" w:rsidRDefault="008204F4" w:rsidP="008204F4">
            <w:pPr>
              <w:jc w:val="both"/>
              <w:rPr>
                <w:b/>
                <w:sz w:val="22"/>
                <w:szCs w:val="22"/>
              </w:rPr>
            </w:pPr>
          </w:p>
          <w:p w14:paraId="6D108534" w14:textId="289301AE" w:rsidR="008204F4" w:rsidRDefault="008204F4" w:rsidP="008204F4">
            <w:pPr>
              <w:jc w:val="both"/>
              <w:rPr>
                <w:b/>
                <w:sz w:val="22"/>
                <w:szCs w:val="22"/>
              </w:rPr>
            </w:pPr>
          </w:p>
          <w:p w14:paraId="2AB440B0" w14:textId="6022568F" w:rsidR="00495B7A" w:rsidRDefault="00495B7A" w:rsidP="008204F4">
            <w:pPr>
              <w:jc w:val="both"/>
              <w:rPr>
                <w:b/>
                <w:sz w:val="22"/>
                <w:szCs w:val="22"/>
              </w:rPr>
            </w:pPr>
          </w:p>
          <w:p w14:paraId="205F95C0" w14:textId="0E00AC83" w:rsidR="00495B7A" w:rsidRDefault="00495B7A" w:rsidP="008204F4">
            <w:pPr>
              <w:jc w:val="both"/>
              <w:rPr>
                <w:b/>
                <w:sz w:val="22"/>
                <w:szCs w:val="22"/>
              </w:rPr>
            </w:pPr>
          </w:p>
          <w:p w14:paraId="4AE6D530" w14:textId="148D63BD" w:rsidR="00495B7A" w:rsidRDefault="00495B7A" w:rsidP="008204F4">
            <w:pPr>
              <w:jc w:val="both"/>
              <w:rPr>
                <w:b/>
                <w:sz w:val="22"/>
                <w:szCs w:val="22"/>
              </w:rPr>
            </w:pPr>
          </w:p>
          <w:p w14:paraId="0F380036" w14:textId="726CD415" w:rsidR="00495B7A" w:rsidRDefault="00495B7A" w:rsidP="008204F4">
            <w:pPr>
              <w:jc w:val="both"/>
              <w:rPr>
                <w:b/>
                <w:sz w:val="22"/>
                <w:szCs w:val="22"/>
              </w:rPr>
            </w:pPr>
          </w:p>
          <w:p w14:paraId="541119DF" w14:textId="77777777" w:rsidR="00495B7A" w:rsidRPr="00C27A60" w:rsidRDefault="00495B7A" w:rsidP="008204F4">
            <w:pPr>
              <w:jc w:val="both"/>
              <w:rPr>
                <w:b/>
                <w:sz w:val="22"/>
                <w:szCs w:val="22"/>
              </w:rPr>
            </w:pPr>
          </w:p>
          <w:p w14:paraId="368BB45C" w14:textId="77777777" w:rsidR="00495B7A" w:rsidRPr="00495B7A" w:rsidRDefault="00495B7A" w:rsidP="00495B7A">
            <w:pPr>
              <w:pStyle w:val="af5"/>
              <w:spacing w:before="0" w:beforeAutospacing="0" w:after="0" w:afterAutospacing="0"/>
              <w:rPr>
                <w:b/>
                <w:sz w:val="22"/>
                <w:szCs w:val="22"/>
              </w:rPr>
            </w:pPr>
            <w:r w:rsidRPr="00495B7A">
              <w:rPr>
                <w:b/>
                <w:sz w:val="22"/>
                <w:szCs w:val="22"/>
              </w:rPr>
              <w:t>Потребує обговорення</w:t>
            </w:r>
          </w:p>
          <w:p w14:paraId="662083B6" w14:textId="77777777" w:rsidR="00C533B1" w:rsidRPr="00C27A60" w:rsidRDefault="00C533B1" w:rsidP="00C533B1">
            <w:pPr>
              <w:ind w:firstLine="240"/>
              <w:jc w:val="both"/>
              <w:rPr>
                <w:sz w:val="22"/>
                <w:szCs w:val="22"/>
              </w:rPr>
            </w:pPr>
          </w:p>
        </w:tc>
      </w:tr>
      <w:tr w:rsidR="00C27A60" w:rsidRPr="00C27A60" w14:paraId="055166E0" w14:textId="77777777" w:rsidTr="008D1DC5">
        <w:trPr>
          <w:trHeight w:val="595"/>
        </w:trPr>
        <w:tc>
          <w:tcPr>
            <w:tcW w:w="5839" w:type="dxa"/>
            <w:shd w:val="clear" w:color="auto" w:fill="auto"/>
          </w:tcPr>
          <w:p w14:paraId="28921F34" w14:textId="77777777" w:rsidR="00AE4F9B" w:rsidRPr="00C27A60" w:rsidRDefault="00AE4F9B" w:rsidP="00AE4F9B">
            <w:pPr>
              <w:spacing w:after="160" w:line="259" w:lineRule="auto"/>
              <w:ind w:firstLine="308"/>
              <w:jc w:val="both"/>
              <w:rPr>
                <w:rFonts w:eastAsia="Calibri"/>
                <w:sz w:val="22"/>
                <w:szCs w:val="22"/>
                <w:shd w:val="clear" w:color="auto" w:fill="FFFFFF"/>
                <w:lang w:eastAsia="en-US"/>
              </w:rPr>
            </w:pPr>
          </w:p>
          <w:p w14:paraId="274FAB62" w14:textId="08C3E509" w:rsidR="00C533B1" w:rsidRPr="00C27A60" w:rsidRDefault="00AE4F9B" w:rsidP="00AE4F9B">
            <w:pPr>
              <w:rPr>
                <w:sz w:val="22"/>
                <w:szCs w:val="22"/>
              </w:rPr>
            </w:pPr>
            <w:r w:rsidRPr="00C27A60">
              <w:rPr>
                <w:b/>
                <w:sz w:val="22"/>
                <w:szCs w:val="22"/>
                <w:shd w:val="clear" w:color="auto" w:fill="FFFFFF"/>
              </w:rPr>
              <w:t>ЗМІНИ НЕ ПРОПОНУВАЛИСЬ</w:t>
            </w:r>
          </w:p>
        </w:tc>
        <w:tc>
          <w:tcPr>
            <w:tcW w:w="5812" w:type="dxa"/>
            <w:shd w:val="clear" w:color="auto" w:fill="auto"/>
          </w:tcPr>
          <w:p w14:paraId="756EFE20" w14:textId="77777777" w:rsidR="0096042E" w:rsidRPr="00C27A60" w:rsidRDefault="0096042E" w:rsidP="0096042E">
            <w:pPr>
              <w:rPr>
                <w:i/>
                <w:sz w:val="22"/>
                <w:szCs w:val="22"/>
              </w:rPr>
            </w:pPr>
          </w:p>
          <w:p w14:paraId="3E18132D" w14:textId="77777777" w:rsidR="0096042E" w:rsidRPr="00C27A60" w:rsidRDefault="0096042E" w:rsidP="0096042E">
            <w:pPr>
              <w:rPr>
                <w:i/>
                <w:sz w:val="22"/>
                <w:szCs w:val="22"/>
              </w:rPr>
            </w:pPr>
            <w:r w:rsidRPr="00C27A60">
              <w:rPr>
                <w:i/>
                <w:sz w:val="22"/>
                <w:szCs w:val="22"/>
              </w:rPr>
              <w:t>НЕК «УКРЕНЕРГО»</w:t>
            </w:r>
          </w:p>
          <w:p w14:paraId="3CA4816F" w14:textId="77777777" w:rsidR="0096042E" w:rsidRPr="00C27A60" w:rsidRDefault="0096042E" w:rsidP="0096042E">
            <w:pPr>
              <w:rPr>
                <w:i/>
                <w:sz w:val="22"/>
                <w:szCs w:val="22"/>
              </w:rPr>
            </w:pPr>
          </w:p>
          <w:p w14:paraId="2AC35351" w14:textId="77777777" w:rsidR="00AE4F9B" w:rsidRPr="00C27A60" w:rsidRDefault="00AE4F9B" w:rsidP="00AE4F9B">
            <w:pPr>
              <w:ind w:firstLine="308"/>
              <w:jc w:val="both"/>
              <w:rPr>
                <w:sz w:val="22"/>
                <w:szCs w:val="22"/>
                <w:shd w:val="clear" w:color="auto" w:fill="FFFFFF"/>
              </w:rPr>
            </w:pPr>
            <w:r w:rsidRPr="00C27A60">
              <w:rPr>
                <w:sz w:val="22"/>
                <w:szCs w:val="22"/>
                <w:shd w:val="clear" w:color="auto" w:fill="FFFFFF"/>
              </w:rPr>
              <w:t>6. Розмір об’єктивних чинників недофінансування діяльності з передачі електричної енергії визначається як сума таких об’єктивних чинників:</w:t>
            </w:r>
          </w:p>
          <w:p w14:paraId="226012F5" w14:textId="77777777" w:rsidR="00AE4F9B" w:rsidRPr="00C27A60" w:rsidRDefault="00AE4F9B" w:rsidP="00AE4F9B">
            <w:pPr>
              <w:ind w:firstLine="308"/>
              <w:jc w:val="both"/>
              <w:rPr>
                <w:sz w:val="22"/>
                <w:szCs w:val="22"/>
                <w:shd w:val="clear" w:color="auto" w:fill="FFFFFF"/>
              </w:rPr>
            </w:pPr>
          </w:p>
          <w:p w14:paraId="5AC4143F" w14:textId="77777777" w:rsidR="00AE4F9B" w:rsidRPr="00C27A60" w:rsidRDefault="00AE4F9B" w:rsidP="00AE4F9B">
            <w:pPr>
              <w:ind w:firstLine="308"/>
              <w:jc w:val="both"/>
              <w:rPr>
                <w:sz w:val="22"/>
                <w:szCs w:val="22"/>
                <w:shd w:val="clear" w:color="auto" w:fill="FFFFFF"/>
              </w:rPr>
            </w:pPr>
            <w:r w:rsidRPr="00C27A60">
              <w:rPr>
                <w:sz w:val="22"/>
                <w:szCs w:val="22"/>
                <w:shd w:val="clear" w:color="auto" w:fill="FFFFFF"/>
              </w:rPr>
              <w:t>&lt;…&gt;</w:t>
            </w:r>
          </w:p>
          <w:p w14:paraId="2F49AD86" w14:textId="77777777" w:rsidR="00AE4F9B" w:rsidRPr="00C27A60" w:rsidRDefault="00AE4F9B" w:rsidP="00AE4F9B">
            <w:pPr>
              <w:ind w:firstLine="308"/>
              <w:jc w:val="both"/>
              <w:rPr>
                <w:sz w:val="22"/>
                <w:szCs w:val="22"/>
                <w:shd w:val="clear" w:color="auto" w:fill="FFFFFF"/>
              </w:rPr>
            </w:pPr>
          </w:p>
          <w:p w14:paraId="3892B217" w14:textId="77777777" w:rsidR="00AE4F9B" w:rsidRPr="00C27A60" w:rsidRDefault="00AE4F9B" w:rsidP="00AE4F9B">
            <w:pPr>
              <w:jc w:val="both"/>
              <w:rPr>
                <w:b/>
                <w:sz w:val="22"/>
                <w:szCs w:val="22"/>
                <w:shd w:val="clear" w:color="auto" w:fill="FFFFFF"/>
              </w:rPr>
            </w:pPr>
            <w:r w:rsidRPr="00C27A60">
              <w:rPr>
                <w:bCs/>
                <w:sz w:val="22"/>
                <w:szCs w:val="22"/>
                <w:shd w:val="clear" w:color="auto" w:fill="FFFFFF"/>
              </w:rPr>
              <w:t>5) фактичні витрати, понесені ліцензіатом у звітному році, які відповідно до постанов № 345 та № 1342 визнано обґрунтованими,</w:t>
            </w:r>
            <w:r w:rsidRPr="00C27A60">
              <w:rPr>
                <w:b/>
                <w:sz w:val="22"/>
                <w:szCs w:val="22"/>
                <w:shd w:val="clear" w:color="auto" w:fill="FFFFFF"/>
              </w:rPr>
              <w:t xml:space="preserve"> а також сума обґрунтованих </w:t>
            </w:r>
            <w:r w:rsidRPr="00C27A60">
              <w:rPr>
                <w:b/>
                <w:sz w:val="22"/>
                <w:szCs w:val="22"/>
                <w:shd w:val="clear" w:color="auto" w:fill="FFFFFF"/>
              </w:rPr>
              <w:lastRenderedPageBreak/>
              <w:t>перевитрат з оплати праці на виплати персоналу НЕК «Укренерго», пов’язані з виконанням функцій та завдань в умовах воєнних дій (з нарахуваннями).</w:t>
            </w:r>
          </w:p>
          <w:p w14:paraId="6EC6EFF9" w14:textId="77777777" w:rsidR="00AE4F9B" w:rsidRPr="00C27A60" w:rsidRDefault="00AE4F9B" w:rsidP="00AE4F9B">
            <w:pPr>
              <w:jc w:val="both"/>
              <w:rPr>
                <w:b/>
                <w:sz w:val="22"/>
                <w:szCs w:val="22"/>
                <w:shd w:val="clear" w:color="auto" w:fill="FFFFFF"/>
              </w:rPr>
            </w:pPr>
          </w:p>
          <w:p w14:paraId="0E0214E8" w14:textId="77777777" w:rsidR="00A96234" w:rsidRPr="00C27A60" w:rsidRDefault="00A96234" w:rsidP="00AE4F9B">
            <w:pPr>
              <w:jc w:val="both"/>
              <w:rPr>
                <w:b/>
                <w:sz w:val="22"/>
                <w:szCs w:val="22"/>
                <w:shd w:val="clear" w:color="auto" w:fill="FFFFFF"/>
              </w:rPr>
            </w:pPr>
          </w:p>
          <w:p w14:paraId="7C6F0806" w14:textId="77777777" w:rsidR="00A96234" w:rsidRPr="00C27A60" w:rsidRDefault="00A96234" w:rsidP="00AE4F9B">
            <w:pPr>
              <w:jc w:val="both"/>
              <w:rPr>
                <w:b/>
                <w:sz w:val="22"/>
                <w:szCs w:val="22"/>
                <w:shd w:val="clear" w:color="auto" w:fill="FFFFFF"/>
              </w:rPr>
            </w:pPr>
          </w:p>
          <w:p w14:paraId="21F17371" w14:textId="77777777" w:rsidR="00A96234" w:rsidRPr="00C27A60" w:rsidRDefault="00A96234" w:rsidP="00AE4F9B">
            <w:pPr>
              <w:jc w:val="both"/>
              <w:rPr>
                <w:b/>
                <w:sz w:val="22"/>
                <w:szCs w:val="22"/>
                <w:shd w:val="clear" w:color="auto" w:fill="FFFFFF"/>
              </w:rPr>
            </w:pPr>
          </w:p>
          <w:p w14:paraId="158CD69E" w14:textId="77777777" w:rsidR="00A96234" w:rsidRPr="00C27A60" w:rsidRDefault="00A96234" w:rsidP="00AE4F9B">
            <w:pPr>
              <w:jc w:val="both"/>
              <w:rPr>
                <w:b/>
                <w:sz w:val="22"/>
                <w:szCs w:val="22"/>
                <w:shd w:val="clear" w:color="auto" w:fill="FFFFFF"/>
              </w:rPr>
            </w:pPr>
          </w:p>
          <w:p w14:paraId="6C9EEFE6" w14:textId="77777777" w:rsidR="00A96234" w:rsidRPr="00C27A60" w:rsidRDefault="00A96234" w:rsidP="00AE4F9B">
            <w:pPr>
              <w:jc w:val="both"/>
              <w:rPr>
                <w:b/>
                <w:sz w:val="22"/>
                <w:szCs w:val="22"/>
                <w:shd w:val="clear" w:color="auto" w:fill="FFFFFF"/>
              </w:rPr>
            </w:pPr>
          </w:p>
          <w:p w14:paraId="60F11891" w14:textId="77777777" w:rsidR="00AE4F9B" w:rsidRPr="00C27A60" w:rsidRDefault="00AE4F9B" w:rsidP="00AE4F9B">
            <w:pPr>
              <w:jc w:val="both"/>
              <w:rPr>
                <w:b/>
                <w:sz w:val="22"/>
                <w:szCs w:val="22"/>
                <w:shd w:val="clear" w:color="auto" w:fill="FFFFFF"/>
              </w:rPr>
            </w:pPr>
          </w:p>
          <w:p w14:paraId="4725B69B" w14:textId="77777777" w:rsidR="00C533B1" w:rsidRPr="00C27A60" w:rsidRDefault="00AE4F9B" w:rsidP="00AE4F9B">
            <w:pPr>
              <w:rPr>
                <w:rFonts w:eastAsia="Calibri"/>
                <w:b/>
                <w:bCs/>
                <w:sz w:val="22"/>
                <w:szCs w:val="22"/>
              </w:rPr>
            </w:pPr>
            <w:r w:rsidRPr="00C27A60">
              <w:rPr>
                <w:b/>
                <w:sz w:val="22"/>
                <w:szCs w:val="22"/>
                <w:shd w:val="clear" w:color="auto" w:fill="FFFFFF"/>
              </w:rPr>
              <w:t xml:space="preserve">6) </w:t>
            </w:r>
            <w:r w:rsidRPr="00C27A60">
              <w:rPr>
                <w:rFonts w:eastAsia="Calibri"/>
                <w:b/>
                <w:bCs/>
                <w:sz w:val="22"/>
                <w:szCs w:val="22"/>
              </w:rPr>
              <w:t>економія, яка виникла при виконанні заходів Інвестиційної програми за умови виконання фізичних обсягів у повному обсязі,  як джерело фінансування додаткових витрат на оплату праці (із нарахуваннями) персоналу компанії.</w:t>
            </w:r>
          </w:p>
          <w:p w14:paraId="51C63A77" w14:textId="77777777" w:rsidR="00054143" w:rsidRPr="00C27A60" w:rsidRDefault="00054143" w:rsidP="00AE4F9B">
            <w:pPr>
              <w:rPr>
                <w:i/>
                <w:sz w:val="22"/>
                <w:szCs w:val="22"/>
              </w:rPr>
            </w:pPr>
          </w:p>
          <w:p w14:paraId="069134F8" w14:textId="77777777" w:rsidR="00054143" w:rsidRPr="00C27A60" w:rsidRDefault="00054143" w:rsidP="00054143">
            <w:pPr>
              <w:rPr>
                <w:i/>
                <w:sz w:val="22"/>
                <w:szCs w:val="22"/>
              </w:rPr>
            </w:pPr>
            <w:r w:rsidRPr="00C27A60">
              <w:rPr>
                <w:i/>
                <w:sz w:val="22"/>
                <w:szCs w:val="22"/>
              </w:rPr>
              <w:t>ОБРГРУНТУВАННЯ:</w:t>
            </w:r>
          </w:p>
          <w:p w14:paraId="6C44CB1D" w14:textId="77777777" w:rsidR="00054143" w:rsidRPr="00C27A60" w:rsidRDefault="00054143" w:rsidP="00054143">
            <w:pPr>
              <w:ind w:firstLine="312"/>
              <w:jc w:val="both"/>
              <w:rPr>
                <w:rFonts w:eastAsia="Calibri"/>
                <w:sz w:val="22"/>
                <w:szCs w:val="22"/>
              </w:rPr>
            </w:pPr>
            <w:r w:rsidRPr="00C27A60">
              <w:rPr>
                <w:rFonts w:eastAsia="Calibri"/>
                <w:sz w:val="22"/>
                <w:szCs w:val="22"/>
              </w:rPr>
              <w:t>При визначенні загальної суми додатково отриманого або недоотриманого доходу ОСП від здійснення діяльності з передачі електричної енергії пропонується  враховувати фактичні витрати, понесені ліцензіатом у звітному році, які відповідно до постанов № 345 та № 1342 визнано обґрунтованими, а також сума обґрунтованих перевитрат з оплати праці на виплати персоналу НЕК «Укренерго», пов’язані з виконанням функцій та завдань в умовах воєнного стану та протягом трьох місяців після його відміни, а також економію, яка виникла при виконанні заходів Інвестиційної програми за умови виконання фізичних обсягів у повному обсязі, як джерело фінансування додаткових витрат на оплату праці (із нарахуваннями) персоналу компанії</w:t>
            </w:r>
          </w:p>
          <w:p w14:paraId="366E97CF" w14:textId="0BA9B56F" w:rsidR="00054143" w:rsidRPr="00C27A60" w:rsidRDefault="00054143" w:rsidP="00AE4F9B">
            <w:pPr>
              <w:rPr>
                <w:i/>
                <w:sz w:val="22"/>
                <w:szCs w:val="22"/>
              </w:rPr>
            </w:pPr>
          </w:p>
        </w:tc>
        <w:tc>
          <w:tcPr>
            <w:tcW w:w="3546" w:type="dxa"/>
            <w:shd w:val="clear" w:color="auto" w:fill="auto"/>
            <w:vAlign w:val="center"/>
          </w:tcPr>
          <w:p w14:paraId="4B63D0E5" w14:textId="77777777" w:rsidR="00C533B1" w:rsidRPr="00C27A60" w:rsidRDefault="00C533B1" w:rsidP="00C533B1">
            <w:pPr>
              <w:ind w:firstLine="240"/>
              <w:jc w:val="both"/>
              <w:rPr>
                <w:sz w:val="22"/>
                <w:szCs w:val="22"/>
              </w:rPr>
            </w:pPr>
          </w:p>
          <w:p w14:paraId="10A00FA1" w14:textId="77777777" w:rsidR="00560432" w:rsidRPr="00C27A60" w:rsidRDefault="00560432" w:rsidP="00C533B1">
            <w:pPr>
              <w:ind w:firstLine="240"/>
              <w:jc w:val="both"/>
              <w:rPr>
                <w:sz w:val="22"/>
                <w:szCs w:val="22"/>
              </w:rPr>
            </w:pPr>
          </w:p>
          <w:p w14:paraId="595B3B20" w14:textId="77777777" w:rsidR="00560432" w:rsidRPr="00C27A60" w:rsidRDefault="00560432" w:rsidP="00C533B1">
            <w:pPr>
              <w:ind w:firstLine="240"/>
              <w:jc w:val="both"/>
              <w:rPr>
                <w:sz w:val="22"/>
                <w:szCs w:val="22"/>
              </w:rPr>
            </w:pPr>
          </w:p>
          <w:p w14:paraId="17DCA367" w14:textId="77777777" w:rsidR="00560432" w:rsidRPr="00C27A60" w:rsidRDefault="00560432" w:rsidP="00C533B1">
            <w:pPr>
              <w:ind w:firstLine="240"/>
              <w:jc w:val="both"/>
              <w:rPr>
                <w:sz w:val="22"/>
                <w:szCs w:val="22"/>
              </w:rPr>
            </w:pPr>
          </w:p>
          <w:p w14:paraId="6361C5AF" w14:textId="77777777" w:rsidR="00560432" w:rsidRPr="00C27A60" w:rsidRDefault="00560432" w:rsidP="00C533B1">
            <w:pPr>
              <w:ind w:firstLine="240"/>
              <w:jc w:val="both"/>
              <w:rPr>
                <w:sz w:val="22"/>
                <w:szCs w:val="22"/>
              </w:rPr>
            </w:pPr>
          </w:p>
          <w:p w14:paraId="781B73BE" w14:textId="77777777" w:rsidR="00560432" w:rsidRPr="00C27A60" w:rsidRDefault="00560432" w:rsidP="00C533B1">
            <w:pPr>
              <w:ind w:firstLine="240"/>
              <w:jc w:val="both"/>
              <w:rPr>
                <w:sz w:val="22"/>
                <w:szCs w:val="22"/>
              </w:rPr>
            </w:pPr>
          </w:p>
          <w:p w14:paraId="7FA7C1C7" w14:textId="77777777" w:rsidR="00560432" w:rsidRPr="00C27A60" w:rsidRDefault="00560432" w:rsidP="00C533B1">
            <w:pPr>
              <w:ind w:firstLine="240"/>
              <w:jc w:val="both"/>
              <w:rPr>
                <w:sz w:val="22"/>
                <w:szCs w:val="22"/>
              </w:rPr>
            </w:pPr>
          </w:p>
          <w:p w14:paraId="69D6B865" w14:textId="77777777" w:rsidR="00560432" w:rsidRPr="00C27A60" w:rsidRDefault="00560432" w:rsidP="00C533B1">
            <w:pPr>
              <w:ind w:firstLine="240"/>
              <w:jc w:val="both"/>
              <w:rPr>
                <w:sz w:val="22"/>
                <w:szCs w:val="22"/>
              </w:rPr>
            </w:pPr>
          </w:p>
          <w:p w14:paraId="04B1C51B" w14:textId="76BD4229" w:rsidR="00560432" w:rsidRPr="00C27A60" w:rsidRDefault="00560432" w:rsidP="00C533B1">
            <w:pPr>
              <w:ind w:firstLine="240"/>
              <w:jc w:val="both"/>
              <w:rPr>
                <w:sz w:val="22"/>
                <w:szCs w:val="22"/>
              </w:rPr>
            </w:pPr>
          </w:p>
          <w:p w14:paraId="55A027CA" w14:textId="7C2344D3" w:rsidR="00560432" w:rsidRPr="00C27A60" w:rsidRDefault="00560432" w:rsidP="00C533B1">
            <w:pPr>
              <w:ind w:firstLine="240"/>
              <w:jc w:val="both"/>
              <w:rPr>
                <w:sz w:val="22"/>
                <w:szCs w:val="22"/>
              </w:rPr>
            </w:pPr>
          </w:p>
          <w:p w14:paraId="54CFA649" w14:textId="77777777" w:rsidR="00E10423" w:rsidRPr="00C27A60" w:rsidRDefault="00E10423" w:rsidP="00E10423">
            <w:pPr>
              <w:jc w:val="both"/>
              <w:rPr>
                <w:b/>
                <w:sz w:val="22"/>
                <w:szCs w:val="22"/>
              </w:rPr>
            </w:pPr>
            <w:r w:rsidRPr="00C27A60">
              <w:rPr>
                <w:b/>
                <w:sz w:val="22"/>
                <w:szCs w:val="22"/>
              </w:rPr>
              <w:t>Пропонується до обговорення</w:t>
            </w:r>
          </w:p>
          <w:p w14:paraId="4F4F0818" w14:textId="77777777" w:rsidR="00A96234" w:rsidRPr="00C27A60" w:rsidRDefault="00A96234" w:rsidP="00A96234">
            <w:pPr>
              <w:jc w:val="both"/>
              <w:rPr>
                <w:sz w:val="22"/>
                <w:szCs w:val="22"/>
              </w:rPr>
            </w:pPr>
            <w:r w:rsidRPr="00C27A60">
              <w:rPr>
                <w:b/>
                <w:sz w:val="22"/>
                <w:szCs w:val="22"/>
              </w:rPr>
              <w:t>пропонується редакція:</w:t>
            </w:r>
          </w:p>
          <w:p w14:paraId="66733B1B" w14:textId="7DB752CA" w:rsidR="00560432" w:rsidRPr="00C27A60" w:rsidRDefault="00A96234" w:rsidP="00A96234">
            <w:pPr>
              <w:ind w:firstLine="240"/>
              <w:jc w:val="both"/>
              <w:rPr>
                <w:sz w:val="22"/>
                <w:szCs w:val="22"/>
              </w:rPr>
            </w:pPr>
            <w:r w:rsidRPr="00C27A60">
              <w:rPr>
                <w:rFonts w:eastAsia="Calibri"/>
                <w:kern w:val="2"/>
                <w:sz w:val="22"/>
                <w:szCs w:val="22"/>
                <w:lang w:eastAsia="en-US"/>
                <w14:ligatures w14:val="standardContextual"/>
              </w:rPr>
              <w:lastRenderedPageBreak/>
              <w:t>«також сума обґрунтованих перевитрат, пов’язаних з виплатами оплати праці (з нарахуваннями) виробничо-технічному персоналу, у зв’язку із виконанням функцій та завдань в умовах воєнних дій (</w:t>
            </w:r>
            <w:r w:rsidR="004A0738" w:rsidRPr="00C27A60">
              <w:rPr>
                <w:rFonts w:eastAsia="Calibri"/>
                <w:kern w:val="2"/>
                <w:sz w:val="22"/>
                <w:szCs w:val="22"/>
                <w:lang w:eastAsia="en-US"/>
                <w14:ligatures w14:val="standardContextual"/>
              </w:rPr>
              <w:t>зокрема на</w:t>
            </w:r>
            <w:r w:rsidRPr="00C27A60">
              <w:rPr>
                <w:rFonts w:eastAsia="Calibri"/>
                <w:kern w:val="2"/>
                <w:sz w:val="22"/>
                <w:szCs w:val="22"/>
                <w:lang w:eastAsia="en-US"/>
                <w14:ligatures w14:val="standardContextual"/>
              </w:rPr>
              <w:t xml:space="preserve"> аварійн</w:t>
            </w:r>
            <w:r w:rsidR="00DC56B8" w:rsidRPr="00C27A60">
              <w:rPr>
                <w:rFonts w:eastAsia="Calibri"/>
                <w:kern w:val="2"/>
                <w:sz w:val="22"/>
                <w:szCs w:val="22"/>
                <w:lang w:eastAsia="en-US"/>
                <w14:ligatures w14:val="standardContextual"/>
              </w:rPr>
              <w:t>о</w:t>
            </w:r>
            <w:r w:rsidRPr="00C27A60">
              <w:rPr>
                <w:rFonts w:eastAsia="Calibri"/>
                <w:kern w:val="2"/>
                <w:sz w:val="22"/>
                <w:szCs w:val="22"/>
                <w:lang w:eastAsia="en-US"/>
                <w14:ligatures w14:val="standardContextual"/>
              </w:rPr>
              <w:t>-відновлювальні роботи)».</w:t>
            </w:r>
          </w:p>
          <w:p w14:paraId="406467EE" w14:textId="66F3F751" w:rsidR="00560432" w:rsidRPr="00C27A60" w:rsidRDefault="00560432" w:rsidP="00C533B1">
            <w:pPr>
              <w:ind w:firstLine="240"/>
              <w:jc w:val="both"/>
              <w:rPr>
                <w:sz w:val="22"/>
                <w:szCs w:val="22"/>
              </w:rPr>
            </w:pPr>
          </w:p>
          <w:p w14:paraId="2D3D5C4B" w14:textId="260A7BD2" w:rsidR="00560432" w:rsidRPr="00C27A60" w:rsidRDefault="00560432" w:rsidP="00C533B1">
            <w:pPr>
              <w:ind w:firstLine="240"/>
              <w:jc w:val="both"/>
              <w:rPr>
                <w:sz w:val="22"/>
                <w:szCs w:val="22"/>
              </w:rPr>
            </w:pPr>
          </w:p>
          <w:p w14:paraId="6DAF765D" w14:textId="77777777" w:rsidR="00560432" w:rsidRPr="00C27A60" w:rsidRDefault="00560432" w:rsidP="00560432">
            <w:pPr>
              <w:jc w:val="both"/>
              <w:rPr>
                <w:b/>
                <w:sz w:val="22"/>
                <w:szCs w:val="22"/>
              </w:rPr>
            </w:pPr>
            <w:r w:rsidRPr="00C27A60">
              <w:rPr>
                <w:b/>
                <w:sz w:val="22"/>
                <w:szCs w:val="22"/>
              </w:rPr>
              <w:t>Не враховується</w:t>
            </w:r>
          </w:p>
          <w:p w14:paraId="51B3B6A1" w14:textId="77777777" w:rsidR="00DC56B8" w:rsidRPr="00C27A60" w:rsidRDefault="00DC56B8" w:rsidP="00DC56B8">
            <w:pPr>
              <w:jc w:val="both"/>
              <w:rPr>
                <w:b/>
                <w:sz w:val="22"/>
                <w:szCs w:val="22"/>
              </w:rPr>
            </w:pPr>
            <w:r w:rsidRPr="00C27A60">
              <w:rPr>
                <w:bCs/>
                <w:sz w:val="22"/>
                <w:szCs w:val="22"/>
              </w:rPr>
              <w:t>Викривлення принципів обґрунтованого виконання заходів Інвестиційної</w:t>
            </w:r>
            <w:r w:rsidRPr="00C27A60">
              <w:rPr>
                <w:b/>
                <w:sz w:val="22"/>
                <w:szCs w:val="22"/>
              </w:rPr>
              <w:t xml:space="preserve"> </w:t>
            </w:r>
            <w:r w:rsidRPr="00C27A60">
              <w:rPr>
                <w:bCs/>
                <w:sz w:val="22"/>
                <w:szCs w:val="22"/>
              </w:rPr>
              <w:t>програми.</w:t>
            </w:r>
          </w:p>
          <w:p w14:paraId="4BC2A56F" w14:textId="76722C2E" w:rsidR="00560432" w:rsidRPr="00C27A60" w:rsidRDefault="00DC56B8" w:rsidP="00DC56B8">
            <w:pPr>
              <w:jc w:val="both"/>
              <w:rPr>
                <w:sz w:val="22"/>
                <w:szCs w:val="22"/>
              </w:rPr>
            </w:pPr>
            <w:r w:rsidRPr="00C27A60">
              <w:rPr>
                <w:bCs/>
                <w:sz w:val="22"/>
                <w:szCs w:val="22"/>
              </w:rPr>
              <w:t>Механізм врахування економії, що виникла внаслідок виконання заходів Інвестиційної програми, визначений, зокрема, пунктом 13 цієї методики.</w:t>
            </w:r>
          </w:p>
        </w:tc>
      </w:tr>
      <w:tr w:rsidR="00C27A60" w:rsidRPr="00C27A60" w14:paraId="18295A50" w14:textId="77777777" w:rsidTr="009E73A2">
        <w:trPr>
          <w:trHeight w:val="595"/>
        </w:trPr>
        <w:tc>
          <w:tcPr>
            <w:tcW w:w="5839" w:type="dxa"/>
            <w:shd w:val="clear" w:color="auto" w:fill="auto"/>
          </w:tcPr>
          <w:p w14:paraId="3B0EF38F" w14:textId="77777777" w:rsidR="0096042E" w:rsidRPr="00C27A60" w:rsidRDefault="0096042E" w:rsidP="0096042E">
            <w:pPr>
              <w:ind w:firstLine="308"/>
              <w:jc w:val="both"/>
              <w:rPr>
                <w:sz w:val="22"/>
                <w:szCs w:val="22"/>
                <w:shd w:val="clear" w:color="auto" w:fill="FFFFFF"/>
              </w:rPr>
            </w:pPr>
            <w:r w:rsidRPr="00C27A60">
              <w:rPr>
                <w:sz w:val="22"/>
                <w:szCs w:val="22"/>
                <w:shd w:val="clear" w:color="auto" w:fill="FFFFFF"/>
              </w:rPr>
              <w:lastRenderedPageBreak/>
              <w:t>&lt;…&gt;</w:t>
            </w:r>
          </w:p>
          <w:p w14:paraId="47A28B7E" w14:textId="77777777" w:rsidR="0096042E" w:rsidRPr="00C27A60" w:rsidRDefault="0096042E" w:rsidP="0096042E">
            <w:pPr>
              <w:ind w:firstLine="308"/>
              <w:jc w:val="both"/>
              <w:rPr>
                <w:sz w:val="22"/>
                <w:szCs w:val="22"/>
                <w:shd w:val="clear" w:color="auto" w:fill="FFFFFF"/>
              </w:rPr>
            </w:pPr>
          </w:p>
          <w:p w14:paraId="41CE32BF" w14:textId="77777777" w:rsidR="0096042E" w:rsidRPr="00C27A60" w:rsidRDefault="0096042E" w:rsidP="0096042E">
            <w:pPr>
              <w:ind w:firstLine="308"/>
              <w:jc w:val="both"/>
              <w:rPr>
                <w:sz w:val="22"/>
                <w:szCs w:val="22"/>
                <w:shd w:val="clear" w:color="auto" w:fill="FFFFFF"/>
              </w:rPr>
            </w:pPr>
            <w:r w:rsidRPr="00C27A60">
              <w:rPr>
                <w:sz w:val="22"/>
                <w:szCs w:val="22"/>
                <w:shd w:val="clear" w:color="auto" w:fill="FFFFFF"/>
              </w:rPr>
              <w:t xml:space="preserve">10. При здійсненні заходів контролю за результатами діяльності з передачі електричної енергії у 2022 - </w:t>
            </w:r>
            <w:r w:rsidRPr="00C27A60">
              <w:rPr>
                <w:b/>
                <w:sz w:val="22"/>
                <w:szCs w:val="22"/>
                <w:shd w:val="clear" w:color="auto" w:fill="FFFFFF"/>
              </w:rPr>
              <w:t>2024</w:t>
            </w:r>
            <w:r w:rsidRPr="00C27A60">
              <w:rPr>
                <w:sz w:val="22"/>
                <w:szCs w:val="22"/>
                <w:shd w:val="clear" w:color="auto" w:fill="FFFFFF"/>
              </w:rPr>
              <w:t xml:space="preserve">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w:t>
            </w:r>
            <w:r w:rsidRPr="00C27A60">
              <w:rPr>
                <w:sz w:val="22"/>
                <w:szCs w:val="22"/>
                <w:shd w:val="clear" w:color="auto" w:fill="FFFFFF"/>
              </w:rPr>
              <w:lastRenderedPageBreak/>
              <w:t>цього додатка, не коригується на індекс споживчих цін на товари та послуги.</w:t>
            </w:r>
          </w:p>
          <w:p w14:paraId="3833A8FE" w14:textId="77777777" w:rsidR="00C533B1" w:rsidRPr="00C27A60" w:rsidRDefault="00C533B1" w:rsidP="00C533B1">
            <w:pPr>
              <w:rPr>
                <w:sz w:val="22"/>
                <w:szCs w:val="22"/>
              </w:rPr>
            </w:pPr>
          </w:p>
        </w:tc>
        <w:tc>
          <w:tcPr>
            <w:tcW w:w="5812" w:type="dxa"/>
            <w:shd w:val="clear" w:color="auto" w:fill="auto"/>
          </w:tcPr>
          <w:p w14:paraId="0E06623C" w14:textId="77777777" w:rsidR="0096042E" w:rsidRPr="00C27A60" w:rsidRDefault="0096042E" w:rsidP="0096042E">
            <w:pPr>
              <w:rPr>
                <w:i/>
                <w:sz w:val="22"/>
                <w:szCs w:val="22"/>
              </w:rPr>
            </w:pPr>
          </w:p>
          <w:p w14:paraId="25F34248" w14:textId="77777777" w:rsidR="0096042E" w:rsidRPr="00C27A60" w:rsidRDefault="0096042E" w:rsidP="0096042E">
            <w:pPr>
              <w:rPr>
                <w:i/>
                <w:sz w:val="22"/>
                <w:szCs w:val="22"/>
              </w:rPr>
            </w:pPr>
            <w:r w:rsidRPr="00C27A60">
              <w:rPr>
                <w:i/>
                <w:sz w:val="22"/>
                <w:szCs w:val="22"/>
              </w:rPr>
              <w:t>НЕК «УКРЕНЕРГО»</w:t>
            </w:r>
          </w:p>
          <w:p w14:paraId="00429DA0" w14:textId="77777777" w:rsidR="0096042E" w:rsidRPr="00C27A60" w:rsidRDefault="0096042E" w:rsidP="0096042E">
            <w:pPr>
              <w:rPr>
                <w:i/>
                <w:sz w:val="22"/>
                <w:szCs w:val="22"/>
              </w:rPr>
            </w:pPr>
          </w:p>
          <w:p w14:paraId="2CABDF42" w14:textId="77777777" w:rsidR="0096042E" w:rsidRPr="00C27A60" w:rsidRDefault="0096042E" w:rsidP="0096042E">
            <w:pPr>
              <w:ind w:firstLine="308"/>
              <w:jc w:val="both"/>
              <w:rPr>
                <w:sz w:val="22"/>
                <w:szCs w:val="22"/>
                <w:shd w:val="clear" w:color="auto" w:fill="FFFFFF"/>
              </w:rPr>
            </w:pPr>
          </w:p>
          <w:p w14:paraId="58A0B81F" w14:textId="77777777" w:rsidR="0096042E" w:rsidRPr="00C27A60" w:rsidRDefault="0096042E" w:rsidP="0096042E">
            <w:pPr>
              <w:ind w:firstLine="308"/>
              <w:jc w:val="both"/>
              <w:rPr>
                <w:sz w:val="22"/>
                <w:szCs w:val="22"/>
                <w:shd w:val="clear" w:color="auto" w:fill="FFFFFF"/>
              </w:rPr>
            </w:pPr>
            <w:r w:rsidRPr="00C27A60">
              <w:rPr>
                <w:sz w:val="22"/>
                <w:szCs w:val="22"/>
                <w:shd w:val="clear" w:color="auto" w:fill="FFFFFF"/>
              </w:rPr>
              <w:t xml:space="preserve">10. При здійсненні заходів контролю за результатами діяльності з передачі електричної енергії у 2022 - </w:t>
            </w:r>
            <w:r w:rsidRPr="00C27A60">
              <w:rPr>
                <w:b/>
                <w:bCs/>
                <w:sz w:val="22"/>
                <w:szCs w:val="22"/>
                <w:shd w:val="clear" w:color="auto" w:fill="FFFFFF"/>
              </w:rPr>
              <w:t xml:space="preserve">2023 </w:t>
            </w:r>
            <w:r w:rsidRPr="00C27A60">
              <w:rPr>
                <w:sz w:val="22"/>
                <w:szCs w:val="22"/>
                <w:shd w:val="clear" w:color="auto" w:fill="FFFFFF"/>
              </w:rPr>
              <w:t xml:space="preserve">роках підсумкова сума надлишково отриманого або </w:t>
            </w:r>
            <w:r w:rsidRPr="00C27A60">
              <w:rPr>
                <w:sz w:val="22"/>
                <w:szCs w:val="22"/>
                <w:shd w:val="clear" w:color="auto" w:fill="FFFFFF"/>
              </w:rPr>
              <w:lastRenderedPageBreak/>
              <w:t>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28C4729A" w14:textId="77777777" w:rsidR="0096042E" w:rsidRPr="00C27A60" w:rsidRDefault="0096042E" w:rsidP="0096042E">
            <w:pPr>
              <w:ind w:firstLine="308"/>
              <w:jc w:val="both"/>
              <w:rPr>
                <w:sz w:val="22"/>
                <w:szCs w:val="22"/>
                <w:shd w:val="clear" w:color="auto" w:fill="FFFFFF"/>
              </w:rPr>
            </w:pPr>
          </w:p>
          <w:p w14:paraId="61A2F029" w14:textId="77777777" w:rsidR="0096042E" w:rsidRPr="00C27A60" w:rsidRDefault="0096042E" w:rsidP="0096042E">
            <w:pPr>
              <w:rPr>
                <w:i/>
                <w:sz w:val="22"/>
                <w:szCs w:val="22"/>
              </w:rPr>
            </w:pPr>
            <w:r w:rsidRPr="00C27A60">
              <w:rPr>
                <w:i/>
                <w:sz w:val="22"/>
                <w:szCs w:val="22"/>
              </w:rPr>
              <w:t>ОБРГРУНТУВАННЯ:</w:t>
            </w:r>
          </w:p>
          <w:p w14:paraId="487FA158" w14:textId="77777777" w:rsidR="00C533B1" w:rsidRPr="00C27A60" w:rsidRDefault="00C533B1" w:rsidP="00C533B1">
            <w:pPr>
              <w:rPr>
                <w:i/>
                <w:sz w:val="22"/>
                <w:szCs w:val="22"/>
              </w:rPr>
            </w:pPr>
          </w:p>
          <w:p w14:paraId="1B653F52" w14:textId="77777777" w:rsidR="0096042E" w:rsidRPr="00C27A60" w:rsidRDefault="0096042E" w:rsidP="0096042E">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Недоотриманий дохід містить заборгованості, які мали бути погашені протягом періоду, що перевіряється, за цінами цього періоду.</w:t>
            </w:r>
          </w:p>
          <w:p w14:paraId="30E6E8BF" w14:textId="163AEB95" w:rsidR="0096042E" w:rsidRPr="00C27A60" w:rsidRDefault="0096042E" w:rsidP="0096042E">
            <w:pPr>
              <w:rPr>
                <w:i/>
                <w:sz w:val="22"/>
                <w:szCs w:val="22"/>
              </w:rPr>
            </w:pPr>
            <w:r w:rsidRPr="00C27A60">
              <w:rPr>
                <w:rFonts w:eastAsia="Calibri"/>
                <w:kern w:val="2"/>
                <w:sz w:val="22"/>
                <w:szCs w:val="22"/>
                <w:lang w:eastAsia="en-US"/>
                <w14:ligatures w14:val="standardContextual"/>
              </w:rPr>
              <w:t>Проте, прийняття Регулятором за результатами перевірки рішення про перенесення здійснення витрат на наступний рік за рахунок недоотриманого доходу без врахування ІСЦ не забезпечить їх виконання у наступних періодах, адже через прострочення виконання зобов’язань по договорам, на ОСП накладаються додаткові компенсаторні чинники (інфляційні витрати, 3% річних тощо), з метою погашення яких Компанія має шукати інші джерела, в тому числі кредити. Ці додаткові джерела потім лягають на плечі споживачів через збільшення тарифів майбутніх періодів.</w:t>
            </w:r>
          </w:p>
        </w:tc>
        <w:tc>
          <w:tcPr>
            <w:tcW w:w="3546" w:type="dxa"/>
            <w:shd w:val="clear" w:color="auto" w:fill="auto"/>
          </w:tcPr>
          <w:p w14:paraId="49CF24A6" w14:textId="77777777" w:rsidR="009E73A2" w:rsidRPr="00C27A60" w:rsidRDefault="009E73A2" w:rsidP="00480FDE">
            <w:pPr>
              <w:pStyle w:val="af5"/>
              <w:spacing w:before="0" w:beforeAutospacing="0" w:after="0" w:afterAutospacing="0"/>
              <w:rPr>
                <w:b/>
                <w:sz w:val="22"/>
                <w:szCs w:val="22"/>
                <w:lang w:eastAsia="ru-RU"/>
              </w:rPr>
            </w:pPr>
          </w:p>
          <w:p w14:paraId="4C558D3D" w14:textId="77777777" w:rsidR="009E73A2" w:rsidRPr="00C27A60" w:rsidRDefault="009E73A2" w:rsidP="00480FDE">
            <w:pPr>
              <w:pStyle w:val="af5"/>
              <w:spacing w:before="0" w:beforeAutospacing="0" w:after="0" w:afterAutospacing="0"/>
              <w:rPr>
                <w:b/>
                <w:sz w:val="22"/>
                <w:szCs w:val="22"/>
                <w:lang w:eastAsia="ru-RU"/>
              </w:rPr>
            </w:pPr>
          </w:p>
          <w:p w14:paraId="7F36E15C" w14:textId="77777777" w:rsidR="009E73A2" w:rsidRPr="00C27A60" w:rsidRDefault="009E73A2" w:rsidP="00480FDE">
            <w:pPr>
              <w:pStyle w:val="af5"/>
              <w:spacing w:before="0" w:beforeAutospacing="0" w:after="0" w:afterAutospacing="0"/>
              <w:rPr>
                <w:b/>
                <w:sz w:val="22"/>
                <w:szCs w:val="22"/>
                <w:lang w:eastAsia="ru-RU"/>
              </w:rPr>
            </w:pPr>
          </w:p>
          <w:p w14:paraId="33EC2E3C" w14:textId="77777777" w:rsidR="009E73A2" w:rsidRPr="00C27A60" w:rsidRDefault="009E73A2" w:rsidP="00480FDE">
            <w:pPr>
              <w:pStyle w:val="af5"/>
              <w:spacing w:before="0" w:beforeAutospacing="0" w:after="0" w:afterAutospacing="0"/>
              <w:rPr>
                <w:b/>
                <w:sz w:val="22"/>
                <w:szCs w:val="22"/>
                <w:lang w:eastAsia="ru-RU"/>
              </w:rPr>
            </w:pPr>
          </w:p>
          <w:p w14:paraId="2018A080" w14:textId="77708D5D" w:rsidR="00480FDE" w:rsidRPr="00C27A60" w:rsidRDefault="00480FDE" w:rsidP="00480FDE">
            <w:pPr>
              <w:pStyle w:val="af5"/>
              <w:spacing w:before="0" w:beforeAutospacing="0" w:after="0" w:afterAutospacing="0"/>
              <w:rPr>
                <w:b/>
                <w:sz w:val="22"/>
                <w:szCs w:val="22"/>
                <w:lang w:eastAsia="ru-RU"/>
              </w:rPr>
            </w:pPr>
            <w:r w:rsidRPr="00C27A60">
              <w:rPr>
                <w:b/>
                <w:sz w:val="22"/>
                <w:szCs w:val="22"/>
                <w:lang w:eastAsia="ru-RU"/>
              </w:rPr>
              <w:t xml:space="preserve">Не враховується </w:t>
            </w:r>
          </w:p>
          <w:p w14:paraId="6BD20366" w14:textId="3DC6CE20" w:rsidR="00480FDE" w:rsidRPr="00C27A60" w:rsidRDefault="00480FDE" w:rsidP="00480FDE">
            <w:pPr>
              <w:pStyle w:val="af5"/>
              <w:spacing w:before="0" w:beforeAutospacing="0" w:after="0" w:afterAutospacing="0"/>
              <w:rPr>
                <w:b/>
                <w:sz w:val="22"/>
                <w:szCs w:val="22"/>
                <w:lang w:eastAsia="ru-RU"/>
              </w:rPr>
            </w:pPr>
          </w:p>
          <w:p w14:paraId="257BC460" w14:textId="77777777" w:rsidR="00C533B1" w:rsidRPr="00C27A60" w:rsidRDefault="00C533B1" w:rsidP="00495B7A">
            <w:pPr>
              <w:pStyle w:val="af5"/>
              <w:spacing w:before="0" w:beforeAutospacing="0" w:after="0" w:afterAutospacing="0"/>
              <w:rPr>
                <w:sz w:val="22"/>
                <w:szCs w:val="22"/>
              </w:rPr>
            </w:pPr>
          </w:p>
        </w:tc>
      </w:tr>
      <w:tr w:rsidR="00C27A60" w:rsidRPr="00C27A60" w14:paraId="3E4A6BE0" w14:textId="77777777" w:rsidTr="00B522EF">
        <w:trPr>
          <w:trHeight w:val="595"/>
        </w:trPr>
        <w:tc>
          <w:tcPr>
            <w:tcW w:w="15197" w:type="dxa"/>
            <w:gridSpan w:val="3"/>
            <w:shd w:val="clear" w:color="auto" w:fill="BDD6EE" w:themeFill="accent1" w:themeFillTint="66"/>
          </w:tcPr>
          <w:p w14:paraId="22616A1A" w14:textId="77777777" w:rsidR="00C533B1" w:rsidRPr="00C27A60" w:rsidRDefault="00C533B1" w:rsidP="00C533B1">
            <w:pPr>
              <w:jc w:val="center"/>
              <w:rPr>
                <w:b/>
                <w:sz w:val="22"/>
                <w:szCs w:val="22"/>
              </w:rPr>
            </w:pPr>
            <w:r w:rsidRPr="00C27A60">
              <w:rPr>
                <w:b/>
                <w:sz w:val="22"/>
                <w:szCs w:val="22"/>
              </w:rPr>
              <w:t>Додаток 28</w:t>
            </w:r>
          </w:p>
          <w:p w14:paraId="7A26D1C5" w14:textId="0E3022F1" w:rsidR="00C533B1" w:rsidRPr="00C27A60" w:rsidRDefault="00C533B1" w:rsidP="00C533B1">
            <w:pPr>
              <w:jc w:val="center"/>
              <w:rPr>
                <w:b/>
                <w:sz w:val="22"/>
                <w:szCs w:val="22"/>
              </w:rPr>
            </w:pPr>
            <w:r w:rsidRPr="00C27A60">
              <w:rPr>
                <w:b/>
                <w:sz w:val="22"/>
                <w:szCs w:val="22"/>
              </w:rPr>
              <w:t>Методика визначення сум надлишково отриманого або недоотриманого доходу оператора системи передачі від здійснення діяльності з диспетчерського (оперативно-технологічного) управління</w:t>
            </w:r>
          </w:p>
        </w:tc>
      </w:tr>
      <w:tr w:rsidR="00C27A60" w:rsidRPr="00C27A60" w14:paraId="34353646" w14:textId="77777777" w:rsidTr="00B34C29">
        <w:trPr>
          <w:trHeight w:val="595"/>
        </w:trPr>
        <w:tc>
          <w:tcPr>
            <w:tcW w:w="5839" w:type="dxa"/>
            <w:shd w:val="clear" w:color="auto" w:fill="auto"/>
          </w:tcPr>
          <w:p w14:paraId="5F1D9727" w14:textId="77777777" w:rsidR="008A2F45" w:rsidRPr="00C27A60" w:rsidRDefault="008A2F45" w:rsidP="008A2F45">
            <w:pPr>
              <w:spacing w:after="160" w:line="259" w:lineRule="auto"/>
              <w:ind w:firstLine="308"/>
              <w:jc w:val="both"/>
              <w:rPr>
                <w:rFonts w:eastAsia="Calibri"/>
                <w:sz w:val="22"/>
                <w:szCs w:val="22"/>
                <w:shd w:val="clear" w:color="auto" w:fill="FFFFFF"/>
                <w:lang w:eastAsia="en-US"/>
              </w:rPr>
            </w:pPr>
          </w:p>
          <w:p w14:paraId="6C2A5C67" w14:textId="0D3C90AF" w:rsidR="00C533B1" w:rsidRPr="00C27A60" w:rsidRDefault="008A2F45" w:rsidP="008A2F45">
            <w:pPr>
              <w:rPr>
                <w:sz w:val="22"/>
                <w:szCs w:val="22"/>
              </w:rPr>
            </w:pPr>
            <w:r w:rsidRPr="00C27A60">
              <w:rPr>
                <w:b/>
                <w:sz w:val="22"/>
                <w:szCs w:val="22"/>
                <w:shd w:val="clear" w:color="auto" w:fill="FFFFFF"/>
              </w:rPr>
              <w:t>ЗМІНИ НЕ ПРОПОНУВАЛИСЬ</w:t>
            </w:r>
          </w:p>
        </w:tc>
        <w:tc>
          <w:tcPr>
            <w:tcW w:w="5812" w:type="dxa"/>
            <w:shd w:val="clear" w:color="auto" w:fill="auto"/>
          </w:tcPr>
          <w:p w14:paraId="4AE6C645" w14:textId="77777777" w:rsidR="008A2F45" w:rsidRPr="00C27A60" w:rsidRDefault="008A2F45" w:rsidP="008A2F45">
            <w:pPr>
              <w:rPr>
                <w:i/>
                <w:sz w:val="22"/>
                <w:szCs w:val="22"/>
              </w:rPr>
            </w:pPr>
          </w:p>
          <w:p w14:paraId="12513503" w14:textId="77777777" w:rsidR="008A2F45" w:rsidRPr="00C27A60" w:rsidRDefault="008A2F45" w:rsidP="008A2F45">
            <w:pPr>
              <w:rPr>
                <w:i/>
                <w:sz w:val="22"/>
                <w:szCs w:val="22"/>
              </w:rPr>
            </w:pPr>
            <w:r w:rsidRPr="00C27A60">
              <w:rPr>
                <w:i/>
                <w:sz w:val="22"/>
                <w:szCs w:val="22"/>
              </w:rPr>
              <w:t>НЕК «УКРЕНЕРГО»</w:t>
            </w:r>
          </w:p>
          <w:p w14:paraId="506B75CD" w14:textId="77777777" w:rsidR="008A2F45" w:rsidRPr="00C27A60" w:rsidRDefault="008A2F45" w:rsidP="008A2F45">
            <w:pPr>
              <w:rPr>
                <w:i/>
                <w:sz w:val="22"/>
                <w:szCs w:val="22"/>
              </w:rPr>
            </w:pPr>
          </w:p>
          <w:p w14:paraId="1AEF2D8A" w14:textId="77777777" w:rsidR="00054089" w:rsidRPr="00C27A60" w:rsidRDefault="00054089" w:rsidP="00054089">
            <w:pPr>
              <w:spacing w:after="160" w:line="259" w:lineRule="auto"/>
              <w:jc w:val="both"/>
              <w:rPr>
                <w:rFonts w:eastAsia="Aptos"/>
                <w:bCs/>
                <w:kern w:val="2"/>
                <w:sz w:val="22"/>
                <w:szCs w:val="22"/>
                <w:shd w:val="clear" w:color="auto" w:fill="FFFFFF"/>
                <w:lang w:eastAsia="en-US"/>
                <w14:ligatures w14:val="standardContextual"/>
              </w:rPr>
            </w:pPr>
            <w:r w:rsidRPr="00C27A60">
              <w:rPr>
                <w:rFonts w:eastAsia="Aptos"/>
                <w:bCs/>
                <w:kern w:val="2"/>
                <w:sz w:val="22"/>
                <w:szCs w:val="22"/>
                <w:shd w:val="clear" w:color="auto" w:fill="FFFFFF"/>
                <w:lang w:eastAsia="en-US"/>
                <w14:ligatures w14:val="standardContextual"/>
              </w:rPr>
              <w:t>25) фактичні витрати, понесені ліцензіатом у звітному році відповідно до постанов НКРЕКП:</w:t>
            </w:r>
          </w:p>
          <w:p w14:paraId="64B2C219" w14:textId="77777777" w:rsidR="00054089" w:rsidRPr="00C27A60" w:rsidRDefault="00054089" w:rsidP="00054089">
            <w:pPr>
              <w:spacing w:after="160" w:line="259" w:lineRule="auto"/>
              <w:jc w:val="both"/>
              <w:rPr>
                <w:rFonts w:eastAsia="Aptos"/>
                <w:bCs/>
                <w:kern w:val="2"/>
                <w:sz w:val="22"/>
                <w:szCs w:val="22"/>
                <w:shd w:val="clear" w:color="auto" w:fill="FFFFFF"/>
                <w:lang w:eastAsia="en-US"/>
                <w14:ligatures w14:val="standardContextual"/>
              </w:rPr>
            </w:pPr>
            <w:r w:rsidRPr="00C27A60">
              <w:rPr>
                <w:rFonts w:eastAsia="Aptos"/>
                <w:bCs/>
                <w:kern w:val="2"/>
                <w:sz w:val="22"/>
                <w:szCs w:val="22"/>
                <w:shd w:val="clear" w:color="auto" w:fill="FFFFFF"/>
                <w:lang w:eastAsia="en-US"/>
                <w14:ligatures w14:val="standardContextual"/>
              </w:rPr>
              <w:t>від 17 березня 2022 року № 345 «Щодо врахування при проведенні перевірок сум видатків ліцензіатів НКРЕКП, здійснених під час запровадження воєнного стану в Україні» (далі – постанова № 345);</w:t>
            </w:r>
          </w:p>
          <w:p w14:paraId="38CD3769" w14:textId="77777777" w:rsidR="00054089" w:rsidRPr="00C27A60" w:rsidRDefault="00054089" w:rsidP="00054089">
            <w:pPr>
              <w:spacing w:after="160" w:line="259" w:lineRule="auto"/>
              <w:ind w:firstLine="308"/>
              <w:jc w:val="both"/>
              <w:rPr>
                <w:rFonts w:eastAsia="Aptos"/>
                <w:bCs/>
                <w:kern w:val="2"/>
                <w:sz w:val="22"/>
                <w:szCs w:val="22"/>
                <w:shd w:val="clear" w:color="auto" w:fill="FFFFFF"/>
                <w:lang w:eastAsia="en-US"/>
                <w14:ligatures w14:val="standardContextual"/>
              </w:rPr>
            </w:pPr>
            <w:r w:rsidRPr="00C27A60">
              <w:rPr>
                <w:rFonts w:eastAsia="Aptos"/>
                <w:bCs/>
                <w:kern w:val="2"/>
                <w:sz w:val="22"/>
                <w:szCs w:val="22"/>
                <w:shd w:val="clear" w:color="auto" w:fill="FFFFFF"/>
                <w:lang w:eastAsia="en-US"/>
                <w14:ligatures w14:val="standardContextual"/>
              </w:rPr>
              <w:t xml:space="preserve">від 25 жовтня 2022 року № 1342 «Про затвердження Тимчасового порядку дій оператора системи передачі з відновлення електричних мереж та/або їх складових, </w:t>
            </w:r>
            <w:r w:rsidRPr="00C27A60">
              <w:rPr>
                <w:rFonts w:eastAsia="Aptos"/>
                <w:bCs/>
                <w:kern w:val="2"/>
                <w:sz w:val="22"/>
                <w:szCs w:val="22"/>
                <w:shd w:val="clear" w:color="auto" w:fill="FFFFFF"/>
                <w:lang w:eastAsia="en-US"/>
                <w14:ligatures w14:val="standardContextual"/>
              </w:rPr>
              <w:lastRenderedPageBreak/>
              <w:t>пошкоджених внаслідок бойових дій, у період дії в Україні воєнного стану» (далі – постанова № 1342);</w:t>
            </w:r>
          </w:p>
          <w:p w14:paraId="100D10EE" w14:textId="77777777" w:rsidR="00C533B1" w:rsidRPr="00C27A60" w:rsidRDefault="00054089" w:rsidP="00DC56B8">
            <w:pPr>
              <w:jc w:val="both"/>
              <w:rPr>
                <w:rFonts w:eastAsia="Calibri"/>
                <w:b/>
                <w:bCs/>
                <w:kern w:val="2"/>
                <w:sz w:val="22"/>
                <w:szCs w:val="22"/>
                <w:lang w:eastAsia="en-US"/>
                <w14:ligatures w14:val="standardContextual"/>
              </w:rPr>
            </w:pPr>
            <w:r w:rsidRPr="00C27A60">
              <w:rPr>
                <w:rFonts w:eastAsia="Calibri"/>
                <w:b/>
                <w:bCs/>
                <w:kern w:val="2"/>
                <w:sz w:val="22"/>
                <w:szCs w:val="22"/>
                <w:lang w:eastAsia="en-US"/>
                <w14:ligatures w14:val="standardContextual"/>
              </w:rPr>
              <w:t>а також виплати персоналу НЕК «Укренерго» (з нарахуваннями), пов’язані з виконанням функцій та завдань в умовах воєнних дій.</w:t>
            </w:r>
          </w:p>
          <w:p w14:paraId="586B8451" w14:textId="77777777" w:rsidR="00054089" w:rsidRPr="00C27A60" w:rsidRDefault="00054089" w:rsidP="00054089">
            <w:pPr>
              <w:rPr>
                <w:i/>
                <w:sz w:val="22"/>
                <w:szCs w:val="22"/>
              </w:rPr>
            </w:pPr>
          </w:p>
          <w:p w14:paraId="2FBFF264" w14:textId="77777777" w:rsidR="00054089" w:rsidRPr="00C27A60" w:rsidRDefault="00054089" w:rsidP="00054089">
            <w:pPr>
              <w:rPr>
                <w:i/>
                <w:sz w:val="22"/>
                <w:szCs w:val="22"/>
              </w:rPr>
            </w:pPr>
            <w:r w:rsidRPr="00C27A60">
              <w:rPr>
                <w:i/>
                <w:sz w:val="22"/>
                <w:szCs w:val="22"/>
              </w:rPr>
              <w:t>ОБРГРУНТУВАННЯ:</w:t>
            </w:r>
          </w:p>
          <w:p w14:paraId="548463A0" w14:textId="77777777" w:rsidR="00054089" w:rsidRPr="00C27A60" w:rsidRDefault="00054089" w:rsidP="00054089">
            <w:pPr>
              <w:rPr>
                <w:i/>
                <w:sz w:val="22"/>
                <w:szCs w:val="22"/>
              </w:rPr>
            </w:pPr>
          </w:p>
          <w:p w14:paraId="2A3814FD" w14:textId="77777777" w:rsidR="00054089" w:rsidRPr="00C27A60" w:rsidRDefault="00054089" w:rsidP="00054089">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НЕК «Укренерго» - стратегічне підприємство національного рівня, яке з початком повномасштабної війни з </w:t>
            </w:r>
            <w:proofErr w:type="spellStart"/>
            <w:r w:rsidRPr="00C27A60">
              <w:rPr>
                <w:rFonts w:eastAsia="Calibri"/>
                <w:kern w:val="2"/>
                <w:sz w:val="22"/>
                <w:szCs w:val="22"/>
                <w:lang w:eastAsia="en-US"/>
                <w14:ligatures w14:val="standardContextual"/>
              </w:rPr>
              <w:t>рф</w:t>
            </w:r>
            <w:proofErr w:type="spellEnd"/>
            <w:r w:rsidRPr="00C27A60">
              <w:rPr>
                <w:rFonts w:eastAsia="Calibri"/>
                <w:kern w:val="2"/>
                <w:sz w:val="22"/>
                <w:szCs w:val="22"/>
                <w:lang w:eastAsia="en-US"/>
                <w14:ligatures w14:val="standardContextual"/>
              </w:rPr>
              <w:t xml:space="preserve"> працює в надскладних та небезпечних умовах з підвищеним рівнем загрози втрати життя співробітників безпосередньо на робочому місці під час виконання своїх обов’язків. У результаті таких атак маємо нещасні випадки, у тому числі зі смертельними наслідками.</w:t>
            </w:r>
          </w:p>
          <w:p w14:paraId="448A0773" w14:textId="77777777" w:rsidR="00054089" w:rsidRPr="00C27A60" w:rsidRDefault="00054089" w:rsidP="00054089">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У зв’язку  з повномасштабними військовими діями на території нашої країни  та виконанням персоналом своїх завдань в таких умовах НЕК «Укренерго» здійснює  додаткові виплати своїм працівникам:</w:t>
            </w:r>
          </w:p>
          <w:p w14:paraId="7E4CA2F0" w14:textId="77777777" w:rsidR="00054089" w:rsidRPr="00C27A60" w:rsidRDefault="00054089" w:rsidP="00054089">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w:t>
            </w:r>
            <w:r w:rsidRPr="00C27A60">
              <w:rPr>
                <w:rFonts w:eastAsia="Calibri"/>
                <w:kern w:val="2"/>
                <w:sz w:val="22"/>
                <w:szCs w:val="22"/>
                <w:lang w:eastAsia="en-US"/>
                <w14:ligatures w14:val="standardContextual"/>
              </w:rPr>
              <w:tab/>
              <w:t>виплати оперативному персоналу та персоналу, задіяному на роботах з ремонту та експлуатації електротехнічного обладнання, за роботу з відновлення енергетичної інфраструктури, в тому числі і у вихідні дні, та особливо важливі завдання з усунення наслідків руйнувань в умовах бойових дій, що сталися внаслідок військової агресії на території нашої держави;</w:t>
            </w:r>
          </w:p>
          <w:p w14:paraId="5D13BB0F" w14:textId="77777777" w:rsidR="00054089" w:rsidRPr="00C27A60" w:rsidRDefault="00054089" w:rsidP="00054089">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w:t>
            </w:r>
            <w:r w:rsidRPr="00C27A60">
              <w:rPr>
                <w:rFonts w:eastAsia="Calibri"/>
                <w:kern w:val="2"/>
                <w:sz w:val="22"/>
                <w:szCs w:val="22"/>
                <w:lang w:eastAsia="en-US"/>
                <w14:ligatures w14:val="standardContextual"/>
              </w:rPr>
              <w:tab/>
              <w:t xml:space="preserve">виплати  працівникам призваним на строкову військову службу, військову службу за призовом осіб офіцерського складу, військову службу за призовом під час мобілізації, на особливий період, військову службу за призовом осіб із числа резервістів в особливий період або прийнятим на військову службу за контрактом, у тому числі шляхом укладення нового контракту на проходження </w:t>
            </w:r>
            <w:r w:rsidRPr="00C27A60">
              <w:rPr>
                <w:rFonts w:eastAsia="Calibri"/>
                <w:kern w:val="2"/>
                <w:sz w:val="22"/>
                <w:szCs w:val="22"/>
                <w:lang w:eastAsia="en-US"/>
                <w14:ligatures w14:val="standardContextual"/>
              </w:rPr>
              <w:lastRenderedPageBreak/>
              <w:t>військової служби, під час дії особливого періоду на строк до його закінчення або до дня фактичного звільнення;</w:t>
            </w:r>
          </w:p>
          <w:p w14:paraId="3027DC85" w14:textId="58FC219D" w:rsidR="00054089" w:rsidRPr="00C27A60" w:rsidRDefault="00054089" w:rsidP="00054089">
            <w:pPr>
              <w:rPr>
                <w:i/>
                <w:sz w:val="22"/>
                <w:szCs w:val="22"/>
              </w:rPr>
            </w:pPr>
            <w:r w:rsidRPr="00C27A60">
              <w:rPr>
                <w:rFonts w:eastAsia="Calibri"/>
                <w:kern w:val="2"/>
                <w:sz w:val="22"/>
                <w:szCs w:val="22"/>
                <w:lang w:eastAsia="en-US"/>
                <w14:ligatures w14:val="standardContextual"/>
              </w:rPr>
              <w:t>-</w:t>
            </w:r>
            <w:r w:rsidRPr="00C27A60">
              <w:rPr>
                <w:rFonts w:eastAsia="Calibri"/>
                <w:kern w:val="2"/>
                <w:sz w:val="22"/>
                <w:szCs w:val="22"/>
                <w:lang w:eastAsia="en-US"/>
                <w14:ligatures w14:val="standardContextual"/>
              </w:rPr>
              <w:tab/>
              <w:t>з 2024 року впроваджено додаткові виплати з особливими умовами праці працівникам, які щоденно працюють  в небезпечних умовах на прифронтових територіях, які є вкрай необхідними, оскільки це є додатковою підтримкою наших співробітників та визнанням того, що в цих регіонах збільшений ризик для життя на робочому місці.</w:t>
            </w:r>
          </w:p>
        </w:tc>
        <w:tc>
          <w:tcPr>
            <w:tcW w:w="3546" w:type="dxa"/>
            <w:shd w:val="clear" w:color="auto" w:fill="auto"/>
          </w:tcPr>
          <w:p w14:paraId="03ABC824" w14:textId="77777777" w:rsidR="00B34C29" w:rsidRPr="00C27A60" w:rsidRDefault="00B34C29" w:rsidP="00B34C29">
            <w:pPr>
              <w:jc w:val="both"/>
              <w:rPr>
                <w:b/>
                <w:sz w:val="22"/>
                <w:szCs w:val="22"/>
              </w:rPr>
            </w:pPr>
          </w:p>
          <w:p w14:paraId="0DF4EBF1" w14:textId="77777777" w:rsidR="00B34C29" w:rsidRPr="00C27A60" w:rsidRDefault="00B34C29" w:rsidP="00B34C29">
            <w:pPr>
              <w:jc w:val="both"/>
              <w:rPr>
                <w:b/>
                <w:sz w:val="22"/>
                <w:szCs w:val="22"/>
              </w:rPr>
            </w:pPr>
          </w:p>
          <w:p w14:paraId="562E1321" w14:textId="77777777" w:rsidR="00B34C29" w:rsidRPr="00C27A60" w:rsidRDefault="00B34C29" w:rsidP="00B34C29">
            <w:pPr>
              <w:jc w:val="both"/>
              <w:rPr>
                <w:b/>
                <w:sz w:val="22"/>
                <w:szCs w:val="22"/>
              </w:rPr>
            </w:pPr>
          </w:p>
          <w:p w14:paraId="7060BC07" w14:textId="77777777" w:rsidR="00B34C29" w:rsidRPr="00C27A60" w:rsidRDefault="00B34C29" w:rsidP="00B34C29">
            <w:pPr>
              <w:jc w:val="both"/>
              <w:rPr>
                <w:b/>
                <w:sz w:val="22"/>
                <w:szCs w:val="22"/>
              </w:rPr>
            </w:pPr>
          </w:p>
          <w:p w14:paraId="707DA11D" w14:textId="77777777" w:rsidR="00B34C29" w:rsidRPr="00C27A60" w:rsidRDefault="00B34C29" w:rsidP="00B34C29">
            <w:pPr>
              <w:jc w:val="both"/>
              <w:rPr>
                <w:b/>
                <w:sz w:val="22"/>
                <w:szCs w:val="22"/>
              </w:rPr>
            </w:pPr>
          </w:p>
          <w:p w14:paraId="323505CB" w14:textId="77777777" w:rsidR="00B34C29" w:rsidRPr="00C27A60" w:rsidRDefault="00B34C29" w:rsidP="00B34C29">
            <w:pPr>
              <w:jc w:val="both"/>
              <w:rPr>
                <w:b/>
                <w:sz w:val="22"/>
                <w:szCs w:val="22"/>
              </w:rPr>
            </w:pPr>
          </w:p>
          <w:p w14:paraId="31236D66" w14:textId="77777777" w:rsidR="00B34C29" w:rsidRPr="00C27A60" w:rsidRDefault="00B34C29" w:rsidP="00B34C29">
            <w:pPr>
              <w:jc w:val="both"/>
              <w:rPr>
                <w:b/>
                <w:sz w:val="22"/>
                <w:szCs w:val="22"/>
              </w:rPr>
            </w:pPr>
          </w:p>
          <w:p w14:paraId="2EDD0776" w14:textId="77777777" w:rsidR="00B34C29" w:rsidRPr="00C27A60" w:rsidRDefault="00B34C29" w:rsidP="00B34C29">
            <w:pPr>
              <w:jc w:val="both"/>
              <w:rPr>
                <w:b/>
                <w:sz w:val="22"/>
                <w:szCs w:val="22"/>
              </w:rPr>
            </w:pPr>
          </w:p>
          <w:p w14:paraId="2FBA7D36" w14:textId="77777777" w:rsidR="00B34C29" w:rsidRPr="00C27A60" w:rsidRDefault="00B34C29" w:rsidP="00B34C29">
            <w:pPr>
              <w:jc w:val="both"/>
              <w:rPr>
                <w:b/>
                <w:sz w:val="22"/>
                <w:szCs w:val="22"/>
              </w:rPr>
            </w:pPr>
          </w:p>
          <w:p w14:paraId="78014E80" w14:textId="77777777" w:rsidR="00B34C29" w:rsidRPr="00C27A60" w:rsidRDefault="00B34C29" w:rsidP="00B34C29">
            <w:pPr>
              <w:jc w:val="both"/>
              <w:rPr>
                <w:b/>
                <w:sz w:val="22"/>
                <w:szCs w:val="22"/>
              </w:rPr>
            </w:pPr>
          </w:p>
          <w:p w14:paraId="1DD5C450" w14:textId="77777777" w:rsidR="00B34C29" w:rsidRPr="00C27A60" w:rsidRDefault="00B34C29" w:rsidP="00B34C29">
            <w:pPr>
              <w:jc w:val="both"/>
              <w:rPr>
                <w:b/>
                <w:sz w:val="22"/>
                <w:szCs w:val="22"/>
              </w:rPr>
            </w:pPr>
          </w:p>
          <w:p w14:paraId="1A7354E6" w14:textId="77777777" w:rsidR="00B34C29" w:rsidRPr="00C27A60" w:rsidRDefault="00B34C29" w:rsidP="00B34C29">
            <w:pPr>
              <w:jc w:val="both"/>
              <w:rPr>
                <w:b/>
                <w:sz w:val="22"/>
                <w:szCs w:val="22"/>
              </w:rPr>
            </w:pPr>
          </w:p>
          <w:p w14:paraId="12F262C2" w14:textId="77777777" w:rsidR="00B34C29" w:rsidRPr="00C27A60" w:rsidRDefault="00B34C29" w:rsidP="00B34C29">
            <w:pPr>
              <w:jc w:val="both"/>
              <w:rPr>
                <w:b/>
                <w:sz w:val="22"/>
                <w:szCs w:val="22"/>
              </w:rPr>
            </w:pPr>
          </w:p>
          <w:p w14:paraId="21415767" w14:textId="77777777" w:rsidR="00B34C29" w:rsidRPr="00C27A60" w:rsidRDefault="00B34C29" w:rsidP="00B34C29">
            <w:pPr>
              <w:jc w:val="both"/>
              <w:rPr>
                <w:b/>
                <w:sz w:val="22"/>
                <w:szCs w:val="22"/>
              </w:rPr>
            </w:pPr>
          </w:p>
          <w:p w14:paraId="68E6D337" w14:textId="77777777" w:rsidR="00B34C29" w:rsidRPr="00C27A60" w:rsidRDefault="00B34C29" w:rsidP="00B34C29">
            <w:pPr>
              <w:jc w:val="both"/>
              <w:rPr>
                <w:b/>
                <w:sz w:val="22"/>
                <w:szCs w:val="22"/>
              </w:rPr>
            </w:pPr>
          </w:p>
          <w:p w14:paraId="4CA611E2" w14:textId="77777777" w:rsidR="00B34C29" w:rsidRPr="00C27A60" w:rsidRDefault="00B34C29" w:rsidP="00B34C29">
            <w:pPr>
              <w:jc w:val="both"/>
              <w:rPr>
                <w:b/>
                <w:sz w:val="22"/>
                <w:szCs w:val="22"/>
              </w:rPr>
            </w:pPr>
          </w:p>
          <w:p w14:paraId="64BC26C5" w14:textId="5749C9B7" w:rsidR="00B34C29" w:rsidRDefault="00B34C29" w:rsidP="00B34C29">
            <w:pPr>
              <w:jc w:val="both"/>
              <w:rPr>
                <w:b/>
                <w:sz w:val="22"/>
                <w:szCs w:val="22"/>
              </w:rPr>
            </w:pPr>
          </w:p>
          <w:p w14:paraId="44CC58A8" w14:textId="77777777" w:rsidR="003E1E4D" w:rsidRPr="00C27A60" w:rsidRDefault="003E1E4D" w:rsidP="00B34C29">
            <w:pPr>
              <w:jc w:val="both"/>
              <w:rPr>
                <w:b/>
                <w:sz w:val="22"/>
                <w:szCs w:val="22"/>
              </w:rPr>
            </w:pPr>
          </w:p>
          <w:p w14:paraId="3D2B29E4" w14:textId="77777777" w:rsidR="00E10423" w:rsidRPr="00C27A60" w:rsidRDefault="00E10423" w:rsidP="00E10423">
            <w:pPr>
              <w:jc w:val="both"/>
              <w:rPr>
                <w:b/>
                <w:sz w:val="22"/>
                <w:szCs w:val="22"/>
              </w:rPr>
            </w:pPr>
            <w:r w:rsidRPr="00C27A60">
              <w:rPr>
                <w:b/>
                <w:sz w:val="22"/>
                <w:szCs w:val="22"/>
              </w:rPr>
              <w:t>Пропонується до обговорення</w:t>
            </w:r>
          </w:p>
          <w:p w14:paraId="6825AAE2" w14:textId="77777777" w:rsidR="00742EBF" w:rsidRPr="00C27A60" w:rsidRDefault="00742EBF" w:rsidP="00742EBF">
            <w:pPr>
              <w:jc w:val="both"/>
              <w:rPr>
                <w:sz w:val="22"/>
                <w:szCs w:val="22"/>
              </w:rPr>
            </w:pPr>
            <w:r w:rsidRPr="00C27A60">
              <w:rPr>
                <w:b/>
                <w:sz w:val="22"/>
                <w:szCs w:val="22"/>
              </w:rPr>
              <w:t>пропонується редакція:</w:t>
            </w:r>
          </w:p>
          <w:p w14:paraId="08199A77" w14:textId="0F5F6B7E" w:rsidR="00742EBF" w:rsidRPr="00C27A60" w:rsidRDefault="00742EBF" w:rsidP="00DC56B8">
            <w:pPr>
              <w:jc w:val="both"/>
              <w:rPr>
                <w:sz w:val="22"/>
                <w:szCs w:val="22"/>
              </w:rPr>
            </w:pPr>
            <w:r w:rsidRPr="00C27A60">
              <w:rPr>
                <w:rFonts w:eastAsia="Calibri"/>
                <w:kern w:val="2"/>
                <w:sz w:val="22"/>
                <w:szCs w:val="22"/>
                <w:lang w:eastAsia="en-US"/>
                <w14:ligatures w14:val="standardContextual"/>
              </w:rPr>
              <w:t>«також сума обґрунтованих перевитрат, пов’язаних з виплатами оплати праці (з нарахуваннями) виробничо-технічному персоналу, у зв’язку із виконанням функцій та завдань в умовах воєнних дій (</w:t>
            </w:r>
            <w:r w:rsidR="004A0738" w:rsidRPr="00C27A60">
              <w:rPr>
                <w:rFonts w:eastAsia="Calibri"/>
                <w:kern w:val="2"/>
                <w:sz w:val="22"/>
                <w:szCs w:val="22"/>
                <w:lang w:eastAsia="en-US"/>
                <w14:ligatures w14:val="standardContextual"/>
              </w:rPr>
              <w:t>зокрема на</w:t>
            </w:r>
            <w:r w:rsidRPr="00C27A60">
              <w:rPr>
                <w:rFonts w:eastAsia="Calibri"/>
                <w:kern w:val="2"/>
                <w:sz w:val="22"/>
                <w:szCs w:val="22"/>
                <w:lang w:eastAsia="en-US"/>
                <w14:ligatures w14:val="standardContextual"/>
              </w:rPr>
              <w:t xml:space="preserve"> аварійн</w:t>
            </w:r>
            <w:r w:rsidR="004A0738" w:rsidRPr="00C27A60">
              <w:rPr>
                <w:rFonts w:eastAsia="Calibri"/>
                <w:kern w:val="2"/>
                <w:sz w:val="22"/>
                <w:szCs w:val="22"/>
                <w:lang w:eastAsia="en-US"/>
                <w14:ligatures w14:val="standardContextual"/>
              </w:rPr>
              <w:t>о</w:t>
            </w:r>
            <w:r w:rsidRPr="00C27A60">
              <w:rPr>
                <w:rFonts w:eastAsia="Calibri"/>
                <w:kern w:val="2"/>
                <w:sz w:val="22"/>
                <w:szCs w:val="22"/>
                <w:lang w:eastAsia="en-US"/>
                <w14:ligatures w14:val="standardContextual"/>
              </w:rPr>
              <w:t>-відновлювальні роботи)».</w:t>
            </w:r>
          </w:p>
          <w:p w14:paraId="59476C18" w14:textId="77777777" w:rsidR="00742EBF" w:rsidRPr="00C27A60" w:rsidRDefault="00742EBF" w:rsidP="00742EBF">
            <w:pPr>
              <w:ind w:firstLine="240"/>
              <w:jc w:val="both"/>
              <w:rPr>
                <w:sz w:val="22"/>
                <w:szCs w:val="22"/>
              </w:rPr>
            </w:pPr>
          </w:p>
          <w:p w14:paraId="0443B2F6" w14:textId="77777777" w:rsidR="00C533B1" w:rsidRPr="00C27A60" w:rsidRDefault="00C533B1" w:rsidP="00C533B1">
            <w:pPr>
              <w:ind w:firstLine="240"/>
              <w:jc w:val="both"/>
              <w:rPr>
                <w:sz w:val="22"/>
                <w:szCs w:val="22"/>
              </w:rPr>
            </w:pPr>
          </w:p>
        </w:tc>
      </w:tr>
      <w:tr w:rsidR="00C27A60" w:rsidRPr="00C27A60" w14:paraId="3406C505" w14:textId="77777777" w:rsidTr="003C063B">
        <w:trPr>
          <w:trHeight w:val="595"/>
        </w:trPr>
        <w:tc>
          <w:tcPr>
            <w:tcW w:w="5839" w:type="dxa"/>
            <w:shd w:val="clear" w:color="auto" w:fill="auto"/>
          </w:tcPr>
          <w:p w14:paraId="743662AE" w14:textId="77777777" w:rsidR="00054089" w:rsidRPr="00C27A60" w:rsidRDefault="00054089" w:rsidP="00054089">
            <w:pPr>
              <w:spacing w:after="160" w:line="259" w:lineRule="auto"/>
              <w:ind w:firstLine="308"/>
              <w:jc w:val="both"/>
              <w:rPr>
                <w:rFonts w:eastAsia="Calibri"/>
                <w:sz w:val="22"/>
                <w:szCs w:val="22"/>
                <w:shd w:val="clear" w:color="auto" w:fill="FFFFFF"/>
                <w:lang w:eastAsia="en-US"/>
              </w:rPr>
            </w:pPr>
          </w:p>
          <w:p w14:paraId="6574AEAF" w14:textId="77777777" w:rsidR="00054089" w:rsidRPr="00C27A60" w:rsidRDefault="00054089" w:rsidP="00054089">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&lt;…&gt;</w:t>
            </w:r>
          </w:p>
          <w:p w14:paraId="693AFF3D" w14:textId="77777777" w:rsidR="00054089" w:rsidRPr="00C27A60" w:rsidRDefault="00054089" w:rsidP="00054089">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4. З метою визначення об'єктивної суми коштів, отриманої для фінансування ОСП від здійснення діяльності з диспетчерського (оперативно-технологічного) управління, при проведенні планових або позапланових перевірок в акті перевірки фіксуються такі показники:</w:t>
            </w:r>
          </w:p>
          <w:p w14:paraId="175EC21F" w14:textId="77777777" w:rsidR="00054089" w:rsidRPr="00C27A60" w:rsidRDefault="00054089" w:rsidP="00054089">
            <w:pPr>
              <w:spacing w:after="160" w:line="259" w:lineRule="auto"/>
              <w:ind w:firstLine="308"/>
              <w:jc w:val="both"/>
              <w:rPr>
                <w:rFonts w:eastAsia="Calibri"/>
                <w:sz w:val="22"/>
                <w:szCs w:val="22"/>
                <w:shd w:val="clear" w:color="auto" w:fill="FFFFFF"/>
                <w:lang w:eastAsia="en-US"/>
              </w:rPr>
            </w:pPr>
          </w:p>
          <w:p w14:paraId="2949D583" w14:textId="77777777" w:rsidR="00054089" w:rsidRPr="00C27A60" w:rsidRDefault="00054089" w:rsidP="00054089">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&lt;…&gt;</w:t>
            </w:r>
          </w:p>
          <w:p w14:paraId="1090C98D" w14:textId="77777777" w:rsidR="00054089" w:rsidRPr="00C27A60" w:rsidRDefault="00054089" w:rsidP="00054089">
            <w:pPr>
              <w:spacing w:after="160" w:line="259" w:lineRule="auto"/>
              <w:ind w:firstLine="308"/>
              <w:jc w:val="both"/>
              <w:rPr>
                <w:rFonts w:eastAsia="Calibri"/>
                <w:sz w:val="22"/>
                <w:szCs w:val="22"/>
                <w:shd w:val="clear" w:color="auto" w:fill="FFFFFF"/>
                <w:lang w:eastAsia="en-US"/>
              </w:rPr>
            </w:pPr>
          </w:p>
          <w:p w14:paraId="1D90DA3A" w14:textId="77777777" w:rsidR="00054089" w:rsidRPr="00C27A60" w:rsidRDefault="00054089" w:rsidP="00054089">
            <w:pPr>
              <w:spacing w:after="160" w:line="259" w:lineRule="auto"/>
              <w:ind w:firstLine="308"/>
              <w:jc w:val="both"/>
              <w:rPr>
                <w:rFonts w:eastAsia="Calibri"/>
                <w:b/>
                <w:sz w:val="22"/>
                <w:szCs w:val="22"/>
                <w:shd w:val="clear" w:color="auto" w:fill="FFFFFF"/>
                <w:lang w:eastAsia="en-US"/>
              </w:rPr>
            </w:pPr>
            <w:r w:rsidRPr="00C27A60">
              <w:rPr>
                <w:rFonts w:eastAsia="Calibri"/>
                <w:b/>
                <w:sz w:val="22"/>
                <w:szCs w:val="22"/>
                <w:shd w:val="clear" w:color="auto" w:fill="FFFFFF"/>
                <w:lang w:eastAsia="en-US"/>
              </w:rPr>
              <w:t>26) фактичний максимальний розмір заробітної плати, яка фінансується за рахунок тарифу на послуги з диспетчерського (оперативно-технологічного) управління, що перевищує десятикратний розмір середньої заробітної плати, урахованої у структурі тарифу на послуги з диспетчерського (оперативно-технологічного) управління, з урахуванням приведення до середньорічного розміру заробітної плати у звітному році.</w:t>
            </w:r>
          </w:p>
          <w:p w14:paraId="1D22EF9C" w14:textId="77777777" w:rsidR="00C533B1" w:rsidRPr="00C27A60" w:rsidRDefault="00C533B1" w:rsidP="00C533B1">
            <w:pPr>
              <w:rPr>
                <w:sz w:val="22"/>
                <w:szCs w:val="22"/>
              </w:rPr>
            </w:pPr>
          </w:p>
        </w:tc>
        <w:tc>
          <w:tcPr>
            <w:tcW w:w="5812" w:type="dxa"/>
            <w:shd w:val="clear" w:color="auto" w:fill="auto"/>
          </w:tcPr>
          <w:p w14:paraId="1172F27F" w14:textId="77777777" w:rsidR="00054089" w:rsidRPr="00C27A60" w:rsidRDefault="00054089" w:rsidP="00054089">
            <w:pPr>
              <w:rPr>
                <w:i/>
                <w:sz w:val="22"/>
                <w:szCs w:val="22"/>
              </w:rPr>
            </w:pPr>
          </w:p>
          <w:p w14:paraId="01CDA804" w14:textId="77777777" w:rsidR="00054089" w:rsidRPr="00C27A60" w:rsidRDefault="00054089" w:rsidP="00054089">
            <w:pPr>
              <w:rPr>
                <w:i/>
                <w:sz w:val="22"/>
                <w:szCs w:val="22"/>
              </w:rPr>
            </w:pPr>
            <w:r w:rsidRPr="00C27A60">
              <w:rPr>
                <w:i/>
                <w:sz w:val="22"/>
                <w:szCs w:val="22"/>
              </w:rPr>
              <w:t>НЕК «УКРЕНЕРГО»</w:t>
            </w:r>
          </w:p>
          <w:p w14:paraId="0F4AB640" w14:textId="77777777" w:rsidR="00BD0077" w:rsidRPr="00C27A60" w:rsidRDefault="00BD0077" w:rsidP="00BD0077">
            <w:pPr>
              <w:spacing w:after="160" w:line="259" w:lineRule="auto"/>
              <w:ind w:firstLine="308"/>
              <w:jc w:val="both"/>
              <w:rPr>
                <w:rFonts w:eastAsia="Aptos"/>
                <w:b/>
                <w:kern w:val="2"/>
                <w:sz w:val="22"/>
                <w:szCs w:val="22"/>
                <w:shd w:val="clear" w:color="auto" w:fill="FFFFFF"/>
                <w:lang w:eastAsia="en-US"/>
                <w14:ligatures w14:val="standardContextual"/>
              </w:rPr>
            </w:pPr>
            <w:r w:rsidRPr="00C27A60">
              <w:rPr>
                <w:rFonts w:eastAsia="Aptos"/>
                <w:b/>
                <w:kern w:val="2"/>
                <w:sz w:val="22"/>
                <w:szCs w:val="22"/>
                <w:shd w:val="clear" w:color="auto" w:fill="FFFFFF"/>
                <w:lang w:eastAsia="en-US"/>
                <w14:ligatures w14:val="standardContextual"/>
              </w:rPr>
              <w:t>26) фактичний максимальний розмір заробітної плати, у тому числі капіталізованої (з розподілом між тарифами на передачу електричної енергії та диспетчерського (оперативно-технологічного) управління), яка фінансується за рахунок тарифу на послуги з диспетчерського (оперативно-технологічного) управління (зазначена у колонках 4, 10 та 11 Форми № 1-НКРЕКП-передача електричної енергії (квартальна)), що перевищує десятикратний розмір тарифної середньої заробітної плати по областях відповідно до затвердженого Регулятором перерахунку, урахованої у структурі тарифу на послуги з диспетчерського (оперативно-технологічного) управління, з урахуванням приведення до середньорічного розміру заробітної плати у звітному році.</w:t>
            </w:r>
          </w:p>
          <w:p w14:paraId="655422E2" w14:textId="77777777" w:rsidR="00BD0077" w:rsidRPr="00C27A60" w:rsidRDefault="00BD0077" w:rsidP="00BD0077">
            <w:pPr>
              <w:rPr>
                <w:i/>
                <w:sz w:val="22"/>
                <w:szCs w:val="22"/>
              </w:rPr>
            </w:pPr>
          </w:p>
          <w:p w14:paraId="67CB14DC" w14:textId="77777777" w:rsidR="00BD0077" w:rsidRPr="00C27A60" w:rsidRDefault="00BD0077" w:rsidP="00BD0077">
            <w:pPr>
              <w:rPr>
                <w:i/>
                <w:sz w:val="22"/>
                <w:szCs w:val="22"/>
              </w:rPr>
            </w:pPr>
            <w:r w:rsidRPr="00C27A60">
              <w:rPr>
                <w:i/>
                <w:sz w:val="22"/>
                <w:szCs w:val="22"/>
              </w:rPr>
              <w:t>ОБРГРУНТУВАННЯ:</w:t>
            </w:r>
          </w:p>
          <w:p w14:paraId="74EC372D" w14:textId="77777777" w:rsidR="00BD0077" w:rsidRPr="00C27A60" w:rsidRDefault="00BD0077" w:rsidP="00BD0077">
            <w:pPr>
              <w:rPr>
                <w:i/>
                <w:sz w:val="22"/>
                <w:szCs w:val="22"/>
              </w:rPr>
            </w:pPr>
          </w:p>
          <w:p w14:paraId="604EFD8D" w14:textId="1515DDEB" w:rsidR="00C533B1" w:rsidRPr="00C27A60" w:rsidRDefault="00BD0077" w:rsidP="00DC56B8">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При визначенні фактичного максимального розміру заробітної плати, що перевищує десятикратний розмір середньої заробітної плати, урахованої у структурі тарифу на послуги з диспетчерського (оперативно-технологічного) управління, з урахуванням приведення до середньорічного розміру заробітної плати у звітному році, пропонується конкретизувати підхід при визначенні перевищення та </w:t>
            </w:r>
            <w:r w:rsidRPr="00C27A60">
              <w:rPr>
                <w:rFonts w:eastAsia="Calibri"/>
                <w:kern w:val="2"/>
                <w:sz w:val="22"/>
                <w:szCs w:val="22"/>
                <w:lang w:eastAsia="en-US"/>
                <w14:ligatures w14:val="standardContextual"/>
              </w:rPr>
              <w:lastRenderedPageBreak/>
              <w:t xml:space="preserve">виключати витрати, які фінансуються за рахунок доходів від іншої діяльності, тобто не потребують відшкодування споживачами електричної енергії цих витрат через тариф ОСП.  </w:t>
            </w:r>
          </w:p>
        </w:tc>
        <w:tc>
          <w:tcPr>
            <w:tcW w:w="3546" w:type="dxa"/>
            <w:shd w:val="clear" w:color="auto" w:fill="auto"/>
          </w:tcPr>
          <w:p w14:paraId="6FD8BF6F" w14:textId="77777777" w:rsidR="003C063B" w:rsidRPr="00C27A60" w:rsidRDefault="003C063B" w:rsidP="003C063B">
            <w:pPr>
              <w:jc w:val="both"/>
              <w:rPr>
                <w:b/>
                <w:sz w:val="22"/>
                <w:szCs w:val="22"/>
              </w:rPr>
            </w:pPr>
          </w:p>
          <w:p w14:paraId="316FA5CF" w14:textId="77777777" w:rsidR="003C063B" w:rsidRPr="00C27A60" w:rsidRDefault="003C063B" w:rsidP="003C063B">
            <w:pPr>
              <w:jc w:val="both"/>
              <w:rPr>
                <w:b/>
                <w:sz w:val="22"/>
                <w:szCs w:val="22"/>
              </w:rPr>
            </w:pPr>
          </w:p>
          <w:p w14:paraId="5161E7CF" w14:textId="26FADACC" w:rsidR="00C533B1" w:rsidRPr="00C27A60" w:rsidRDefault="003E1E4D" w:rsidP="003E1E4D">
            <w:pPr>
              <w:jc w:val="both"/>
              <w:rPr>
                <w:sz w:val="22"/>
                <w:szCs w:val="22"/>
              </w:rPr>
            </w:pPr>
            <w:r>
              <w:rPr>
                <w:b/>
                <w:sz w:val="22"/>
                <w:szCs w:val="22"/>
              </w:rPr>
              <w:t>Потребує</w:t>
            </w:r>
            <w:r w:rsidRPr="00C27A60">
              <w:rPr>
                <w:b/>
                <w:sz w:val="22"/>
                <w:szCs w:val="22"/>
              </w:rPr>
              <w:t xml:space="preserve"> обговорення</w:t>
            </w:r>
            <w:r w:rsidRPr="00C27A60">
              <w:rPr>
                <w:sz w:val="22"/>
                <w:szCs w:val="22"/>
              </w:rPr>
              <w:t xml:space="preserve"> </w:t>
            </w:r>
          </w:p>
        </w:tc>
      </w:tr>
      <w:tr w:rsidR="00C27A60" w:rsidRPr="00C27A60" w14:paraId="2541C2B4" w14:textId="77777777" w:rsidTr="003C2163">
        <w:trPr>
          <w:trHeight w:val="595"/>
        </w:trPr>
        <w:tc>
          <w:tcPr>
            <w:tcW w:w="5839" w:type="dxa"/>
            <w:shd w:val="clear" w:color="auto" w:fill="auto"/>
          </w:tcPr>
          <w:p w14:paraId="6B99DECD" w14:textId="77777777" w:rsidR="00BD0077" w:rsidRPr="00C27A60" w:rsidRDefault="00BD0077" w:rsidP="00BD0077">
            <w:pPr>
              <w:spacing w:after="160" w:line="259" w:lineRule="auto"/>
              <w:ind w:firstLine="308"/>
              <w:jc w:val="both"/>
              <w:rPr>
                <w:rFonts w:eastAsia="Calibri"/>
                <w:sz w:val="22"/>
                <w:szCs w:val="22"/>
                <w:shd w:val="clear" w:color="auto" w:fill="FFFFFF"/>
                <w:lang w:eastAsia="en-US"/>
              </w:rPr>
            </w:pPr>
          </w:p>
          <w:p w14:paraId="4F510024" w14:textId="09055D2E" w:rsidR="00C533B1" w:rsidRPr="00C27A60" w:rsidRDefault="00BD0077" w:rsidP="00BD0077">
            <w:pPr>
              <w:rPr>
                <w:sz w:val="22"/>
                <w:szCs w:val="22"/>
              </w:rPr>
            </w:pPr>
            <w:r w:rsidRPr="00C27A60">
              <w:rPr>
                <w:b/>
                <w:sz w:val="22"/>
                <w:szCs w:val="22"/>
                <w:shd w:val="clear" w:color="auto" w:fill="FFFFFF"/>
              </w:rPr>
              <w:t>ЗМІНИ НЕ ПРОПОНУВАЛИСЬ</w:t>
            </w:r>
          </w:p>
        </w:tc>
        <w:tc>
          <w:tcPr>
            <w:tcW w:w="5812" w:type="dxa"/>
            <w:shd w:val="clear" w:color="auto" w:fill="auto"/>
          </w:tcPr>
          <w:p w14:paraId="4E154468" w14:textId="77777777" w:rsidR="00BD0077" w:rsidRPr="00C27A60" w:rsidRDefault="00BD0077" w:rsidP="00BD0077">
            <w:pPr>
              <w:rPr>
                <w:i/>
                <w:sz w:val="22"/>
                <w:szCs w:val="22"/>
              </w:rPr>
            </w:pPr>
          </w:p>
          <w:p w14:paraId="20EE16F6" w14:textId="77777777" w:rsidR="00BD0077" w:rsidRPr="00C27A60" w:rsidRDefault="00BD0077" w:rsidP="00BD0077">
            <w:pPr>
              <w:rPr>
                <w:i/>
                <w:sz w:val="22"/>
                <w:szCs w:val="22"/>
              </w:rPr>
            </w:pPr>
            <w:r w:rsidRPr="00C27A60">
              <w:rPr>
                <w:i/>
                <w:sz w:val="22"/>
                <w:szCs w:val="22"/>
              </w:rPr>
              <w:t>НЕК «УКРЕНЕРГО»</w:t>
            </w:r>
          </w:p>
          <w:p w14:paraId="68F3924A" w14:textId="77777777" w:rsidR="00BD0077" w:rsidRPr="00C27A60" w:rsidRDefault="00BD0077" w:rsidP="00BD0077">
            <w:pPr>
              <w:rPr>
                <w:i/>
                <w:sz w:val="22"/>
                <w:szCs w:val="22"/>
              </w:rPr>
            </w:pPr>
          </w:p>
          <w:p w14:paraId="1BDB3A95" w14:textId="77777777" w:rsidR="00E26EDC" w:rsidRPr="00C27A60" w:rsidRDefault="00E26EDC" w:rsidP="00E26EDC">
            <w:pPr>
              <w:spacing w:after="160" w:line="259" w:lineRule="auto"/>
              <w:jc w:val="both"/>
              <w:rPr>
                <w:rFonts w:eastAsia="Aptos"/>
                <w:b/>
                <w:kern w:val="2"/>
                <w:sz w:val="22"/>
                <w:szCs w:val="22"/>
                <w:shd w:val="clear" w:color="auto" w:fill="FFFFFF"/>
                <w:lang w:eastAsia="en-US"/>
                <w14:ligatures w14:val="standardContextual"/>
              </w:rPr>
            </w:pPr>
            <w:r w:rsidRPr="00C27A60">
              <w:rPr>
                <w:rFonts w:eastAsia="Aptos"/>
                <w:b/>
                <w:kern w:val="2"/>
                <w:sz w:val="22"/>
                <w:szCs w:val="22"/>
                <w:shd w:val="clear" w:color="auto" w:fill="FFFFFF"/>
                <w:lang w:eastAsia="en-US"/>
                <w14:ligatures w14:val="standardContextual"/>
              </w:rPr>
              <w:t>27) перевищення витрат</w:t>
            </w:r>
            <w:r w:rsidRPr="00C27A60">
              <w:rPr>
                <w:rFonts w:eastAsia="Aptos"/>
                <w:b/>
                <w:kern w:val="2"/>
                <w:sz w:val="22"/>
                <w:szCs w:val="22"/>
                <w:shd w:val="clear" w:color="auto" w:fill="FFFFFF"/>
                <w:lang w:val="ru-RU" w:eastAsia="en-US"/>
                <w14:ligatures w14:val="standardContextual"/>
              </w:rPr>
              <w:t xml:space="preserve"> над</w:t>
            </w:r>
            <w:r w:rsidRPr="00C27A60">
              <w:rPr>
                <w:rFonts w:eastAsia="Aptos"/>
                <w:b/>
                <w:kern w:val="2"/>
                <w:sz w:val="22"/>
                <w:szCs w:val="22"/>
                <w:shd w:val="clear" w:color="auto" w:fill="FFFFFF"/>
                <w:lang w:eastAsia="en-US"/>
                <w14:ligatures w14:val="standardContextual"/>
              </w:rPr>
              <w:t xml:space="preserve"> доходами з нарахування  інфляційних втрат на суму боргу за договорами, що відносяться до ліцензованої діяльності</w:t>
            </w:r>
          </w:p>
          <w:p w14:paraId="446329B7" w14:textId="30D214DD" w:rsidR="00E26EDC" w:rsidRPr="00C27A60" w:rsidRDefault="00E26EDC" w:rsidP="00E26EDC">
            <w:pPr>
              <w:spacing w:after="160" w:line="259" w:lineRule="auto"/>
              <w:jc w:val="both"/>
              <w:rPr>
                <w:rFonts w:eastAsia="Aptos"/>
                <w:b/>
                <w:kern w:val="2"/>
                <w:sz w:val="22"/>
                <w:szCs w:val="22"/>
                <w:shd w:val="clear" w:color="auto" w:fill="FFFFFF"/>
                <w:lang w:eastAsia="en-US"/>
                <w14:ligatures w14:val="standardContextual"/>
              </w:rPr>
            </w:pPr>
          </w:p>
          <w:p w14:paraId="06771CF5" w14:textId="77777777" w:rsidR="003C2163" w:rsidRPr="00C27A60" w:rsidRDefault="003C2163" w:rsidP="00E26EDC">
            <w:pPr>
              <w:spacing w:after="160" w:line="259" w:lineRule="auto"/>
              <w:jc w:val="both"/>
              <w:rPr>
                <w:rFonts w:eastAsia="Aptos"/>
                <w:b/>
                <w:kern w:val="2"/>
                <w:sz w:val="22"/>
                <w:szCs w:val="22"/>
                <w:shd w:val="clear" w:color="auto" w:fill="FFFFFF"/>
                <w:lang w:eastAsia="en-US"/>
                <w14:ligatures w14:val="standardContextual"/>
              </w:rPr>
            </w:pPr>
          </w:p>
          <w:p w14:paraId="2B44252D" w14:textId="77777777" w:rsidR="00E26EDC" w:rsidRPr="00C27A60" w:rsidRDefault="00E26EDC" w:rsidP="00E26EDC">
            <w:pPr>
              <w:spacing w:after="160" w:line="259" w:lineRule="auto"/>
              <w:jc w:val="both"/>
              <w:rPr>
                <w:rFonts w:eastAsia="Aptos"/>
                <w:b/>
                <w:kern w:val="2"/>
                <w:sz w:val="22"/>
                <w:szCs w:val="22"/>
                <w:shd w:val="clear" w:color="auto" w:fill="FFFFFF"/>
                <w:lang w:eastAsia="en-US"/>
                <w14:ligatures w14:val="standardContextual"/>
              </w:rPr>
            </w:pPr>
            <w:r w:rsidRPr="00C27A60">
              <w:rPr>
                <w:rFonts w:eastAsia="Aptos"/>
                <w:b/>
                <w:kern w:val="2"/>
                <w:sz w:val="22"/>
                <w:szCs w:val="22"/>
                <w:shd w:val="clear" w:color="auto" w:fill="FFFFFF"/>
                <w:lang w:eastAsia="en-US"/>
                <w14:ligatures w14:val="standardContextual"/>
              </w:rPr>
              <w:t>28) перевищення витрат</w:t>
            </w:r>
            <w:r w:rsidRPr="00C27A60">
              <w:rPr>
                <w:rFonts w:eastAsia="Aptos"/>
                <w:b/>
                <w:kern w:val="2"/>
                <w:sz w:val="22"/>
                <w:szCs w:val="22"/>
                <w:shd w:val="clear" w:color="auto" w:fill="FFFFFF"/>
                <w:lang w:val="ru-RU" w:eastAsia="en-US"/>
                <w14:ligatures w14:val="standardContextual"/>
              </w:rPr>
              <w:t xml:space="preserve"> над</w:t>
            </w:r>
            <w:r w:rsidRPr="00C27A60">
              <w:rPr>
                <w:rFonts w:eastAsia="Aptos"/>
                <w:b/>
                <w:kern w:val="2"/>
                <w:sz w:val="22"/>
                <w:szCs w:val="22"/>
                <w:shd w:val="clear" w:color="auto" w:fill="FFFFFF"/>
                <w:lang w:eastAsia="en-US"/>
                <w14:ligatures w14:val="standardContextual"/>
              </w:rPr>
              <w:t xml:space="preserve"> доходами з нарахування трьох процентів річних на суму боргу за договорами, що відносяться до ліцензованої діяльності</w:t>
            </w:r>
          </w:p>
          <w:p w14:paraId="38F46688" w14:textId="77777777" w:rsidR="00E26EDC" w:rsidRPr="00C27A60" w:rsidRDefault="00E26EDC" w:rsidP="00E26EDC">
            <w:pPr>
              <w:rPr>
                <w:i/>
                <w:sz w:val="22"/>
                <w:szCs w:val="22"/>
              </w:rPr>
            </w:pPr>
            <w:r w:rsidRPr="00C27A60">
              <w:rPr>
                <w:i/>
                <w:sz w:val="22"/>
                <w:szCs w:val="22"/>
              </w:rPr>
              <w:t>ОБРГРУНТУВАННЯ:</w:t>
            </w:r>
          </w:p>
          <w:p w14:paraId="130E50BE" w14:textId="77777777" w:rsidR="00E26EDC" w:rsidRPr="00C27A60" w:rsidRDefault="00E26EDC" w:rsidP="00E26EDC">
            <w:pPr>
              <w:rPr>
                <w:i/>
                <w:sz w:val="22"/>
                <w:szCs w:val="22"/>
              </w:rPr>
            </w:pPr>
          </w:p>
          <w:p w14:paraId="0F242B0D" w14:textId="77777777" w:rsidR="00E26EDC" w:rsidRPr="00C27A60" w:rsidRDefault="00E26EDC" w:rsidP="00E26EDC">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Велика Палата Верховного Суду вже звертала увагу на те, що нарахування інфляційних втрат на суму боргу та трьох процентів річних відповідно до статті 625 Цивільного Кодексу України є мірою відповідальності боржника за прострочення грошового зобов`язання, оскільки виступає способом захисту майнового права та інтересу, який полягає у відшкодуванні матеріальних втрат кредитора від знецінення грошових коштів унаслідок інфляційних процесів та отриманні компенсації боржника за неналежне виконання зобов`язання. Ці кошти нараховуються незалежно від вини боржника, зупинення виконавчого провадження чи виконання рішення суду про стягнення грошової суми, та не є за своєю сутністю ані штрафними санкціями, ані пенею. </w:t>
            </w:r>
          </w:p>
          <w:p w14:paraId="4CA1EF68" w14:textId="4A299416" w:rsidR="00C533B1" w:rsidRPr="00C27A60" w:rsidRDefault="00E26EDC" w:rsidP="00E26EDC">
            <w:pPr>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Отже, витрати на сплату інфляційних втрат на суму боргу та трьох процентів річних, понесені НЕК «Укренерго» при </w:t>
            </w:r>
            <w:r w:rsidRPr="00C27A60">
              <w:rPr>
                <w:rFonts w:eastAsia="Calibri"/>
                <w:kern w:val="2"/>
                <w:sz w:val="22"/>
                <w:szCs w:val="22"/>
                <w:lang w:eastAsia="en-US"/>
                <w14:ligatures w14:val="standardContextual"/>
              </w:rPr>
              <w:lastRenderedPageBreak/>
              <w:t>здійсненні позовної роботи, мають бути невід’ємною складовою структури тарифів на послуги з передачі електричної енергії та послуги з диспетчерського (оперативно-технологічного) управління, що не протирічить частині 3 статті 9 Закону України «Про природні монополії».</w:t>
            </w:r>
          </w:p>
          <w:p w14:paraId="4B9311FA" w14:textId="77777777" w:rsidR="00E26EDC" w:rsidRPr="00C27A60" w:rsidRDefault="00E26EDC" w:rsidP="00E26EDC">
            <w:pPr>
              <w:spacing w:after="160" w:line="259" w:lineRule="auto"/>
              <w:jc w:val="both"/>
              <w:rPr>
                <w:rFonts w:eastAsia="Calibri"/>
                <w:b/>
                <w:bCs/>
                <w:kern w:val="2"/>
                <w:sz w:val="22"/>
                <w:szCs w:val="22"/>
                <w:lang w:eastAsia="en-US"/>
                <w14:ligatures w14:val="standardContextual"/>
              </w:rPr>
            </w:pPr>
          </w:p>
          <w:p w14:paraId="5E21A3BA" w14:textId="0E412356" w:rsidR="00E26EDC" w:rsidRPr="00C27A60" w:rsidRDefault="00E26EDC" w:rsidP="00E26EDC">
            <w:pPr>
              <w:rPr>
                <w:rFonts w:eastAsia="Calibri"/>
                <w:b/>
                <w:bCs/>
                <w:kern w:val="2"/>
                <w:sz w:val="22"/>
                <w:szCs w:val="22"/>
                <w:lang w:eastAsia="en-US"/>
                <w14:ligatures w14:val="standardContextual"/>
              </w:rPr>
            </w:pPr>
            <w:r w:rsidRPr="00C27A60">
              <w:rPr>
                <w:rFonts w:eastAsia="Calibri"/>
                <w:b/>
                <w:bCs/>
                <w:kern w:val="2"/>
                <w:sz w:val="22"/>
                <w:szCs w:val="22"/>
                <w:lang w:eastAsia="en-US"/>
                <w14:ligatures w14:val="standardContextual"/>
              </w:rPr>
              <w:t>29) економія, яка виникла при виконанні заходів Інвестиційної програми за умови виконання фізичних обсягів у повному обсязі, направлена на збільшення витрат на оплату праці (із нарахуваннями) персоналу компанії</w:t>
            </w:r>
          </w:p>
          <w:p w14:paraId="3A850192" w14:textId="77777777" w:rsidR="00E26EDC" w:rsidRPr="00C27A60" w:rsidRDefault="00E26EDC" w:rsidP="00E26EDC">
            <w:pPr>
              <w:rPr>
                <w:i/>
                <w:sz w:val="22"/>
                <w:szCs w:val="22"/>
              </w:rPr>
            </w:pPr>
          </w:p>
          <w:p w14:paraId="1B9A02C0" w14:textId="77777777" w:rsidR="00E26EDC" w:rsidRPr="00C27A60" w:rsidRDefault="00E26EDC" w:rsidP="00E26EDC">
            <w:pPr>
              <w:rPr>
                <w:i/>
                <w:sz w:val="22"/>
                <w:szCs w:val="22"/>
              </w:rPr>
            </w:pPr>
            <w:r w:rsidRPr="00C27A60">
              <w:rPr>
                <w:i/>
                <w:sz w:val="22"/>
                <w:szCs w:val="22"/>
              </w:rPr>
              <w:t>ОБРГРУНТУВАННЯ:</w:t>
            </w:r>
          </w:p>
          <w:p w14:paraId="0044B860" w14:textId="0FD5F33D" w:rsidR="00E26EDC" w:rsidRPr="00C27A60" w:rsidRDefault="00E26EDC" w:rsidP="00E26EDC">
            <w:pPr>
              <w:rPr>
                <w:i/>
                <w:sz w:val="22"/>
                <w:szCs w:val="22"/>
              </w:rPr>
            </w:pPr>
            <w:r w:rsidRPr="00C27A60">
              <w:rPr>
                <w:i/>
                <w:sz w:val="22"/>
                <w:szCs w:val="22"/>
              </w:rPr>
              <w:t xml:space="preserve">Аналогічне </w:t>
            </w:r>
            <w:proofErr w:type="spellStart"/>
            <w:r w:rsidRPr="00C27A60">
              <w:rPr>
                <w:i/>
                <w:sz w:val="22"/>
                <w:szCs w:val="22"/>
              </w:rPr>
              <w:t>пп</w:t>
            </w:r>
            <w:proofErr w:type="spellEnd"/>
            <w:r w:rsidRPr="00C27A60">
              <w:rPr>
                <w:i/>
                <w:sz w:val="22"/>
                <w:szCs w:val="22"/>
              </w:rPr>
              <w:t>. 25 п. 4</w:t>
            </w:r>
          </w:p>
          <w:p w14:paraId="717F4DD3" w14:textId="273C3AA1" w:rsidR="00E26EDC" w:rsidRPr="00C27A60" w:rsidRDefault="00E26EDC" w:rsidP="00C533B1">
            <w:pPr>
              <w:rPr>
                <w:i/>
                <w:sz w:val="22"/>
                <w:szCs w:val="22"/>
              </w:rPr>
            </w:pPr>
          </w:p>
        </w:tc>
        <w:tc>
          <w:tcPr>
            <w:tcW w:w="3546" w:type="dxa"/>
            <w:shd w:val="clear" w:color="auto" w:fill="auto"/>
          </w:tcPr>
          <w:p w14:paraId="523A68A2" w14:textId="77777777" w:rsidR="003C2163" w:rsidRPr="00C27A60" w:rsidRDefault="003C2163" w:rsidP="003C2163">
            <w:pPr>
              <w:jc w:val="both"/>
              <w:rPr>
                <w:b/>
                <w:sz w:val="22"/>
                <w:szCs w:val="22"/>
              </w:rPr>
            </w:pPr>
          </w:p>
          <w:p w14:paraId="40698716" w14:textId="77777777" w:rsidR="003C2163" w:rsidRPr="00C27A60" w:rsidRDefault="003C2163" w:rsidP="003C2163">
            <w:pPr>
              <w:jc w:val="both"/>
              <w:rPr>
                <w:b/>
                <w:sz w:val="22"/>
                <w:szCs w:val="22"/>
              </w:rPr>
            </w:pPr>
          </w:p>
          <w:p w14:paraId="40AFBC28" w14:textId="77777777" w:rsidR="003C2163" w:rsidRPr="00C27A60" w:rsidRDefault="003C2163" w:rsidP="003C2163">
            <w:pPr>
              <w:jc w:val="both"/>
              <w:rPr>
                <w:b/>
                <w:sz w:val="22"/>
                <w:szCs w:val="22"/>
              </w:rPr>
            </w:pPr>
          </w:p>
          <w:p w14:paraId="2F1A5DC0" w14:textId="77777777" w:rsidR="00495B7A" w:rsidRPr="00495B7A" w:rsidRDefault="00495B7A" w:rsidP="00495B7A">
            <w:pPr>
              <w:pStyle w:val="af5"/>
              <w:spacing w:before="0" w:beforeAutospacing="0" w:after="0" w:afterAutospacing="0"/>
              <w:rPr>
                <w:b/>
                <w:sz w:val="22"/>
                <w:szCs w:val="22"/>
              </w:rPr>
            </w:pPr>
            <w:r w:rsidRPr="00495B7A">
              <w:rPr>
                <w:b/>
                <w:sz w:val="22"/>
                <w:szCs w:val="22"/>
              </w:rPr>
              <w:t>Потребує обговорення</w:t>
            </w:r>
          </w:p>
          <w:p w14:paraId="0A409757" w14:textId="218B4B25" w:rsidR="003C2163" w:rsidRDefault="003C2163" w:rsidP="003C2163">
            <w:pPr>
              <w:ind w:firstLine="240"/>
              <w:jc w:val="both"/>
              <w:rPr>
                <w:sz w:val="22"/>
                <w:szCs w:val="22"/>
              </w:rPr>
            </w:pPr>
          </w:p>
          <w:p w14:paraId="77CE8D59" w14:textId="4A119767" w:rsidR="00495B7A" w:rsidRDefault="00495B7A" w:rsidP="003C2163">
            <w:pPr>
              <w:ind w:firstLine="240"/>
              <w:jc w:val="both"/>
              <w:rPr>
                <w:sz w:val="22"/>
                <w:szCs w:val="22"/>
              </w:rPr>
            </w:pPr>
          </w:p>
          <w:p w14:paraId="1FEA1EDD" w14:textId="73AED2F5" w:rsidR="00495B7A" w:rsidRDefault="00495B7A" w:rsidP="003C2163">
            <w:pPr>
              <w:ind w:firstLine="240"/>
              <w:jc w:val="both"/>
              <w:rPr>
                <w:sz w:val="22"/>
                <w:szCs w:val="22"/>
              </w:rPr>
            </w:pPr>
          </w:p>
          <w:p w14:paraId="14DFF692" w14:textId="6F02F25D" w:rsidR="00495B7A" w:rsidRDefault="00495B7A" w:rsidP="003C2163">
            <w:pPr>
              <w:ind w:firstLine="240"/>
              <w:jc w:val="both"/>
              <w:rPr>
                <w:sz w:val="22"/>
                <w:szCs w:val="22"/>
              </w:rPr>
            </w:pPr>
          </w:p>
          <w:p w14:paraId="5F18C3E2" w14:textId="2DE57464" w:rsidR="00495B7A" w:rsidRDefault="00495B7A" w:rsidP="003C2163">
            <w:pPr>
              <w:ind w:firstLine="240"/>
              <w:jc w:val="both"/>
              <w:rPr>
                <w:sz w:val="22"/>
                <w:szCs w:val="22"/>
              </w:rPr>
            </w:pPr>
          </w:p>
          <w:p w14:paraId="56AEDDD8" w14:textId="77777777" w:rsidR="00495B7A" w:rsidRDefault="00495B7A" w:rsidP="003C2163">
            <w:pPr>
              <w:ind w:firstLine="240"/>
              <w:jc w:val="both"/>
              <w:rPr>
                <w:sz w:val="22"/>
                <w:szCs w:val="22"/>
              </w:rPr>
            </w:pPr>
          </w:p>
          <w:p w14:paraId="5AE677C5" w14:textId="568DB9B9" w:rsidR="00495B7A" w:rsidRDefault="00495B7A" w:rsidP="003C2163">
            <w:pPr>
              <w:ind w:firstLine="240"/>
              <w:jc w:val="both"/>
              <w:rPr>
                <w:sz w:val="22"/>
                <w:szCs w:val="22"/>
              </w:rPr>
            </w:pPr>
          </w:p>
          <w:p w14:paraId="209276D4" w14:textId="77777777" w:rsidR="00495B7A" w:rsidRPr="00495B7A" w:rsidRDefault="00495B7A" w:rsidP="00495B7A">
            <w:pPr>
              <w:pStyle w:val="af5"/>
              <w:spacing w:before="0" w:beforeAutospacing="0" w:after="0" w:afterAutospacing="0"/>
              <w:rPr>
                <w:b/>
                <w:sz w:val="22"/>
                <w:szCs w:val="22"/>
              </w:rPr>
            </w:pPr>
            <w:r w:rsidRPr="00495B7A">
              <w:rPr>
                <w:b/>
                <w:sz w:val="22"/>
                <w:szCs w:val="22"/>
              </w:rPr>
              <w:t>Потребує обговорення</w:t>
            </w:r>
          </w:p>
          <w:p w14:paraId="12B5B1A1" w14:textId="77777777" w:rsidR="00C533B1" w:rsidRPr="00C27A60" w:rsidRDefault="00C533B1" w:rsidP="00C533B1">
            <w:pPr>
              <w:ind w:firstLine="240"/>
              <w:jc w:val="both"/>
              <w:rPr>
                <w:sz w:val="22"/>
                <w:szCs w:val="22"/>
              </w:rPr>
            </w:pPr>
          </w:p>
          <w:p w14:paraId="5521F3E8" w14:textId="77777777" w:rsidR="001C7DBB" w:rsidRPr="00C27A60" w:rsidRDefault="001C7DBB" w:rsidP="00C533B1">
            <w:pPr>
              <w:ind w:firstLine="240"/>
              <w:jc w:val="both"/>
              <w:rPr>
                <w:sz w:val="22"/>
                <w:szCs w:val="22"/>
              </w:rPr>
            </w:pPr>
          </w:p>
          <w:p w14:paraId="42D4FCF1" w14:textId="77777777" w:rsidR="001C7DBB" w:rsidRPr="00C27A60" w:rsidRDefault="001C7DBB" w:rsidP="00C533B1">
            <w:pPr>
              <w:ind w:firstLine="240"/>
              <w:jc w:val="both"/>
              <w:rPr>
                <w:sz w:val="22"/>
                <w:szCs w:val="22"/>
              </w:rPr>
            </w:pPr>
          </w:p>
          <w:p w14:paraId="7B038E70" w14:textId="77777777" w:rsidR="001C7DBB" w:rsidRPr="00C27A60" w:rsidRDefault="001C7DBB" w:rsidP="00C533B1">
            <w:pPr>
              <w:ind w:firstLine="240"/>
              <w:jc w:val="both"/>
              <w:rPr>
                <w:sz w:val="22"/>
                <w:szCs w:val="22"/>
              </w:rPr>
            </w:pPr>
          </w:p>
          <w:p w14:paraId="0759EDB3" w14:textId="77777777" w:rsidR="001C7DBB" w:rsidRPr="00C27A60" w:rsidRDefault="001C7DBB" w:rsidP="00C533B1">
            <w:pPr>
              <w:ind w:firstLine="240"/>
              <w:jc w:val="both"/>
              <w:rPr>
                <w:sz w:val="22"/>
                <w:szCs w:val="22"/>
              </w:rPr>
            </w:pPr>
          </w:p>
          <w:p w14:paraId="554CAE81" w14:textId="77777777" w:rsidR="001C7DBB" w:rsidRPr="00C27A60" w:rsidRDefault="001C7DBB" w:rsidP="00C533B1">
            <w:pPr>
              <w:ind w:firstLine="240"/>
              <w:jc w:val="both"/>
              <w:rPr>
                <w:sz w:val="22"/>
                <w:szCs w:val="22"/>
              </w:rPr>
            </w:pPr>
          </w:p>
          <w:p w14:paraId="276D9B80" w14:textId="77777777" w:rsidR="001C7DBB" w:rsidRPr="00C27A60" w:rsidRDefault="001C7DBB" w:rsidP="00C533B1">
            <w:pPr>
              <w:ind w:firstLine="240"/>
              <w:jc w:val="both"/>
              <w:rPr>
                <w:sz w:val="22"/>
                <w:szCs w:val="22"/>
              </w:rPr>
            </w:pPr>
          </w:p>
          <w:p w14:paraId="393FDABF" w14:textId="77777777" w:rsidR="001C7DBB" w:rsidRPr="00C27A60" w:rsidRDefault="001C7DBB" w:rsidP="00C533B1">
            <w:pPr>
              <w:ind w:firstLine="240"/>
              <w:jc w:val="both"/>
              <w:rPr>
                <w:sz w:val="22"/>
                <w:szCs w:val="22"/>
              </w:rPr>
            </w:pPr>
          </w:p>
          <w:p w14:paraId="5FCE8F1E" w14:textId="77777777" w:rsidR="001C7DBB" w:rsidRPr="00C27A60" w:rsidRDefault="001C7DBB" w:rsidP="00C533B1">
            <w:pPr>
              <w:ind w:firstLine="240"/>
              <w:jc w:val="both"/>
              <w:rPr>
                <w:sz w:val="22"/>
                <w:szCs w:val="22"/>
              </w:rPr>
            </w:pPr>
          </w:p>
          <w:p w14:paraId="704400EE" w14:textId="77777777" w:rsidR="001C7DBB" w:rsidRPr="00C27A60" w:rsidRDefault="001C7DBB" w:rsidP="00C533B1">
            <w:pPr>
              <w:ind w:firstLine="240"/>
              <w:jc w:val="both"/>
              <w:rPr>
                <w:sz w:val="22"/>
                <w:szCs w:val="22"/>
              </w:rPr>
            </w:pPr>
          </w:p>
          <w:p w14:paraId="0B15B44E" w14:textId="77777777" w:rsidR="001C7DBB" w:rsidRPr="00C27A60" w:rsidRDefault="001C7DBB" w:rsidP="00C533B1">
            <w:pPr>
              <w:ind w:firstLine="240"/>
              <w:jc w:val="both"/>
              <w:rPr>
                <w:sz w:val="22"/>
                <w:szCs w:val="22"/>
              </w:rPr>
            </w:pPr>
          </w:p>
          <w:p w14:paraId="19F2ADDB" w14:textId="77777777" w:rsidR="001C7DBB" w:rsidRPr="00C27A60" w:rsidRDefault="001C7DBB" w:rsidP="00C533B1">
            <w:pPr>
              <w:ind w:firstLine="240"/>
              <w:jc w:val="both"/>
              <w:rPr>
                <w:sz w:val="22"/>
                <w:szCs w:val="22"/>
              </w:rPr>
            </w:pPr>
          </w:p>
          <w:p w14:paraId="59058C07" w14:textId="77777777" w:rsidR="001C7DBB" w:rsidRPr="00C27A60" w:rsidRDefault="001C7DBB" w:rsidP="00C533B1">
            <w:pPr>
              <w:ind w:firstLine="240"/>
              <w:jc w:val="both"/>
              <w:rPr>
                <w:sz w:val="22"/>
                <w:szCs w:val="22"/>
              </w:rPr>
            </w:pPr>
          </w:p>
          <w:p w14:paraId="7079017A" w14:textId="77777777" w:rsidR="001C7DBB" w:rsidRPr="00C27A60" w:rsidRDefault="001C7DBB" w:rsidP="00C533B1">
            <w:pPr>
              <w:ind w:firstLine="240"/>
              <w:jc w:val="both"/>
              <w:rPr>
                <w:sz w:val="22"/>
                <w:szCs w:val="22"/>
              </w:rPr>
            </w:pPr>
          </w:p>
          <w:p w14:paraId="7EC18DDA" w14:textId="77777777" w:rsidR="001C7DBB" w:rsidRPr="00C27A60" w:rsidRDefault="001C7DBB" w:rsidP="00C533B1">
            <w:pPr>
              <w:ind w:firstLine="240"/>
              <w:jc w:val="both"/>
              <w:rPr>
                <w:sz w:val="22"/>
                <w:szCs w:val="22"/>
              </w:rPr>
            </w:pPr>
          </w:p>
          <w:p w14:paraId="616DA00E" w14:textId="77777777" w:rsidR="001C7DBB" w:rsidRPr="00C27A60" w:rsidRDefault="001C7DBB" w:rsidP="00C533B1">
            <w:pPr>
              <w:ind w:firstLine="240"/>
              <w:jc w:val="both"/>
              <w:rPr>
                <w:sz w:val="22"/>
                <w:szCs w:val="22"/>
              </w:rPr>
            </w:pPr>
          </w:p>
          <w:p w14:paraId="7B0C8298" w14:textId="77777777" w:rsidR="001C7DBB" w:rsidRPr="00C27A60" w:rsidRDefault="001C7DBB" w:rsidP="00C533B1">
            <w:pPr>
              <w:ind w:firstLine="240"/>
              <w:jc w:val="both"/>
              <w:rPr>
                <w:sz w:val="22"/>
                <w:szCs w:val="22"/>
              </w:rPr>
            </w:pPr>
          </w:p>
          <w:p w14:paraId="1E77F24A" w14:textId="77777777" w:rsidR="001C7DBB" w:rsidRPr="00C27A60" w:rsidRDefault="001C7DBB" w:rsidP="00C533B1">
            <w:pPr>
              <w:ind w:firstLine="240"/>
              <w:jc w:val="both"/>
              <w:rPr>
                <w:sz w:val="22"/>
                <w:szCs w:val="22"/>
              </w:rPr>
            </w:pPr>
          </w:p>
          <w:p w14:paraId="05E1F8F2" w14:textId="77777777" w:rsidR="001C7DBB" w:rsidRPr="00C27A60" w:rsidRDefault="001C7DBB" w:rsidP="00C533B1">
            <w:pPr>
              <w:ind w:firstLine="240"/>
              <w:jc w:val="both"/>
              <w:rPr>
                <w:sz w:val="22"/>
                <w:szCs w:val="22"/>
              </w:rPr>
            </w:pPr>
          </w:p>
          <w:p w14:paraId="3CCDED16" w14:textId="77777777" w:rsidR="001C7DBB" w:rsidRPr="00C27A60" w:rsidRDefault="001C7DBB" w:rsidP="00C533B1">
            <w:pPr>
              <w:ind w:firstLine="240"/>
              <w:jc w:val="both"/>
              <w:rPr>
                <w:sz w:val="22"/>
                <w:szCs w:val="22"/>
              </w:rPr>
            </w:pPr>
          </w:p>
          <w:p w14:paraId="6AFFE7C7" w14:textId="77777777" w:rsidR="001C7DBB" w:rsidRPr="00C27A60" w:rsidRDefault="001C7DBB" w:rsidP="00C533B1">
            <w:pPr>
              <w:ind w:firstLine="240"/>
              <w:jc w:val="both"/>
              <w:rPr>
                <w:sz w:val="22"/>
                <w:szCs w:val="22"/>
              </w:rPr>
            </w:pPr>
          </w:p>
          <w:p w14:paraId="1B6BE441" w14:textId="77777777" w:rsidR="001C7DBB" w:rsidRPr="00C27A60" w:rsidRDefault="001C7DBB" w:rsidP="00C533B1">
            <w:pPr>
              <w:ind w:firstLine="240"/>
              <w:jc w:val="both"/>
              <w:rPr>
                <w:sz w:val="22"/>
                <w:szCs w:val="22"/>
              </w:rPr>
            </w:pPr>
          </w:p>
          <w:p w14:paraId="11609C88" w14:textId="77777777" w:rsidR="001C7DBB" w:rsidRPr="00C27A60" w:rsidRDefault="001C7DBB" w:rsidP="00C533B1">
            <w:pPr>
              <w:ind w:firstLine="240"/>
              <w:jc w:val="both"/>
              <w:rPr>
                <w:sz w:val="22"/>
                <w:szCs w:val="22"/>
              </w:rPr>
            </w:pPr>
          </w:p>
          <w:p w14:paraId="3C73614A" w14:textId="0D81862E" w:rsidR="001C7DBB" w:rsidRDefault="001C7DBB" w:rsidP="00C533B1">
            <w:pPr>
              <w:ind w:firstLine="240"/>
              <w:jc w:val="both"/>
              <w:rPr>
                <w:sz w:val="22"/>
                <w:szCs w:val="22"/>
              </w:rPr>
            </w:pPr>
          </w:p>
          <w:p w14:paraId="3D055CF7" w14:textId="11CC49CC" w:rsidR="00495B7A" w:rsidRDefault="00495B7A" w:rsidP="00C533B1">
            <w:pPr>
              <w:ind w:firstLine="240"/>
              <w:jc w:val="both"/>
              <w:rPr>
                <w:sz w:val="22"/>
                <w:szCs w:val="22"/>
              </w:rPr>
            </w:pPr>
          </w:p>
          <w:p w14:paraId="6537D752" w14:textId="2A4C582E" w:rsidR="00495B7A" w:rsidRDefault="00495B7A" w:rsidP="00C533B1">
            <w:pPr>
              <w:ind w:firstLine="240"/>
              <w:jc w:val="both"/>
              <w:rPr>
                <w:sz w:val="22"/>
                <w:szCs w:val="22"/>
              </w:rPr>
            </w:pPr>
          </w:p>
          <w:p w14:paraId="4DDFAC0F" w14:textId="18D8A301" w:rsidR="00495B7A" w:rsidRDefault="00495B7A" w:rsidP="00C533B1">
            <w:pPr>
              <w:ind w:firstLine="240"/>
              <w:jc w:val="both"/>
              <w:rPr>
                <w:sz w:val="22"/>
                <w:szCs w:val="22"/>
              </w:rPr>
            </w:pPr>
          </w:p>
          <w:p w14:paraId="49F211E3" w14:textId="66A517F7" w:rsidR="00495B7A" w:rsidRDefault="00495B7A" w:rsidP="00C533B1">
            <w:pPr>
              <w:ind w:firstLine="240"/>
              <w:jc w:val="both"/>
              <w:rPr>
                <w:sz w:val="22"/>
                <w:szCs w:val="22"/>
              </w:rPr>
            </w:pPr>
          </w:p>
          <w:p w14:paraId="66954B26" w14:textId="77777777" w:rsidR="00495B7A" w:rsidRPr="00C27A60" w:rsidRDefault="00495B7A" w:rsidP="00C533B1">
            <w:pPr>
              <w:ind w:firstLine="240"/>
              <w:jc w:val="both"/>
              <w:rPr>
                <w:sz w:val="22"/>
                <w:szCs w:val="22"/>
              </w:rPr>
            </w:pPr>
          </w:p>
          <w:p w14:paraId="7949C027" w14:textId="77777777" w:rsidR="00DC56B8" w:rsidRPr="00C27A60" w:rsidRDefault="00DC56B8" w:rsidP="00DC56B8">
            <w:pPr>
              <w:ind w:firstLine="240"/>
              <w:jc w:val="both"/>
              <w:rPr>
                <w:sz w:val="22"/>
                <w:szCs w:val="22"/>
              </w:rPr>
            </w:pPr>
          </w:p>
          <w:p w14:paraId="1D5D92C1" w14:textId="77777777" w:rsidR="00DC56B8" w:rsidRPr="00C27A60" w:rsidRDefault="00DC56B8" w:rsidP="00DC56B8">
            <w:pPr>
              <w:jc w:val="both"/>
              <w:rPr>
                <w:b/>
                <w:sz w:val="22"/>
                <w:szCs w:val="22"/>
              </w:rPr>
            </w:pPr>
            <w:r w:rsidRPr="00C27A60">
              <w:rPr>
                <w:b/>
                <w:sz w:val="22"/>
                <w:szCs w:val="22"/>
              </w:rPr>
              <w:t>Не враховується</w:t>
            </w:r>
          </w:p>
          <w:p w14:paraId="390F4CAA" w14:textId="77777777" w:rsidR="00DC56B8" w:rsidRPr="00C27A60" w:rsidRDefault="00DC56B8" w:rsidP="00DC56B8">
            <w:pPr>
              <w:jc w:val="both"/>
              <w:rPr>
                <w:b/>
                <w:sz w:val="22"/>
                <w:szCs w:val="22"/>
              </w:rPr>
            </w:pPr>
            <w:r w:rsidRPr="00C27A60">
              <w:rPr>
                <w:bCs/>
                <w:sz w:val="22"/>
                <w:szCs w:val="22"/>
              </w:rPr>
              <w:t>Викривлення принципів обґрунтованого виконання заходів Інвестиційної</w:t>
            </w:r>
            <w:r w:rsidRPr="00C27A60">
              <w:rPr>
                <w:b/>
                <w:sz w:val="22"/>
                <w:szCs w:val="22"/>
              </w:rPr>
              <w:t xml:space="preserve"> </w:t>
            </w:r>
            <w:r w:rsidRPr="00C27A60">
              <w:rPr>
                <w:bCs/>
                <w:sz w:val="22"/>
                <w:szCs w:val="22"/>
              </w:rPr>
              <w:t>програми.</w:t>
            </w:r>
          </w:p>
          <w:p w14:paraId="3BD9954F" w14:textId="59ACB005" w:rsidR="001C7DBB" w:rsidRPr="00C27A60" w:rsidRDefault="00DC56B8" w:rsidP="004A0738">
            <w:pPr>
              <w:jc w:val="both"/>
              <w:rPr>
                <w:sz w:val="22"/>
                <w:szCs w:val="22"/>
              </w:rPr>
            </w:pPr>
            <w:r w:rsidRPr="00C27A60">
              <w:rPr>
                <w:bCs/>
                <w:sz w:val="22"/>
                <w:szCs w:val="22"/>
              </w:rPr>
              <w:t>Механізм врахування економії, що виникла внаслідок виконання заходів Інвестиційної програми, визначений, зокрема, пунктом 1</w:t>
            </w:r>
            <w:r w:rsidR="00AD5B3D">
              <w:rPr>
                <w:bCs/>
                <w:sz w:val="22"/>
                <w:szCs w:val="22"/>
              </w:rPr>
              <w:t>2</w:t>
            </w:r>
            <w:r w:rsidRPr="00C27A60">
              <w:rPr>
                <w:bCs/>
                <w:sz w:val="22"/>
                <w:szCs w:val="22"/>
              </w:rPr>
              <w:t xml:space="preserve"> цієї методики.</w:t>
            </w:r>
          </w:p>
        </w:tc>
      </w:tr>
      <w:tr w:rsidR="00C27A60" w:rsidRPr="00C27A60" w14:paraId="0F78D55C" w14:textId="77777777" w:rsidTr="008D1DC5">
        <w:trPr>
          <w:trHeight w:val="595"/>
        </w:trPr>
        <w:tc>
          <w:tcPr>
            <w:tcW w:w="5839" w:type="dxa"/>
            <w:shd w:val="clear" w:color="auto" w:fill="auto"/>
          </w:tcPr>
          <w:p w14:paraId="1E91190B" w14:textId="77777777" w:rsidR="006120B9" w:rsidRPr="00C27A60" w:rsidRDefault="006120B9" w:rsidP="006120B9">
            <w:pPr>
              <w:ind w:firstLine="308"/>
              <w:jc w:val="both"/>
              <w:rPr>
                <w:sz w:val="22"/>
                <w:szCs w:val="22"/>
                <w:shd w:val="clear" w:color="auto" w:fill="FFFFFF"/>
              </w:rPr>
            </w:pPr>
            <w:r w:rsidRPr="00C27A60">
              <w:rPr>
                <w:sz w:val="22"/>
                <w:szCs w:val="22"/>
                <w:shd w:val="clear" w:color="auto" w:fill="FFFFFF"/>
              </w:rPr>
              <w:lastRenderedPageBreak/>
              <w:t>5. Загальна сума додатково отриманого або недоотриманого доходу ОСП від здійснення діяльності з диспетчерського (оперативно-технологічного) управління у звітному році визначається як сума таких складових:</w:t>
            </w:r>
          </w:p>
          <w:p w14:paraId="3F7A7D75" w14:textId="77777777" w:rsidR="006120B9" w:rsidRPr="00C27A60" w:rsidRDefault="006120B9" w:rsidP="006120B9">
            <w:pPr>
              <w:ind w:firstLine="308"/>
              <w:jc w:val="both"/>
              <w:rPr>
                <w:sz w:val="22"/>
                <w:szCs w:val="22"/>
                <w:shd w:val="clear" w:color="auto" w:fill="FFFFFF"/>
              </w:rPr>
            </w:pPr>
          </w:p>
          <w:p w14:paraId="592BCFC3" w14:textId="77777777" w:rsidR="006120B9" w:rsidRPr="00C27A60" w:rsidRDefault="006120B9" w:rsidP="006120B9">
            <w:pPr>
              <w:ind w:firstLine="308"/>
              <w:jc w:val="both"/>
              <w:rPr>
                <w:sz w:val="22"/>
                <w:szCs w:val="22"/>
                <w:shd w:val="clear" w:color="auto" w:fill="FFFFFF"/>
              </w:rPr>
            </w:pPr>
            <w:r w:rsidRPr="00C27A60">
              <w:rPr>
                <w:sz w:val="22"/>
                <w:szCs w:val="22"/>
                <w:shd w:val="clear" w:color="auto" w:fill="FFFFFF"/>
              </w:rPr>
              <w:t>&lt;…&gt;</w:t>
            </w:r>
          </w:p>
          <w:p w14:paraId="00CE5904" w14:textId="77777777" w:rsidR="006120B9" w:rsidRPr="00C27A60" w:rsidRDefault="006120B9" w:rsidP="006120B9">
            <w:pPr>
              <w:ind w:firstLine="308"/>
              <w:jc w:val="both"/>
              <w:rPr>
                <w:sz w:val="22"/>
                <w:szCs w:val="22"/>
                <w:shd w:val="clear" w:color="auto" w:fill="FFFFFF"/>
              </w:rPr>
            </w:pPr>
          </w:p>
          <w:p w14:paraId="4C385373" w14:textId="07399485" w:rsidR="00C533B1" w:rsidRPr="00C27A60" w:rsidRDefault="006120B9" w:rsidP="006120B9">
            <w:pPr>
              <w:rPr>
                <w:sz w:val="22"/>
                <w:szCs w:val="22"/>
              </w:rPr>
            </w:pPr>
            <w:r w:rsidRPr="00C27A60">
              <w:rPr>
                <w:b/>
                <w:sz w:val="22"/>
                <w:szCs w:val="22"/>
                <w:shd w:val="clear" w:color="auto" w:fill="FFFFFF"/>
              </w:rPr>
              <w:t>5) фактична сума перевищення максимального розміру заробітної плати, яка фінансується за рахунок тарифу на послуги з диспетчерського (оперативно-технологічного) управління, що перевищує десятикратний розмір середньої заробітної плати, урахованої у структурі тарифу на послуги з диспетчерського (оперативно-технологічного) управління, з урахуванням приведення до середньорічного розміру заробітної плати у звітному році, що підлягає вилученню.</w:t>
            </w:r>
          </w:p>
        </w:tc>
        <w:tc>
          <w:tcPr>
            <w:tcW w:w="5812" w:type="dxa"/>
            <w:shd w:val="clear" w:color="auto" w:fill="auto"/>
          </w:tcPr>
          <w:p w14:paraId="4203C044" w14:textId="77777777" w:rsidR="006120B9" w:rsidRPr="00C27A60" w:rsidRDefault="006120B9" w:rsidP="006120B9">
            <w:pPr>
              <w:rPr>
                <w:i/>
                <w:sz w:val="22"/>
                <w:szCs w:val="22"/>
              </w:rPr>
            </w:pPr>
          </w:p>
          <w:p w14:paraId="24F3D7E2" w14:textId="77777777" w:rsidR="006120B9" w:rsidRPr="00C27A60" w:rsidRDefault="006120B9" w:rsidP="006120B9">
            <w:pPr>
              <w:rPr>
                <w:i/>
                <w:sz w:val="22"/>
                <w:szCs w:val="22"/>
              </w:rPr>
            </w:pPr>
            <w:r w:rsidRPr="00C27A60">
              <w:rPr>
                <w:i/>
                <w:sz w:val="22"/>
                <w:szCs w:val="22"/>
              </w:rPr>
              <w:t>НЕК «УКРЕНЕРГО»</w:t>
            </w:r>
          </w:p>
          <w:p w14:paraId="39ADB126" w14:textId="77777777" w:rsidR="006120B9" w:rsidRPr="00C27A60" w:rsidRDefault="006120B9" w:rsidP="006120B9">
            <w:pPr>
              <w:rPr>
                <w:i/>
                <w:sz w:val="22"/>
                <w:szCs w:val="22"/>
              </w:rPr>
            </w:pPr>
          </w:p>
          <w:p w14:paraId="1C9056DD" w14:textId="77777777" w:rsidR="006120B9" w:rsidRPr="00C27A60" w:rsidRDefault="006120B9" w:rsidP="006120B9">
            <w:pPr>
              <w:spacing w:after="160" w:line="259" w:lineRule="auto"/>
              <w:jc w:val="both"/>
              <w:rPr>
                <w:rFonts w:eastAsia="Aptos"/>
                <w:b/>
                <w:kern w:val="2"/>
                <w:sz w:val="22"/>
                <w:szCs w:val="22"/>
                <w:shd w:val="clear" w:color="auto" w:fill="FFFFFF"/>
                <w:lang w:eastAsia="en-US"/>
                <w14:ligatures w14:val="standardContextual"/>
              </w:rPr>
            </w:pPr>
            <w:r w:rsidRPr="00C27A60">
              <w:rPr>
                <w:rFonts w:eastAsia="Aptos"/>
                <w:b/>
                <w:kern w:val="2"/>
                <w:sz w:val="22"/>
                <w:szCs w:val="22"/>
                <w:shd w:val="clear" w:color="auto" w:fill="FFFFFF"/>
                <w:lang w:eastAsia="en-US"/>
                <w14:ligatures w14:val="standardContextual"/>
              </w:rPr>
              <w:t>5) фактична сума перевищення максимального розміру заробітної плати, у тому числі капіталізованої з розподілом між тарифами на передачу електричної енергії та диспетчерського (оперативно-технологічного) управління),  яка фінансується за рахунок тарифу на послуги з диспетчерського (оперативно-технологічного) управління (зазначена у колонках 4, 10 та 11 Форми № 1-НКРЕКП-передача електричної енергії (квартальна)), що перевищує десятикратний розмір тарифної середньої заробітної плати по областях відповідно до затвердженого Регулятором перерахунку, урахованої у структурі тарифу на послуги з диспетчерського (оперативно-технологічного) управління, з урахуванням приведення до середньорічного розміру заробітної плати у звітному році, що підлягає вилученню</w:t>
            </w:r>
          </w:p>
          <w:p w14:paraId="2BAC05B9" w14:textId="77777777" w:rsidR="006120B9" w:rsidRPr="00C27A60" w:rsidRDefault="006120B9" w:rsidP="006120B9">
            <w:pPr>
              <w:rPr>
                <w:i/>
                <w:sz w:val="22"/>
                <w:szCs w:val="22"/>
              </w:rPr>
            </w:pPr>
            <w:r w:rsidRPr="00C27A60">
              <w:rPr>
                <w:i/>
                <w:sz w:val="22"/>
                <w:szCs w:val="22"/>
              </w:rPr>
              <w:t>ОБРГРУНТУВАННЯ:</w:t>
            </w:r>
          </w:p>
          <w:p w14:paraId="01646566" w14:textId="77777777" w:rsidR="006120B9" w:rsidRPr="00C27A60" w:rsidRDefault="006120B9" w:rsidP="006120B9">
            <w:pPr>
              <w:rPr>
                <w:i/>
                <w:sz w:val="22"/>
                <w:szCs w:val="22"/>
              </w:rPr>
            </w:pPr>
          </w:p>
          <w:p w14:paraId="27E64A08" w14:textId="3794CC42" w:rsidR="00C533B1" w:rsidRPr="00C27A60" w:rsidRDefault="006120B9" w:rsidP="00DC56B8">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lastRenderedPageBreak/>
              <w:t xml:space="preserve">При визначенні у загальній сумі додатково отриманого або недоотриманого доходу фактичного максимального розміру заробітної плати, що перевищує десятикратний розмір середньої заробітної плати, урахованої у структурі тарифу на послуги з диспетчерського (оперативно-технологічного) управління, з урахуванням приведення до середньорічного розміру заробітної плати у звітному році, пропонується конкретизувати підхід при визначенні перевищення та виключити витрати, які фінансуються за рахунок доходів від іншої діяльності, тобто не потребують відшкодування споживачами електричної енергії цих витрат через тариф ОСП.  </w:t>
            </w:r>
          </w:p>
        </w:tc>
        <w:tc>
          <w:tcPr>
            <w:tcW w:w="3546" w:type="dxa"/>
            <w:shd w:val="clear" w:color="auto" w:fill="auto"/>
            <w:vAlign w:val="center"/>
          </w:tcPr>
          <w:p w14:paraId="1AA1E4D9" w14:textId="5C846A32" w:rsidR="00E10423" w:rsidRPr="00C27A60" w:rsidRDefault="003E1E4D" w:rsidP="00E10423">
            <w:pPr>
              <w:jc w:val="both"/>
              <w:rPr>
                <w:b/>
                <w:sz w:val="22"/>
                <w:szCs w:val="22"/>
              </w:rPr>
            </w:pPr>
            <w:r>
              <w:rPr>
                <w:b/>
                <w:sz w:val="22"/>
                <w:szCs w:val="22"/>
              </w:rPr>
              <w:lastRenderedPageBreak/>
              <w:t>Потребує</w:t>
            </w:r>
            <w:r w:rsidRPr="00C27A60">
              <w:rPr>
                <w:b/>
                <w:sz w:val="22"/>
                <w:szCs w:val="22"/>
              </w:rPr>
              <w:t xml:space="preserve"> обговорення</w:t>
            </w:r>
          </w:p>
          <w:p w14:paraId="42842EF9" w14:textId="77777777" w:rsidR="00C533B1" w:rsidRPr="00C27A60" w:rsidRDefault="00C533B1" w:rsidP="00C533B1">
            <w:pPr>
              <w:ind w:firstLine="240"/>
              <w:jc w:val="both"/>
              <w:rPr>
                <w:sz w:val="22"/>
                <w:szCs w:val="22"/>
              </w:rPr>
            </w:pPr>
          </w:p>
          <w:p w14:paraId="0D8E34D7" w14:textId="77777777" w:rsidR="00DC56B8" w:rsidRPr="00C27A60" w:rsidRDefault="00DC56B8" w:rsidP="00C533B1">
            <w:pPr>
              <w:ind w:firstLine="240"/>
              <w:jc w:val="both"/>
              <w:rPr>
                <w:sz w:val="22"/>
                <w:szCs w:val="22"/>
              </w:rPr>
            </w:pPr>
          </w:p>
          <w:p w14:paraId="13868B9D" w14:textId="77777777" w:rsidR="00DC56B8" w:rsidRPr="00C27A60" w:rsidRDefault="00DC56B8" w:rsidP="00C533B1">
            <w:pPr>
              <w:ind w:firstLine="240"/>
              <w:jc w:val="both"/>
              <w:rPr>
                <w:sz w:val="22"/>
                <w:szCs w:val="22"/>
              </w:rPr>
            </w:pPr>
          </w:p>
          <w:p w14:paraId="3655A632" w14:textId="77777777" w:rsidR="00DC56B8" w:rsidRPr="00C27A60" w:rsidRDefault="00DC56B8" w:rsidP="00C533B1">
            <w:pPr>
              <w:ind w:firstLine="240"/>
              <w:jc w:val="both"/>
              <w:rPr>
                <w:sz w:val="22"/>
                <w:szCs w:val="22"/>
              </w:rPr>
            </w:pPr>
          </w:p>
          <w:p w14:paraId="311B3667" w14:textId="77777777" w:rsidR="00DC56B8" w:rsidRPr="00C27A60" w:rsidRDefault="00DC56B8" w:rsidP="00C533B1">
            <w:pPr>
              <w:ind w:firstLine="240"/>
              <w:jc w:val="both"/>
              <w:rPr>
                <w:sz w:val="22"/>
                <w:szCs w:val="22"/>
              </w:rPr>
            </w:pPr>
          </w:p>
          <w:p w14:paraId="176015CA" w14:textId="77777777" w:rsidR="00DC56B8" w:rsidRPr="00C27A60" w:rsidRDefault="00DC56B8" w:rsidP="00C533B1">
            <w:pPr>
              <w:ind w:firstLine="240"/>
              <w:jc w:val="both"/>
              <w:rPr>
                <w:sz w:val="22"/>
                <w:szCs w:val="22"/>
              </w:rPr>
            </w:pPr>
          </w:p>
          <w:p w14:paraId="4F5D60AA" w14:textId="77777777" w:rsidR="00DC56B8" w:rsidRPr="00C27A60" w:rsidRDefault="00DC56B8" w:rsidP="00C533B1">
            <w:pPr>
              <w:ind w:firstLine="240"/>
              <w:jc w:val="both"/>
              <w:rPr>
                <w:sz w:val="22"/>
                <w:szCs w:val="22"/>
              </w:rPr>
            </w:pPr>
          </w:p>
          <w:p w14:paraId="06E319A8" w14:textId="77777777" w:rsidR="00DC56B8" w:rsidRPr="00C27A60" w:rsidRDefault="00DC56B8" w:rsidP="00C533B1">
            <w:pPr>
              <w:ind w:firstLine="240"/>
              <w:jc w:val="both"/>
              <w:rPr>
                <w:sz w:val="22"/>
                <w:szCs w:val="22"/>
              </w:rPr>
            </w:pPr>
          </w:p>
          <w:p w14:paraId="507BC72C" w14:textId="77777777" w:rsidR="00DC56B8" w:rsidRPr="00C27A60" w:rsidRDefault="00DC56B8" w:rsidP="00C533B1">
            <w:pPr>
              <w:ind w:firstLine="240"/>
              <w:jc w:val="both"/>
              <w:rPr>
                <w:sz w:val="22"/>
                <w:szCs w:val="22"/>
              </w:rPr>
            </w:pPr>
          </w:p>
          <w:p w14:paraId="48B2D3EC" w14:textId="77777777" w:rsidR="00DC56B8" w:rsidRPr="00C27A60" w:rsidRDefault="00DC56B8" w:rsidP="00C533B1">
            <w:pPr>
              <w:ind w:firstLine="240"/>
              <w:jc w:val="both"/>
              <w:rPr>
                <w:sz w:val="22"/>
                <w:szCs w:val="22"/>
              </w:rPr>
            </w:pPr>
          </w:p>
        </w:tc>
      </w:tr>
      <w:tr w:rsidR="00C27A60" w:rsidRPr="00C27A60" w14:paraId="2F81B6ED" w14:textId="77777777" w:rsidTr="002C1ACD">
        <w:trPr>
          <w:trHeight w:val="595"/>
        </w:trPr>
        <w:tc>
          <w:tcPr>
            <w:tcW w:w="5839" w:type="dxa"/>
            <w:shd w:val="clear" w:color="auto" w:fill="auto"/>
          </w:tcPr>
          <w:p w14:paraId="3B8D95B7" w14:textId="77777777" w:rsidR="006120B9" w:rsidRPr="00C27A60" w:rsidRDefault="006120B9" w:rsidP="006120B9">
            <w:pPr>
              <w:spacing w:after="160" w:line="259" w:lineRule="auto"/>
              <w:ind w:firstLine="308"/>
              <w:jc w:val="both"/>
              <w:rPr>
                <w:rFonts w:eastAsia="Calibri"/>
                <w:sz w:val="22"/>
                <w:szCs w:val="22"/>
                <w:shd w:val="clear" w:color="auto" w:fill="FFFFFF"/>
                <w:lang w:eastAsia="en-US"/>
              </w:rPr>
            </w:pPr>
          </w:p>
          <w:p w14:paraId="1827AF53" w14:textId="41B554F6" w:rsidR="00C533B1" w:rsidRPr="00C27A60" w:rsidRDefault="006120B9" w:rsidP="006120B9">
            <w:pPr>
              <w:rPr>
                <w:sz w:val="22"/>
                <w:szCs w:val="22"/>
              </w:rPr>
            </w:pPr>
            <w:r w:rsidRPr="00C27A60">
              <w:rPr>
                <w:b/>
                <w:sz w:val="22"/>
                <w:szCs w:val="22"/>
                <w:shd w:val="clear" w:color="auto" w:fill="FFFFFF"/>
              </w:rPr>
              <w:t>ЗМІНИ НЕ ПРОПОНУВАЛИСЬ</w:t>
            </w:r>
          </w:p>
        </w:tc>
        <w:tc>
          <w:tcPr>
            <w:tcW w:w="5812" w:type="dxa"/>
            <w:shd w:val="clear" w:color="auto" w:fill="auto"/>
          </w:tcPr>
          <w:p w14:paraId="2C0AD758" w14:textId="77777777" w:rsidR="006120B9" w:rsidRPr="00C27A60" w:rsidRDefault="006120B9" w:rsidP="006120B9">
            <w:pPr>
              <w:rPr>
                <w:i/>
                <w:sz w:val="22"/>
                <w:szCs w:val="22"/>
              </w:rPr>
            </w:pPr>
          </w:p>
          <w:p w14:paraId="36F41590" w14:textId="77777777" w:rsidR="006120B9" w:rsidRPr="00C27A60" w:rsidRDefault="006120B9" w:rsidP="006120B9">
            <w:pPr>
              <w:rPr>
                <w:i/>
                <w:sz w:val="22"/>
                <w:szCs w:val="22"/>
              </w:rPr>
            </w:pPr>
            <w:r w:rsidRPr="00C27A60">
              <w:rPr>
                <w:i/>
                <w:sz w:val="22"/>
                <w:szCs w:val="22"/>
              </w:rPr>
              <w:t>НЕК «УКРЕНЕРГО»</w:t>
            </w:r>
          </w:p>
          <w:p w14:paraId="4CEBF530" w14:textId="77777777" w:rsidR="006120B9" w:rsidRPr="00C27A60" w:rsidRDefault="006120B9" w:rsidP="006120B9">
            <w:pPr>
              <w:rPr>
                <w:i/>
                <w:sz w:val="22"/>
                <w:szCs w:val="22"/>
              </w:rPr>
            </w:pPr>
          </w:p>
          <w:p w14:paraId="50780548" w14:textId="77777777" w:rsidR="006120B9" w:rsidRPr="00C27A60" w:rsidRDefault="006120B9" w:rsidP="006120B9">
            <w:pPr>
              <w:spacing w:after="160" w:line="259" w:lineRule="auto"/>
              <w:jc w:val="both"/>
              <w:rPr>
                <w:rFonts w:eastAsia="Aptos"/>
                <w:b/>
                <w:kern w:val="2"/>
                <w:sz w:val="22"/>
                <w:szCs w:val="22"/>
                <w:shd w:val="clear" w:color="auto" w:fill="FFFFFF"/>
                <w:lang w:eastAsia="en-US"/>
                <w14:ligatures w14:val="standardContextual"/>
              </w:rPr>
            </w:pPr>
            <w:r w:rsidRPr="00C27A60">
              <w:rPr>
                <w:rFonts w:eastAsia="Aptos"/>
                <w:b/>
                <w:kern w:val="2"/>
                <w:sz w:val="22"/>
                <w:szCs w:val="22"/>
                <w:shd w:val="clear" w:color="auto" w:fill="FFFFFF"/>
                <w:lang w:eastAsia="en-US"/>
                <w14:ligatures w14:val="standardContextual"/>
              </w:rPr>
              <w:t>6) перевищення витрат</w:t>
            </w:r>
            <w:r w:rsidRPr="00C27A60">
              <w:rPr>
                <w:rFonts w:eastAsia="Aptos"/>
                <w:b/>
                <w:kern w:val="2"/>
                <w:sz w:val="22"/>
                <w:szCs w:val="22"/>
                <w:shd w:val="clear" w:color="auto" w:fill="FFFFFF"/>
                <w:lang w:val="ru-RU" w:eastAsia="en-US"/>
                <w14:ligatures w14:val="standardContextual"/>
              </w:rPr>
              <w:t xml:space="preserve"> над</w:t>
            </w:r>
            <w:r w:rsidRPr="00C27A60">
              <w:rPr>
                <w:rFonts w:eastAsia="Aptos"/>
                <w:b/>
                <w:kern w:val="2"/>
                <w:sz w:val="22"/>
                <w:szCs w:val="22"/>
                <w:shd w:val="clear" w:color="auto" w:fill="FFFFFF"/>
                <w:lang w:eastAsia="en-US"/>
                <w14:ligatures w14:val="standardContextual"/>
              </w:rPr>
              <w:t xml:space="preserve"> доходами з нарахування  інфляційних втрат на суму боргу за договорами, що відносяться до ліцензованої діяльності</w:t>
            </w:r>
          </w:p>
          <w:p w14:paraId="276F7CB7" w14:textId="77777777" w:rsidR="006120B9" w:rsidRPr="00C27A60" w:rsidRDefault="006120B9" w:rsidP="006120B9">
            <w:pPr>
              <w:spacing w:after="160" w:line="259" w:lineRule="auto"/>
              <w:jc w:val="both"/>
              <w:rPr>
                <w:rFonts w:eastAsia="Aptos"/>
                <w:b/>
                <w:kern w:val="2"/>
                <w:sz w:val="22"/>
                <w:szCs w:val="22"/>
                <w:shd w:val="clear" w:color="auto" w:fill="FFFFFF"/>
                <w:lang w:eastAsia="en-US"/>
                <w14:ligatures w14:val="standardContextual"/>
              </w:rPr>
            </w:pPr>
          </w:p>
          <w:p w14:paraId="061ACB06" w14:textId="77777777" w:rsidR="00DC56B8" w:rsidRPr="00C27A60" w:rsidRDefault="00DC56B8" w:rsidP="006120B9">
            <w:pPr>
              <w:spacing w:after="160" w:line="259" w:lineRule="auto"/>
              <w:jc w:val="both"/>
              <w:rPr>
                <w:rFonts w:eastAsia="Aptos"/>
                <w:b/>
                <w:kern w:val="2"/>
                <w:sz w:val="22"/>
                <w:szCs w:val="22"/>
                <w:shd w:val="clear" w:color="auto" w:fill="FFFFFF"/>
                <w:lang w:eastAsia="en-US"/>
                <w14:ligatures w14:val="standardContextual"/>
              </w:rPr>
            </w:pPr>
          </w:p>
          <w:p w14:paraId="7B103EFC" w14:textId="1698F50F" w:rsidR="006120B9" w:rsidRPr="00C27A60" w:rsidRDefault="006120B9" w:rsidP="006120B9">
            <w:pPr>
              <w:spacing w:after="160" w:line="259" w:lineRule="auto"/>
              <w:jc w:val="both"/>
              <w:rPr>
                <w:rFonts w:eastAsia="Aptos"/>
                <w:b/>
                <w:kern w:val="2"/>
                <w:sz w:val="22"/>
                <w:szCs w:val="22"/>
                <w:shd w:val="clear" w:color="auto" w:fill="FFFFFF"/>
                <w:lang w:eastAsia="en-US"/>
                <w14:ligatures w14:val="standardContextual"/>
              </w:rPr>
            </w:pPr>
            <w:r w:rsidRPr="00C27A60">
              <w:rPr>
                <w:rFonts w:eastAsia="Aptos"/>
                <w:b/>
                <w:kern w:val="2"/>
                <w:sz w:val="22"/>
                <w:szCs w:val="22"/>
                <w:shd w:val="clear" w:color="auto" w:fill="FFFFFF"/>
                <w:lang w:eastAsia="en-US"/>
                <w14:ligatures w14:val="standardContextual"/>
              </w:rPr>
              <w:t>7) перевищення витрат</w:t>
            </w:r>
            <w:r w:rsidRPr="00C27A60">
              <w:rPr>
                <w:rFonts w:eastAsia="Aptos"/>
                <w:b/>
                <w:kern w:val="2"/>
                <w:sz w:val="22"/>
                <w:szCs w:val="22"/>
                <w:shd w:val="clear" w:color="auto" w:fill="FFFFFF"/>
                <w:lang w:val="ru-RU" w:eastAsia="en-US"/>
                <w14:ligatures w14:val="standardContextual"/>
              </w:rPr>
              <w:t xml:space="preserve"> над</w:t>
            </w:r>
            <w:r w:rsidRPr="00C27A60">
              <w:rPr>
                <w:rFonts w:eastAsia="Aptos"/>
                <w:b/>
                <w:kern w:val="2"/>
                <w:sz w:val="22"/>
                <w:szCs w:val="22"/>
                <w:shd w:val="clear" w:color="auto" w:fill="FFFFFF"/>
                <w:lang w:eastAsia="en-US"/>
                <w14:ligatures w14:val="standardContextual"/>
              </w:rPr>
              <w:t xml:space="preserve"> доходами з нарахування трьох процентів річних на суму боргу за договорами, що відносяться до ліцензованої діяльності</w:t>
            </w:r>
          </w:p>
          <w:p w14:paraId="04FE0A68" w14:textId="77777777" w:rsidR="006120B9" w:rsidRPr="00C27A60" w:rsidRDefault="006120B9" w:rsidP="006120B9">
            <w:pPr>
              <w:spacing w:after="160" w:line="259" w:lineRule="auto"/>
              <w:jc w:val="both"/>
              <w:rPr>
                <w:rFonts w:eastAsia="Aptos"/>
                <w:b/>
                <w:kern w:val="2"/>
                <w:sz w:val="22"/>
                <w:szCs w:val="22"/>
                <w:shd w:val="clear" w:color="auto" w:fill="FFFFFF"/>
                <w:lang w:eastAsia="en-US"/>
                <w14:ligatures w14:val="standardContextual"/>
              </w:rPr>
            </w:pPr>
          </w:p>
          <w:p w14:paraId="64A30177" w14:textId="77777777" w:rsidR="006120B9" w:rsidRPr="00C27A60" w:rsidRDefault="006120B9" w:rsidP="006120B9">
            <w:pPr>
              <w:rPr>
                <w:i/>
                <w:sz w:val="22"/>
                <w:szCs w:val="22"/>
              </w:rPr>
            </w:pPr>
            <w:r w:rsidRPr="00C27A60">
              <w:rPr>
                <w:i/>
                <w:sz w:val="22"/>
                <w:szCs w:val="22"/>
              </w:rPr>
              <w:t>ОБРГРУНТУВАННЯ:</w:t>
            </w:r>
          </w:p>
          <w:p w14:paraId="457DD19A" w14:textId="17A62228" w:rsidR="006120B9" w:rsidRPr="00C27A60" w:rsidRDefault="006120B9" w:rsidP="00C533B1">
            <w:pPr>
              <w:rPr>
                <w:i/>
                <w:sz w:val="22"/>
                <w:szCs w:val="22"/>
              </w:rPr>
            </w:pPr>
            <w:r w:rsidRPr="00C27A60">
              <w:rPr>
                <w:rFonts w:eastAsia="Calibri"/>
                <w:sz w:val="22"/>
                <w:szCs w:val="22"/>
              </w:rPr>
              <w:t>При визначенні у загальній сумі додатково отриманого або недоотриманого доходу пропонується враховувати перевищення витрат над доходами з нарахування  інфляційних втрат на суму боргу та трьох процентів річних, які за  своєю сутністю не є ані штрафними санкціями, ані пенею, а мають бути невід’ємною складовою структури тарифів ОСП.</w:t>
            </w:r>
          </w:p>
        </w:tc>
        <w:tc>
          <w:tcPr>
            <w:tcW w:w="3546" w:type="dxa"/>
            <w:shd w:val="clear" w:color="auto" w:fill="auto"/>
          </w:tcPr>
          <w:p w14:paraId="6CF0AB8E" w14:textId="77777777" w:rsidR="002C1ACD" w:rsidRPr="00C27A60" w:rsidRDefault="002C1ACD" w:rsidP="002C1ACD">
            <w:pPr>
              <w:jc w:val="both"/>
              <w:rPr>
                <w:b/>
                <w:sz w:val="22"/>
                <w:szCs w:val="22"/>
              </w:rPr>
            </w:pPr>
          </w:p>
          <w:p w14:paraId="553974ED" w14:textId="77777777" w:rsidR="002C1ACD" w:rsidRPr="00C27A60" w:rsidRDefault="002C1ACD" w:rsidP="002C1ACD">
            <w:pPr>
              <w:jc w:val="both"/>
              <w:rPr>
                <w:b/>
                <w:sz w:val="22"/>
                <w:szCs w:val="22"/>
              </w:rPr>
            </w:pPr>
          </w:p>
          <w:p w14:paraId="0A424682" w14:textId="77777777" w:rsidR="002C1ACD" w:rsidRPr="00C27A60" w:rsidRDefault="002C1ACD" w:rsidP="002C1ACD">
            <w:pPr>
              <w:jc w:val="both"/>
              <w:rPr>
                <w:b/>
                <w:sz w:val="22"/>
                <w:szCs w:val="22"/>
              </w:rPr>
            </w:pPr>
          </w:p>
          <w:p w14:paraId="0870EAA4" w14:textId="77777777" w:rsidR="00495B7A" w:rsidRPr="00495B7A" w:rsidRDefault="00495B7A" w:rsidP="00495B7A">
            <w:pPr>
              <w:pStyle w:val="af5"/>
              <w:spacing w:before="0" w:beforeAutospacing="0" w:after="0" w:afterAutospacing="0"/>
              <w:rPr>
                <w:b/>
                <w:sz w:val="22"/>
                <w:szCs w:val="22"/>
              </w:rPr>
            </w:pPr>
            <w:r w:rsidRPr="00495B7A">
              <w:rPr>
                <w:b/>
                <w:sz w:val="22"/>
                <w:szCs w:val="22"/>
              </w:rPr>
              <w:t>Потребує обговорення</w:t>
            </w:r>
          </w:p>
          <w:p w14:paraId="2AE6E141" w14:textId="6EE65663" w:rsidR="002C1ACD" w:rsidRDefault="002C1ACD" w:rsidP="002C1ACD">
            <w:pPr>
              <w:ind w:firstLine="240"/>
              <w:jc w:val="both"/>
              <w:rPr>
                <w:sz w:val="22"/>
                <w:szCs w:val="22"/>
              </w:rPr>
            </w:pPr>
          </w:p>
          <w:p w14:paraId="158D18BE" w14:textId="60FADF67" w:rsidR="00495B7A" w:rsidRDefault="00495B7A" w:rsidP="002C1ACD">
            <w:pPr>
              <w:ind w:firstLine="240"/>
              <w:jc w:val="both"/>
              <w:rPr>
                <w:sz w:val="22"/>
                <w:szCs w:val="22"/>
              </w:rPr>
            </w:pPr>
          </w:p>
          <w:p w14:paraId="13595CF8" w14:textId="665054CF" w:rsidR="00495B7A" w:rsidRDefault="00495B7A" w:rsidP="002C1ACD">
            <w:pPr>
              <w:ind w:firstLine="240"/>
              <w:jc w:val="both"/>
              <w:rPr>
                <w:sz w:val="22"/>
                <w:szCs w:val="22"/>
              </w:rPr>
            </w:pPr>
          </w:p>
          <w:p w14:paraId="32D26450" w14:textId="4C5F261B" w:rsidR="00495B7A" w:rsidRDefault="00495B7A" w:rsidP="002C1ACD">
            <w:pPr>
              <w:ind w:firstLine="240"/>
              <w:jc w:val="both"/>
              <w:rPr>
                <w:sz w:val="22"/>
                <w:szCs w:val="22"/>
              </w:rPr>
            </w:pPr>
          </w:p>
          <w:p w14:paraId="7945B9DD" w14:textId="02F84E3F" w:rsidR="00495B7A" w:rsidRDefault="00495B7A" w:rsidP="002C1ACD">
            <w:pPr>
              <w:ind w:firstLine="240"/>
              <w:jc w:val="both"/>
              <w:rPr>
                <w:sz w:val="22"/>
                <w:szCs w:val="22"/>
              </w:rPr>
            </w:pPr>
          </w:p>
          <w:p w14:paraId="19B017BC" w14:textId="61DA22D3" w:rsidR="00495B7A" w:rsidRDefault="00495B7A" w:rsidP="002C1ACD">
            <w:pPr>
              <w:ind w:firstLine="240"/>
              <w:jc w:val="both"/>
              <w:rPr>
                <w:sz w:val="22"/>
                <w:szCs w:val="22"/>
              </w:rPr>
            </w:pPr>
          </w:p>
          <w:p w14:paraId="0876E903" w14:textId="77777777" w:rsidR="00495B7A" w:rsidRPr="00C27A60" w:rsidRDefault="00495B7A" w:rsidP="002C1ACD">
            <w:pPr>
              <w:ind w:firstLine="240"/>
              <w:jc w:val="both"/>
              <w:rPr>
                <w:sz w:val="22"/>
                <w:szCs w:val="22"/>
              </w:rPr>
            </w:pPr>
          </w:p>
          <w:p w14:paraId="138B4B72" w14:textId="77777777" w:rsidR="00495B7A" w:rsidRPr="00495B7A" w:rsidRDefault="00495B7A" w:rsidP="00495B7A">
            <w:pPr>
              <w:pStyle w:val="af5"/>
              <w:spacing w:before="0" w:beforeAutospacing="0" w:after="0" w:afterAutospacing="0"/>
              <w:rPr>
                <w:b/>
                <w:sz w:val="22"/>
                <w:szCs w:val="22"/>
              </w:rPr>
            </w:pPr>
            <w:r w:rsidRPr="00495B7A">
              <w:rPr>
                <w:b/>
                <w:sz w:val="22"/>
                <w:szCs w:val="22"/>
              </w:rPr>
              <w:t>Потребує обговорення</w:t>
            </w:r>
          </w:p>
          <w:p w14:paraId="06DEE19B" w14:textId="77777777" w:rsidR="00C533B1" w:rsidRPr="00C27A60" w:rsidRDefault="00C533B1" w:rsidP="00C533B1">
            <w:pPr>
              <w:ind w:firstLine="240"/>
              <w:jc w:val="both"/>
              <w:rPr>
                <w:sz w:val="22"/>
                <w:szCs w:val="22"/>
              </w:rPr>
            </w:pPr>
          </w:p>
        </w:tc>
      </w:tr>
      <w:tr w:rsidR="00C27A60" w:rsidRPr="00C27A60" w14:paraId="5F4B44D8" w14:textId="77777777" w:rsidTr="00793CFF">
        <w:trPr>
          <w:trHeight w:val="595"/>
        </w:trPr>
        <w:tc>
          <w:tcPr>
            <w:tcW w:w="5839" w:type="dxa"/>
            <w:shd w:val="clear" w:color="auto" w:fill="auto"/>
          </w:tcPr>
          <w:p w14:paraId="514298BA" w14:textId="77777777" w:rsidR="006120B9" w:rsidRPr="00C27A60" w:rsidRDefault="006120B9" w:rsidP="006120B9">
            <w:pPr>
              <w:spacing w:after="160" w:line="259" w:lineRule="auto"/>
              <w:ind w:firstLine="308"/>
              <w:jc w:val="both"/>
              <w:rPr>
                <w:rFonts w:eastAsia="Calibri"/>
                <w:sz w:val="22"/>
                <w:szCs w:val="22"/>
                <w:shd w:val="clear" w:color="auto" w:fill="FFFFFF"/>
                <w:lang w:eastAsia="en-US"/>
              </w:rPr>
            </w:pPr>
          </w:p>
          <w:p w14:paraId="5C4FE5B9" w14:textId="02E9F7C8" w:rsidR="00C533B1" w:rsidRPr="00C27A60" w:rsidRDefault="006120B9" w:rsidP="006120B9">
            <w:pPr>
              <w:rPr>
                <w:sz w:val="22"/>
                <w:szCs w:val="22"/>
              </w:rPr>
            </w:pPr>
            <w:r w:rsidRPr="00C27A60">
              <w:rPr>
                <w:b/>
                <w:sz w:val="22"/>
                <w:szCs w:val="22"/>
                <w:shd w:val="clear" w:color="auto" w:fill="FFFFFF"/>
              </w:rPr>
              <w:t>ЗМІНИ НЕ ПРОПОНУВАЛИСЬ</w:t>
            </w:r>
          </w:p>
        </w:tc>
        <w:tc>
          <w:tcPr>
            <w:tcW w:w="5812" w:type="dxa"/>
            <w:shd w:val="clear" w:color="auto" w:fill="auto"/>
          </w:tcPr>
          <w:p w14:paraId="69DF6A2F" w14:textId="77777777" w:rsidR="006120B9" w:rsidRPr="00C27A60" w:rsidRDefault="006120B9" w:rsidP="00742EBF">
            <w:pPr>
              <w:jc w:val="both"/>
              <w:rPr>
                <w:i/>
                <w:sz w:val="22"/>
                <w:szCs w:val="22"/>
              </w:rPr>
            </w:pPr>
          </w:p>
          <w:p w14:paraId="3AF9699C" w14:textId="77777777" w:rsidR="006120B9" w:rsidRPr="00C27A60" w:rsidRDefault="006120B9" w:rsidP="00742EBF">
            <w:pPr>
              <w:jc w:val="both"/>
              <w:rPr>
                <w:i/>
                <w:sz w:val="22"/>
                <w:szCs w:val="22"/>
              </w:rPr>
            </w:pPr>
            <w:r w:rsidRPr="00C27A60">
              <w:rPr>
                <w:i/>
                <w:sz w:val="22"/>
                <w:szCs w:val="22"/>
              </w:rPr>
              <w:t>НЕК «УКРЕНЕРГО»</w:t>
            </w:r>
          </w:p>
          <w:p w14:paraId="0BEEE6D2" w14:textId="1273F98F" w:rsidR="006120B9" w:rsidRPr="00C27A60" w:rsidRDefault="006120B9" w:rsidP="00742EBF">
            <w:pPr>
              <w:spacing w:after="160" w:line="259" w:lineRule="auto"/>
              <w:ind w:firstLine="308"/>
              <w:jc w:val="both"/>
              <w:rPr>
                <w:rFonts w:eastAsia="Aptos"/>
                <w:kern w:val="2"/>
                <w:sz w:val="22"/>
                <w:szCs w:val="22"/>
                <w:shd w:val="clear" w:color="auto" w:fill="FFFFFF"/>
                <w:lang w:eastAsia="en-US"/>
                <w14:ligatures w14:val="standardContextual"/>
              </w:rPr>
            </w:pPr>
            <w:r w:rsidRPr="00C27A60">
              <w:rPr>
                <w:rFonts w:eastAsia="Aptos"/>
                <w:kern w:val="2"/>
                <w:sz w:val="22"/>
                <w:szCs w:val="22"/>
                <w:shd w:val="clear" w:color="auto" w:fill="FFFFFF"/>
                <w:lang w:eastAsia="en-US"/>
                <w14:ligatures w14:val="standardContextual"/>
              </w:rPr>
              <w:t>6. Розмір об’єктивних чинників недофінансування діяльності з диспетчерського (оперативно-технологічного) управління визначається як сума таких об’єктивних чинників недофінансування:</w:t>
            </w:r>
          </w:p>
          <w:p w14:paraId="62DE3004" w14:textId="77777777" w:rsidR="006120B9" w:rsidRPr="00C27A60" w:rsidRDefault="006120B9" w:rsidP="00742EBF">
            <w:pPr>
              <w:spacing w:after="160" w:line="259" w:lineRule="auto"/>
              <w:ind w:firstLine="308"/>
              <w:jc w:val="both"/>
              <w:rPr>
                <w:rFonts w:eastAsia="Aptos"/>
                <w:kern w:val="2"/>
                <w:sz w:val="22"/>
                <w:szCs w:val="22"/>
                <w:shd w:val="clear" w:color="auto" w:fill="FFFFFF"/>
                <w:lang w:eastAsia="en-US"/>
                <w14:ligatures w14:val="standardContextual"/>
              </w:rPr>
            </w:pPr>
            <w:r w:rsidRPr="00C27A60">
              <w:rPr>
                <w:rFonts w:eastAsia="Aptos"/>
                <w:kern w:val="2"/>
                <w:sz w:val="22"/>
                <w:szCs w:val="22"/>
                <w:shd w:val="clear" w:color="auto" w:fill="FFFFFF"/>
                <w:lang w:eastAsia="en-US"/>
                <w14:ligatures w14:val="standardContextual"/>
              </w:rPr>
              <w:t>&lt;…&gt;</w:t>
            </w:r>
          </w:p>
          <w:p w14:paraId="6CBBEEB2" w14:textId="77777777" w:rsidR="006120B9" w:rsidRPr="00C27A60" w:rsidRDefault="006120B9" w:rsidP="00742EBF">
            <w:pPr>
              <w:spacing w:after="160" w:line="259" w:lineRule="auto"/>
              <w:ind w:firstLine="308"/>
              <w:jc w:val="both"/>
              <w:rPr>
                <w:rFonts w:eastAsia="Aptos"/>
                <w:b/>
                <w:kern w:val="2"/>
                <w:sz w:val="22"/>
                <w:szCs w:val="22"/>
                <w:shd w:val="clear" w:color="auto" w:fill="FFFFFF"/>
                <w:lang w:eastAsia="en-US"/>
                <w14:ligatures w14:val="standardContextual"/>
              </w:rPr>
            </w:pPr>
            <w:r w:rsidRPr="00C27A60">
              <w:rPr>
                <w:rFonts w:eastAsia="Aptos"/>
                <w:bCs/>
                <w:kern w:val="2"/>
                <w:sz w:val="22"/>
                <w:szCs w:val="22"/>
                <w:shd w:val="clear" w:color="auto" w:fill="FFFFFF"/>
                <w:lang w:eastAsia="en-US"/>
                <w14:ligatures w14:val="standardContextual"/>
              </w:rPr>
              <w:t>4) фактичні витрати, понесені ліцензіатом у звітному році, які відповідно до постанов № 345 та № 1342 визнано обґрунтованими</w:t>
            </w:r>
            <w:r w:rsidRPr="00C27A60">
              <w:rPr>
                <w:rFonts w:eastAsia="Aptos"/>
                <w:b/>
                <w:kern w:val="2"/>
                <w:sz w:val="22"/>
                <w:szCs w:val="22"/>
                <w:shd w:val="clear" w:color="auto" w:fill="FFFFFF"/>
                <w:lang w:eastAsia="en-US"/>
                <w14:ligatures w14:val="standardContextual"/>
              </w:rPr>
              <w:t>, а також сума обґрунтованих перевитрат з оплати праці на виплати персоналу НЕК «Укренерго» (з нарахуваннями), пов’язані з виконанням функцій та завдань в умовах воєнних дій.</w:t>
            </w:r>
          </w:p>
          <w:p w14:paraId="07531630" w14:textId="77777777" w:rsidR="006120B9" w:rsidRPr="00C27A60" w:rsidRDefault="006120B9" w:rsidP="00742EBF">
            <w:pPr>
              <w:spacing w:after="160" w:line="259" w:lineRule="auto"/>
              <w:ind w:firstLine="308"/>
              <w:jc w:val="both"/>
              <w:rPr>
                <w:rFonts w:eastAsia="Aptos"/>
                <w:b/>
                <w:kern w:val="2"/>
                <w:sz w:val="22"/>
                <w:szCs w:val="22"/>
                <w:shd w:val="clear" w:color="auto" w:fill="FFFFFF"/>
                <w:lang w:eastAsia="en-US"/>
                <w14:ligatures w14:val="standardContextual"/>
              </w:rPr>
            </w:pPr>
          </w:p>
          <w:p w14:paraId="766192C1" w14:textId="77777777" w:rsidR="00742EBF" w:rsidRPr="00C27A60" w:rsidRDefault="00742EBF" w:rsidP="00742EBF">
            <w:pPr>
              <w:spacing w:after="160" w:line="259" w:lineRule="auto"/>
              <w:ind w:firstLine="308"/>
              <w:jc w:val="both"/>
              <w:rPr>
                <w:rFonts w:eastAsia="Aptos"/>
                <w:b/>
                <w:kern w:val="2"/>
                <w:sz w:val="22"/>
                <w:szCs w:val="22"/>
                <w:shd w:val="clear" w:color="auto" w:fill="FFFFFF"/>
                <w:lang w:eastAsia="en-US"/>
                <w14:ligatures w14:val="standardContextual"/>
              </w:rPr>
            </w:pPr>
          </w:p>
          <w:p w14:paraId="29B0B9EB" w14:textId="77777777" w:rsidR="00DC56B8" w:rsidRPr="00C27A60" w:rsidRDefault="00DC56B8" w:rsidP="00742EBF">
            <w:pPr>
              <w:spacing w:after="160" w:line="259" w:lineRule="auto"/>
              <w:ind w:firstLine="308"/>
              <w:jc w:val="both"/>
              <w:rPr>
                <w:rFonts w:eastAsia="Aptos"/>
                <w:b/>
                <w:kern w:val="2"/>
                <w:sz w:val="22"/>
                <w:szCs w:val="22"/>
                <w:shd w:val="clear" w:color="auto" w:fill="FFFFFF"/>
                <w:lang w:eastAsia="en-US"/>
                <w14:ligatures w14:val="standardContextual"/>
              </w:rPr>
            </w:pPr>
          </w:p>
          <w:p w14:paraId="50493AA8" w14:textId="77777777" w:rsidR="00C533B1" w:rsidRPr="00C27A60" w:rsidRDefault="006120B9" w:rsidP="00742EBF">
            <w:pPr>
              <w:jc w:val="both"/>
              <w:rPr>
                <w:rFonts w:eastAsia="Calibri"/>
                <w:b/>
                <w:bCs/>
                <w:kern w:val="2"/>
                <w:sz w:val="22"/>
                <w:szCs w:val="22"/>
                <w:lang w:eastAsia="en-US"/>
                <w14:ligatures w14:val="standardContextual"/>
              </w:rPr>
            </w:pPr>
            <w:r w:rsidRPr="00C27A60">
              <w:rPr>
                <w:rFonts w:eastAsia="Aptos"/>
                <w:b/>
                <w:kern w:val="2"/>
                <w:sz w:val="22"/>
                <w:szCs w:val="22"/>
                <w:shd w:val="clear" w:color="auto" w:fill="FFFFFF"/>
                <w:lang w:eastAsia="en-US"/>
                <w14:ligatures w14:val="standardContextual"/>
              </w:rPr>
              <w:t xml:space="preserve">5) </w:t>
            </w:r>
            <w:r w:rsidRPr="00C27A60">
              <w:rPr>
                <w:rFonts w:eastAsia="Calibri"/>
                <w:b/>
                <w:bCs/>
                <w:kern w:val="2"/>
                <w:sz w:val="22"/>
                <w:szCs w:val="22"/>
                <w:lang w:eastAsia="en-US"/>
                <w14:ligatures w14:val="standardContextual"/>
              </w:rPr>
              <w:t>економія, яка виникла при виконанні заходів Інвестиційної програми за умови виконання фізичних обсягів у повному обсязі,  як джерело фінансування додаткових витрат на оплату праці (із нарахуваннями) персоналу компанії.</w:t>
            </w:r>
          </w:p>
          <w:p w14:paraId="55C0FE0D" w14:textId="77777777" w:rsidR="00742EBF" w:rsidRPr="00C27A60" w:rsidRDefault="00742EBF" w:rsidP="00742EBF">
            <w:pPr>
              <w:spacing w:after="160" w:line="259" w:lineRule="auto"/>
              <w:jc w:val="both"/>
              <w:rPr>
                <w:rFonts w:eastAsia="Aptos"/>
                <w:bCs/>
                <w:kern w:val="2"/>
                <w:sz w:val="22"/>
                <w:szCs w:val="22"/>
                <w:shd w:val="clear" w:color="auto" w:fill="FFFFFF"/>
                <w:lang w:eastAsia="en-US"/>
                <w14:ligatures w14:val="standardContextual"/>
              </w:rPr>
            </w:pPr>
          </w:p>
          <w:p w14:paraId="2DC7232F" w14:textId="77777777" w:rsidR="006120B9" w:rsidRPr="00C27A60" w:rsidRDefault="006120B9" w:rsidP="00742EBF">
            <w:pPr>
              <w:jc w:val="both"/>
              <w:rPr>
                <w:i/>
                <w:sz w:val="22"/>
                <w:szCs w:val="22"/>
              </w:rPr>
            </w:pPr>
            <w:r w:rsidRPr="00C27A60">
              <w:rPr>
                <w:i/>
                <w:sz w:val="22"/>
                <w:szCs w:val="22"/>
              </w:rPr>
              <w:t>ОБРГРУНТУВАННЯ:</w:t>
            </w:r>
          </w:p>
          <w:p w14:paraId="002CC3AD" w14:textId="2F0D6182" w:rsidR="006120B9" w:rsidRPr="00C27A60" w:rsidRDefault="006120B9" w:rsidP="00742EBF">
            <w:pPr>
              <w:jc w:val="both"/>
              <w:rPr>
                <w:i/>
                <w:sz w:val="22"/>
                <w:szCs w:val="22"/>
              </w:rPr>
            </w:pPr>
            <w:r w:rsidRPr="00C27A60">
              <w:rPr>
                <w:rFonts w:eastAsia="Calibri"/>
                <w:kern w:val="2"/>
                <w:sz w:val="22"/>
                <w:szCs w:val="22"/>
                <w:lang w:eastAsia="en-US"/>
                <w14:ligatures w14:val="standardContextual"/>
              </w:rPr>
              <w:t xml:space="preserve">При визначенні загальної суми додатково отриманого або недоотриманого доходу ОСП від здійснення діяльності з диспетчерського (оперативно-технологічного) управління пропонується враховувати фактичні витрати, понесені ліцензіатом у звітному році, які відповідно до постанов № 345 та № 1342 визнано обґрунтованими, а також сума обґрунтованих перевитрат з оплати праці на виплати персоналу НЕК «Укренерго», пов’язані з виконанням функцій та завдань в умовах воєнного стану та протягом трьох місяців після його відміни, а також економію, яка </w:t>
            </w:r>
            <w:r w:rsidRPr="00C27A60">
              <w:rPr>
                <w:rFonts w:eastAsia="Calibri"/>
                <w:kern w:val="2"/>
                <w:sz w:val="22"/>
                <w:szCs w:val="22"/>
                <w:lang w:eastAsia="en-US"/>
                <w14:ligatures w14:val="standardContextual"/>
              </w:rPr>
              <w:lastRenderedPageBreak/>
              <w:t xml:space="preserve">виникла при виконанні заходів Інвестиційної програми за умови виконання фізичних обсягів у повному обсязі, як джерело фінансування додаткових витрат на оплату праці (із нарахуваннями) персоналу компанії  </w:t>
            </w:r>
          </w:p>
        </w:tc>
        <w:tc>
          <w:tcPr>
            <w:tcW w:w="3546" w:type="dxa"/>
            <w:shd w:val="clear" w:color="auto" w:fill="auto"/>
          </w:tcPr>
          <w:p w14:paraId="31E0C5A1" w14:textId="77777777" w:rsidR="00793CFF" w:rsidRPr="00C27A60" w:rsidRDefault="00793CFF" w:rsidP="00793CFF">
            <w:pPr>
              <w:jc w:val="both"/>
              <w:rPr>
                <w:b/>
                <w:sz w:val="22"/>
                <w:szCs w:val="22"/>
              </w:rPr>
            </w:pPr>
          </w:p>
          <w:p w14:paraId="07DE063B" w14:textId="77777777" w:rsidR="00793CFF" w:rsidRPr="00C27A60" w:rsidRDefault="00793CFF" w:rsidP="00793CFF">
            <w:pPr>
              <w:jc w:val="both"/>
              <w:rPr>
                <w:b/>
                <w:sz w:val="22"/>
                <w:szCs w:val="22"/>
              </w:rPr>
            </w:pPr>
          </w:p>
          <w:p w14:paraId="34EC6394" w14:textId="77777777" w:rsidR="00793CFF" w:rsidRPr="00C27A60" w:rsidRDefault="00793CFF" w:rsidP="00793CFF">
            <w:pPr>
              <w:jc w:val="both"/>
              <w:rPr>
                <w:b/>
                <w:sz w:val="22"/>
                <w:szCs w:val="22"/>
              </w:rPr>
            </w:pPr>
          </w:p>
          <w:p w14:paraId="17A9E83A" w14:textId="77777777" w:rsidR="00793CFF" w:rsidRPr="00C27A60" w:rsidRDefault="00793CFF" w:rsidP="00793CFF">
            <w:pPr>
              <w:jc w:val="both"/>
              <w:rPr>
                <w:b/>
                <w:sz w:val="22"/>
                <w:szCs w:val="22"/>
              </w:rPr>
            </w:pPr>
          </w:p>
          <w:p w14:paraId="3E20297E" w14:textId="77777777" w:rsidR="00793CFF" w:rsidRPr="00C27A60" w:rsidRDefault="00793CFF" w:rsidP="00793CFF">
            <w:pPr>
              <w:jc w:val="both"/>
              <w:rPr>
                <w:b/>
                <w:sz w:val="22"/>
                <w:szCs w:val="22"/>
              </w:rPr>
            </w:pPr>
          </w:p>
          <w:p w14:paraId="4928EABD" w14:textId="5EEAD728" w:rsidR="00793CFF" w:rsidRDefault="00793CFF" w:rsidP="00793CFF">
            <w:pPr>
              <w:jc w:val="both"/>
              <w:rPr>
                <w:b/>
                <w:sz w:val="22"/>
                <w:szCs w:val="22"/>
              </w:rPr>
            </w:pPr>
          </w:p>
          <w:p w14:paraId="724CFA69" w14:textId="77777777" w:rsidR="003E1E4D" w:rsidRPr="00C27A60" w:rsidRDefault="003E1E4D" w:rsidP="00793CFF">
            <w:pPr>
              <w:jc w:val="both"/>
              <w:rPr>
                <w:b/>
                <w:sz w:val="22"/>
                <w:szCs w:val="22"/>
              </w:rPr>
            </w:pPr>
          </w:p>
          <w:p w14:paraId="53BD9C4E" w14:textId="77777777" w:rsidR="00793CFF" w:rsidRPr="00C27A60" w:rsidRDefault="00793CFF" w:rsidP="00793CFF">
            <w:pPr>
              <w:jc w:val="both"/>
              <w:rPr>
                <w:b/>
                <w:sz w:val="22"/>
                <w:szCs w:val="22"/>
              </w:rPr>
            </w:pPr>
          </w:p>
          <w:p w14:paraId="3A6ACCA7" w14:textId="77777777" w:rsidR="00793CFF" w:rsidRPr="00C27A60" w:rsidRDefault="00793CFF" w:rsidP="00793CFF">
            <w:pPr>
              <w:jc w:val="both"/>
              <w:rPr>
                <w:b/>
                <w:sz w:val="22"/>
                <w:szCs w:val="22"/>
              </w:rPr>
            </w:pPr>
          </w:p>
          <w:p w14:paraId="4FD5124D" w14:textId="77777777" w:rsidR="00E10423" w:rsidRPr="00C27A60" w:rsidRDefault="00E10423" w:rsidP="00E10423">
            <w:pPr>
              <w:jc w:val="both"/>
              <w:rPr>
                <w:b/>
                <w:sz w:val="22"/>
                <w:szCs w:val="22"/>
              </w:rPr>
            </w:pPr>
            <w:r w:rsidRPr="00C27A60">
              <w:rPr>
                <w:b/>
                <w:sz w:val="22"/>
                <w:szCs w:val="22"/>
              </w:rPr>
              <w:t>Пропонується до обговорення</w:t>
            </w:r>
          </w:p>
          <w:p w14:paraId="62C1CDB3" w14:textId="77777777" w:rsidR="00742EBF" w:rsidRPr="00C27A60" w:rsidRDefault="00742EBF" w:rsidP="00742EBF">
            <w:pPr>
              <w:jc w:val="both"/>
              <w:rPr>
                <w:sz w:val="22"/>
                <w:szCs w:val="22"/>
              </w:rPr>
            </w:pPr>
            <w:r w:rsidRPr="00C27A60">
              <w:rPr>
                <w:b/>
                <w:sz w:val="22"/>
                <w:szCs w:val="22"/>
              </w:rPr>
              <w:t>пропонується редакція:</w:t>
            </w:r>
          </w:p>
          <w:p w14:paraId="3FFD4363" w14:textId="3B8F554B" w:rsidR="00742EBF" w:rsidRPr="00C27A60" w:rsidRDefault="00742EBF" w:rsidP="00742EBF">
            <w:pPr>
              <w:ind w:firstLine="240"/>
              <w:jc w:val="both"/>
              <w:rPr>
                <w:sz w:val="22"/>
                <w:szCs w:val="22"/>
              </w:rPr>
            </w:pPr>
            <w:r w:rsidRPr="00C27A60">
              <w:rPr>
                <w:rFonts w:eastAsia="Calibri"/>
                <w:kern w:val="2"/>
                <w:sz w:val="22"/>
                <w:szCs w:val="22"/>
                <w:lang w:eastAsia="en-US"/>
                <w14:ligatures w14:val="standardContextual"/>
              </w:rPr>
              <w:t>«також сума обґрунтованих перевитрат, пов’язаних з виплатами оплати праці (з нарахуваннями) виробничо-технічному персоналу, у зв’язку із виконанням функцій та завдань в умовах воєнних дій (</w:t>
            </w:r>
            <w:r w:rsidR="004A0738" w:rsidRPr="00C27A60">
              <w:rPr>
                <w:rFonts w:eastAsia="Calibri"/>
                <w:kern w:val="2"/>
                <w:sz w:val="22"/>
                <w:szCs w:val="22"/>
                <w:lang w:eastAsia="en-US"/>
                <w14:ligatures w14:val="standardContextual"/>
              </w:rPr>
              <w:t>зокрема на</w:t>
            </w:r>
            <w:r w:rsidRPr="00C27A60">
              <w:rPr>
                <w:rFonts w:eastAsia="Calibri"/>
                <w:kern w:val="2"/>
                <w:sz w:val="22"/>
                <w:szCs w:val="22"/>
                <w:lang w:eastAsia="en-US"/>
                <w14:ligatures w14:val="standardContextual"/>
              </w:rPr>
              <w:t xml:space="preserve"> аварійн</w:t>
            </w:r>
            <w:r w:rsidR="00DC56B8" w:rsidRPr="00C27A60">
              <w:rPr>
                <w:rFonts w:eastAsia="Calibri"/>
                <w:kern w:val="2"/>
                <w:sz w:val="22"/>
                <w:szCs w:val="22"/>
                <w:lang w:eastAsia="en-US"/>
                <w14:ligatures w14:val="standardContextual"/>
              </w:rPr>
              <w:t>о</w:t>
            </w:r>
            <w:r w:rsidRPr="00C27A60">
              <w:rPr>
                <w:rFonts w:eastAsia="Calibri"/>
                <w:kern w:val="2"/>
                <w:sz w:val="22"/>
                <w:szCs w:val="22"/>
                <w:lang w:eastAsia="en-US"/>
                <w14:ligatures w14:val="standardContextual"/>
              </w:rPr>
              <w:t>-відновлювальні роботи)».</w:t>
            </w:r>
          </w:p>
          <w:p w14:paraId="720F145D" w14:textId="77777777" w:rsidR="00742EBF" w:rsidRPr="00C27A60" w:rsidRDefault="00742EBF" w:rsidP="00742EBF">
            <w:pPr>
              <w:ind w:firstLine="240"/>
              <w:jc w:val="both"/>
              <w:rPr>
                <w:sz w:val="22"/>
                <w:szCs w:val="22"/>
              </w:rPr>
            </w:pPr>
          </w:p>
          <w:p w14:paraId="282EB404" w14:textId="77777777" w:rsidR="00495B7A" w:rsidRPr="00C27A60" w:rsidRDefault="00495B7A" w:rsidP="00742EBF">
            <w:pPr>
              <w:ind w:firstLine="240"/>
              <w:jc w:val="both"/>
              <w:rPr>
                <w:sz w:val="22"/>
                <w:szCs w:val="22"/>
              </w:rPr>
            </w:pPr>
          </w:p>
          <w:p w14:paraId="29CD31CC" w14:textId="77777777" w:rsidR="00DC56B8" w:rsidRPr="00C27A60" w:rsidRDefault="00DC56B8" w:rsidP="00DC56B8">
            <w:pPr>
              <w:jc w:val="both"/>
              <w:rPr>
                <w:b/>
                <w:sz w:val="22"/>
                <w:szCs w:val="22"/>
              </w:rPr>
            </w:pPr>
            <w:r w:rsidRPr="00C27A60">
              <w:rPr>
                <w:b/>
                <w:sz w:val="22"/>
                <w:szCs w:val="22"/>
              </w:rPr>
              <w:t>Не враховується</w:t>
            </w:r>
          </w:p>
          <w:p w14:paraId="46B7BB44" w14:textId="77777777" w:rsidR="00DC56B8" w:rsidRPr="00C27A60" w:rsidRDefault="00DC56B8" w:rsidP="00DC56B8">
            <w:pPr>
              <w:jc w:val="both"/>
              <w:rPr>
                <w:b/>
                <w:sz w:val="22"/>
                <w:szCs w:val="22"/>
              </w:rPr>
            </w:pPr>
            <w:r w:rsidRPr="00C27A60">
              <w:rPr>
                <w:bCs/>
                <w:sz w:val="22"/>
                <w:szCs w:val="22"/>
              </w:rPr>
              <w:t>Викривлення принципів обґрунтованого виконання заходів Інвестиційної</w:t>
            </w:r>
            <w:r w:rsidRPr="00C27A60">
              <w:rPr>
                <w:b/>
                <w:sz w:val="22"/>
                <w:szCs w:val="22"/>
              </w:rPr>
              <w:t xml:space="preserve"> </w:t>
            </w:r>
            <w:r w:rsidRPr="00C27A60">
              <w:rPr>
                <w:bCs/>
                <w:sz w:val="22"/>
                <w:szCs w:val="22"/>
              </w:rPr>
              <w:t>програми.</w:t>
            </w:r>
          </w:p>
          <w:p w14:paraId="505B72AD" w14:textId="1E0004C5" w:rsidR="00C533B1" w:rsidRPr="00C27A60" w:rsidRDefault="00DC56B8" w:rsidP="004A0738">
            <w:pPr>
              <w:jc w:val="both"/>
              <w:rPr>
                <w:sz w:val="22"/>
                <w:szCs w:val="22"/>
              </w:rPr>
            </w:pPr>
            <w:r w:rsidRPr="00C27A60">
              <w:rPr>
                <w:bCs/>
                <w:sz w:val="22"/>
                <w:szCs w:val="22"/>
              </w:rPr>
              <w:t>Механізм врахування економії, що виникла внаслідок виконання заходів Інвестиційної програми, визначений, зокрема, пунктом 1</w:t>
            </w:r>
            <w:r w:rsidR="00944162">
              <w:rPr>
                <w:bCs/>
                <w:sz w:val="22"/>
                <w:szCs w:val="22"/>
              </w:rPr>
              <w:t>2</w:t>
            </w:r>
            <w:bookmarkStart w:id="1" w:name="_GoBack"/>
            <w:bookmarkEnd w:id="1"/>
            <w:r w:rsidRPr="00C27A60">
              <w:rPr>
                <w:bCs/>
                <w:sz w:val="22"/>
                <w:szCs w:val="22"/>
              </w:rPr>
              <w:t xml:space="preserve"> цієї методики.</w:t>
            </w:r>
          </w:p>
        </w:tc>
      </w:tr>
      <w:tr w:rsidR="00C27A60" w:rsidRPr="00C27A60" w14:paraId="2FF44AF3" w14:textId="77777777" w:rsidTr="00480FDE">
        <w:trPr>
          <w:trHeight w:val="595"/>
        </w:trPr>
        <w:tc>
          <w:tcPr>
            <w:tcW w:w="5839" w:type="dxa"/>
            <w:shd w:val="clear" w:color="auto" w:fill="auto"/>
          </w:tcPr>
          <w:p w14:paraId="436D51FC" w14:textId="77777777" w:rsidR="006120B9" w:rsidRPr="00C27A60" w:rsidRDefault="006120B9" w:rsidP="006120B9">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&lt;…&gt;</w:t>
            </w:r>
          </w:p>
          <w:p w14:paraId="53EEFF5F" w14:textId="77777777" w:rsidR="006120B9" w:rsidRPr="00C27A60" w:rsidRDefault="006120B9" w:rsidP="006120B9">
            <w:pPr>
              <w:spacing w:after="160" w:line="259" w:lineRule="auto"/>
              <w:ind w:firstLine="308"/>
              <w:jc w:val="both"/>
              <w:rPr>
                <w:rFonts w:eastAsia="Calibri"/>
                <w:sz w:val="22"/>
                <w:szCs w:val="22"/>
                <w:shd w:val="clear" w:color="auto" w:fill="FFFFFF"/>
                <w:lang w:eastAsia="en-US"/>
              </w:rPr>
            </w:pPr>
          </w:p>
          <w:p w14:paraId="12C7BCA7" w14:textId="77777777" w:rsidR="006120B9" w:rsidRPr="00C27A60" w:rsidRDefault="006120B9" w:rsidP="006120B9">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 xml:space="preserve">10. При здійсненні заходів контролю за результатами діяльності з диспетчерського (оперативно-технологічного) управління у 2022 - </w:t>
            </w:r>
            <w:r w:rsidRPr="00C27A60">
              <w:rPr>
                <w:rFonts w:eastAsia="Calibri"/>
                <w:b/>
                <w:sz w:val="22"/>
                <w:szCs w:val="22"/>
                <w:shd w:val="clear" w:color="auto" w:fill="FFFFFF"/>
                <w:lang w:eastAsia="en-US"/>
              </w:rPr>
              <w:t>2024</w:t>
            </w:r>
            <w:r w:rsidRPr="00C27A60">
              <w:rPr>
                <w:rFonts w:eastAsia="Calibri"/>
                <w:sz w:val="22"/>
                <w:szCs w:val="22"/>
                <w:shd w:val="clear" w:color="auto" w:fill="FFFFFF"/>
                <w:lang w:eastAsia="en-US"/>
              </w:rPr>
              <w:t xml:space="preserve">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139CFDAE" w14:textId="77777777" w:rsidR="006120B9" w:rsidRPr="00C27A60" w:rsidRDefault="006120B9" w:rsidP="006120B9">
            <w:pPr>
              <w:spacing w:after="160" w:line="259" w:lineRule="auto"/>
              <w:ind w:firstLine="308"/>
              <w:jc w:val="both"/>
              <w:rPr>
                <w:rFonts w:eastAsia="Calibri"/>
                <w:sz w:val="22"/>
                <w:szCs w:val="22"/>
                <w:shd w:val="clear" w:color="auto" w:fill="FFFFFF"/>
                <w:lang w:eastAsia="en-US"/>
              </w:rPr>
            </w:pPr>
          </w:p>
          <w:p w14:paraId="08BCB9BB" w14:textId="77777777" w:rsidR="006120B9" w:rsidRPr="00C27A60" w:rsidRDefault="006120B9" w:rsidP="006120B9">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&lt;…&gt;</w:t>
            </w:r>
          </w:p>
          <w:p w14:paraId="3FF6F17C" w14:textId="77777777" w:rsidR="00C533B1" w:rsidRPr="00C27A60" w:rsidRDefault="00C533B1" w:rsidP="00C533B1">
            <w:pPr>
              <w:rPr>
                <w:sz w:val="22"/>
                <w:szCs w:val="22"/>
              </w:rPr>
            </w:pPr>
          </w:p>
        </w:tc>
        <w:tc>
          <w:tcPr>
            <w:tcW w:w="5812" w:type="dxa"/>
            <w:shd w:val="clear" w:color="auto" w:fill="auto"/>
          </w:tcPr>
          <w:p w14:paraId="734048D4" w14:textId="77777777" w:rsidR="006120B9" w:rsidRPr="00C27A60" w:rsidRDefault="006120B9" w:rsidP="006120B9">
            <w:pPr>
              <w:rPr>
                <w:i/>
                <w:sz w:val="22"/>
                <w:szCs w:val="22"/>
              </w:rPr>
            </w:pPr>
          </w:p>
          <w:p w14:paraId="0436E069" w14:textId="77777777" w:rsidR="006120B9" w:rsidRPr="00C27A60" w:rsidRDefault="006120B9" w:rsidP="006120B9">
            <w:pPr>
              <w:rPr>
                <w:i/>
                <w:sz w:val="22"/>
                <w:szCs w:val="22"/>
              </w:rPr>
            </w:pPr>
            <w:r w:rsidRPr="00C27A60">
              <w:rPr>
                <w:i/>
                <w:sz w:val="22"/>
                <w:szCs w:val="22"/>
              </w:rPr>
              <w:t>НЕК «УКРЕНЕРГО»</w:t>
            </w:r>
          </w:p>
          <w:p w14:paraId="402DA552" w14:textId="77777777" w:rsidR="006120B9" w:rsidRPr="00C27A60" w:rsidRDefault="006120B9" w:rsidP="006120B9">
            <w:pPr>
              <w:spacing w:after="160" w:line="259" w:lineRule="auto"/>
              <w:ind w:firstLine="308"/>
              <w:jc w:val="both"/>
              <w:rPr>
                <w:rFonts w:eastAsia="Aptos"/>
                <w:kern w:val="2"/>
                <w:sz w:val="22"/>
                <w:szCs w:val="22"/>
                <w:shd w:val="clear" w:color="auto" w:fill="FFFFFF"/>
                <w:lang w:eastAsia="en-US"/>
                <w14:ligatures w14:val="standardContextual"/>
              </w:rPr>
            </w:pPr>
          </w:p>
          <w:p w14:paraId="322C00D9" w14:textId="77777777" w:rsidR="006120B9" w:rsidRPr="00C27A60" w:rsidRDefault="006120B9" w:rsidP="006120B9">
            <w:pPr>
              <w:spacing w:after="160" w:line="259" w:lineRule="auto"/>
              <w:ind w:firstLine="308"/>
              <w:jc w:val="both"/>
              <w:rPr>
                <w:rFonts w:eastAsia="Aptos"/>
                <w:kern w:val="2"/>
                <w:sz w:val="22"/>
                <w:szCs w:val="22"/>
                <w:shd w:val="clear" w:color="auto" w:fill="FFFFFF"/>
                <w:lang w:eastAsia="en-US"/>
                <w14:ligatures w14:val="standardContextual"/>
              </w:rPr>
            </w:pPr>
            <w:r w:rsidRPr="00C27A60">
              <w:rPr>
                <w:rFonts w:eastAsia="Aptos"/>
                <w:kern w:val="2"/>
                <w:sz w:val="22"/>
                <w:szCs w:val="22"/>
                <w:shd w:val="clear" w:color="auto" w:fill="FFFFFF"/>
                <w:lang w:eastAsia="en-US"/>
                <w14:ligatures w14:val="standardContextual"/>
              </w:rPr>
              <w:t xml:space="preserve">10. При здійсненні заходів контролю за результатами діяльності з диспетчерського (оперативно-технологічного) управління у 2022 - </w:t>
            </w:r>
            <w:r w:rsidRPr="00C27A60">
              <w:rPr>
                <w:rFonts w:eastAsia="Aptos"/>
                <w:b/>
                <w:kern w:val="2"/>
                <w:sz w:val="22"/>
                <w:szCs w:val="22"/>
                <w:shd w:val="clear" w:color="auto" w:fill="FFFFFF"/>
                <w:lang w:eastAsia="en-US"/>
                <w14:ligatures w14:val="standardContextual"/>
              </w:rPr>
              <w:t>2023</w:t>
            </w:r>
            <w:r w:rsidRPr="00C27A60">
              <w:rPr>
                <w:rFonts w:eastAsia="Aptos"/>
                <w:kern w:val="2"/>
                <w:sz w:val="22"/>
                <w:szCs w:val="22"/>
                <w:shd w:val="clear" w:color="auto" w:fill="FFFFFF"/>
                <w:lang w:eastAsia="en-US"/>
                <w14:ligatures w14:val="standardContextual"/>
              </w:rPr>
              <w:t xml:space="preserve">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6C4A4AC1" w14:textId="77777777" w:rsidR="006120B9" w:rsidRPr="00C27A60" w:rsidRDefault="006120B9" w:rsidP="006120B9">
            <w:pPr>
              <w:rPr>
                <w:i/>
                <w:sz w:val="22"/>
                <w:szCs w:val="22"/>
              </w:rPr>
            </w:pPr>
            <w:r w:rsidRPr="00C27A60">
              <w:rPr>
                <w:i/>
                <w:sz w:val="22"/>
                <w:szCs w:val="22"/>
              </w:rPr>
              <w:t>ОБРГРУНТУВАННЯ:</w:t>
            </w:r>
          </w:p>
          <w:p w14:paraId="7922B357" w14:textId="77777777" w:rsidR="006120B9" w:rsidRPr="00C27A60" w:rsidRDefault="006120B9" w:rsidP="006120B9">
            <w:pPr>
              <w:rPr>
                <w:i/>
                <w:sz w:val="22"/>
                <w:szCs w:val="22"/>
              </w:rPr>
            </w:pPr>
          </w:p>
          <w:p w14:paraId="08C60BF4" w14:textId="77777777" w:rsidR="006120B9" w:rsidRPr="00C27A60" w:rsidRDefault="006120B9" w:rsidP="006120B9">
            <w:pPr>
              <w:spacing w:after="160" w:line="259" w:lineRule="auto"/>
              <w:ind w:firstLine="312"/>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Недоотриманий дохід містить заборгованості, які мали бути погашені протягом періоду, що перевіряється, за цінами цього періоду.</w:t>
            </w:r>
          </w:p>
          <w:p w14:paraId="7F9B0B2B" w14:textId="30C53315" w:rsidR="00C533B1" w:rsidRPr="00C27A60" w:rsidRDefault="006120B9" w:rsidP="006120B9">
            <w:pPr>
              <w:rPr>
                <w:i/>
                <w:sz w:val="22"/>
                <w:szCs w:val="22"/>
              </w:rPr>
            </w:pPr>
            <w:r w:rsidRPr="00C27A60">
              <w:rPr>
                <w:rFonts w:eastAsia="Calibri"/>
                <w:kern w:val="2"/>
                <w:sz w:val="22"/>
                <w:szCs w:val="22"/>
                <w:lang w:eastAsia="en-US"/>
                <w14:ligatures w14:val="standardContextual"/>
              </w:rPr>
              <w:t>Проте, прийняття Регулятором за результатами перевірки рішення про перенесення здійснення витрат на наступний рік за рахунок недоотриманого доходу без врахування ІСЦ не забезпечить їх виконання у наступних періодах, адже через прострочення виконання зобов’язань по договорам, на ОСП накладаються додаткові компенсаторні чинники (інфляційні витрати, 3% річних тощо), з метою погашення яких Компанія має шукати інші джерела, в тому числі кредити. Ці додаткові джерела потім лягають на плечі споживачів через збільшення тарифів майбутніх періодів</w:t>
            </w:r>
          </w:p>
        </w:tc>
        <w:tc>
          <w:tcPr>
            <w:tcW w:w="3546" w:type="dxa"/>
            <w:shd w:val="clear" w:color="auto" w:fill="auto"/>
          </w:tcPr>
          <w:p w14:paraId="631E559F" w14:textId="77777777" w:rsidR="00480FDE" w:rsidRPr="00C27A60" w:rsidRDefault="00480FDE" w:rsidP="00480FDE">
            <w:pPr>
              <w:pStyle w:val="af5"/>
              <w:spacing w:before="0" w:beforeAutospacing="0" w:after="0" w:afterAutospacing="0"/>
              <w:rPr>
                <w:b/>
                <w:sz w:val="22"/>
                <w:szCs w:val="22"/>
                <w:lang w:eastAsia="ru-RU"/>
              </w:rPr>
            </w:pPr>
          </w:p>
          <w:p w14:paraId="0E00E13D" w14:textId="77777777" w:rsidR="00480FDE" w:rsidRPr="00C27A60" w:rsidRDefault="00480FDE" w:rsidP="00480FDE">
            <w:pPr>
              <w:pStyle w:val="af5"/>
              <w:spacing w:before="0" w:beforeAutospacing="0" w:after="0" w:afterAutospacing="0"/>
              <w:rPr>
                <w:b/>
                <w:sz w:val="22"/>
                <w:szCs w:val="22"/>
                <w:lang w:eastAsia="ru-RU"/>
              </w:rPr>
            </w:pPr>
          </w:p>
          <w:p w14:paraId="34393DF9" w14:textId="77777777" w:rsidR="00480FDE" w:rsidRPr="00C27A60" w:rsidRDefault="00480FDE" w:rsidP="00480FDE">
            <w:pPr>
              <w:pStyle w:val="af5"/>
              <w:spacing w:before="0" w:beforeAutospacing="0" w:after="0" w:afterAutospacing="0"/>
              <w:rPr>
                <w:b/>
                <w:sz w:val="22"/>
                <w:szCs w:val="22"/>
                <w:lang w:eastAsia="ru-RU"/>
              </w:rPr>
            </w:pPr>
          </w:p>
          <w:p w14:paraId="27CE325B" w14:textId="77777777" w:rsidR="00480FDE" w:rsidRPr="00C27A60" w:rsidRDefault="00480FDE" w:rsidP="00480FDE">
            <w:pPr>
              <w:pStyle w:val="af5"/>
              <w:spacing w:before="0" w:beforeAutospacing="0" w:after="0" w:afterAutospacing="0"/>
              <w:rPr>
                <w:b/>
                <w:sz w:val="22"/>
                <w:szCs w:val="22"/>
                <w:lang w:eastAsia="ru-RU"/>
              </w:rPr>
            </w:pPr>
          </w:p>
          <w:p w14:paraId="14E5045C" w14:textId="1AB834CC" w:rsidR="00480FDE" w:rsidRPr="00C27A60" w:rsidRDefault="00480FDE" w:rsidP="00480FDE">
            <w:pPr>
              <w:pStyle w:val="af5"/>
              <w:spacing w:before="0" w:beforeAutospacing="0" w:after="0" w:afterAutospacing="0"/>
              <w:rPr>
                <w:b/>
                <w:sz w:val="22"/>
                <w:szCs w:val="22"/>
                <w:lang w:eastAsia="ru-RU"/>
              </w:rPr>
            </w:pPr>
            <w:r w:rsidRPr="00C27A60">
              <w:rPr>
                <w:b/>
                <w:sz w:val="22"/>
                <w:szCs w:val="22"/>
                <w:lang w:eastAsia="ru-RU"/>
              </w:rPr>
              <w:t xml:space="preserve">Не враховується </w:t>
            </w:r>
          </w:p>
          <w:p w14:paraId="7A086AC0" w14:textId="77777777" w:rsidR="00C533B1" w:rsidRPr="00C27A60" w:rsidRDefault="00C533B1" w:rsidP="00495B7A">
            <w:pPr>
              <w:pStyle w:val="af5"/>
              <w:spacing w:before="0" w:beforeAutospacing="0" w:after="0" w:afterAutospacing="0"/>
              <w:rPr>
                <w:sz w:val="22"/>
                <w:szCs w:val="22"/>
              </w:rPr>
            </w:pPr>
          </w:p>
        </w:tc>
      </w:tr>
      <w:tr w:rsidR="00C27A60" w:rsidRPr="00C27A60" w14:paraId="68B362CC" w14:textId="77777777" w:rsidTr="00FC32FE">
        <w:trPr>
          <w:trHeight w:val="595"/>
        </w:trPr>
        <w:tc>
          <w:tcPr>
            <w:tcW w:w="15197" w:type="dxa"/>
            <w:gridSpan w:val="3"/>
            <w:shd w:val="clear" w:color="auto" w:fill="BDD6EE" w:themeFill="accent1" w:themeFillTint="66"/>
            <w:vAlign w:val="center"/>
          </w:tcPr>
          <w:p w14:paraId="07EFCF7B" w14:textId="77777777" w:rsidR="00C533B1" w:rsidRPr="00C27A60" w:rsidRDefault="00C533B1" w:rsidP="00C533B1">
            <w:pPr>
              <w:jc w:val="center"/>
              <w:rPr>
                <w:b/>
                <w:sz w:val="22"/>
                <w:szCs w:val="22"/>
              </w:rPr>
            </w:pPr>
            <w:r w:rsidRPr="00C27A60">
              <w:rPr>
                <w:b/>
                <w:sz w:val="22"/>
                <w:szCs w:val="22"/>
              </w:rPr>
              <w:t>Додаток 29</w:t>
            </w:r>
          </w:p>
          <w:p w14:paraId="28B9530A" w14:textId="15F74B7F" w:rsidR="00C533B1" w:rsidRPr="00C27A60" w:rsidRDefault="00C533B1" w:rsidP="00C533B1">
            <w:pPr>
              <w:jc w:val="center"/>
              <w:rPr>
                <w:b/>
                <w:sz w:val="22"/>
                <w:szCs w:val="22"/>
                <w:shd w:val="clear" w:color="auto" w:fill="FFFFFF"/>
              </w:rPr>
            </w:pPr>
            <w:r w:rsidRPr="00C27A60">
              <w:rPr>
                <w:b/>
                <w:sz w:val="22"/>
                <w:szCs w:val="22"/>
              </w:rPr>
              <w:t>Методика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w:t>
            </w:r>
          </w:p>
        </w:tc>
      </w:tr>
      <w:tr w:rsidR="00C27A60" w:rsidRPr="00C27A60" w14:paraId="4AD43288" w14:textId="77777777" w:rsidTr="008D1DC5">
        <w:trPr>
          <w:trHeight w:val="595"/>
        </w:trPr>
        <w:tc>
          <w:tcPr>
            <w:tcW w:w="5839" w:type="dxa"/>
          </w:tcPr>
          <w:p w14:paraId="527AD417" w14:textId="77777777" w:rsidR="00C533B1" w:rsidRPr="00C27A60" w:rsidRDefault="00C533B1" w:rsidP="00C533B1">
            <w:pPr>
              <w:spacing w:line="259" w:lineRule="auto"/>
              <w:ind w:firstLine="308"/>
              <w:jc w:val="both"/>
              <w:rPr>
                <w:rFonts w:eastAsia="Calibri"/>
                <w:sz w:val="22"/>
                <w:szCs w:val="22"/>
                <w:shd w:val="clear" w:color="auto" w:fill="FFFFFF"/>
                <w:lang w:eastAsia="en-US"/>
              </w:rPr>
            </w:pPr>
          </w:p>
          <w:p w14:paraId="7950536B" w14:textId="7A12931B" w:rsidR="00C533B1" w:rsidRPr="00C27A60" w:rsidRDefault="00C533B1" w:rsidP="00C533B1">
            <w:pPr>
              <w:spacing w:line="259" w:lineRule="auto"/>
              <w:ind w:firstLine="308"/>
              <w:jc w:val="both"/>
              <w:rPr>
                <w:rFonts w:eastAsia="Calibri"/>
                <w:sz w:val="22"/>
                <w:szCs w:val="22"/>
                <w:shd w:val="clear" w:color="auto" w:fill="FFFFFF"/>
                <w:lang w:eastAsia="en-US"/>
              </w:rPr>
            </w:pPr>
          </w:p>
          <w:p w14:paraId="35A26EAB" w14:textId="77777777" w:rsidR="00C533B1" w:rsidRPr="00C27A60" w:rsidRDefault="00C533B1" w:rsidP="00C533B1">
            <w:pPr>
              <w:spacing w:line="259" w:lineRule="auto"/>
              <w:ind w:firstLine="308"/>
              <w:jc w:val="both"/>
              <w:rPr>
                <w:rFonts w:eastAsia="Calibri"/>
                <w:sz w:val="22"/>
                <w:szCs w:val="22"/>
                <w:shd w:val="clear" w:color="auto" w:fill="FFFFFF"/>
                <w:lang w:eastAsia="en-US"/>
              </w:rPr>
            </w:pPr>
          </w:p>
          <w:p w14:paraId="33A6652C" w14:textId="4D275763" w:rsidR="00C533B1" w:rsidRPr="00C27A60" w:rsidRDefault="00C533B1" w:rsidP="00C533B1">
            <w:pPr>
              <w:spacing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lastRenderedPageBreak/>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118412A4" w14:textId="77777777" w:rsidR="00C533B1" w:rsidRPr="00C27A60" w:rsidRDefault="00C533B1" w:rsidP="00C533B1">
            <w:pPr>
              <w:ind w:firstLine="308"/>
              <w:jc w:val="both"/>
              <w:rPr>
                <w:sz w:val="22"/>
                <w:szCs w:val="22"/>
                <w:shd w:val="clear" w:color="auto" w:fill="FFFFFF"/>
              </w:rPr>
            </w:pPr>
          </w:p>
          <w:p w14:paraId="12CBE643"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&lt;…&gt;</w:t>
            </w:r>
          </w:p>
          <w:p w14:paraId="334D5329" w14:textId="77777777" w:rsidR="00C533B1" w:rsidRPr="00C27A60" w:rsidRDefault="00C533B1" w:rsidP="00C533B1">
            <w:pPr>
              <w:ind w:firstLine="308"/>
              <w:jc w:val="both"/>
              <w:rPr>
                <w:sz w:val="22"/>
                <w:szCs w:val="22"/>
                <w:shd w:val="clear" w:color="auto" w:fill="FFFFFF"/>
              </w:rPr>
            </w:pPr>
          </w:p>
          <w:p w14:paraId="061210BD" w14:textId="77777777" w:rsidR="00C533B1" w:rsidRPr="00C27A60" w:rsidRDefault="00C533B1" w:rsidP="00C533B1">
            <w:pPr>
              <w:ind w:firstLine="308"/>
              <w:jc w:val="both"/>
              <w:rPr>
                <w:sz w:val="22"/>
                <w:szCs w:val="22"/>
                <w:shd w:val="clear" w:color="auto" w:fill="FFFFFF"/>
              </w:rPr>
            </w:pPr>
          </w:p>
          <w:p w14:paraId="7E18E199"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6) сума економії операційних контрольованих витрат за звітний період (ЕОКВ = ОКВ у - ОКВ ф)</w:t>
            </w:r>
            <w:r w:rsidRPr="00C27A60">
              <w:rPr>
                <w:b/>
                <w:sz w:val="22"/>
                <w:szCs w:val="22"/>
                <w:shd w:val="clear" w:color="auto" w:fill="FFFFFF"/>
              </w:rPr>
              <w:t>, з урахуванням фактичних операційних контрольованих витрат, що капіталізуються у звітному році. Загальна сума економії операційних контрольованих витрат (ЕОКВ) за звітний період зменшується на виявлену під час перевірки фактичну суму перевищення максимального розміру заробітної плати, яка фінансується за рахунок тарифів на послуги з розподілу електричної енергії, що перевищує десятикратний розмір середньої заробітної плати, урахованої у структурі таких тарифів, з урахуванням приведення до середньорічного розміру заробітної плати у звітному році</w:t>
            </w:r>
            <w:r w:rsidRPr="00C27A60">
              <w:rPr>
                <w:sz w:val="22"/>
                <w:szCs w:val="22"/>
                <w:shd w:val="clear" w:color="auto" w:fill="FFFFFF"/>
              </w:rPr>
              <w:t>;</w:t>
            </w:r>
          </w:p>
          <w:p w14:paraId="1B939A9A" w14:textId="77777777" w:rsidR="00C533B1" w:rsidRPr="00C27A60" w:rsidRDefault="00C533B1" w:rsidP="00C533B1">
            <w:pPr>
              <w:ind w:firstLine="308"/>
              <w:jc w:val="both"/>
              <w:rPr>
                <w:sz w:val="22"/>
                <w:szCs w:val="22"/>
                <w:shd w:val="clear" w:color="auto" w:fill="FFFFFF"/>
              </w:rPr>
            </w:pPr>
          </w:p>
          <w:p w14:paraId="245338D9" w14:textId="77777777" w:rsidR="00C533B1" w:rsidRPr="00C27A60" w:rsidRDefault="00C533B1" w:rsidP="00C533B1">
            <w:pPr>
              <w:spacing w:after="160" w:line="259" w:lineRule="auto"/>
              <w:ind w:firstLine="308"/>
              <w:jc w:val="both"/>
              <w:rPr>
                <w:rFonts w:eastAsia="Calibri"/>
                <w:sz w:val="22"/>
                <w:szCs w:val="22"/>
                <w:shd w:val="clear" w:color="auto" w:fill="FFFFFF"/>
                <w:lang w:eastAsia="en-US"/>
              </w:rPr>
            </w:pPr>
          </w:p>
        </w:tc>
        <w:tc>
          <w:tcPr>
            <w:tcW w:w="5812" w:type="dxa"/>
          </w:tcPr>
          <w:p w14:paraId="545E9474" w14:textId="77777777" w:rsidR="00C533B1" w:rsidRPr="00C27A60" w:rsidRDefault="00C533B1" w:rsidP="00C533B1">
            <w:pPr>
              <w:jc w:val="both"/>
              <w:rPr>
                <w:sz w:val="22"/>
                <w:szCs w:val="22"/>
              </w:rPr>
            </w:pPr>
          </w:p>
          <w:p w14:paraId="4B720C6B" w14:textId="77777777" w:rsidR="00C533B1" w:rsidRPr="00C27A60" w:rsidRDefault="00C533B1" w:rsidP="00C533B1">
            <w:pPr>
              <w:ind w:firstLine="30"/>
              <w:jc w:val="both"/>
              <w:rPr>
                <w:i/>
                <w:sz w:val="22"/>
                <w:szCs w:val="22"/>
                <w:shd w:val="clear" w:color="auto" w:fill="FFFFFF"/>
              </w:rPr>
            </w:pPr>
            <w:r w:rsidRPr="00C27A60">
              <w:rPr>
                <w:i/>
                <w:sz w:val="22"/>
                <w:szCs w:val="22"/>
                <w:shd w:val="clear" w:color="auto" w:fill="FFFFFF"/>
              </w:rPr>
              <w:t>ГС «РЕУ»</w:t>
            </w:r>
          </w:p>
          <w:p w14:paraId="77066862" w14:textId="0B54A77E" w:rsidR="00C533B1" w:rsidRPr="00C27A60" w:rsidRDefault="00C533B1" w:rsidP="00C533B1">
            <w:pPr>
              <w:jc w:val="both"/>
              <w:rPr>
                <w:i/>
                <w:sz w:val="22"/>
                <w:szCs w:val="22"/>
                <w:shd w:val="clear" w:color="auto" w:fill="FFFFFF"/>
              </w:rPr>
            </w:pPr>
            <w:r w:rsidRPr="00C27A60">
              <w:rPr>
                <w:i/>
                <w:sz w:val="22"/>
                <w:szCs w:val="22"/>
                <w:shd w:val="clear" w:color="auto" w:fill="FFFFFF"/>
              </w:rPr>
              <w:t>АТ ДТЕК «ДОНЕЦЬКІ ЕЛЕКТРОМЕРЕЖІ»</w:t>
            </w:r>
          </w:p>
          <w:p w14:paraId="49AA5321" w14:textId="6B981BD1" w:rsidR="00C533B1" w:rsidRPr="00C27A60" w:rsidRDefault="00C533B1" w:rsidP="00C533B1">
            <w:pPr>
              <w:jc w:val="both"/>
              <w:rPr>
                <w:i/>
                <w:sz w:val="22"/>
                <w:szCs w:val="22"/>
                <w:shd w:val="clear" w:color="auto" w:fill="FFFFFF"/>
              </w:rPr>
            </w:pPr>
            <w:r w:rsidRPr="00C27A60">
              <w:rPr>
                <w:i/>
                <w:sz w:val="22"/>
                <w:szCs w:val="22"/>
                <w:shd w:val="clear" w:color="auto" w:fill="FFFFFF"/>
              </w:rPr>
              <w:t>АТ «ДТЕК ДНІПРОВСЬКІ ЕЛЕКТРОМЕРЕЖІ»</w:t>
            </w:r>
          </w:p>
          <w:p w14:paraId="71533C62" w14:textId="77777777" w:rsidR="00C533B1" w:rsidRPr="00C27A60" w:rsidRDefault="00C533B1" w:rsidP="00C533B1">
            <w:pPr>
              <w:ind w:firstLine="308"/>
              <w:jc w:val="both"/>
              <w:rPr>
                <w:sz w:val="22"/>
                <w:szCs w:val="22"/>
                <w:shd w:val="clear" w:color="auto" w:fill="FFFFFF"/>
              </w:rPr>
            </w:pPr>
          </w:p>
          <w:p w14:paraId="387C15ED" w14:textId="77777777" w:rsidR="00C533B1" w:rsidRPr="00C27A60" w:rsidRDefault="00C533B1" w:rsidP="00C533B1">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0B61EA43" w14:textId="77777777" w:rsidR="00C533B1" w:rsidRPr="00C27A60" w:rsidRDefault="00C533B1" w:rsidP="00C533B1">
            <w:pPr>
              <w:ind w:firstLine="308"/>
              <w:jc w:val="both"/>
              <w:rPr>
                <w:sz w:val="22"/>
                <w:szCs w:val="22"/>
                <w:shd w:val="clear" w:color="auto" w:fill="FFFFFF"/>
              </w:rPr>
            </w:pPr>
          </w:p>
          <w:p w14:paraId="4664B28E"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&lt;…&gt;</w:t>
            </w:r>
          </w:p>
          <w:p w14:paraId="2022BD7E" w14:textId="77777777" w:rsidR="00C533B1" w:rsidRPr="00C27A60" w:rsidRDefault="00C533B1" w:rsidP="00C533B1">
            <w:pPr>
              <w:ind w:firstLine="308"/>
              <w:jc w:val="both"/>
              <w:rPr>
                <w:sz w:val="22"/>
                <w:szCs w:val="22"/>
                <w:shd w:val="clear" w:color="auto" w:fill="FFFFFF"/>
              </w:rPr>
            </w:pPr>
          </w:p>
          <w:p w14:paraId="51918D6D"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6) сума економії операційних контрольованих витрат за звітний період (ЕОКВ = ОКВ у - ОКВ ф)</w:t>
            </w:r>
            <w:r w:rsidRPr="00C27A60">
              <w:rPr>
                <w:b/>
                <w:sz w:val="22"/>
                <w:szCs w:val="22"/>
                <w:shd w:val="clear" w:color="auto" w:fill="FFFFFF"/>
              </w:rPr>
              <w:t>, з урахуванням фактичних операційних контрольованих витрат, що капіталізуються у звітному році. Загальна сума економії операційних контрольованих витрат (ЕОКВ) за звітний період зменшується на виявлену під час перевірки фактичну суму перевищення максимального розміру середньорічної  заробітної плати, яка фінансується за рахунок тарифів на послуги з розподілу електричної енергії, що перевищує десятикратний розмір середньорічної заробітної плати, урахованої у структурі таких тарифів</w:t>
            </w:r>
            <w:r w:rsidRPr="00C27A60">
              <w:rPr>
                <w:sz w:val="22"/>
                <w:szCs w:val="22"/>
                <w:shd w:val="clear" w:color="auto" w:fill="FFFFFF"/>
              </w:rPr>
              <w:t>;</w:t>
            </w:r>
          </w:p>
          <w:p w14:paraId="7E31D56C" w14:textId="77777777" w:rsidR="00C533B1" w:rsidRPr="00C27A60" w:rsidRDefault="00C533B1" w:rsidP="00C533B1">
            <w:pPr>
              <w:ind w:firstLine="308"/>
              <w:jc w:val="both"/>
              <w:rPr>
                <w:i/>
                <w:sz w:val="22"/>
                <w:szCs w:val="22"/>
              </w:rPr>
            </w:pPr>
          </w:p>
          <w:p w14:paraId="7B60A2E7" w14:textId="77777777" w:rsidR="00C533B1" w:rsidRPr="00C27A60" w:rsidRDefault="00C533B1" w:rsidP="00C533B1">
            <w:pPr>
              <w:rPr>
                <w:i/>
                <w:sz w:val="22"/>
                <w:szCs w:val="22"/>
              </w:rPr>
            </w:pPr>
            <w:r w:rsidRPr="00C27A60">
              <w:rPr>
                <w:i/>
                <w:sz w:val="22"/>
                <w:szCs w:val="22"/>
              </w:rPr>
              <w:t>ОБРГРУНТУВАННЯ:</w:t>
            </w:r>
          </w:p>
          <w:p w14:paraId="20429AE9" w14:textId="77777777" w:rsidR="00C533B1" w:rsidRPr="00C27A60" w:rsidRDefault="00C533B1" w:rsidP="00C533B1">
            <w:pPr>
              <w:ind w:firstLine="308"/>
              <w:jc w:val="both"/>
              <w:rPr>
                <w:i/>
                <w:sz w:val="22"/>
                <w:szCs w:val="22"/>
              </w:rPr>
            </w:pPr>
          </w:p>
          <w:p w14:paraId="410C342E" w14:textId="77777777" w:rsidR="00C533B1" w:rsidRPr="00C27A60" w:rsidRDefault="00C533B1" w:rsidP="00C533B1">
            <w:pPr>
              <w:jc w:val="both"/>
              <w:rPr>
                <w:sz w:val="22"/>
                <w:szCs w:val="22"/>
              </w:rPr>
            </w:pPr>
            <w:r w:rsidRPr="00C27A60">
              <w:rPr>
                <w:sz w:val="22"/>
                <w:szCs w:val="22"/>
              </w:rPr>
              <w:t xml:space="preserve">З метою однозначного трактування пропонується </w:t>
            </w:r>
            <w:proofErr w:type="spellStart"/>
            <w:r w:rsidRPr="00C27A60">
              <w:rPr>
                <w:sz w:val="22"/>
                <w:szCs w:val="22"/>
              </w:rPr>
              <w:t>внести</w:t>
            </w:r>
            <w:proofErr w:type="spellEnd"/>
            <w:r w:rsidRPr="00C27A60">
              <w:rPr>
                <w:sz w:val="22"/>
                <w:szCs w:val="22"/>
              </w:rPr>
              <w:t xml:space="preserve"> уточнення.</w:t>
            </w:r>
          </w:p>
          <w:p w14:paraId="27B8981A" w14:textId="4556713A" w:rsidR="00C533B1" w:rsidRPr="00C27A60" w:rsidRDefault="00C533B1" w:rsidP="00C533B1">
            <w:pPr>
              <w:ind w:firstLine="308"/>
              <w:jc w:val="both"/>
              <w:rPr>
                <w:i/>
                <w:sz w:val="22"/>
                <w:szCs w:val="22"/>
              </w:rPr>
            </w:pPr>
          </w:p>
        </w:tc>
        <w:tc>
          <w:tcPr>
            <w:tcW w:w="3546" w:type="dxa"/>
          </w:tcPr>
          <w:p w14:paraId="6E396416" w14:textId="77777777" w:rsidR="00A843C2" w:rsidRPr="00C27A60" w:rsidRDefault="00A843C2" w:rsidP="00A843C2">
            <w:pPr>
              <w:rPr>
                <w:b/>
                <w:i/>
                <w:sz w:val="22"/>
                <w:szCs w:val="22"/>
              </w:rPr>
            </w:pPr>
          </w:p>
          <w:p w14:paraId="5F4885A3" w14:textId="77777777" w:rsidR="00A843C2" w:rsidRPr="00C27A60" w:rsidRDefault="00A843C2" w:rsidP="00A843C2">
            <w:pPr>
              <w:rPr>
                <w:b/>
                <w:i/>
                <w:sz w:val="22"/>
                <w:szCs w:val="22"/>
              </w:rPr>
            </w:pPr>
          </w:p>
          <w:p w14:paraId="16843468" w14:textId="77777777" w:rsidR="00A843C2" w:rsidRPr="00C27A60" w:rsidRDefault="00A843C2" w:rsidP="00A843C2">
            <w:pPr>
              <w:rPr>
                <w:b/>
                <w:i/>
                <w:sz w:val="22"/>
                <w:szCs w:val="22"/>
              </w:rPr>
            </w:pPr>
          </w:p>
          <w:p w14:paraId="3BC5CA40" w14:textId="77777777" w:rsidR="00A843C2" w:rsidRPr="00C27A60" w:rsidRDefault="00A843C2" w:rsidP="00A843C2">
            <w:pPr>
              <w:rPr>
                <w:b/>
                <w:i/>
                <w:sz w:val="22"/>
                <w:szCs w:val="22"/>
              </w:rPr>
            </w:pPr>
          </w:p>
          <w:p w14:paraId="735954C8" w14:textId="77777777" w:rsidR="00A843C2" w:rsidRPr="00C27A60" w:rsidRDefault="00A843C2" w:rsidP="00A843C2">
            <w:pPr>
              <w:rPr>
                <w:b/>
                <w:i/>
                <w:sz w:val="22"/>
                <w:szCs w:val="22"/>
              </w:rPr>
            </w:pPr>
          </w:p>
          <w:p w14:paraId="07F23601" w14:textId="77777777" w:rsidR="00A843C2" w:rsidRPr="00C27A60" w:rsidRDefault="00A843C2" w:rsidP="00A843C2">
            <w:pPr>
              <w:rPr>
                <w:b/>
                <w:i/>
                <w:sz w:val="22"/>
                <w:szCs w:val="22"/>
              </w:rPr>
            </w:pPr>
          </w:p>
          <w:p w14:paraId="303DA319" w14:textId="77777777" w:rsidR="00A843C2" w:rsidRPr="00C27A60" w:rsidRDefault="00A843C2" w:rsidP="00A843C2">
            <w:pPr>
              <w:rPr>
                <w:b/>
                <w:i/>
                <w:sz w:val="22"/>
                <w:szCs w:val="22"/>
              </w:rPr>
            </w:pPr>
          </w:p>
          <w:p w14:paraId="632D7D4E" w14:textId="77777777" w:rsidR="00A843C2" w:rsidRPr="00C27A60" w:rsidRDefault="00A843C2" w:rsidP="00A843C2">
            <w:pPr>
              <w:rPr>
                <w:b/>
                <w:i/>
                <w:sz w:val="22"/>
                <w:szCs w:val="22"/>
              </w:rPr>
            </w:pPr>
          </w:p>
          <w:p w14:paraId="50628109" w14:textId="77777777" w:rsidR="00A843C2" w:rsidRPr="00C27A60" w:rsidRDefault="00A843C2" w:rsidP="00A843C2">
            <w:pPr>
              <w:rPr>
                <w:b/>
                <w:i/>
                <w:sz w:val="22"/>
                <w:szCs w:val="22"/>
              </w:rPr>
            </w:pPr>
          </w:p>
          <w:p w14:paraId="1ECD65F4" w14:textId="77777777" w:rsidR="00A843C2" w:rsidRPr="00C27A60" w:rsidRDefault="00A843C2" w:rsidP="00A843C2">
            <w:pPr>
              <w:rPr>
                <w:b/>
                <w:i/>
                <w:sz w:val="22"/>
                <w:szCs w:val="22"/>
              </w:rPr>
            </w:pPr>
          </w:p>
          <w:p w14:paraId="7A124F7F" w14:textId="77777777" w:rsidR="00A843C2" w:rsidRPr="00C27A60" w:rsidRDefault="00A843C2" w:rsidP="00A843C2">
            <w:pPr>
              <w:rPr>
                <w:b/>
                <w:i/>
                <w:sz w:val="22"/>
                <w:szCs w:val="22"/>
              </w:rPr>
            </w:pPr>
          </w:p>
          <w:p w14:paraId="062C7882" w14:textId="77777777" w:rsidR="00A843C2" w:rsidRPr="00C27A60" w:rsidRDefault="00A843C2" w:rsidP="00A843C2">
            <w:pPr>
              <w:rPr>
                <w:b/>
                <w:i/>
                <w:sz w:val="22"/>
                <w:szCs w:val="22"/>
              </w:rPr>
            </w:pPr>
          </w:p>
          <w:p w14:paraId="50DA5B0B" w14:textId="77777777" w:rsidR="00DC56B8" w:rsidRPr="00C27A60" w:rsidRDefault="00DC56B8" w:rsidP="00DC56B8">
            <w:pPr>
              <w:rPr>
                <w:b/>
                <w:sz w:val="16"/>
                <w:szCs w:val="22"/>
              </w:rPr>
            </w:pPr>
          </w:p>
          <w:p w14:paraId="63E389AA" w14:textId="77777777" w:rsidR="00DC56B8" w:rsidRPr="00C27A60" w:rsidRDefault="00DC56B8" w:rsidP="00DC56B8">
            <w:pPr>
              <w:jc w:val="both"/>
              <w:rPr>
                <w:b/>
                <w:sz w:val="22"/>
                <w:szCs w:val="22"/>
              </w:rPr>
            </w:pPr>
            <w:r w:rsidRPr="00C27A60">
              <w:rPr>
                <w:b/>
                <w:sz w:val="22"/>
                <w:szCs w:val="22"/>
              </w:rPr>
              <w:t xml:space="preserve">Не враховується </w:t>
            </w:r>
          </w:p>
          <w:p w14:paraId="2B252257" w14:textId="087852CD" w:rsidR="00DC56B8" w:rsidRPr="00C27A60" w:rsidRDefault="00DC56B8" w:rsidP="00DC56B8">
            <w:pPr>
              <w:pStyle w:val="af5"/>
              <w:spacing w:before="0" w:beforeAutospacing="0" w:after="0" w:afterAutospacing="0"/>
              <w:jc w:val="both"/>
              <w:rPr>
                <w:b/>
                <w:sz w:val="22"/>
                <w:szCs w:val="22"/>
                <w:lang w:eastAsia="ru-RU"/>
              </w:rPr>
            </w:pPr>
          </w:p>
          <w:p w14:paraId="6FAFEAEB" w14:textId="4AA32671" w:rsidR="00C533B1" w:rsidRPr="00C27A60" w:rsidRDefault="00DC56B8" w:rsidP="00DC56B8">
            <w:pPr>
              <w:ind w:firstLine="240"/>
              <w:jc w:val="both"/>
              <w:rPr>
                <w:sz w:val="22"/>
                <w:szCs w:val="22"/>
              </w:rPr>
            </w:pPr>
            <w:r w:rsidRPr="00C27A60">
              <w:rPr>
                <w:sz w:val="22"/>
                <w:szCs w:val="22"/>
              </w:rPr>
              <w:t>Запропонована редакція не змінює та не удосконалює трактування норми порівняно зі схваленою редакцією (аналіз здійснюється помісячно, а кінцевий результат приймається за результатом середньорічних показників).</w:t>
            </w:r>
          </w:p>
        </w:tc>
      </w:tr>
      <w:tr w:rsidR="00C27A60" w:rsidRPr="00C27A60" w14:paraId="641F31B2" w14:textId="77777777" w:rsidTr="008D1DC5">
        <w:trPr>
          <w:trHeight w:val="595"/>
        </w:trPr>
        <w:tc>
          <w:tcPr>
            <w:tcW w:w="5839" w:type="dxa"/>
          </w:tcPr>
          <w:p w14:paraId="2BBFEE14" w14:textId="77777777" w:rsidR="00C533B1" w:rsidRPr="00C27A60" w:rsidRDefault="00C533B1" w:rsidP="00C533B1">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lastRenderedPageBreak/>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33969239" w14:textId="77777777" w:rsidR="00C533B1" w:rsidRPr="00C27A60" w:rsidRDefault="00C533B1" w:rsidP="00C533B1">
            <w:pPr>
              <w:ind w:firstLine="308"/>
              <w:jc w:val="both"/>
              <w:rPr>
                <w:sz w:val="22"/>
                <w:szCs w:val="22"/>
                <w:shd w:val="clear" w:color="auto" w:fill="FFFFFF"/>
              </w:rPr>
            </w:pPr>
          </w:p>
          <w:p w14:paraId="3274719F"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&lt;…&gt;</w:t>
            </w:r>
          </w:p>
          <w:p w14:paraId="38379D3B" w14:textId="47619E54" w:rsidR="00C533B1" w:rsidRPr="00C27A60" w:rsidRDefault="00C533B1" w:rsidP="00C533B1">
            <w:pPr>
              <w:ind w:firstLine="308"/>
              <w:jc w:val="both"/>
              <w:rPr>
                <w:sz w:val="22"/>
                <w:szCs w:val="22"/>
                <w:shd w:val="clear" w:color="auto" w:fill="FFFFFF"/>
              </w:rPr>
            </w:pPr>
          </w:p>
          <w:p w14:paraId="0703C9B2" w14:textId="77777777" w:rsidR="00C533B1" w:rsidRPr="00C27A60" w:rsidRDefault="00C533B1" w:rsidP="00C533B1">
            <w:pPr>
              <w:ind w:firstLine="308"/>
              <w:jc w:val="both"/>
              <w:rPr>
                <w:sz w:val="22"/>
                <w:szCs w:val="22"/>
                <w:shd w:val="clear" w:color="auto" w:fill="FFFFFF"/>
              </w:rPr>
            </w:pPr>
          </w:p>
          <w:p w14:paraId="4897AA50" w14:textId="77777777" w:rsidR="00C533B1" w:rsidRPr="00C27A60" w:rsidRDefault="00C533B1" w:rsidP="00C533B1">
            <w:pPr>
              <w:ind w:firstLine="308"/>
              <w:jc w:val="both"/>
              <w:rPr>
                <w:b/>
                <w:sz w:val="22"/>
                <w:szCs w:val="22"/>
                <w:shd w:val="clear" w:color="auto" w:fill="FFFFFF"/>
              </w:rPr>
            </w:pPr>
            <w:r w:rsidRPr="00C27A60">
              <w:rPr>
                <w:b/>
                <w:sz w:val="22"/>
                <w:szCs w:val="22"/>
                <w:shd w:val="clear" w:color="auto" w:fill="FFFFFF"/>
              </w:rPr>
              <w:t xml:space="preserve">19) додатково отриманий (недоотриманий) дохід ліцензіата внаслідок збільшення (зменшення) фактичних обсягів розподілу електричної енергії </w:t>
            </w:r>
            <w:r w:rsidRPr="00C27A60">
              <w:rPr>
                <w:b/>
                <w:sz w:val="22"/>
                <w:szCs w:val="22"/>
                <w:shd w:val="clear" w:color="auto" w:fill="FFFFFF"/>
              </w:rPr>
              <w:lastRenderedPageBreak/>
              <w:t>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відповідно до наданих комісії з перевірки належним чином завірених копій підтвердних документів та за даними форми звітності № 2-НКРЕКП-розподіл електричної енергії та відповідно до затверджених рівнів тарифів на послуги з розподілу електричної енергії, які діяли у відповідні періоди звітного року.</w:t>
            </w:r>
          </w:p>
          <w:p w14:paraId="7D6D9CA5" w14:textId="77777777" w:rsidR="00C533B1" w:rsidRPr="00C27A60" w:rsidRDefault="00C533B1" w:rsidP="00C533B1">
            <w:pPr>
              <w:ind w:firstLine="308"/>
              <w:jc w:val="both"/>
              <w:rPr>
                <w:b/>
                <w:sz w:val="22"/>
                <w:szCs w:val="22"/>
                <w:shd w:val="clear" w:color="auto" w:fill="FFFFFF"/>
              </w:rPr>
            </w:pPr>
            <w:r w:rsidRPr="00C27A60">
              <w:rPr>
                <w:b/>
                <w:sz w:val="22"/>
                <w:szCs w:val="22"/>
                <w:shd w:val="clear" w:color="auto" w:fill="FFFFFF"/>
              </w:rPr>
              <w:t>Додатково отриманий (недоотриманий) дохід ліцензіата визначається з урахуванням коригування витрат тарифів, здійснений розрахунковим шляхом у період дії в Україні воєнного стану на підставі звітності, згідно з рішеннями НКРЕКП, прийнятими відповідно до пункту 5.3 глави 5 Порядку № 1175.</w:t>
            </w:r>
          </w:p>
          <w:p w14:paraId="711F611F" w14:textId="77777777" w:rsidR="00C533B1" w:rsidRPr="00C27A60" w:rsidRDefault="00C533B1" w:rsidP="00C533B1">
            <w:pPr>
              <w:ind w:firstLine="308"/>
              <w:jc w:val="both"/>
              <w:rPr>
                <w:b/>
                <w:sz w:val="22"/>
                <w:szCs w:val="22"/>
                <w:shd w:val="clear" w:color="auto" w:fill="FFFFFF"/>
              </w:rPr>
            </w:pPr>
            <w:r w:rsidRPr="00C27A60">
              <w:rPr>
                <w:b/>
                <w:sz w:val="22"/>
                <w:szCs w:val="22"/>
                <w:shd w:val="clear" w:color="auto" w:fill="FFFFFF"/>
              </w:rPr>
              <w:t>За 2023 – 2024 роки для ПРАТ «КІРОВОГРАДОБЛЕНЕРГО», АТ «ЖИТОМИРОБЛЕНЕРГО», АТ «ЧЕРНІВЦІОБЛЕНЕРГО» та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 2024 роки, та добутком фактичних помісячних обсягів розподілу електричної енергії і тарифів, що діяли у відповідному періоді.</w:t>
            </w:r>
          </w:p>
          <w:p w14:paraId="600A8A20" w14:textId="32A00B6E" w:rsidR="00C533B1" w:rsidRPr="00C27A60" w:rsidRDefault="00C533B1" w:rsidP="00BE5F6A">
            <w:pPr>
              <w:ind w:firstLine="308"/>
              <w:jc w:val="both"/>
              <w:rPr>
                <w:b/>
                <w:sz w:val="22"/>
                <w:szCs w:val="22"/>
                <w:shd w:val="clear" w:color="auto" w:fill="FFFFFF"/>
              </w:rPr>
            </w:pPr>
            <w:r w:rsidRPr="00C27A60">
              <w:rPr>
                <w:b/>
                <w:sz w:val="22"/>
                <w:szCs w:val="22"/>
                <w:shd w:val="clear" w:color="auto" w:fill="FFFFFF"/>
              </w:rPr>
              <w:t xml:space="preserve">За 2022 – 2024 роки для АТ «ДТЕК ДОНЕЦЬКІ ЕЛЕКТРОМЕРЕЖІ», ПАТ «ЗАПОРІЖЖЯОБЛЕНЕРГО», АТ «ХЕРСОНОБЛЕНЕРГО» та ТОВ «ДТЕК ВИСОКОВОЛЬТНІ МЕРЕЖІ» додатково отриманий (недоотриманий) дохід ліцензіата внаслідок збільшення (зменшення) фактичних обсягів розподілу електричної енергії не фіксується. Для цих ліцензіатів визначається частка отриманого доходу (ЧОД), яка дорівнює співвідношенню фактичного доходу за 2022 – 2024 роки </w:t>
            </w:r>
            <w:r w:rsidRPr="00C27A60">
              <w:rPr>
                <w:b/>
                <w:sz w:val="22"/>
                <w:szCs w:val="22"/>
                <w:shd w:val="clear" w:color="auto" w:fill="FFFFFF"/>
              </w:rPr>
              <w:lastRenderedPageBreak/>
              <w:t>(визначеного як добуток фактичних помісячних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w:t>
            </w:r>
          </w:p>
        </w:tc>
        <w:tc>
          <w:tcPr>
            <w:tcW w:w="5812" w:type="dxa"/>
          </w:tcPr>
          <w:p w14:paraId="460F57F3" w14:textId="15C87C9F" w:rsidR="00C533B1" w:rsidRPr="00C27A60" w:rsidRDefault="00C533B1" w:rsidP="00C533B1">
            <w:pPr>
              <w:ind w:firstLine="308"/>
              <w:jc w:val="both"/>
              <w:rPr>
                <w:i/>
                <w:sz w:val="22"/>
                <w:szCs w:val="22"/>
                <w:shd w:val="clear" w:color="auto" w:fill="FFFFFF"/>
              </w:rPr>
            </w:pPr>
            <w:r w:rsidRPr="00C27A60">
              <w:rPr>
                <w:i/>
                <w:sz w:val="22"/>
                <w:szCs w:val="22"/>
              </w:rPr>
              <w:lastRenderedPageBreak/>
              <w:t>АТ «ПРИКАРПАТТЯОБЛЕНЕРГО»</w:t>
            </w:r>
          </w:p>
          <w:p w14:paraId="07A9495B" w14:textId="77777777" w:rsidR="00C533B1" w:rsidRPr="00C27A60" w:rsidRDefault="00C533B1" w:rsidP="00C533B1">
            <w:pPr>
              <w:ind w:firstLine="308"/>
              <w:jc w:val="both"/>
              <w:rPr>
                <w:sz w:val="22"/>
                <w:szCs w:val="22"/>
                <w:shd w:val="clear" w:color="auto" w:fill="FFFFFF"/>
              </w:rPr>
            </w:pPr>
          </w:p>
          <w:p w14:paraId="51CE5AA6" w14:textId="55ADCD49" w:rsidR="00C533B1" w:rsidRPr="00C27A60" w:rsidRDefault="00C533B1" w:rsidP="00C533B1">
            <w:pPr>
              <w:ind w:firstLine="308"/>
              <w:jc w:val="both"/>
              <w:rPr>
                <w:sz w:val="22"/>
                <w:szCs w:val="22"/>
                <w:shd w:val="clear" w:color="auto" w:fill="FFFFFF"/>
              </w:rPr>
            </w:pPr>
            <w:r w:rsidRPr="00C27A60">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747872F6" w14:textId="77777777" w:rsidR="00C533B1" w:rsidRPr="00C27A60" w:rsidRDefault="00C533B1" w:rsidP="00C533B1">
            <w:pPr>
              <w:ind w:firstLine="308"/>
              <w:jc w:val="both"/>
              <w:rPr>
                <w:sz w:val="22"/>
                <w:szCs w:val="22"/>
                <w:shd w:val="clear" w:color="auto" w:fill="FFFFFF"/>
              </w:rPr>
            </w:pPr>
          </w:p>
          <w:p w14:paraId="4BDF2D58" w14:textId="53D0D51F" w:rsidR="00C533B1" w:rsidRPr="00C27A60" w:rsidRDefault="00C533B1" w:rsidP="00C533B1">
            <w:pPr>
              <w:ind w:firstLine="308"/>
              <w:jc w:val="both"/>
              <w:rPr>
                <w:sz w:val="22"/>
                <w:szCs w:val="22"/>
                <w:shd w:val="clear" w:color="auto" w:fill="FFFFFF"/>
              </w:rPr>
            </w:pPr>
            <w:r w:rsidRPr="00C27A60">
              <w:rPr>
                <w:sz w:val="22"/>
                <w:szCs w:val="22"/>
                <w:shd w:val="clear" w:color="auto" w:fill="FFFFFF"/>
              </w:rPr>
              <w:t>&lt;…&gt;</w:t>
            </w:r>
          </w:p>
          <w:p w14:paraId="0D8CF0E3" w14:textId="77777777" w:rsidR="00C533B1" w:rsidRPr="00C27A60" w:rsidRDefault="00C533B1" w:rsidP="00C533B1">
            <w:pPr>
              <w:ind w:firstLine="308"/>
              <w:jc w:val="both"/>
              <w:rPr>
                <w:sz w:val="22"/>
                <w:szCs w:val="22"/>
                <w:shd w:val="clear" w:color="auto" w:fill="FFFFFF"/>
              </w:rPr>
            </w:pPr>
          </w:p>
          <w:p w14:paraId="4BDB6B0D"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 xml:space="preserve">19)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w:t>
            </w:r>
            <w:r w:rsidRPr="00C27A60">
              <w:rPr>
                <w:sz w:val="22"/>
                <w:szCs w:val="22"/>
                <w:shd w:val="clear" w:color="auto" w:fill="FFFFFF"/>
              </w:rPr>
              <w:lastRenderedPageBreak/>
              <w:t>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(за даними форми звітності N 2-НКРЕКП-розподіл електричної енергії) та відповідно до затверджених рівнів тарифів на послуги з розподілу електричної енергії, які діяли у відповідні періоди звітного року.</w:t>
            </w:r>
          </w:p>
          <w:p w14:paraId="0666BEA2" w14:textId="77777777" w:rsidR="00C533B1" w:rsidRPr="00C27A60" w:rsidRDefault="00C533B1" w:rsidP="00C533B1">
            <w:pPr>
              <w:rPr>
                <w:i/>
                <w:sz w:val="22"/>
                <w:szCs w:val="22"/>
              </w:rPr>
            </w:pPr>
          </w:p>
          <w:p w14:paraId="2EAC1010" w14:textId="77777777" w:rsidR="00C533B1" w:rsidRPr="00C27A60" w:rsidRDefault="00C533B1" w:rsidP="00C533B1">
            <w:pPr>
              <w:rPr>
                <w:i/>
                <w:sz w:val="22"/>
                <w:szCs w:val="22"/>
              </w:rPr>
            </w:pPr>
            <w:r w:rsidRPr="00C27A60">
              <w:rPr>
                <w:i/>
                <w:sz w:val="22"/>
                <w:szCs w:val="22"/>
              </w:rPr>
              <w:t>ОБРГРУНТУВАННЯ:</w:t>
            </w:r>
          </w:p>
          <w:p w14:paraId="4F8DAFDE" w14:textId="77777777" w:rsidR="00C533B1" w:rsidRPr="00C27A60" w:rsidRDefault="00C533B1" w:rsidP="00C533B1">
            <w:pPr>
              <w:rPr>
                <w:i/>
                <w:sz w:val="22"/>
                <w:szCs w:val="22"/>
              </w:rPr>
            </w:pPr>
          </w:p>
          <w:p w14:paraId="5B614EBA" w14:textId="77777777" w:rsidR="00C533B1" w:rsidRPr="00C27A60" w:rsidRDefault="00C533B1" w:rsidP="00C533B1">
            <w:pPr>
              <w:jc w:val="both"/>
              <w:rPr>
                <w:sz w:val="22"/>
                <w:szCs w:val="22"/>
              </w:rPr>
            </w:pPr>
            <w:r w:rsidRPr="00C27A60">
              <w:rPr>
                <w:sz w:val="22"/>
                <w:szCs w:val="22"/>
              </w:rPr>
              <w:t xml:space="preserve">Залишити в попередній редакції.  </w:t>
            </w:r>
          </w:p>
          <w:p w14:paraId="0F61C525" w14:textId="3F161BD9" w:rsidR="00C533B1" w:rsidRPr="00C27A60" w:rsidRDefault="00C533B1" w:rsidP="00C533B1">
            <w:pPr>
              <w:rPr>
                <w:i/>
                <w:sz w:val="22"/>
                <w:szCs w:val="22"/>
              </w:rPr>
            </w:pPr>
            <w:r w:rsidRPr="00C27A60">
              <w:rPr>
                <w:sz w:val="22"/>
                <w:szCs w:val="22"/>
              </w:rPr>
              <w:t>Потребує уточнення «належним чином завірених копій підтвердних документів»</w:t>
            </w:r>
          </w:p>
        </w:tc>
        <w:tc>
          <w:tcPr>
            <w:tcW w:w="3546" w:type="dxa"/>
          </w:tcPr>
          <w:p w14:paraId="62E7A76A" w14:textId="77777777" w:rsidR="00C533B1" w:rsidRPr="00C27A60" w:rsidRDefault="00C533B1" w:rsidP="00C533B1">
            <w:pPr>
              <w:ind w:firstLine="240"/>
              <w:jc w:val="both"/>
              <w:rPr>
                <w:i/>
                <w:sz w:val="22"/>
                <w:szCs w:val="22"/>
              </w:rPr>
            </w:pPr>
          </w:p>
          <w:p w14:paraId="00CA858F" w14:textId="77777777" w:rsidR="001F2B24" w:rsidRPr="00C27A60" w:rsidRDefault="001F2B24" w:rsidP="00C533B1">
            <w:pPr>
              <w:ind w:firstLine="240"/>
              <w:jc w:val="both"/>
              <w:rPr>
                <w:i/>
                <w:sz w:val="22"/>
                <w:szCs w:val="22"/>
              </w:rPr>
            </w:pPr>
          </w:p>
          <w:p w14:paraId="64941D2B" w14:textId="77777777" w:rsidR="001F2B24" w:rsidRPr="00C27A60" w:rsidRDefault="001F2B24" w:rsidP="00C533B1">
            <w:pPr>
              <w:ind w:firstLine="240"/>
              <w:jc w:val="both"/>
              <w:rPr>
                <w:i/>
                <w:sz w:val="22"/>
                <w:szCs w:val="22"/>
              </w:rPr>
            </w:pPr>
          </w:p>
          <w:p w14:paraId="43F37929" w14:textId="77777777" w:rsidR="001F2B24" w:rsidRPr="00C27A60" w:rsidRDefault="001F2B24" w:rsidP="00C533B1">
            <w:pPr>
              <w:ind w:firstLine="240"/>
              <w:jc w:val="both"/>
              <w:rPr>
                <w:i/>
                <w:sz w:val="22"/>
                <w:szCs w:val="22"/>
              </w:rPr>
            </w:pPr>
          </w:p>
          <w:p w14:paraId="219623C0" w14:textId="77777777" w:rsidR="001F2B24" w:rsidRPr="00C27A60" w:rsidRDefault="001F2B24" w:rsidP="00C533B1">
            <w:pPr>
              <w:ind w:firstLine="240"/>
              <w:jc w:val="both"/>
              <w:rPr>
                <w:i/>
                <w:sz w:val="22"/>
                <w:szCs w:val="22"/>
              </w:rPr>
            </w:pPr>
          </w:p>
          <w:p w14:paraId="78054E03" w14:textId="77777777" w:rsidR="001F2B24" w:rsidRPr="00C27A60" w:rsidRDefault="001F2B24" w:rsidP="00C533B1">
            <w:pPr>
              <w:ind w:firstLine="240"/>
              <w:jc w:val="both"/>
              <w:rPr>
                <w:i/>
                <w:sz w:val="22"/>
                <w:szCs w:val="22"/>
              </w:rPr>
            </w:pPr>
          </w:p>
          <w:p w14:paraId="43D07665" w14:textId="77777777" w:rsidR="001F2B24" w:rsidRPr="00C27A60" w:rsidRDefault="001F2B24" w:rsidP="00C533B1">
            <w:pPr>
              <w:ind w:firstLine="240"/>
              <w:jc w:val="both"/>
              <w:rPr>
                <w:i/>
                <w:sz w:val="22"/>
                <w:szCs w:val="22"/>
              </w:rPr>
            </w:pPr>
          </w:p>
          <w:p w14:paraId="4A08B5E4" w14:textId="4EC011C2" w:rsidR="001F2B24" w:rsidRPr="00C27A60" w:rsidRDefault="001F2B24" w:rsidP="00C533B1">
            <w:pPr>
              <w:ind w:firstLine="240"/>
              <w:jc w:val="both"/>
              <w:rPr>
                <w:i/>
                <w:sz w:val="22"/>
                <w:szCs w:val="22"/>
              </w:rPr>
            </w:pPr>
          </w:p>
          <w:p w14:paraId="4183A8D3" w14:textId="77777777" w:rsidR="004A0738" w:rsidRPr="00C27A60" w:rsidRDefault="004A0738" w:rsidP="001F2B24">
            <w:pPr>
              <w:jc w:val="both"/>
              <w:rPr>
                <w:b/>
                <w:sz w:val="22"/>
                <w:szCs w:val="22"/>
              </w:rPr>
            </w:pPr>
          </w:p>
          <w:p w14:paraId="34D4D5EA" w14:textId="50A8A72F" w:rsidR="004A0738" w:rsidRPr="00C27A60" w:rsidRDefault="003E1E4D" w:rsidP="001F2B24">
            <w:pPr>
              <w:jc w:val="both"/>
              <w:rPr>
                <w:sz w:val="24"/>
                <w:szCs w:val="22"/>
              </w:rPr>
            </w:pPr>
            <w:r>
              <w:rPr>
                <w:b/>
                <w:sz w:val="22"/>
                <w:szCs w:val="22"/>
              </w:rPr>
              <w:t>Потребує</w:t>
            </w:r>
            <w:r w:rsidRPr="00C27A60">
              <w:rPr>
                <w:b/>
                <w:sz w:val="22"/>
                <w:szCs w:val="22"/>
              </w:rPr>
              <w:t xml:space="preserve"> обговорення</w:t>
            </w:r>
            <w:r w:rsidRPr="00C27A60">
              <w:rPr>
                <w:sz w:val="24"/>
                <w:szCs w:val="22"/>
              </w:rPr>
              <w:t xml:space="preserve"> </w:t>
            </w:r>
          </w:p>
        </w:tc>
      </w:tr>
      <w:tr w:rsidR="00C27A60" w:rsidRPr="00C27A60" w14:paraId="1DEE6CD4" w14:textId="77777777" w:rsidTr="008D1DC5">
        <w:trPr>
          <w:trHeight w:val="595"/>
        </w:trPr>
        <w:tc>
          <w:tcPr>
            <w:tcW w:w="5839" w:type="dxa"/>
          </w:tcPr>
          <w:p w14:paraId="5ED1C426" w14:textId="77777777" w:rsidR="00C533B1" w:rsidRPr="00C27A60" w:rsidRDefault="00C533B1" w:rsidP="00C533B1">
            <w:pPr>
              <w:spacing w:line="259" w:lineRule="auto"/>
              <w:ind w:firstLine="308"/>
              <w:jc w:val="both"/>
              <w:rPr>
                <w:rFonts w:eastAsia="Calibri"/>
                <w:sz w:val="22"/>
                <w:szCs w:val="22"/>
                <w:shd w:val="clear" w:color="auto" w:fill="FFFFFF"/>
                <w:lang w:eastAsia="en-US"/>
              </w:rPr>
            </w:pPr>
          </w:p>
          <w:p w14:paraId="305EDC6B" w14:textId="77777777" w:rsidR="00C533B1" w:rsidRPr="00C27A60" w:rsidRDefault="00C533B1" w:rsidP="00C533B1">
            <w:pPr>
              <w:spacing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423ABCF4" w14:textId="77777777" w:rsidR="00C533B1" w:rsidRPr="00C27A60" w:rsidRDefault="00C533B1" w:rsidP="00C533B1">
            <w:pPr>
              <w:ind w:firstLine="308"/>
              <w:jc w:val="both"/>
              <w:rPr>
                <w:sz w:val="22"/>
                <w:szCs w:val="22"/>
                <w:shd w:val="clear" w:color="auto" w:fill="FFFFFF"/>
              </w:rPr>
            </w:pPr>
          </w:p>
          <w:p w14:paraId="626FAC70"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&lt;…&gt;</w:t>
            </w:r>
          </w:p>
          <w:p w14:paraId="71372FAF" w14:textId="77777777" w:rsidR="00C533B1" w:rsidRPr="00C27A60" w:rsidRDefault="00C533B1" w:rsidP="00C533B1">
            <w:pPr>
              <w:ind w:firstLine="308"/>
              <w:jc w:val="both"/>
              <w:rPr>
                <w:sz w:val="22"/>
                <w:szCs w:val="22"/>
                <w:shd w:val="clear" w:color="auto" w:fill="FFFFFF"/>
              </w:rPr>
            </w:pPr>
          </w:p>
          <w:p w14:paraId="0CA5EA9F" w14:textId="77777777" w:rsidR="00C533B1" w:rsidRPr="00C27A60" w:rsidRDefault="00C533B1" w:rsidP="00C533B1">
            <w:pPr>
              <w:ind w:firstLine="308"/>
              <w:jc w:val="both"/>
              <w:rPr>
                <w:sz w:val="22"/>
                <w:szCs w:val="22"/>
                <w:shd w:val="clear" w:color="auto" w:fill="FFFFFF"/>
              </w:rPr>
            </w:pPr>
          </w:p>
          <w:p w14:paraId="54267D3F" w14:textId="77777777" w:rsidR="00C533B1" w:rsidRPr="00C27A60" w:rsidRDefault="00C533B1" w:rsidP="00C533B1">
            <w:pPr>
              <w:ind w:firstLine="308"/>
              <w:jc w:val="both"/>
              <w:rPr>
                <w:b/>
                <w:sz w:val="22"/>
                <w:szCs w:val="22"/>
                <w:shd w:val="clear" w:color="auto" w:fill="FFFFFF"/>
              </w:rPr>
            </w:pPr>
            <w:r w:rsidRPr="00C27A60">
              <w:rPr>
                <w:b/>
                <w:sz w:val="22"/>
                <w:szCs w:val="22"/>
                <w:shd w:val="clear" w:color="auto" w:fill="FFFFFF"/>
              </w:rPr>
              <w:t>30) фактичний максимальний розмір заробітної плати, яка фінансується за рахунок тарифів на послуги з розподілу електричної енергії із застосуванням стимулюючого регулювання, що перевищує десятикратний розмір середньої заробітної плати, урахованої у структурі тарифів на послуги з розподілу електричної енергії із застосуванням стимулюючого регулювання, з урахуванням приведення до середньорічного розміру заробітної плати у звітному році.</w:t>
            </w:r>
          </w:p>
          <w:p w14:paraId="25260DBE" w14:textId="77777777" w:rsidR="00C533B1" w:rsidRPr="00C27A60" w:rsidRDefault="00C533B1" w:rsidP="00C533B1">
            <w:pPr>
              <w:spacing w:after="160" w:line="259" w:lineRule="auto"/>
              <w:ind w:firstLine="308"/>
              <w:jc w:val="both"/>
              <w:rPr>
                <w:rFonts w:eastAsia="Calibri"/>
                <w:sz w:val="22"/>
                <w:szCs w:val="22"/>
                <w:shd w:val="clear" w:color="auto" w:fill="FFFFFF"/>
                <w:lang w:eastAsia="en-US"/>
              </w:rPr>
            </w:pPr>
          </w:p>
        </w:tc>
        <w:tc>
          <w:tcPr>
            <w:tcW w:w="5812" w:type="dxa"/>
          </w:tcPr>
          <w:p w14:paraId="2E9B4976" w14:textId="77777777" w:rsidR="00C533B1" w:rsidRPr="00C27A60" w:rsidRDefault="00C533B1" w:rsidP="00C533B1">
            <w:pPr>
              <w:jc w:val="both"/>
              <w:rPr>
                <w:sz w:val="22"/>
                <w:szCs w:val="22"/>
              </w:rPr>
            </w:pPr>
          </w:p>
          <w:p w14:paraId="165DFD86" w14:textId="7585D471" w:rsidR="00C533B1" w:rsidRPr="00C27A60" w:rsidRDefault="00C533B1" w:rsidP="00C533B1">
            <w:pPr>
              <w:ind w:firstLine="30"/>
              <w:jc w:val="both"/>
              <w:rPr>
                <w:i/>
                <w:sz w:val="22"/>
                <w:szCs w:val="22"/>
                <w:shd w:val="clear" w:color="auto" w:fill="FFFFFF"/>
              </w:rPr>
            </w:pPr>
            <w:r w:rsidRPr="00C27A60">
              <w:rPr>
                <w:i/>
                <w:sz w:val="22"/>
                <w:szCs w:val="22"/>
                <w:shd w:val="clear" w:color="auto" w:fill="FFFFFF"/>
              </w:rPr>
              <w:t>ГС «РЕУ»</w:t>
            </w:r>
          </w:p>
          <w:p w14:paraId="22F439CC" w14:textId="77777777" w:rsidR="00C533B1" w:rsidRPr="00C27A60" w:rsidRDefault="00C533B1" w:rsidP="00C533B1">
            <w:pPr>
              <w:jc w:val="both"/>
              <w:rPr>
                <w:i/>
                <w:sz w:val="22"/>
                <w:szCs w:val="22"/>
                <w:shd w:val="clear" w:color="auto" w:fill="FFFFFF"/>
              </w:rPr>
            </w:pPr>
            <w:r w:rsidRPr="00C27A60">
              <w:rPr>
                <w:i/>
                <w:sz w:val="22"/>
                <w:szCs w:val="22"/>
                <w:shd w:val="clear" w:color="auto" w:fill="FFFFFF"/>
              </w:rPr>
              <w:t>АТ ДТЕК «ДОНЕЦЬКІ ЕЛЕКТРОМЕРЕЖІ»</w:t>
            </w:r>
          </w:p>
          <w:p w14:paraId="2A33DEB9" w14:textId="184ADEDE" w:rsidR="00C533B1" w:rsidRPr="00C27A60" w:rsidRDefault="00C533B1" w:rsidP="00C533B1">
            <w:pPr>
              <w:ind w:firstLine="30"/>
              <w:jc w:val="both"/>
              <w:rPr>
                <w:i/>
                <w:sz w:val="22"/>
                <w:szCs w:val="22"/>
                <w:shd w:val="clear" w:color="auto" w:fill="FFFFFF"/>
              </w:rPr>
            </w:pPr>
            <w:r w:rsidRPr="00C27A60">
              <w:rPr>
                <w:i/>
                <w:sz w:val="22"/>
                <w:szCs w:val="22"/>
                <w:shd w:val="clear" w:color="auto" w:fill="FFFFFF"/>
              </w:rPr>
              <w:t>АТ «ДТЕК ДНІПРОВСЬКІ ЕЛЕКТРОМЕРЕЖІ»</w:t>
            </w:r>
          </w:p>
          <w:p w14:paraId="2ED3C65D" w14:textId="77777777" w:rsidR="00C533B1" w:rsidRPr="00C27A60" w:rsidRDefault="00C533B1" w:rsidP="00C533B1">
            <w:pPr>
              <w:ind w:firstLine="308"/>
              <w:jc w:val="both"/>
              <w:rPr>
                <w:sz w:val="22"/>
                <w:szCs w:val="22"/>
                <w:shd w:val="clear" w:color="auto" w:fill="FFFFFF"/>
              </w:rPr>
            </w:pPr>
          </w:p>
          <w:p w14:paraId="382840DD" w14:textId="77777777" w:rsidR="00C533B1" w:rsidRPr="00C27A60" w:rsidRDefault="00C533B1" w:rsidP="00C533B1">
            <w:pPr>
              <w:spacing w:line="259" w:lineRule="auto"/>
              <w:ind w:firstLine="308"/>
              <w:jc w:val="both"/>
              <w:rPr>
                <w:rFonts w:eastAsia="Calibri"/>
                <w:sz w:val="22"/>
                <w:szCs w:val="22"/>
                <w:shd w:val="clear" w:color="auto" w:fill="FFFFFF"/>
                <w:lang w:eastAsia="en-US"/>
              </w:rPr>
            </w:pPr>
          </w:p>
          <w:p w14:paraId="7B4D36EC" w14:textId="77777777" w:rsidR="00C533B1" w:rsidRPr="00C27A60" w:rsidRDefault="00C533B1" w:rsidP="00C533B1">
            <w:pPr>
              <w:spacing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5C40F75D" w14:textId="77777777" w:rsidR="00C533B1" w:rsidRPr="00C27A60" w:rsidRDefault="00C533B1" w:rsidP="00C533B1">
            <w:pPr>
              <w:ind w:firstLine="308"/>
              <w:jc w:val="both"/>
              <w:rPr>
                <w:sz w:val="22"/>
                <w:szCs w:val="22"/>
                <w:shd w:val="clear" w:color="auto" w:fill="FFFFFF"/>
              </w:rPr>
            </w:pPr>
          </w:p>
          <w:p w14:paraId="435E9FE6"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&lt;…&gt;</w:t>
            </w:r>
          </w:p>
          <w:p w14:paraId="2410216E" w14:textId="77777777" w:rsidR="00C533B1" w:rsidRPr="00C27A60" w:rsidRDefault="00C533B1" w:rsidP="00C533B1">
            <w:pPr>
              <w:ind w:firstLine="308"/>
              <w:jc w:val="both"/>
              <w:rPr>
                <w:b/>
                <w:sz w:val="22"/>
                <w:szCs w:val="22"/>
                <w:shd w:val="clear" w:color="auto" w:fill="FFFFFF"/>
              </w:rPr>
            </w:pPr>
            <w:r w:rsidRPr="00C27A60">
              <w:rPr>
                <w:b/>
                <w:sz w:val="22"/>
                <w:szCs w:val="22"/>
                <w:shd w:val="clear" w:color="auto" w:fill="FFFFFF"/>
              </w:rPr>
              <w:t>30) фактичний максимальний розмір середньорічної заробітної плати, яка фінансується за рахунок тарифів на послуги з розподілу електричної енергії, що перевищує десятикратний розмір середньорічної заробітної плати, урахованої у структурі тарифів на послуги з розподілу електричної енергії.</w:t>
            </w:r>
          </w:p>
          <w:p w14:paraId="24AF7438" w14:textId="77777777" w:rsidR="00C533B1" w:rsidRPr="00C27A60" w:rsidRDefault="00C533B1" w:rsidP="00C533B1">
            <w:pPr>
              <w:ind w:firstLine="308"/>
              <w:jc w:val="both"/>
              <w:rPr>
                <w:i/>
                <w:sz w:val="22"/>
                <w:szCs w:val="22"/>
              </w:rPr>
            </w:pPr>
          </w:p>
          <w:p w14:paraId="4AAC274E" w14:textId="77777777" w:rsidR="00C533B1" w:rsidRPr="00C27A60" w:rsidRDefault="00C533B1" w:rsidP="00C533B1">
            <w:pPr>
              <w:rPr>
                <w:i/>
                <w:sz w:val="22"/>
                <w:szCs w:val="22"/>
              </w:rPr>
            </w:pPr>
          </w:p>
          <w:p w14:paraId="496CA8D0" w14:textId="77777777" w:rsidR="00C533B1" w:rsidRPr="00C27A60" w:rsidRDefault="00C533B1" w:rsidP="00C533B1">
            <w:pPr>
              <w:rPr>
                <w:i/>
                <w:sz w:val="22"/>
                <w:szCs w:val="22"/>
              </w:rPr>
            </w:pPr>
            <w:r w:rsidRPr="00C27A60">
              <w:rPr>
                <w:i/>
                <w:sz w:val="22"/>
                <w:szCs w:val="22"/>
              </w:rPr>
              <w:t>ОБРГРУНТУВАННЯ:</w:t>
            </w:r>
          </w:p>
          <w:p w14:paraId="6895065B" w14:textId="77777777" w:rsidR="00C533B1" w:rsidRPr="00C27A60" w:rsidRDefault="00C533B1" w:rsidP="00C533B1">
            <w:pPr>
              <w:rPr>
                <w:i/>
                <w:sz w:val="22"/>
                <w:szCs w:val="22"/>
              </w:rPr>
            </w:pPr>
          </w:p>
          <w:p w14:paraId="599BF115" w14:textId="77777777" w:rsidR="00C533B1" w:rsidRPr="00C27A60" w:rsidRDefault="00C533B1" w:rsidP="00C533B1">
            <w:pPr>
              <w:jc w:val="both"/>
              <w:rPr>
                <w:sz w:val="22"/>
                <w:szCs w:val="22"/>
              </w:rPr>
            </w:pPr>
            <w:r w:rsidRPr="00C27A60">
              <w:rPr>
                <w:sz w:val="22"/>
                <w:szCs w:val="22"/>
              </w:rPr>
              <w:t xml:space="preserve">З метою однозначного трактування пропонується </w:t>
            </w:r>
            <w:proofErr w:type="spellStart"/>
            <w:r w:rsidRPr="00C27A60">
              <w:rPr>
                <w:sz w:val="22"/>
                <w:szCs w:val="22"/>
              </w:rPr>
              <w:t>внести</w:t>
            </w:r>
            <w:proofErr w:type="spellEnd"/>
            <w:r w:rsidRPr="00C27A60">
              <w:rPr>
                <w:sz w:val="22"/>
                <w:szCs w:val="22"/>
              </w:rPr>
              <w:t xml:space="preserve"> уточнення.</w:t>
            </w:r>
          </w:p>
          <w:p w14:paraId="3FEA01F9" w14:textId="19DF4038" w:rsidR="00C533B1" w:rsidRPr="00C27A60" w:rsidRDefault="00C533B1" w:rsidP="00C533B1">
            <w:pPr>
              <w:ind w:firstLine="308"/>
              <w:jc w:val="both"/>
              <w:rPr>
                <w:i/>
                <w:sz w:val="22"/>
                <w:szCs w:val="22"/>
              </w:rPr>
            </w:pPr>
          </w:p>
        </w:tc>
        <w:tc>
          <w:tcPr>
            <w:tcW w:w="3546" w:type="dxa"/>
          </w:tcPr>
          <w:p w14:paraId="6DB670BC" w14:textId="77777777" w:rsidR="002C09B1" w:rsidRPr="00C27A60" w:rsidRDefault="002C09B1" w:rsidP="002C09B1">
            <w:pPr>
              <w:rPr>
                <w:b/>
                <w:i/>
                <w:sz w:val="22"/>
                <w:szCs w:val="22"/>
              </w:rPr>
            </w:pPr>
          </w:p>
          <w:p w14:paraId="7A2370E6" w14:textId="77777777" w:rsidR="002C09B1" w:rsidRPr="00C27A60" w:rsidRDefault="002C09B1" w:rsidP="002C09B1">
            <w:pPr>
              <w:rPr>
                <w:b/>
                <w:i/>
                <w:sz w:val="22"/>
                <w:szCs w:val="22"/>
              </w:rPr>
            </w:pPr>
          </w:p>
          <w:p w14:paraId="26CBACD8" w14:textId="77777777" w:rsidR="002C09B1" w:rsidRPr="00C27A60" w:rsidRDefault="002C09B1" w:rsidP="002C09B1">
            <w:pPr>
              <w:rPr>
                <w:b/>
                <w:i/>
                <w:sz w:val="22"/>
                <w:szCs w:val="22"/>
              </w:rPr>
            </w:pPr>
          </w:p>
          <w:p w14:paraId="54C55A06" w14:textId="77777777" w:rsidR="002C09B1" w:rsidRPr="00C27A60" w:rsidRDefault="002C09B1" w:rsidP="002C09B1">
            <w:pPr>
              <w:rPr>
                <w:b/>
                <w:i/>
                <w:sz w:val="22"/>
                <w:szCs w:val="22"/>
              </w:rPr>
            </w:pPr>
          </w:p>
          <w:p w14:paraId="616DC16F" w14:textId="77777777" w:rsidR="002C09B1" w:rsidRPr="00C27A60" w:rsidRDefault="002C09B1" w:rsidP="002C09B1">
            <w:pPr>
              <w:rPr>
                <w:b/>
                <w:i/>
                <w:sz w:val="22"/>
                <w:szCs w:val="22"/>
              </w:rPr>
            </w:pPr>
          </w:p>
          <w:p w14:paraId="6032F45E" w14:textId="77777777" w:rsidR="002C09B1" w:rsidRPr="00C27A60" w:rsidRDefault="002C09B1" w:rsidP="002C09B1">
            <w:pPr>
              <w:rPr>
                <w:b/>
                <w:i/>
                <w:sz w:val="22"/>
                <w:szCs w:val="22"/>
              </w:rPr>
            </w:pPr>
          </w:p>
          <w:p w14:paraId="2A8629F0" w14:textId="77777777" w:rsidR="002C09B1" w:rsidRPr="00C27A60" w:rsidRDefault="002C09B1" w:rsidP="002C09B1">
            <w:pPr>
              <w:rPr>
                <w:b/>
                <w:i/>
                <w:sz w:val="22"/>
                <w:szCs w:val="22"/>
              </w:rPr>
            </w:pPr>
          </w:p>
          <w:p w14:paraId="410F005A" w14:textId="77777777" w:rsidR="002C09B1" w:rsidRPr="00C27A60" w:rsidRDefault="002C09B1" w:rsidP="002C09B1">
            <w:pPr>
              <w:rPr>
                <w:b/>
                <w:i/>
                <w:sz w:val="22"/>
                <w:szCs w:val="22"/>
              </w:rPr>
            </w:pPr>
          </w:p>
          <w:p w14:paraId="06B5FAFE" w14:textId="77777777" w:rsidR="002C09B1" w:rsidRPr="00C27A60" w:rsidRDefault="002C09B1" w:rsidP="002C09B1">
            <w:pPr>
              <w:rPr>
                <w:b/>
                <w:i/>
                <w:sz w:val="22"/>
                <w:szCs w:val="22"/>
              </w:rPr>
            </w:pPr>
          </w:p>
          <w:p w14:paraId="2C10A0A1" w14:textId="77777777" w:rsidR="002C09B1" w:rsidRPr="00C27A60" w:rsidRDefault="002C09B1" w:rsidP="002C09B1">
            <w:pPr>
              <w:rPr>
                <w:b/>
                <w:i/>
                <w:sz w:val="22"/>
                <w:szCs w:val="22"/>
              </w:rPr>
            </w:pPr>
          </w:p>
          <w:p w14:paraId="2F59CDA9" w14:textId="77777777" w:rsidR="002C09B1" w:rsidRPr="00C27A60" w:rsidRDefault="002C09B1" w:rsidP="002C09B1">
            <w:pPr>
              <w:rPr>
                <w:b/>
                <w:i/>
                <w:sz w:val="22"/>
                <w:szCs w:val="22"/>
              </w:rPr>
            </w:pPr>
          </w:p>
          <w:p w14:paraId="00290003" w14:textId="77777777" w:rsidR="002C09B1" w:rsidRPr="00C27A60" w:rsidRDefault="002C09B1" w:rsidP="002C09B1">
            <w:pPr>
              <w:rPr>
                <w:b/>
                <w:i/>
                <w:sz w:val="22"/>
                <w:szCs w:val="22"/>
              </w:rPr>
            </w:pPr>
          </w:p>
          <w:p w14:paraId="7A26518D" w14:textId="77777777" w:rsidR="00BE1E93" w:rsidRPr="00C27A60" w:rsidRDefault="00BE1E93" w:rsidP="00BE1E93">
            <w:pPr>
              <w:rPr>
                <w:b/>
                <w:sz w:val="16"/>
                <w:szCs w:val="22"/>
              </w:rPr>
            </w:pPr>
          </w:p>
          <w:p w14:paraId="2B139206" w14:textId="77777777" w:rsidR="00BE1E93" w:rsidRPr="00C27A60" w:rsidRDefault="00BE1E93" w:rsidP="00BE1E93">
            <w:pPr>
              <w:jc w:val="both"/>
              <w:rPr>
                <w:b/>
                <w:sz w:val="22"/>
                <w:szCs w:val="22"/>
              </w:rPr>
            </w:pPr>
            <w:r w:rsidRPr="00C27A60">
              <w:rPr>
                <w:b/>
                <w:sz w:val="22"/>
                <w:szCs w:val="22"/>
              </w:rPr>
              <w:t xml:space="preserve">Не враховується </w:t>
            </w:r>
          </w:p>
          <w:p w14:paraId="28D5B723" w14:textId="0B0D45B0" w:rsidR="00BE1E93" w:rsidRPr="00C27A60" w:rsidRDefault="00BE1E93" w:rsidP="00BE1E93">
            <w:pPr>
              <w:pStyle w:val="af5"/>
              <w:spacing w:before="0" w:beforeAutospacing="0" w:after="0" w:afterAutospacing="0"/>
              <w:jc w:val="both"/>
              <w:rPr>
                <w:b/>
                <w:sz w:val="22"/>
                <w:szCs w:val="22"/>
                <w:lang w:eastAsia="ru-RU"/>
              </w:rPr>
            </w:pPr>
          </w:p>
          <w:p w14:paraId="0F5A8008" w14:textId="29DF9414" w:rsidR="00C533B1" w:rsidRPr="00C27A60" w:rsidRDefault="00BE1E93" w:rsidP="00BE1E93">
            <w:pPr>
              <w:ind w:firstLine="240"/>
              <w:jc w:val="both"/>
              <w:rPr>
                <w:i/>
                <w:sz w:val="22"/>
                <w:szCs w:val="22"/>
              </w:rPr>
            </w:pPr>
            <w:r w:rsidRPr="00C27A60">
              <w:rPr>
                <w:sz w:val="22"/>
                <w:szCs w:val="22"/>
              </w:rPr>
              <w:t>Запропонована редакція не змінює та не удосконалює трактування норми порівняно зі схваленою редакцією (аналіз здійснюється помісячно, а кінцевий результат приймається за результатом середньорічних показників).</w:t>
            </w:r>
          </w:p>
        </w:tc>
      </w:tr>
      <w:tr w:rsidR="00C27A60" w:rsidRPr="00C27A60" w14:paraId="11EBC18C" w14:textId="77777777" w:rsidTr="008D1DC5">
        <w:trPr>
          <w:trHeight w:val="595"/>
        </w:trPr>
        <w:tc>
          <w:tcPr>
            <w:tcW w:w="5839" w:type="dxa"/>
          </w:tcPr>
          <w:p w14:paraId="491A1914" w14:textId="77777777" w:rsidR="00C533B1" w:rsidRPr="00C27A60" w:rsidRDefault="00C533B1" w:rsidP="00C533B1">
            <w:pPr>
              <w:ind w:firstLine="240"/>
              <w:jc w:val="both"/>
              <w:rPr>
                <w:sz w:val="22"/>
                <w:szCs w:val="22"/>
              </w:rPr>
            </w:pPr>
          </w:p>
          <w:p w14:paraId="1D8D95DE" w14:textId="77777777" w:rsidR="00C533B1" w:rsidRPr="00C27A60" w:rsidRDefault="00C533B1" w:rsidP="00C533B1">
            <w:pPr>
              <w:ind w:firstLine="240"/>
              <w:jc w:val="both"/>
              <w:rPr>
                <w:sz w:val="22"/>
                <w:szCs w:val="22"/>
              </w:rPr>
            </w:pPr>
          </w:p>
          <w:p w14:paraId="12281194" w14:textId="77777777" w:rsidR="00C533B1" w:rsidRPr="00C27A60" w:rsidRDefault="00C533B1" w:rsidP="00C533B1">
            <w:pPr>
              <w:ind w:firstLine="240"/>
              <w:jc w:val="both"/>
              <w:rPr>
                <w:sz w:val="22"/>
                <w:szCs w:val="22"/>
              </w:rPr>
            </w:pPr>
          </w:p>
          <w:p w14:paraId="2B43BA03" w14:textId="32682E2C" w:rsidR="00C533B1" w:rsidRPr="00C27A60" w:rsidRDefault="00C533B1" w:rsidP="00C533B1">
            <w:pPr>
              <w:ind w:firstLine="308"/>
              <w:jc w:val="both"/>
              <w:rPr>
                <w:sz w:val="22"/>
                <w:szCs w:val="22"/>
                <w:shd w:val="clear" w:color="auto" w:fill="FFFFFF"/>
              </w:rPr>
            </w:pPr>
            <w:r w:rsidRPr="00C27A60">
              <w:rPr>
                <w:sz w:val="22"/>
                <w:szCs w:val="22"/>
                <w:shd w:val="clear" w:color="auto" w:fill="FFFFFF"/>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24B050B9" w14:textId="77777777" w:rsidR="00C533B1" w:rsidRPr="00C27A60" w:rsidRDefault="00C533B1" w:rsidP="00C533B1">
            <w:pPr>
              <w:ind w:firstLine="308"/>
              <w:jc w:val="both"/>
              <w:rPr>
                <w:sz w:val="22"/>
                <w:szCs w:val="22"/>
                <w:shd w:val="clear" w:color="auto" w:fill="FFFFFF"/>
              </w:rPr>
            </w:pPr>
          </w:p>
          <w:p w14:paraId="1B158394"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&lt;…&gt;</w:t>
            </w:r>
          </w:p>
          <w:p w14:paraId="61C02DF7" w14:textId="77777777" w:rsidR="00C533B1" w:rsidRPr="00C27A60" w:rsidRDefault="00C533B1" w:rsidP="00C533B1">
            <w:pPr>
              <w:ind w:firstLine="308"/>
              <w:jc w:val="both"/>
              <w:rPr>
                <w:sz w:val="22"/>
                <w:szCs w:val="22"/>
              </w:rPr>
            </w:pPr>
          </w:p>
          <w:p w14:paraId="53FFF0B4" w14:textId="26371C41" w:rsidR="00C533B1" w:rsidRPr="00C27A60" w:rsidRDefault="00C533B1" w:rsidP="00C533B1">
            <w:pPr>
              <w:spacing w:after="75"/>
              <w:ind w:firstLine="240"/>
              <w:jc w:val="both"/>
              <w:rPr>
                <w:sz w:val="22"/>
                <w:szCs w:val="22"/>
              </w:rPr>
            </w:pPr>
            <w:r w:rsidRPr="00C27A60">
              <w:rPr>
                <w:sz w:val="22"/>
                <w:szCs w:val="22"/>
              </w:rPr>
              <w:lastRenderedPageBreak/>
              <w:t>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C27A60">
              <w:rPr>
                <w:noProof/>
                <w:sz w:val="22"/>
                <w:szCs w:val="22"/>
              </w:rPr>
              <w:drawing>
                <wp:inline distT="0" distB="0" distL="0" distR="0" wp14:anchorId="3BBB3036" wp14:editId="1735662E">
                  <wp:extent cx="581025" cy="257175"/>
                  <wp:effectExtent l="0" t="0" r="9525"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Pr="00C27A60">
              <w:rPr>
                <w:sz w:val="22"/>
                <w:szCs w:val="22"/>
              </w:rPr>
              <w:t>, тис. грн, що визначається за формулою</w:t>
            </w:r>
          </w:p>
          <w:tbl>
            <w:tblPr>
              <w:tblW w:w="5631" w:type="dxa"/>
              <w:tblLayout w:type="fixed"/>
              <w:tblLook w:val="04A0" w:firstRow="1" w:lastRow="0" w:firstColumn="1" w:lastColumn="0" w:noHBand="0" w:noVBand="1"/>
            </w:tblPr>
            <w:tblGrid>
              <w:gridCol w:w="4734"/>
              <w:gridCol w:w="897"/>
            </w:tblGrid>
            <w:tr w:rsidR="00C27A60" w:rsidRPr="00C27A60" w14:paraId="1EC50B94" w14:textId="77777777" w:rsidTr="00FC32FE">
              <w:trPr>
                <w:trHeight w:val="29"/>
              </w:trPr>
              <w:tc>
                <w:tcPr>
                  <w:tcW w:w="4734" w:type="dxa"/>
                  <w:vAlign w:val="center"/>
                  <w:hideMark/>
                </w:tcPr>
                <w:p w14:paraId="1CC209D3" w14:textId="77777777" w:rsidR="00C533B1" w:rsidRPr="00C27A60" w:rsidRDefault="00C533B1" w:rsidP="00C533B1">
                  <w:pPr>
                    <w:spacing w:after="75"/>
                    <w:rPr>
                      <w:sz w:val="22"/>
                      <w:szCs w:val="22"/>
                    </w:rPr>
                  </w:pPr>
                  <w:r w:rsidRPr="00C27A60">
                    <w:rPr>
                      <w:noProof/>
                      <w:sz w:val="22"/>
                      <w:szCs w:val="22"/>
                    </w:rPr>
                    <w:drawing>
                      <wp:inline distT="0" distB="0" distL="0" distR="0" wp14:anchorId="769DAF06" wp14:editId="3AC4503E">
                        <wp:extent cx="2876550" cy="561975"/>
                        <wp:effectExtent l="0" t="0" r="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76550" cy="561975"/>
                                </a:xfrm>
                                <a:prstGeom prst="rect">
                                  <a:avLst/>
                                </a:prstGeom>
                                <a:noFill/>
                                <a:ln>
                                  <a:noFill/>
                                </a:ln>
                              </pic:spPr>
                            </pic:pic>
                          </a:graphicData>
                        </a:graphic>
                      </wp:inline>
                    </w:drawing>
                  </w:r>
                </w:p>
              </w:tc>
              <w:tc>
                <w:tcPr>
                  <w:tcW w:w="897" w:type="dxa"/>
                  <w:vAlign w:val="center"/>
                  <w:hideMark/>
                </w:tcPr>
                <w:p w14:paraId="5AFFB4B9" w14:textId="77777777" w:rsidR="00C533B1" w:rsidRPr="00C27A60" w:rsidRDefault="00C533B1" w:rsidP="00C533B1">
                  <w:pPr>
                    <w:spacing w:after="75"/>
                    <w:jc w:val="both"/>
                    <w:rPr>
                      <w:sz w:val="22"/>
                      <w:szCs w:val="22"/>
                    </w:rPr>
                  </w:pPr>
                  <w:r w:rsidRPr="00C27A60">
                    <w:rPr>
                      <w:sz w:val="22"/>
                      <w:szCs w:val="22"/>
                    </w:rPr>
                    <w:t>,</w:t>
                  </w:r>
                </w:p>
              </w:tc>
            </w:tr>
          </w:tbl>
          <w:p w14:paraId="0859F59A" w14:textId="77777777" w:rsidR="00C533B1" w:rsidRPr="00C27A60" w:rsidRDefault="00C533B1" w:rsidP="00C533B1">
            <w:pPr>
              <w:spacing w:after="75"/>
              <w:ind w:firstLine="240"/>
              <w:jc w:val="both"/>
              <w:rPr>
                <w:sz w:val="22"/>
                <w:szCs w:val="22"/>
              </w:rPr>
            </w:pPr>
            <w:r w:rsidRPr="00C27A60">
              <w:rPr>
                <w:sz w:val="22"/>
                <w:szCs w:val="22"/>
              </w:rPr>
              <w:t>де i - місяць,</w:t>
            </w:r>
          </w:p>
          <w:p w14:paraId="7E2FB755" w14:textId="77777777" w:rsidR="00C533B1" w:rsidRPr="00C27A60" w:rsidRDefault="00C533B1" w:rsidP="00C533B1">
            <w:pPr>
              <w:spacing w:after="75"/>
              <w:ind w:firstLine="240"/>
              <w:jc w:val="both"/>
              <w:rPr>
                <w:sz w:val="22"/>
                <w:szCs w:val="22"/>
              </w:rPr>
            </w:pPr>
            <w:r w:rsidRPr="00C27A60">
              <w:rPr>
                <w:sz w:val="22"/>
                <w:szCs w:val="22"/>
              </w:rPr>
              <w:t>n - кількість місяців,</w:t>
            </w:r>
          </w:p>
          <w:p w14:paraId="07994665" w14:textId="77777777" w:rsidR="00C533B1" w:rsidRPr="00C27A60" w:rsidRDefault="00C533B1" w:rsidP="00C533B1">
            <w:pPr>
              <w:spacing w:after="75"/>
              <w:ind w:firstLine="240"/>
              <w:jc w:val="both"/>
              <w:rPr>
                <w:sz w:val="22"/>
                <w:szCs w:val="22"/>
              </w:rPr>
            </w:pPr>
            <w:r w:rsidRPr="00C27A60">
              <w:rPr>
                <w:sz w:val="22"/>
                <w:szCs w:val="22"/>
              </w:rPr>
              <w:t>Д</w:t>
            </w:r>
            <w:r w:rsidRPr="00C27A60">
              <w:rPr>
                <w:sz w:val="22"/>
                <w:szCs w:val="22"/>
                <w:vertAlign w:val="subscript"/>
              </w:rPr>
              <w:t>ТВЕ т</w:t>
            </w:r>
            <w:r w:rsidRPr="00C27A60">
              <w:rPr>
                <w:sz w:val="22"/>
                <w:szCs w:val="22"/>
              </w:rPr>
              <w:t xml:space="preserve"> - вартість технологічних витрат електричної енергії, урахована в тарифі на звітний рік, тис. грн,</w:t>
            </w:r>
          </w:p>
          <w:p w14:paraId="1E2E56C0" w14:textId="77777777" w:rsidR="00C533B1" w:rsidRPr="00C27A60" w:rsidRDefault="00C533B1" w:rsidP="00C533B1">
            <w:pPr>
              <w:spacing w:after="75"/>
              <w:ind w:firstLine="240"/>
              <w:jc w:val="both"/>
              <w:rPr>
                <w:sz w:val="22"/>
                <w:szCs w:val="22"/>
              </w:rPr>
            </w:pPr>
            <w:r w:rsidRPr="00C27A60">
              <w:rPr>
                <w:sz w:val="22"/>
                <w:szCs w:val="22"/>
              </w:rPr>
              <w:t>Д</w:t>
            </w:r>
            <w:r w:rsidRPr="00C27A60">
              <w:rPr>
                <w:sz w:val="22"/>
                <w:szCs w:val="22"/>
                <w:vertAlign w:val="subscript"/>
              </w:rPr>
              <w:t xml:space="preserve">ТВЕ </w:t>
            </w:r>
            <w:proofErr w:type="spellStart"/>
            <w:r w:rsidRPr="00C27A60">
              <w:rPr>
                <w:sz w:val="22"/>
                <w:szCs w:val="22"/>
                <w:vertAlign w:val="subscript"/>
              </w:rPr>
              <w:t>нф</w:t>
            </w:r>
            <w:proofErr w:type="spellEnd"/>
            <w:r w:rsidRPr="00C27A60">
              <w:rPr>
                <w:sz w:val="22"/>
                <w:szCs w:val="22"/>
                <w:vertAlign w:val="subscript"/>
              </w:rPr>
              <w:t xml:space="preserve"> i</w:t>
            </w:r>
            <w:r w:rsidRPr="00C27A60">
              <w:rPr>
                <w:sz w:val="22"/>
                <w:szCs w:val="22"/>
              </w:rPr>
              <w:t xml:space="preserve">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p>
          <w:p w14:paraId="72C2D738" w14:textId="77777777" w:rsidR="00C533B1" w:rsidRPr="00C27A60" w:rsidRDefault="00C533B1" w:rsidP="00C533B1">
            <w:pPr>
              <w:spacing w:after="75"/>
              <w:ind w:firstLine="240"/>
              <w:jc w:val="center"/>
              <w:rPr>
                <w:sz w:val="22"/>
                <w:szCs w:val="22"/>
              </w:rPr>
            </w:pPr>
            <w:r w:rsidRPr="00C27A60">
              <w:rPr>
                <w:sz w:val="22"/>
                <w:szCs w:val="22"/>
              </w:rPr>
              <w:t>Д</w:t>
            </w:r>
            <w:r w:rsidRPr="00C27A60">
              <w:rPr>
                <w:sz w:val="22"/>
                <w:szCs w:val="22"/>
                <w:vertAlign w:val="subscript"/>
              </w:rPr>
              <w:t xml:space="preserve">ТВЕ </w:t>
            </w:r>
            <w:proofErr w:type="spellStart"/>
            <w:r w:rsidRPr="00C27A60">
              <w:rPr>
                <w:sz w:val="22"/>
                <w:szCs w:val="22"/>
                <w:vertAlign w:val="subscript"/>
              </w:rPr>
              <w:t>нф</w:t>
            </w:r>
            <w:proofErr w:type="spellEnd"/>
            <w:r w:rsidRPr="00C27A60">
              <w:rPr>
                <w:sz w:val="22"/>
                <w:szCs w:val="22"/>
                <w:vertAlign w:val="subscript"/>
              </w:rPr>
              <w:t xml:space="preserve"> і</w:t>
            </w:r>
            <w:r w:rsidRPr="00C27A60">
              <w:rPr>
                <w:sz w:val="22"/>
                <w:szCs w:val="22"/>
              </w:rPr>
              <w:t xml:space="preserve"> = О</w:t>
            </w:r>
            <w:r w:rsidRPr="00C27A60">
              <w:rPr>
                <w:sz w:val="22"/>
                <w:szCs w:val="22"/>
                <w:vertAlign w:val="subscript"/>
              </w:rPr>
              <w:t xml:space="preserve">ТВЕ </w:t>
            </w:r>
            <w:proofErr w:type="spellStart"/>
            <w:r w:rsidRPr="00C27A60">
              <w:rPr>
                <w:sz w:val="22"/>
                <w:szCs w:val="22"/>
                <w:vertAlign w:val="subscript"/>
              </w:rPr>
              <w:t>нф</w:t>
            </w:r>
            <w:proofErr w:type="spellEnd"/>
            <w:r w:rsidRPr="00C27A60">
              <w:rPr>
                <w:sz w:val="22"/>
                <w:szCs w:val="22"/>
                <w:vertAlign w:val="subscript"/>
              </w:rPr>
              <w:t xml:space="preserve"> i</w:t>
            </w:r>
            <w:r w:rsidRPr="00C27A60">
              <w:rPr>
                <w:sz w:val="22"/>
                <w:szCs w:val="22"/>
              </w:rPr>
              <w:t xml:space="preserve"> × Ц</w:t>
            </w:r>
            <w:r w:rsidRPr="00C27A60">
              <w:rPr>
                <w:sz w:val="22"/>
                <w:szCs w:val="22"/>
                <w:vertAlign w:val="subscript"/>
              </w:rPr>
              <w:t>ТВЕ i</w:t>
            </w:r>
            <w:r w:rsidRPr="00C27A60">
              <w:rPr>
                <w:sz w:val="22"/>
                <w:szCs w:val="22"/>
              </w:rPr>
              <w:t xml:space="preserve"> ,</w:t>
            </w:r>
          </w:p>
          <w:p w14:paraId="37C76685" w14:textId="77777777" w:rsidR="00C533B1" w:rsidRPr="00C27A60" w:rsidRDefault="00C533B1" w:rsidP="00C533B1">
            <w:pPr>
              <w:spacing w:after="75"/>
              <w:ind w:firstLine="240"/>
              <w:jc w:val="both"/>
              <w:rPr>
                <w:sz w:val="22"/>
                <w:szCs w:val="22"/>
              </w:rPr>
            </w:pPr>
            <w:r w:rsidRPr="00C27A60">
              <w:rPr>
                <w:sz w:val="22"/>
                <w:szCs w:val="22"/>
              </w:rPr>
              <w:t>де О</w:t>
            </w:r>
            <w:r w:rsidRPr="00C27A60">
              <w:rPr>
                <w:sz w:val="22"/>
                <w:szCs w:val="22"/>
                <w:vertAlign w:val="subscript"/>
              </w:rPr>
              <w:t xml:space="preserve">ТВЕ </w:t>
            </w:r>
            <w:proofErr w:type="spellStart"/>
            <w:r w:rsidRPr="00C27A60">
              <w:rPr>
                <w:sz w:val="22"/>
                <w:szCs w:val="22"/>
                <w:vertAlign w:val="subscript"/>
              </w:rPr>
              <w:t>нф</w:t>
            </w:r>
            <w:proofErr w:type="spellEnd"/>
            <w:r w:rsidRPr="00C27A60">
              <w:rPr>
                <w:sz w:val="22"/>
                <w:szCs w:val="22"/>
                <w:vertAlign w:val="subscript"/>
              </w:rPr>
              <w:t xml:space="preserve"> i</w:t>
            </w:r>
            <w:r w:rsidRPr="00C27A60">
              <w:rPr>
                <w:sz w:val="22"/>
                <w:szCs w:val="22"/>
              </w:rPr>
              <w:t xml:space="preserve"> - нормативно-фактичний обсяг технологічних витрат електричної енергії на її розподіл на 1 та 2 класах напруги, в і-му місяці звітного року, МВт·год, що розраховується за формулою</w:t>
            </w:r>
          </w:p>
          <w:tbl>
            <w:tblPr>
              <w:tblW w:w="7555" w:type="dxa"/>
              <w:tblLayout w:type="fixed"/>
              <w:tblLook w:val="04A0" w:firstRow="1" w:lastRow="0" w:firstColumn="1" w:lastColumn="0" w:noHBand="0" w:noVBand="1"/>
            </w:tblPr>
            <w:tblGrid>
              <w:gridCol w:w="6968"/>
              <w:gridCol w:w="587"/>
            </w:tblGrid>
            <w:tr w:rsidR="00C27A60" w:rsidRPr="00C27A60" w14:paraId="19D1DF81" w14:textId="77777777" w:rsidTr="00FC32FE">
              <w:trPr>
                <w:trHeight w:val="37"/>
              </w:trPr>
              <w:tc>
                <w:tcPr>
                  <w:tcW w:w="6968" w:type="dxa"/>
                  <w:vAlign w:val="center"/>
                  <w:hideMark/>
                </w:tcPr>
                <w:p w14:paraId="77B4DACC" w14:textId="77777777" w:rsidR="00C533B1" w:rsidRPr="00C27A60" w:rsidRDefault="00C533B1" w:rsidP="00C533B1">
                  <w:pPr>
                    <w:spacing w:after="75"/>
                    <w:rPr>
                      <w:sz w:val="22"/>
                      <w:szCs w:val="22"/>
                    </w:rPr>
                  </w:pPr>
                  <w:r w:rsidRPr="00C27A60">
                    <w:rPr>
                      <w:noProof/>
                      <w:sz w:val="22"/>
                      <w:szCs w:val="22"/>
                    </w:rPr>
                    <w:drawing>
                      <wp:inline distT="0" distB="0" distL="0" distR="0" wp14:anchorId="1D9247A9" wp14:editId="4358147F">
                        <wp:extent cx="3505200" cy="410210"/>
                        <wp:effectExtent l="0" t="0" r="0" b="889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19549" cy="423592"/>
                                </a:xfrm>
                                <a:prstGeom prst="rect">
                                  <a:avLst/>
                                </a:prstGeom>
                                <a:noFill/>
                                <a:ln>
                                  <a:noFill/>
                                </a:ln>
                              </pic:spPr>
                            </pic:pic>
                          </a:graphicData>
                        </a:graphic>
                      </wp:inline>
                    </w:drawing>
                  </w:r>
                </w:p>
              </w:tc>
              <w:tc>
                <w:tcPr>
                  <w:tcW w:w="587" w:type="dxa"/>
                  <w:vAlign w:val="center"/>
                  <w:hideMark/>
                </w:tcPr>
                <w:p w14:paraId="703AC62F" w14:textId="77777777" w:rsidR="00C533B1" w:rsidRPr="00C27A60" w:rsidRDefault="00C533B1" w:rsidP="00C533B1">
                  <w:pPr>
                    <w:spacing w:after="75"/>
                    <w:jc w:val="both"/>
                    <w:rPr>
                      <w:sz w:val="22"/>
                      <w:szCs w:val="22"/>
                    </w:rPr>
                  </w:pPr>
                  <w:r w:rsidRPr="00C27A60">
                    <w:rPr>
                      <w:sz w:val="22"/>
                      <w:szCs w:val="22"/>
                    </w:rPr>
                    <w:t>,</w:t>
                  </w:r>
                </w:p>
              </w:tc>
            </w:tr>
          </w:tbl>
          <w:p w14:paraId="23781708" w14:textId="77777777" w:rsidR="00C533B1" w:rsidRPr="00C27A60" w:rsidRDefault="00C533B1" w:rsidP="00C533B1">
            <w:pPr>
              <w:spacing w:after="75"/>
              <w:ind w:firstLine="240"/>
              <w:jc w:val="both"/>
              <w:rPr>
                <w:sz w:val="22"/>
                <w:szCs w:val="22"/>
              </w:rPr>
            </w:pPr>
            <w:r w:rsidRPr="00C27A60">
              <w:rPr>
                <w:sz w:val="22"/>
                <w:szCs w:val="22"/>
              </w:rPr>
              <w:t xml:space="preserve">де </w:t>
            </w:r>
            <w:r w:rsidRPr="00C27A60">
              <w:rPr>
                <w:i/>
                <w:sz w:val="22"/>
                <w:szCs w:val="22"/>
              </w:rPr>
              <w:t>W</w:t>
            </w:r>
            <w:r w:rsidRPr="00C27A60">
              <w:rPr>
                <w:sz w:val="22"/>
                <w:szCs w:val="22"/>
                <w:vertAlign w:val="subscript"/>
              </w:rPr>
              <w:t>1 i</w:t>
            </w:r>
            <w:r w:rsidRPr="00C27A60">
              <w:rPr>
                <w:sz w:val="22"/>
                <w:szCs w:val="22"/>
              </w:rPr>
              <w:t xml:space="preserve"> , - фактичний обсяг корисного відпуску електричної енергії споживачам на 1 класі напруги у і-му місяці звітного року, МВт·год;</w:t>
            </w:r>
          </w:p>
          <w:p w14:paraId="5118461A" w14:textId="77777777" w:rsidR="00C533B1" w:rsidRPr="00C27A60" w:rsidRDefault="00C533B1" w:rsidP="00C533B1">
            <w:pPr>
              <w:spacing w:after="75"/>
              <w:ind w:firstLine="240"/>
              <w:jc w:val="both"/>
              <w:rPr>
                <w:sz w:val="22"/>
                <w:szCs w:val="22"/>
              </w:rPr>
            </w:pPr>
            <w:r w:rsidRPr="00C27A60">
              <w:rPr>
                <w:i/>
                <w:sz w:val="22"/>
                <w:szCs w:val="22"/>
              </w:rPr>
              <w:t>W</w:t>
            </w:r>
            <w:r w:rsidRPr="00C27A60">
              <w:rPr>
                <w:sz w:val="22"/>
                <w:szCs w:val="22"/>
                <w:vertAlign w:val="subscript"/>
              </w:rPr>
              <w:t>2 i</w:t>
            </w:r>
            <w:r w:rsidRPr="00C27A60">
              <w:rPr>
                <w:sz w:val="22"/>
                <w:szCs w:val="22"/>
              </w:rPr>
              <w:t xml:space="preserve"> - фактичний обсяг розподілу електричної енергії споживачам на 2 класі напруги в і-му місяці звітного року, МВт·год;</w:t>
            </w:r>
          </w:p>
          <w:p w14:paraId="2B463621" w14:textId="77777777" w:rsidR="00C533B1" w:rsidRPr="00C27A60" w:rsidRDefault="00C533B1" w:rsidP="00C533B1">
            <w:pPr>
              <w:spacing w:after="75"/>
              <w:ind w:firstLine="240"/>
              <w:jc w:val="both"/>
              <w:rPr>
                <w:sz w:val="22"/>
                <w:szCs w:val="22"/>
              </w:rPr>
            </w:pPr>
            <w:r w:rsidRPr="00C27A60">
              <w:rPr>
                <w:sz w:val="22"/>
                <w:szCs w:val="22"/>
              </w:rPr>
              <w:t>К</w:t>
            </w:r>
            <w:r w:rsidRPr="00C27A60">
              <w:rPr>
                <w:sz w:val="22"/>
                <w:szCs w:val="22"/>
                <w:vertAlign w:val="subscript"/>
              </w:rPr>
              <w:t>1</w:t>
            </w:r>
            <w:r w:rsidRPr="00C27A60">
              <w:rPr>
                <w:sz w:val="22"/>
                <w:szCs w:val="22"/>
              </w:rPr>
              <w:t>, К</w:t>
            </w:r>
            <w:r w:rsidRPr="00C27A60">
              <w:rPr>
                <w:sz w:val="22"/>
                <w:szCs w:val="22"/>
                <w:vertAlign w:val="subscript"/>
              </w:rPr>
              <w:t>2</w:t>
            </w:r>
            <w:r w:rsidRPr="00C27A60">
              <w:rPr>
                <w:sz w:val="22"/>
                <w:szCs w:val="22"/>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3F974BEE" w14:textId="77777777" w:rsidR="00C533B1" w:rsidRPr="00C27A60" w:rsidRDefault="00C533B1" w:rsidP="00C533B1">
            <w:pPr>
              <w:spacing w:after="75"/>
              <w:ind w:firstLine="240"/>
              <w:jc w:val="both"/>
              <w:rPr>
                <w:sz w:val="22"/>
                <w:szCs w:val="22"/>
              </w:rPr>
            </w:pPr>
            <w:r w:rsidRPr="00C27A60">
              <w:rPr>
                <w:sz w:val="22"/>
                <w:szCs w:val="22"/>
              </w:rPr>
              <w:t>Ц</w:t>
            </w:r>
            <w:r w:rsidRPr="00C27A60">
              <w:rPr>
                <w:sz w:val="22"/>
                <w:szCs w:val="22"/>
                <w:vertAlign w:val="subscript"/>
              </w:rPr>
              <w:t>ТВЕ i</w:t>
            </w:r>
            <w:r w:rsidRPr="00C27A60">
              <w:rPr>
                <w:sz w:val="22"/>
                <w:szCs w:val="22"/>
              </w:rPr>
              <w:t xml:space="preserve"> - середньозважена ціна купівлі електричної енергії на ринку електричної енергії в і-му місяці звітного року, що </w:t>
            </w:r>
            <w:r w:rsidRPr="00C27A60">
              <w:rPr>
                <w:sz w:val="22"/>
                <w:szCs w:val="22"/>
              </w:rPr>
              <w:lastRenderedPageBreak/>
              <w:t>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грн/МВт·год, та розраховується за формулою</w:t>
            </w:r>
          </w:p>
          <w:p w14:paraId="2A48CF4A" w14:textId="77777777" w:rsidR="00C533B1" w:rsidRPr="00C27A60" w:rsidRDefault="00C533B1" w:rsidP="00C533B1">
            <w:pPr>
              <w:spacing w:after="75"/>
              <w:ind w:firstLine="240"/>
              <w:jc w:val="center"/>
              <w:rPr>
                <w:sz w:val="22"/>
                <w:szCs w:val="22"/>
              </w:rPr>
            </w:pPr>
            <w:r w:rsidRPr="00C27A60">
              <w:rPr>
                <w:sz w:val="22"/>
                <w:szCs w:val="22"/>
              </w:rPr>
              <w:t>Ц</w:t>
            </w:r>
            <w:r w:rsidRPr="00C27A60">
              <w:rPr>
                <w:sz w:val="22"/>
                <w:szCs w:val="22"/>
                <w:vertAlign w:val="subscript"/>
              </w:rPr>
              <w:t>ТВЕ i</w:t>
            </w:r>
            <w:r w:rsidRPr="00C27A60">
              <w:rPr>
                <w:sz w:val="22"/>
                <w:szCs w:val="22"/>
              </w:rPr>
              <w:t xml:space="preserve"> </w:t>
            </w:r>
            <w:r w:rsidRPr="00C27A60">
              <w:rPr>
                <w:sz w:val="22"/>
                <w:szCs w:val="22"/>
                <w:vertAlign w:val="subscript"/>
              </w:rPr>
              <w:t>=</w:t>
            </w:r>
            <w:r w:rsidRPr="00C27A60">
              <w:rPr>
                <w:sz w:val="22"/>
                <w:szCs w:val="22"/>
              </w:rPr>
              <w:t xml:space="preserve"> Ц </w:t>
            </w:r>
            <w:r w:rsidRPr="00C27A60">
              <w:rPr>
                <w:sz w:val="22"/>
                <w:szCs w:val="22"/>
                <w:vertAlign w:val="subscript"/>
              </w:rPr>
              <w:t>РДН ф i</w:t>
            </w:r>
            <w:r w:rsidRPr="00C27A60">
              <w:rPr>
                <w:sz w:val="22"/>
                <w:szCs w:val="22"/>
              </w:rPr>
              <w:t xml:space="preserve"> × (1 - К</w:t>
            </w:r>
            <w:r w:rsidRPr="00C27A60">
              <w:rPr>
                <w:sz w:val="22"/>
                <w:szCs w:val="22"/>
                <w:vertAlign w:val="superscript"/>
              </w:rPr>
              <w:t>БР</w:t>
            </w:r>
            <w:r w:rsidRPr="00C27A60">
              <w:rPr>
                <w:sz w:val="22"/>
                <w:szCs w:val="22"/>
                <w:vertAlign w:val="subscript"/>
              </w:rPr>
              <w:t>W</w:t>
            </w:r>
            <w:r w:rsidRPr="00C27A60">
              <w:rPr>
                <w:sz w:val="22"/>
                <w:szCs w:val="22"/>
              </w:rPr>
              <w:t xml:space="preserve"> - К</w:t>
            </w:r>
            <w:r w:rsidRPr="00C27A60">
              <w:rPr>
                <w:sz w:val="22"/>
                <w:szCs w:val="22"/>
                <w:vertAlign w:val="superscript"/>
              </w:rPr>
              <w:t>ДД</w:t>
            </w:r>
            <w:r w:rsidRPr="00C27A60">
              <w:rPr>
                <w:sz w:val="22"/>
                <w:szCs w:val="22"/>
                <w:vertAlign w:val="subscript"/>
              </w:rPr>
              <w:t>W</w:t>
            </w:r>
            <w:r w:rsidRPr="00C27A60">
              <w:rPr>
                <w:sz w:val="22"/>
                <w:szCs w:val="22"/>
              </w:rPr>
              <w:t xml:space="preserve">) + Ц </w:t>
            </w:r>
            <w:r w:rsidRPr="00C27A60">
              <w:rPr>
                <w:sz w:val="22"/>
                <w:szCs w:val="22"/>
                <w:vertAlign w:val="subscript"/>
              </w:rPr>
              <w:t>РДН ф i</w:t>
            </w:r>
            <w:r w:rsidRPr="00C27A60">
              <w:rPr>
                <w:sz w:val="22"/>
                <w:szCs w:val="22"/>
              </w:rPr>
              <w:t xml:space="preserve"> × (1 + К</w:t>
            </w:r>
            <w:r w:rsidRPr="00C27A60">
              <w:rPr>
                <w:sz w:val="22"/>
                <w:szCs w:val="22"/>
                <w:vertAlign w:val="superscript"/>
              </w:rPr>
              <w:t>БР</w:t>
            </w:r>
            <w:r w:rsidRPr="00C27A60">
              <w:rPr>
                <w:sz w:val="22"/>
                <w:szCs w:val="22"/>
                <w:vertAlign w:val="subscript"/>
              </w:rPr>
              <w:t>Ц</w:t>
            </w:r>
            <w:r w:rsidRPr="00C27A60">
              <w:rPr>
                <w:sz w:val="22"/>
                <w:szCs w:val="22"/>
              </w:rPr>
              <w:t>) × К</w:t>
            </w:r>
            <w:r w:rsidRPr="00C27A60">
              <w:rPr>
                <w:sz w:val="22"/>
                <w:szCs w:val="22"/>
                <w:vertAlign w:val="superscript"/>
              </w:rPr>
              <w:t>БР</w:t>
            </w:r>
            <w:r w:rsidRPr="00C27A60">
              <w:rPr>
                <w:sz w:val="22"/>
                <w:szCs w:val="22"/>
                <w:vertAlign w:val="subscript"/>
              </w:rPr>
              <w:t>W</w:t>
            </w:r>
            <w:r w:rsidRPr="00C27A60">
              <w:rPr>
                <w:sz w:val="22"/>
                <w:szCs w:val="22"/>
              </w:rPr>
              <w:t xml:space="preserve"> + Ц </w:t>
            </w:r>
            <w:r w:rsidRPr="00C27A60">
              <w:rPr>
                <w:sz w:val="22"/>
                <w:szCs w:val="22"/>
                <w:vertAlign w:val="subscript"/>
              </w:rPr>
              <w:t>РДД ф i</w:t>
            </w:r>
            <w:r w:rsidRPr="00C27A60">
              <w:rPr>
                <w:sz w:val="22"/>
                <w:szCs w:val="22"/>
              </w:rPr>
              <w:t xml:space="preserve"> × К</w:t>
            </w:r>
            <w:r w:rsidRPr="00C27A60">
              <w:rPr>
                <w:sz w:val="22"/>
                <w:szCs w:val="22"/>
                <w:vertAlign w:val="superscript"/>
              </w:rPr>
              <w:t>ДД</w:t>
            </w:r>
            <w:r w:rsidRPr="00C27A60">
              <w:rPr>
                <w:sz w:val="22"/>
                <w:szCs w:val="22"/>
                <w:vertAlign w:val="subscript"/>
              </w:rPr>
              <w:t>W,</w:t>
            </w:r>
          </w:p>
          <w:p w14:paraId="46451DF4" w14:textId="77777777" w:rsidR="00C533B1" w:rsidRPr="00C27A60" w:rsidRDefault="00C533B1" w:rsidP="00C533B1">
            <w:pPr>
              <w:spacing w:after="75"/>
              <w:ind w:firstLine="240"/>
              <w:jc w:val="both"/>
              <w:rPr>
                <w:sz w:val="22"/>
                <w:szCs w:val="22"/>
              </w:rPr>
            </w:pPr>
            <w:r w:rsidRPr="00C27A60">
              <w:rPr>
                <w:sz w:val="22"/>
                <w:szCs w:val="22"/>
              </w:rPr>
              <w:t xml:space="preserve">де Ц </w:t>
            </w:r>
            <w:r w:rsidRPr="00C27A60">
              <w:rPr>
                <w:sz w:val="22"/>
                <w:szCs w:val="22"/>
                <w:vertAlign w:val="subscript"/>
              </w:rPr>
              <w:t>РДН ф i</w:t>
            </w:r>
            <w:r w:rsidRPr="00C27A60">
              <w:rPr>
                <w:sz w:val="22"/>
                <w:szCs w:val="22"/>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оператора системи розподілу, грн/МВт·год,</w:t>
            </w:r>
          </w:p>
          <w:p w14:paraId="649AEBD6" w14:textId="77777777" w:rsidR="00C533B1" w:rsidRPr="00C27A60" w:rsidRDefault="00C533B1" w:rsidP="00C533B1">
            <w:pPr>
              <w:spacing w:after="75"/>
              <w:ind w:firstLine="240"/>
              <w:jc w:val="both"/>
              <w:rPr>
                <w:sz w:val="22"/>
                <w:szCs w:val="22"/>
              </w:rPr>
            </w:pPr>
            <w:r w:rsidRPr="00C27A60">
              <w:rPr>
                <w:sz w:val="22"/>
                <w:szCs w:val="22"/>
              </w:rPr>
              <w:t>К</w:t>
            </w:r>
            <w:r w:rsidRPr="00C27A60">
              <w:rPr>
                <w:sz w:val="22"/>
                <w:szCs w:val="22"/>
                <w:vertAlign w:val="superscript"/>
              </w:rPr>
              <w:t>БР</w:t>
            </w:r>
            <w:r w:rsidRPr="00C27A60">
              <w:rPr>
                <w:sz w:val="22"/>
                <w:szCs w:val="22"/>
                <w:vertAlign w:val="subscript"/>
              </w:rPr>
              <w:t>W</w:t>
            </w:r>
            <w:r w:rsidRPr="00C27A60">
              <w:rPr>
                <w:sz w:val="22"/>
                <w:szCs w:val="22"/>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w:t>
            </w:r>
            <w:r w:rsidRPr="00C27A60">
              <w:rPr>
                <w:b/>
                <w:sz w:val="22"/>
                <w:szCs w:val="22"/>
              </w:rPr>
              <w:t>,</w:t>
            </w:r>
            <w:r w:rsidRPr="00C27A60">
              <w:rPr>
                <w:sz w:val="22"/>
                <w:szCs w:val="22"/>
              </w:rPr>
              <w:t xml:space="preserve"> відносні одиниці;</w:t>
            </w:r>
          </w:p>
          <w:p w14:paraId="2656548C" w14:textId="77777777" w:rsidR="00C533B1" w:rsidRPr="00C27A60" w:rsidRDefault="00C533B1" w:rsidP="00C533B1">
            <w:pPr>
              <w:spacing w:after="75"/>
              <w:ind w:firstLine="240"/>
              <w:jc w:val="both"/>
              <w:rPr>
                <w:sz w:val="22"/>
                <w:szCs w:val="22"/>
              </w:rPr>
            </w:pPr>
            <w:r w:rsidRPr="00C27A60">
              <w:rPr>
                <w:sz w:val="22"/>
                <w:szCs w:val="22"/>
              </w:rPr>
              <w:t>К</w:t>
            </w:r>
            <w:r w:rsidRPr="00C27A60">
              <w:rPr>
                <w:sz w:val="22"/>
                <w:szCs w:val="22"/>
                <w:vertAlign w:val="superscript"/>
              </w:rPr>
              <w:t>ДД</w:t>
            </w:r>
            <w:r w:rsidRPr="00C27A60">
              <w:rPr>
                <w:sz w:val="22"/>
                <w:szCs w:val="22"/>
                <w:vertAlign w:val="subscript"/>
              </w:rPr>
              <w:t>W</w:t>
            </w:r>
            <w:r w:rsidRPr="00C27A60">
              <w:rPr>
                <w:sz w:val="22"/>
                <w:szCs w:val="22"/>
              </w:rPr>
              <w:t xml:space="preserve">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58F65699" w14:textId="77777777" w:rsidR="00C533B1" w:rsidRPr="00C27A60" w:rsidRDefault="00C533B1" w:rsidP="00C533B1">
            <w:pPr>
              <w:spacing w:after="75"/>
              <w:ind w:firstLine="240"/>
              <w:jc w:val="both"/>
              <w:rPr>
                <w:sz w:val="22"/>
                <w:szCs w:val="22"/>
              </w:rPr>
            </w:pPr>
            <w:r w:rsidRPr="00C27A60">
              <w:rPr>
                <w:sz w:val="22"/>
                <w:szCs w:val="22"/>
              </w:rPr>
              <w:t>К</w:t>
            </w:r>
            <w:r w:rsidRPr="00C27A60">
              <w:rPr>
                <w:sz w:val="22"/>
                <w:szCs w:val="22"/>
                <w:vertAlign w:val="superscript"/>
              </w:rPr>
              <w:t>БР</w:t>
            </w:r>
            <w:r w:rsidRPr="00C27A60">
              <w:rPr>
                <w:sz w:val="22"/>
                <w:szCs w:val="22"/>
                <w:vertAlign w:val="subscript"/>
              </w:rPr>
              <w:t>Ц</w:t>
            </w:r>
            <w:r w:rsidRPr="00C27A60">
              <w:rPr>
                <w:sz w:val="22"/>
                <w:szCs w:val="22"/>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7D652051" w14:textId="77777777" w:rsidR="00C533B1" w:rsidRPr="00C27A60" w:rsidRDefault="00C533B1" w:rsidP="00C533B1">
            <w:pPr>
              <w:spacing w:after="75"/>
              <w:ind w:firstLine="240"/>
              <w:jc w:val="both"/>
              <w:rPr>
                <w:sz w:val="22"/>
                <w:szCs w:val="22"/>
              </w:rPr>
            </w:pPr>
            <w:r w:rsidRPr="00C27A60">
              <w:rPr>
                <w:sz w:val="22"/>
                <w:szCs w:val="22"/>
              </w:rPr>
              <w:t xml:space="preserve">Ц </w:t>
            </w:r>
            <w:r w:rsidRPr="00C27A60">
              <w:rPr>
                <w:sz w:val="22"/>
                <w:szCs w:val="22"/>
                <w:vertAlign w:val="subscript"/>
              </w:rPr>
              <w:t>РДД ф i</w:t>
            </w:r>
            <w:r w:rsidRPr="00C27A60">
              <w:rPr>
                <w:sz w:val="22"/>
                <w:szCs w:val="22"/>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грн/МВт·год.</w:t>
            </w:r>
          </w:p>
          <w:p w14:paraId="2B95C37B" w14:textId="77777777" w:rsidR="00C533B1" w:rsidRPr="00C27A60" w:rsidRDefault="00C533B1" w:rsidP="00C533B1">
            <w:pPr>
              <w:spacing w:after="75"/>
              <w:ind w:firstLine="240"/>
              <w:jc w:val="both"/>
              <w:rPr>
                <w:sz w:val="22"/>
                <w:szCs w:val="22"/>
              </w:rPr>
            </w:pPr>
            <w:r w:rsidRPr="00C27A60">
              <w:rPr>
                <w:sz w:val="22"/>
                <w:szCs w:val="22"/>
              </w:rPr>
              <w:lastRenderedPageBreak/>
              <w:t>Для цілей розрахунку складова (1 - К</w:t>
            </w:r>
            <w:r w:rsidRPr="00C27A60">
              <w:rPr>
                <w:sz w:val="22"/>
                <w:szCs w:val="22"/>
                <w:vertAlign w:val="superscript"/>
              </w:rPr>
              <w:t>БР</w:t>
            </w:r>
            <w:r w:rsidRPr="00C27A60">
              <w:rPr>
                <w:sz w:val="22"/>
                <w:szCs w:val="22"/>
                <w:vertAlign w:val="subscript"/>
              </w:rPr>
              <w:t>W</w:t>
            </w:r>
            <w:r w:rsidRPr="00C27A60">
              <w:rPr>
                <w:sz w:val="22"/>
                <w:szCs w:val="22"/>
              </w:rPr>
              <w:t xml:space="preserve"> - К</w:t>
            </w:r>
            <w:r w:rsidRPr="00C27A60">
              <w:rPr>
                <w:sz w:val="22"/>
                <w:szCs w:val="22"/>
                <w:vertAlign w:val="superscript"/>
              </w:rPr>
              <w:t>ДД</w:t>
            </w:r>
            <w:r w:rsidRPr="00C27A60">
              <w:rPr>
                <w:sz w:val="22"/>
                <w:szCs w:val="22"/>
                <w:vertAlign w:val="subscript"/>
              </w:rPr>
              <w:t>W</w:t>
            </w:r>
            <w:r w:rsidRPr="00C27A60">
              <w:rPr>
                <w:sz w:val="22"/>
                <w:szCs w:val="22"/>
              </w:rPr>
              <w:t>) приймається рівною нулю у разі, якщо її значення менше нуля.</w:t>
            </w:r>
          </w:p>
          <w:p w14:paraId="2B79097F" w14:textId="77777777" w:rsidR="00C533B1" w:rsidRPr="00C27A60" w:rsidRDefault="00C533B1" w:rsidP="00C533B1">
            <w:pPr>
              <w:spacing w:after="75"/>
              <w:ind w:firstLine="240"/>
              <w:jc w:val="both"/>
              <w:rPr>
                <w:sz w:val="22"/>
                <w:szCs w:val="22"/>
              </w:rPr>
            </w:pPr>
            <w:r w:rsidRPr="00C27A60">
              <w:rPr>
                <w:sz w:val="22"/>
                <w:szCs w:val="22"/>
              </w:rPr>
              <w:t>Починаючи з 2023 року:</w:t>
            </w:r>
          </w:p>
          <w:p w14:paraId="5D6E0F5F" w14:textId="77777777" w:rsidR="00C533B1" w:rsidRPr="00C27A60" w:rsidRDefault="00C533B1" w:rsidP="00C533B1">
            <w:pPr>
              <w:spacing w:after="75"/>
              <w:ind w:firstLine="240"/>
              <w:jc w:val="both"/>
              <w:rPr>
                <w:sz w:val="22"/>
                <w:szCs w:val="22"/>
              </w:rPr>
            </w:pPr>
            <w:r w:rsidRPr="00C27A60">
              <w:rPr>
                <w:sz w:val="22"/>
                <w:szCs w:val="22"/>
              </w:rPr>
              <w:t xml:space="preserve">Ц </w:t>
            </w:r>
            <w:r w:rsidRPr="00C27A60">
              <w:rPr>
                <w:sz w:val="22"/>
                <w:szCs w:val="22"/>
                <w:vertAlign w:val="subscript"/>
              </w:rPr>
              <w:t>ТВЕ і</w:t>
            </w:r>
            <w:r w:rsidRPr="00C27A60">
              <w:rPr>
                <w:sz w:val="22"/>
                <w:szCs w:val="22"/>
              </w:rPr>
              <w:t xml:space="preserve"> = Ц </w:t>
            </w:r>
            <w:r w:rsidRPr="00C27A60">
              <w:rPr>
                <w:sz w:val="22"/>
                <w:szCs w:val="22"/>
                <w:vertAlign w:val="subscript"/>
              </w:rPr>
              <w:t>РДН ф і</w:t>
            </w:r>
            <w:r w:rsidRPr="00C27A60">
              <w:rPr>
                <w:sz w:val="22"/>
                <w:szCs w:val="22"/>
              </w:rPr>
              <w:t xml:space="preserve"> × (1 - </w:t>
            </w:r>
            <w:proofErr w:type="spellStart"/>
            <w:r w:rsidRPr="00C27A60">
              <w:rPr>
                <w:sz w:val="22"/>
                <w:szCs w:val="22"/>
              </w:rPr>
              <w:t>К</w:t>
            </w:r>
            <w:r w:rsidRPr="00C27A60">
              <w:rPr>
                <w:sz w:val="22"/>
                <w:szCs w:val="22"/>
                <w:vertAlign w:val="superscript"/>
              </w:rPr>
              <w:t>БР</w:t>
            </w:r>
            <w:r w:rsidRPr="00C27A60">
              <w:rPr>
                <w:sz w:val="22"/>
                <w:szCs w:val="22"/>
              </w:rPr>
              <w:t>w</w:t>
            </w:r>
            <w:proofErr w:type="spellEnd"/>
            <w:r w:rsidRPr="00C27A60">
              <w:rPr>
                <w:sz w:val="22"/>
                <w:szCs w:val="22"/>
              </w:rPr>
              <w:t xml:space="preserve"> - </w:t>
            </w:r>
            <w:proofErr w:type="spellStart"/>
            <w:r w:rsidRPr="00C27A60">
              <w:rPr>
                <w:sz w:val="22"/>
                <w:szCs w:val="22"/>
              </w:rPr>
              <w:t>К</w:t>
            </w:r>
            <w:r w:rsidRPr="00C27A60">
              <w:rPr>
                <w:sz w:val="22"/>
                <w:szCs w:val="22"/>
                <w:vertAlign w:val="superscript"/>
              </w:rPr>
              <w:t>ДД</w:t>
            </w:r>
            <w:r w:rsidRPr="00C27A60">
              <w:rPr>
                <w:sz w:val="22"/>
                <w:szCs w:val="22"/>
              </w:rPr>
              <w:t>w</w:t>
            </w:r>
            <w:proofErr w:type="spellEnd"/>
            <w:r w:rsidRPr="00C27A60">
              <w:rPr>
                <w:sz w:val="22"/>
                <w:szCs w:val="22"/>
              </w:rPr>
              <w:t xml:space="preserve">) + Ц </w:t>
            </w:r>
            <w:r w:rsidRPr="00C27A60">
              <w:rPr>
                <w:sz w:val="22"/>
                <w:szCs w:val="22"/>
                <w:vertAlign w:val="subscript"/>
              </w:rPr>
              <w:t>РДН ф і</w:t>
            </w:r>
            <w:r w:rsidRPr="00C27A60">
              <w:rPr>
                <w:sz w:val="22"/>
                <w:szCs w:val="22"/>
              </w:rPr>
              <w:t xml:space="preserve"> × (1 + </w:t>
            </w:r>
            <w:proofErr w:type="spellStart"/>
            <w:r w:rsidRPr="00C27A60">
              <w:rPr>
                <w:sz w:val="22"/>
                <w:szCs w:val="22"/>
              </w:rPr>
              <w:t>К</w:t>
            </w:r>
            <w:r w:rsidRPr="00C27A60">
              <w:rPr>
                <w:sz w:val="22"/>
                <w:szCs w:val="22"/>
                <w:vertAlign w:val="superscript"/>
              </w:rPr>
              <w:t>БР</w:t>
            </w:r>
            <w:r w:rsidRPr="00C27A60">
              <w:rPr>
                <w:sz w:val="22"/>
                <w:szCs w:val="22"/>
              </w:rPr>
              <w:t>ц</w:t>
            </w:r>
            <w:proofErr w:type="spellEnd"/>
            <w:r w:rsidRPr="00C27A60">
              <w:rPr>
                <w:sz w:val="22"/>
                <w:szCs w:val="22"/>
              </w:rPr>
              <w:t xml:space="preserve">) × </w:t>
            </w:r>
            <w:proofErr w:type="spellStart"/>
            <w:r w:rsidRPr="00C27A60">
              <w:rPr>
                <w:sz w:val="22"/>
                <w:szCs w:val="22"/>
              </w:rPr>
              <w:t>К</w:t>
            </w:r>
            <w:r w:rsidRPr="00C27A60">
              <w:rPr>
                <w:sz w:val="22"/>
                <w:szCs w:val="22"/>
                <w:vertAlign w:val="superscript"/>
              </w:rPr>
              <w:t>БР</w:t>
            </w:r>
            <w:r w:rsidRPr="00C27A60">
              <w:rPr>
                <w:sz w:val="22"/>
                <w:szCs w:val="22"/>
              </w:rPr>
              <w:t>w</w:t>
            </w:r>
            <w:proofErr w:type="spellEnd"/>
            <w:r w:rsidRPr="00C27A60">
              <w:rPr>
                <w:sz w:val="22"/>
                <w:szCs w:val="22"/>
              </w:rPr>
              <w:t xml:space="preserve"> + Ц </w:t>
            </w:r>
            <w:r w:rsidRPr="00C27A60">
              <w:rPr>
                <w:sz w:val="22"/>
                <w:szCs w:val="22"/>
                <w:vertAlign w:val="subscript"/>
              </w:rPr>
              <w:t>РДД ф і</w:t>
            </w:r>
            <w:r w:rsidRPr="00C27A60">
              <w:rPr>
                <w:sz w:val="22"/>
                <w:szCs w:val="22"/>
              </w:rPr>
              <w:t xml:space="preserve"> × К × </w:t>
            </w:r>
            <w:proofErr w:type="spellStart"/>
            <w:r w:rsidRPr="00C27A60">
              <w:rPr>
                <w:sz w:val="22"/>
                <w:szCs w:val="22"/>
              </w:rPr>
              <w:t>К</w:t>
            </w:r>
            <w:r w:rsidRPr="00C27A60">
              <w:rPr>
                <w:sz w:val="22"/>
                <w:szCs w:val="22"/>
                <w:vertAlign w:val="superscript"/>
              </w:rPr>
              <w:t>ДД</w:t>
            </w:r>
            <w:r w:rsidRPr="00C27A60">
              <w:rPr>
                <w:sz w:val="22"/>
                <w:szCs w:val="22"/>
              </w:rPr>
              <w:t>w</w:t>
            </w:r>
            <w:proofErr w:type="spellEnd"/>
            <w:r w:rsidRPr="00C27A60">
              <w:rPr>
                <w:sz w:val="22"/>
                <w:szCs w:val="22"/>
              </w:rPr>
              <w:t>;</w:t>
            </w:r>
          </w:p>
          <w:p w14:paraId="62509F3A" w14:textId="77777777" w:rsidR="00C533B1" w:rsidRPr="00C27A60" w:rsidRDefault="00C533B1" w:rsidP="00C533B1">
            <w:pPr>
              <w:spacing w:after="75"/>
              <w:ind w:firstLine="240"/>
              <w:jc w:val="both"/>
              <w:rPr>
                <w:sz w:val="22"/>
                <w:szCs w:val="22"/>
              </w:rPr>
            </w:pPr>
            <w:r w:rsidRPr="00C27A60">
              <w:rPr>
                <w:sz w:val="22"/>
                <w:szCs w:val="22"/>
              </w:rPr>
              <w:t>де К</w:t>
            </w:r>
            <w:r w:rsidRPr="00C27A60">
              <w:rPr>
                <w:sz w:val="22"/>
                <w:szCs w:val="22"/>
                <w:vertAlign w:val="superscript"/>
              </w:rPr>
              <w:t>БР</w:t>
            </w:r>
            <w:r w:rsidRPr="00C27A60">
              <w:rPr>
                <w:sz w:val="22"/>
                <w:szCs w:val="22"/>
                <w:vertAlign w:val="subscript"/>
              </w:rPr>
              <w:t>W</w:t>
            </w:r>
            <w:r w:rsidRPr="00C27A60">
              <w:rPr>
                <w:sz w:val="22"/>
                <w:szCs w:val="22"/>
              </w:rPr>
              <w:t>, К</w:t>
            </w:r>
            <w:r w:rsidRPr="00C27A60">
              <w:rPr>
                <w:sz w:val="22"/>
                <w:szCs w:val="22"/>
                <w:vertAlign w:val="superscript"/>
              </w:rPr>
              <w:t>ДД</w:t>
            </w:r>
            <w:r w:rsidRPr="00C27A60">
              <w:rPr>
                <w:sz w:val="22"/>
                <w:szCs w:val="22"/>
                <w:vertAlign w:val="subscript"/>
              </w:rPr>
              <w:t>W</w:t>
            </w:r>
            <w:r w:rsidRPr="00C27A60">
              <w:rPr>
                <w:sz w:val="22"/>
                <w:szCs w:val="22"/>
              </w:rPr>
              <w:t xml:space="preserve"> та К</w:t>
            </w:r>
            <w:r w:rsidRPr="00C27A60">
              <w:rPr>
                <w:sz w:val="22"/>
                <w:szCs w:val="22"/>
                <w:vertAlign w:val="superscript"/>
              </w:rPr>
              <w:t>БР</w:t>
            </w:r>
            <w:r w:rsidRPr="00C27A60">
              <w:rPr>
                <w:sz w:val="22"/>
                <w:szCs w:val="22"/>
                <w:vertAlign w:val="subscript"/>
              </w:rPr>
              <w:t>Ц</w:t>
            </w:r>
            <w:r w:rsidRPr="00C27A60">
              <w:rPr>
                <w:sz w:val="22"/>
                <w:szCs w:val="22"/>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49F96D9B" w14:textId="77777777" w:rsidR="00C533B1" w:rsidRPr="00C27A60" w:rsidRDefault="00C533B1" w:rsidP="00C533B1">
            <w:pPr>
              <w:spacing w:after="75"/>
              <w:ind w:firstLine="240"/>
              <w:jc w:val="both"/>
              <w:rPr>
                <w:sz w:val="22"/>
                <w:szCs w:val="22"/>
              </w:rPr>
            </w:pPr>
            <w:r w:rsidRPr="00C27A60">
              <w:rPr>
                <w:sz w:val="22"/>
                <w:szCs w:val="22"/>
              </w:rPr>
              <w:t>Ц</w:t>
            </w:r>
            <w:r w:rsidRPr="00C27A60">
              <w:rPr>
                <w:sz w:val="22"/>
                <w:szCs w:val="22"/>
                <w:vertAlign w:val="subscript"/>
              </w:rPr>
              <w:t>РДД ф і</w:t>
            </w:r>
            <w:r w:rsidRPr="00C27A60">
              <w:rPr>
                <w:sz w:val="22"/>
                <w:szCs w:val="22"/>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вебсайті в мережі Інтернет, грн/МВт·год;</w:t>
            </w:r>
          </w:p>
          <w:p w14:paraId="00EE9E9E" w14:textId="77777777" w:rsidR="00C533B1" w:rsidRPr="00C27A60" w:rsidRDefault="00C533B1" w:rsidP="00C533B1">
            <w:pPr>
              <w:spacing w:after="75"/>
              <w:ind w:firstLine="240"/>
              <w:jc w:val="both"/>
              <w:rPr>
                <w:sz w:val="22"/>
                <w:szCs w:val="22"/>
              </w:rPr>
            </w:pPr>
            <w:r w:rsidRPr="00C27A60">
              <w:rPr>
                <w:sz w:val="22"/>
                <w:szCs w:val="22"/>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5D47B590" w14:textId="77777777" w:rsidR="00C533B1" w:rsidRPr="00C27A60" w:rsidRDefault="00C533B1" w:rsidP="00C533B1">
            <w:pPr>
              <w:spacing w:after="75"/>
              <w:ind w:firstLine="240"/>
              <w:jc w:val="both"/>
              <w:rPr>
                <w:sz w:val="22"/>
                <w:szCs w:val="22"/>
              </w:rPr>
            </w:pPr>
            <w:r w:rsidRPr="00C27A60">
              <w:rPr>
                <w:sz w:val="22"/>
                <w:szCs w:val="22"/>
              </w:rPr>
              <w:t xml:space="preserve">К = Ц </w:t>
            </w:r>
            <w:r w:rsidRPr="00C27A60">
              <w:rPr>
                <w:sz w:val="22"/>
                <w:szCs w:val="22"/>
                <w:vertAlign w:val="subscript"/>
              </w:rPr>
              <w:t>РДН ф і</w:t>
            </w:r>
            <w:r w:rsidRPr="00C27A60">
              <w:rPr>
                <w:sz w:val="22"/>
                <w:szCs w:val="22"/>
              </w:rPr>
              <w:t xml:space="preserve"> / Ц </w:t>
            </w:r>
            <w:r w:rsidRPr="00C27A60">
              <w:rPr>
                <w:sz w:val="22"/>
                <w:szCs w:val="22"/>
                <w:vertAlign w:val="subscript"/>
              </w:rPr>
              <w:t>база і</w:t>
            </w:r>
            <w:r w:rsidRPr="00C27A60">
              <w:rPr>
                <w:sz w:val="22"/>
                <w:szCs w:val="22"/>
              </w:rPr>
              <w:t>;</w:t>
            </w:r>
          </w:p>
          <w:p w14:paraId="230D4EED" w14:textId="77777777" w:rsidR="00C533B1" w:rsidRPr="00C27A60" w:rsidRDefault="00C533B1" w:rsidP="00C533B1">
            <w:pPr>
              <w:spacing w:after="75"/>
              <w:ind w:firstLine="240"/>
              <w:jc w:val="both"/>
              <w:rPr>
                <w:sz w:val="22"/>
                <w:szCs w:val="22"/>
              </w:rPr>
            </w:pPr>
            <w:r w:rsidRPr="00C27A60">
              <w:rPr>
                <w:sz w:val="22"/>
                <w:szCs w:val="22"/>
              </w:rPr>
              <w:t xml:space="preserve">Ц </w:t>
            </w:r>
            <w:r w:rsidRPr="00C27A60">
              <w:rPr>
                <w:sz w:val="22"/>
                <w:szCs w:val="22"/>
                <w:vertAlign w:val="subscript"/>
              </w:rPr>
              <w:t>база і</w:t>
            </w:r>
            <w:r w:rsidRPr="00C27A60">
              <w:rPr>
                <w:sz w:val="22"/>
                <w:szCs w:val="22"/>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вебсайті в мережі Інтернет, грн/МВт.</w:t>
            </w:r>
          </w:p>
          <w:p w14:paraId="50999178" w14:textId="77777777" w:rsidR="00C533B1" w:rsidRPr="00C27A60" w:rsidRDefault="00C533B1" w:rsidP="00C533B1">
            <w:pPr>
              <w:spacing w:after="75"/>
              <w:ind w:firstLine="240"/>
              <w:jc w:val="both"/>
              <w:rPr>
                <w:sz w:val="22"/>
                <w:szCs w:val="22"/>
              </w:rPr>
            </w:pPr>
            <w:r w:rsidRPr="00C27A60">
              <w:rPr>
                <w:sz w:val="22"/>
                <w:szCs w:val="22"/>
              </w:rPr>
              <w:t xml:space="preserve">Якщо </w:t>
            </w:r>
            <w:r w:rsidRPr="00C27A60">
              <w:rPr>
                <w:b/>
                <w:sz w:val="22"/>
                <w:szCs w:val="22"/>
              </w:rPr>
              <w:t>порушена схема нормального режиму роботи системи розподілу / змінені обсяги розподілу / надходження / віддачі / транзиту електричної енергії тощо внаслідок введення воєнного стану та/або бойових дій в Україні та за умови, що</w:t>
            </w:r>
          </w:p>
          <w:p w14:paraId="2E6E8B5A" w14:textId="77777777" w:rsidR="00C533B1" w:rsidRPr="00C27A60" w:rsidRDefault="00C533B1" w:rsidP="00C533B1">
            <w:pPr>
              <w:spacing w:after="75"/>
              <w:ind w:firstLine="240"/>
              <w:jc w:val="center"/>
              <w:rPr>
                <w:sz w:val="22"/>
                <w:szCs w:val="22"/>
              </w:rPr>
            </w:pPr>
            <w:r w:rsidRPr="00C27A60">
              <w:rPr>
                <w:sz w:val="22"/>
                <w:szCs w:val="22"/>
              </w:rPr>
              <w:t xml:space="preserve"> </w:t>
            </w:r>
          </w:p>
          <w:p w14:paraId="61E4BE9B" w14:textId="77777777" w:rsidR="00C533B1" w:rsidRPr="00C27A60" w:rsidRDefault="00C533B1" w:rsidP="00C533B1">
            <w:pPr>
              <w:spacing w:after="75"/>
              <w:ind w:firstLine="240"/>
              <w:jc w:val="center"/>
              <w:rPr>
                <w:sz w:val="22"/>
                <w:szCs w:val="22"/>
              </w:rPr>
            </w:pPr>
            <w:r w:rsidRPr="00C27A60">
              <w:rPr>
                <w:noProof/>
                <w:sz w:val="22"/>
                <w:szCs w:val="22"/>
              </w:rPr>
              <w:drawing>
                <wp:inline distT="0" distB="0" distL="0" distR="0" wp14:anchorId="5109916D" wp14:editId="771CE666">
                  <wp:extent cx="3305175" cy="428625"/>
                  <wp:effectExtent l="0" t="0" r="952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05175" cy="428625"/>
                          </a:xfrm>
                          <a:prstGeom prst="rect">
                            <a:avLst/>
                          </a:prstGeom>
                          <a:noFill/>
                          <a:ln>
                            <a:noFill/>
                          </a:ln>
                        </pic:spPr>
                      </pic:pic>
                    </a:graphicData>
                  </a:graphic>
                </wp:inline>
              </w:drawing>
            </w:r>
            <w:r w:rsidRPr="00C27A60">
              <w:rPr>
                <w:sz w:val="22"/>
                <w:szCs w:val="22"/>
              </w:rPr>
              <w:t>,</w:t>
            </w:r>
          </w:p>
          <w:p w14:paraId="1F712204" w14:textId="77777777" w:rsidR="00C533B1" w:rsidRPr="00C27A60" w:rsidRDefault="00C533B1" w:rsidP="00C533B1">
            <w:pPr>
              <w:spacing w:after="75"/>
              <w:ind w:firstLine="240"/>
              <w:jc w:val="center"/>
              <w:rPr>
                <w:sz w:val="22"/>
                <w:szCs w:val="22"/>
              </w:rPr>
            </w:pPr>
            <w:r w:rsidRPr="00C27A60">
              <w:rPr>
                <w:sz w:val="22"/>
                <w:szCs w:val="22"/>
              </w:rPr>
              <w:t xml:space="preserve"> </w:t>
            </w:r>
          </w:p>
          <w:p w14:paraId="5232C7E6" w14:textId="77777777" w:rsidR="00C533B1" w:rsidRPr="00C27A60" w:rsidRDefault="00C533B1" w:rsidP="00C533B1">
            <w:pPr>
              <w:spacing w:after="75"/>
              <w:ind w:firstLine="240"/>
              <w:jc w:val="both"/>
              <w:rPr>
                <w:sz w:val="22"/>
                <w:szCs w:val="22"/>
              </w:rPr>
            </w:pPr>
            <w:r w:rsidRPr="00C27A60">
              <w:rPr>
                <w:sz w:val="22"/>
                <w:szCs w:val="22"/>
              </w:rPr>
              <w:lastRenderedPageBreak/>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012B913C" w14:textId="77777777" w:rsidR="00C533B1" w:rsidRPr="00C27A60" w:rsidRDefault="00C533B1" w:rsidP="00C533B1">
            <w:pPr>
              <w:spacing w:after="75"/>
              <w:ind w:firstLine="240"/>
              <w:jc w:val="both"/>
              <w:rPr>
                <w:sz w:val="22"/>
                <w:szCs w:val="22"/>
              </w:rPr>
            </w:pPr>
            <w:r w:rsidRPr="00C27A60">
              <w:rPr>
                <w:sz w:val="22"/>
                <w:szCs w:val="22"/>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7F6F53A1" w14:textId="77777777" w:rsidR="00C533B1" w:rsidRPr="00C27A60" w:rsidRDefault="00C533B1" w:rsidP="00C533B1">
            <w:pPr>
              <w:spacing w:after="75"/>
              <w:ind w:firstLine="240"/>
              <w:jc w:val="both"/>
              <w:rPr>
                <w:b/>
                <w:sz w:val="22"/>
                <w:szCs w:val="22"/>
              </w:rPr>
            </w:pPr>
            <w:r w:rsidRPr="00C27A60">
              <w:rPr>
                <w:b/>
                <w:sz w:val="22"/>
                <w:szCs w:val="22"/>
              </w:rPr>
              <w:t>належним чином оформлених розрахунків витрат електричної енергії за 2022 – 2024 роки згідно із фактичними схемами роботи системи розподілу / обсягами розподілу / надходження / віддачі / транзиту електричної енергії тощо за 2022 – 2024 роки (за характерними періодами роботи мережі), проведених спеціалізованими підприємствами / 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2024 роках (з 2024 року за умови, що частка оціночних даних комерційного обліку, використаних у розрахунку обсягу фактичних звітних витрат, не перевищує 3 % від загального їх обсягу електричної енергії відповідно до даних за формою звітності № 2 НКРЕКП розподіл електричної енергії).</w:t>
            </w:r>
          </w:p>
          <w:p w14:paraId="6CE84777" w14:textId="77777777" w:rsidR="00C533B1" w:rsidRPr="00C27A60" w:rsidRDefault="00C533B1" w:rsidP="00C533B1">
            <w:pPr>
              <w:spacing w:after="75"/>
              <w:ind w:firstLine="240"/>
              <w:jc w:val="both"/>
              <w:rPr>
                <w:b/>
                <w:sz w:val="22"/>
                <w:szCs w:val="22"/>
              </w:rPr>
            </w:pPr>
            <w:r w:rsidRPr="00C27A60">
              <w:rPr>
                <w:b/>
                <w:sz w:val="22"/>
                <w:szCs w:val="22"/>
              </w:rPr>
              <w:t xml:space="preserve">ДТВЕ </w:t>
            </w:r>
            <w:proofErr w:type="spellStart"/>
            <w:r w:rsidRPr="00C27A60">
              <w:rPr>
                <w:b/>
                <w:sz w:val="22"/>
                <w:szCs w:val="22"/>
              </w:rPr>
              <w:t>нф</w:t>
            </w:r>
            <w:proofErr w:type="spellEnd"/>
            <w:r w:rsidRPr="00C27A60">
              <w:rPr>
                <w:b/>
                <w:sz w:val="22"/>
                <w:szCs w:val="22"/>
              </w:rPr>
              <w:t xml:space="preserve"> і за 2022 – 2024 роки визначається за формулою</w:t>
            </w:r>
          </w:p>
          <w:p w14:paraId="260A8EE7" w14:textId="77777777" w:rsidR="00C533B1" w:rsidRPr="00C27A60" w:rsidRDefault="00C533B1" w:rsidP="00C533B1">
            <w:pPr>
              <w:spacing w:after="75"/>
              <w:ind w:firstLine="240"/>
              <w:jc w:val="center"/>
              <w:rPr>
                <w:sz w:val="22"/>
                <w:szCs w:val="22"/>
              </w:rPr>
            </w:pPr>
            <w:r w:rsidRPr="00C27A60">
              <w:rPr>
                <w:b/>
                <w:sz w:val="22"/>
                <w:szCs w:val="22"/>
              </w:rPr>
              <w:t xml:space="preserve">ДТВЕ </w:t>
            </w:r>
            <w:proofErr w:type="spellStart"/>
            <w:r w:rsidRPr="00C27A60">
              <w:rPr>
                <w:b/>
                <w:sz w:val="22"/>
                <w:szCs w:val="22"/>
              </w:rPr>
              <w:t>нф</w:t>
            </w:r>
            <w:proofErr w:type="spellEnd"/>
            <w:r w:rsidRPr="00C27A60">
              <w:rPr>
                <w:b/>
                <w:sz w:val="22"/>
                <w:szCs w:val="22"/>
              </w:rPr>
              <w:t xml:space="preserve"> і = (ОТВЕ ф і – ОТВЕ он і) x ЦТВЕ і,</w:t>
            </w:r>
          </w:p>
          <w:p w14:paraId="7E18F254" w14:textId="77777777" w:rsidR="00C533B1" w:rsidRPr="00C27A60" w:rsidRDefault="00C533B1" w:rsidP="00C533B1">
            <w:pPr>
              <w:ind w:firstLine="308"/>
              <w:jc w:val="both"/>
              <w:rPr>
                <w:sz w:val="22"/>
                <w:szCs w:val="22"/>
              </w:rPr>
            </w:pPr>
            <w:r w:rsidRPr="00C27A60">
              <w:rPr>
                <w:sz w:val="22"/>
                <w:szCs w:val="22"/>
              </w:rPr>
              <w:t>де О</w:t>
            </w:r>
            <w:r w:rsidRPr="00C27A60">
              <w:rPr>
                <w:sz w:val="22"/>
                <w:szCs w:val="22"/>
                <w:vertAlign w:val="subscript"/>
              </w:rPr>
              <w:t>ТВЕ ф і</w:t>
            </w:r>
            <w:r w:rsidRPr="00C27A60">
              <w:rPr>
                <w:sz w:val="22"/>
                <w:szCs w:val="22"/>
              </w:rPr>
              <w:t xml:space="preserve"> - фактичний обсяг технологічних витрат електричної енергії на її розподіл в і-му місяці звітного року, МВт·год;</w:t>
            </w:r>
          </w:p>
          <w:p w14:paraId="38352B91" w14:textId="1E158C7C" w:rsidR="00C533B1" w:rsidRPr="00C27A60" w:rsidRDefault="00C533B1" w:rsidP="00C533B1">
            <w:pPr>
              <w:ind w:firstLine="240"/>
              <w:jc w:val="both"/>
              <w:rPr>
                <w:sz w:val="22"/>
                <w:szCs w:val="22"/>
              </w:rPr>
            </w:pPr>
            <w:r w:rsidRPr="00C27A60">
              <w:rPr>
                <w:b/>
                <w:sz w:val="22"/>
                <w:szCs w:val="22"/>
                <w:shd w:val="clear" w:color="auto" w:fill="FFFFFF"/>
              </w:rPr>
              <w:t xml:space="preserve">ОТВЕ он і – обсяг перевищення фактичних витрат електричної енергії над нормативно-фактичними </w:t>
            </w:r>
            <w:r w:rsidRPr="00C27A60">
              <w:rPr>
                <w:b/>
                <w:sz w:val="22"/>
                <w:szCs w:val="22"/>
                <w:shd w:val="clear" w:color="auto" w:fill="FFFFFF"/>
              </w:rPr>
              <w:lastRenderedPageBreak/>
              <w:t>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 / надходження / віддачі / транзиту електричної енергії тощо внаслідок введення воєнного стану та/або бойових дій в Україні, в і-му місяці звітного року, МВт·год;</w:t>
            </w:r>
          </w:p>
        </w:tc>
        <w:tc>
          <w:tcPr>
            <w:tcW w:w="5812" w:type="dxa"/>
          </w:tcPr>
          <w:p w14:paraId="74701174" w14:textId="647C9D9A" w:rsidR="00C533B1" w:rsidRPr="00C27A60" w:rsidRDefault="00C533B1" w:rsidP="00C533B1">
            <w:pPr>
              <w:rPr>
                <w:i/>
                <w:sz w:val="22"/>
                <w:szCs w:val="22"/>
              </w:rPr>
            </w:pPr>
            <w:r w:rsidRPr="00C27A60">
              <w:rPr>
                <w:i/>
                <w:sz w:val="22"/>
                <w:szCs w:val="22"/>
              </w:rPr>
              <w:lastRenderedPageBreak/>
              <w:t>ПРАТ «КІРОВОГРАДОБЛЕНЕРГО»</w:t>
            </w:r>
          </w:p>
          <w:p w14:paraId="1BB704B9" w14:textId="4A4A0126" w:rsidR="00C533B1" w:rsidRPr="00C27A60" w:rsidRDefault="00C533B1" w:rsidP="00C533B1">
            <w:pPr>
              <w:rPr>
                <w:i/>
                <w:sz w:val="22"/>
                <w:szCs w:val="22"/>
              </w:rPr>
            </w:pPr>
            <w:r w:rsidRPr="00C27A60">
              <w:rPr>
                <w:i/>
                <w:sz w:val="22"/>
                <w:szCs w:val="22"/>
              </w:rPr>
              <w:t>ПРАТ «РІВНЕОБЛЕНЕРГО»</w:t>
            </w:r>
          </w:p>
          <w:p w14:paraId="4B4EC1ED" w14:textId="77777777" w:rsidR="00C533B1" w:rsidRPr="00C27A60" w:rsidRDefault="00C533B1" w:rsidP="00C533B1">
            <w:pPr>
              <w:rPr>
                <w:i/>
                <w:sz w:val="22"/>
                <w:szCs w:val="22"/>
              </w:rPr>
            </w:pPr>
          </w:p>
          <w:p w14:paraId="37D0A7D3" w14:textId="77777777" w:rsidR="00C533B1" w:rsidRPr="00C27A60" w:rsidRDefault="00C533B1" w:rsidP="00C533B1">
            <w:pPr>
              <w:rPr>
                <w:sz w:val="22"/>
                <w:szCs w:val="22"/>
              </w:rPr>
            </w:pPr>
            <w:r w:rsidRPr="00C27A60">
              <w:rPr>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5AC3194D" w14:textId="099FB339" w:rsidR="00C533B1" w:rsidRPr="00C27A60" w:rsidRDefault="00C533B1" w:rsidP="00C533B1">
            <w:pPr>
              <w:rPr>
                <w:sz w:val="22"/>
                <w:szCs w:val="22"/>
              </w:rPr>
            </w:pPr>
            <w:r w:rsidRPr="00C27A60">
              <w:rPr>
                <w:sz w:val="22"/>
                <w:szCs w:val="22"/>
              </w:rPr>
              <w:t>…</w:t>
            </w:r>
          </w:p>
          <w:p w14:paraId="4EAB35AC" w14:textId="1936E885" w:rsidR="00C533B1" w:rsidRPr="00C27A60" w:rsidRDefault="00C533B1" w:rsidP="00C533B1">
            <w:pPr>
              <w:rPr>
                <w:sz w:val="22"/>
                <w:szCs w:val="22"/>
              </w:rPr>
            </w:pPr>
          </w:p>
          <w:p w14:paraId="09AE7C0A" w14:textId="77777777" w:rsidR="00C533B1" w:rsidRPr="00C27A60" w:rsidRDefault="00C533B1" w:rsidP="00C533B1">
            <w:pPr>
              <w:rPr>
                <w:sz w:val="22"/>
                <w:szCs w:val="22"/>
              </w:rPr>
            </w:pPr>
            <w:r w:rsidRPr="00C27A60">
              <w:rPr>
                <w:sz w:val="22"/>
                <w:szCs w:val="22"/>
              </w:rPr>
              <w:lastRenderedPageBreak/>
              <w:t>4)</w:t>
            </w:r>
            <w:r w:rsidRPr="00C27A60">
              <w:rPr>
                <w:b/>
                <w:sz w:val="22"/>
                <w:szCs w:val="22"/>
              </w:rPr>
              <w:t xml:space="preserve"> </w:t>
            </w:r>
            <w:r w:rsidRPr="00C27A60">
              <w:rPr>
                <w:sz w:val="22"/>
                <w:szCs w:val="22"/>
              </w:rPr>
              <w:t>дельта за статтею "витрати, пов'язані з купівлею електричної енергії з метою компенсації технологічних витрат електричної енергії на її розподіл"</w:t>
            </w:r>
          </w:p>
          <w:p w14:paraId="05D92FAD" w14:textId="77777777" w:rsidR="00C533B1" w:rsidRPr="00C27A60" w:rsidRDefault="00C533B1" w:rsidP="00C533B1">
            <w:pPr>
              <w:rPr>
                <w:sz w:val="22"/>
                <w:szCs w:val="22"/>
              </w:rPr>
            </w:pPr>
            <w:r w:rsidRPr="00C27A60">
              <w:rPr>
                <w:sz w:val="22"/>
                <w:szCs w:val="22"/>
              </w:rPr>
              <w:t>…</w:t>
            </w:r>
          </w:p>
          <w:p w14:paraId="7806C17B" w14:textId="77777777" w:rsidR="00C533B1" w:rsidRPr="00C27A60" w:rsidRDefault="00C533B1" w:rsidP="00C533B1">
            <w:pPr>
              <w:jc w:val="both"/>
              <w:rPr>
                <w:sz w:val="22"/>
                <w:szCs w:val="22"/>
              </w:rPr>
            </w:pPr>
            <w:r w:rsidRPr="00C27A60">
              <w:rPr>
                <w:sz w:val="22"/>
                <w:szCs w:val="22"/>
              </w:rPr>
              <w:t xml:space="preserve"> Якщо порушена схема нормального режиму роботи системи розподілу / змінені обсяги розподілу / надходження / віддачі / транзиту електричної енергії тощо внаслідок введення воєнного стану та/або бойових дій в Україні та за умови, що</w:t>
            </w:r>
          </w:p>
          <w:p w14:paraId="36399062" w14:textId="77777777" w:rsidR="00C533B1" w:rsidRPr="00C27A60" w:rsidRDefault="00C533B1" w:rsidP="00C533B1">
            <w:pPr>
              <w:jc w:val="both"/>
              <w:rPr>
                <w:sz w:val="22"/>
                <w:szCs w:val="22"/>
              </w:rPr>
            </w:pPr>
            <w:r w:rsidRPr="00C27A60">
              <w:rPr>
                <w:sz w:val="22"/>
                <w:szCs w:val="22"/>
              </w:rPr>
              <w:t xml:space="preserve"> </w:t>
            </w:r>
          </w:p>
          <w:p w14:paraId="5964CD73" w14:textId="77777777" w:rsidR="00C533B1" w:rsidRPr="00C27A60" w:rsidRDefault="00C533B1" w:rsidP="00C533B1">
            <w:pPr>
              <w:jc w:val="center"/>
              <w:rPr>
                <w:sz w:val="22"/>
                <w:szCs w:val="22"/>
              </w:rPr>
            </w:pPr>
            <w:r w:rsidRPr="00C27A60">
              <w:rPr>
                <w:noProof/>
                <w:sz w:val="22"/>
                <w:szCs w:val="22"/>
              </w:rPr>
              <w:drawing>
                <wp:inline distT="0" distB="0" distL="0" distR="0" wp14:anchorId="6B4C6D96" wp14:editId="6E14FB91">
                  <wp:extent cx="2501900" cy="263525"/>
                  <wp:effectExtent l="0" t="0" r="0" b="3175"/>
                  <wp:docPr id="4" name="Рисунок 4" descr="https://ips.ligazakon.net/l_flib1.nsf/LookupFiles/GK40039_IMG_096.GIF/$file/GK40039_IMG_096.GIF">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ips.ligazakon.net/l_flib1.nsf/LookupFiles/GK40039_IMG_096.GIF/$file/GK40039_IMG_096.GIF">
                            <a:hlinkClick r:id="rId21"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01900" cy="263525"/>
                          </a:xfrm>
                          <a:prstGeom prst="rect">
                            <a:avLst/>
                          </a:prstGeom>
                          <a:noFill/>
                          <a:ln>
                            <a:noFill/>
                          </a:ln>
                        </pic:spPr>
                      </pic:pic>
                    </a:graphicData>
                  </a:graphic>
                </wp:inline>
              </w:drawing>
            </w:r>
          </w:p>
          <w:p w14:paraId="0B2AAA6B" w14:textId="77777777" w:rsidR="00C533B1" w:rsidRPr="00C27A60" w:rsidRDefault="00C533B1" w:rsidP="00BE1E93">
            <w:pPr>
              <w:jc w:val="both"/>
              <w:rPr>
                <w:sz w:val="22"/>
                <w:szCs w:val="22"/>
              </w:rPr>
            </w:pPr>
          </w:p>
          <w:p w14:paraId="7ED88516" w14:textId="77777777" w:rsidR="00C533B1" w:rsidRPr="00C27A60" w:rsidRDefault="00C533B1" w:rsidP="00BE1E93">
            <w:pPr>
              <w:jc w:val="both"/>
              <w:rPr>
                <w:sz w:val="22"/>
                <w:szCs w:val="22"/>
              </w:rPr>
            </w:pPr>
            <w:r w:rsidRPr="00C27A60">
              <w:rPr>
                <w:sz w:val="22"/>
                <w:szCs w:val="22"/>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5376A25D" w14:textId="77777777" w:rsidR="00C533B1" w:rsidRPr="00C27A60" w:rsidRDefault="00C533B1" w:rsidP="00BE1E93">
            <w:pPr>
              <w:jc w:val="both"/>
              <w:rPr>
                <w:sz w:val="22"/>
                <w:szCs w:val="22"/>
              </w:rPr>
            </w:pPr>
            <w:r w:rsidRPr="00C27A60">
              <w:rPr>
                <w:sz w:val="22"/>
                <w:szCs w:val="22"/>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14F9D64C" w14:textId="225ACE69" w:rsidR="00C533B1" w:rsidRPr="00C27A60" w:rsidRDefault="00C533B1" w:rsidP="00BE1E93">
            <w:pPr>
              <w:jc w:val="both"/>
              <w:rPr>
                <w:b/>
                <w:sz w:val="22"/>
                <w:szCs w:val="22"/>
              </w:rPr>
            </w:pPr>
            <w:r w:rsidRPr="00C27A60">
              <w:rPr>
                <w:sz w:val="22"/>
                <w:szCs w:val="22"/>
              </w:rPr>
              <w:t xml:space="preserve">належним чином оформлених розрахунків витрат електричної енергії за 2022 - 2024 роки згідно із фактичними схемами роботи системи розподілу / обсягами розподілу / надходження / віддачі / транзиту електричної енергії тощо за 2022 - 2024 роки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2022 - 2024 роках. </w:t>
            </w:r>
            <w:r w:rsidRPr="00C27A60">
              <w:rPr>
                <w:b/>
                <w:sz w:val="22"/>
                <w:szCs w:val="22"/>
              </w:rPr>
              <w:t xml:space="preserve">При цьому, починаючи з 2024 року повинна виконуватися умова, що частка оціночних даних комерційного обліку, використаних у розрахунку обсягу </w:t>
            </w:r>
            <w:r w:rsidRPr="00C27A60">
              <w:rPr>
                <w:b/>
                <w:sz w:val="22"/>
                <w:szCs w:val="22"/>
              </w:rPr>
              <w:lastRenderedPageBreak/>
              <w:t>фактичних звітних витрат (за винятком обсягів розподілу індивідуальним побутовим споживачам), не перевищує 3% від загального обсягу прийому (надходження) електричної енергії в мережі території ліцензованої діяльності ОСР, відповідно до даних за формою звітності № 5-НКРЕКП-моніторинг-розподіл (місячна) «Звіт про обсяги розподілу електричної енергії», затвердженою постановою НКРЕКП від 29.03.2019 № 450.</w:t>
            </w:r>
          </w:p>
          <w:p w14:paraId="1E49FD2C" w14:textId="77777777" w:rsidR="00C533B1" w:rsidRPr="00C27A60" w:rsidRDefault="00C533B1" w:rsidP="00BE1E93">
            <w:pPr>
              <w:jc w:val="both"/>
              <w:rPr>
                <w:i/>
                <w:sz w:val="22"/>
                <w:szCs w:val="22"/>
              </w:rPr>
            </w:pPr>
          </w:p>
          <w:p w14:paraId="17823AD5" w14:textId="77777777" w:rsidR="00C533B1" w:rsidRPr="00C27A60" w:rsidRDefault="00C533B1" w:rsidP="00C533B1">
            <w:pPr>
              <w:rPr>
                <w:i/>
                <w:sz w:val="22"/>
                <w:szCs w:val="22"/>
              </w:rPr>
            </w:pPr>
            <w:r w:rsidRPr="00C27A60">
              <w:rPr>
                <w:i/>
                <w:sz w:val="22"/>
                <w:szCs w:val="22"/>
              </w:rPr>
              <w:t>ОБРГРУНТУВАННЯ:</w:t>
            </w:r>
          </w:p>
          <w:p w14:paraId="7B36043A" w14:textId="77777777" w:rsidR="00C533B1" w:rsidRPr="00C27A60" w:rsidRDefault="00C533B1" w:rsidP="00C533B1">
            <w:pPr>
              <w:rPr>
                <w:i/>
                <w:sz w:val="22"/>
                <w:szCs w:val="22"/>
              </w:rPr>
            </w:pPr>
          </w:p>
          <w:p w14:paraId="2E2778C2" w14:textId="77777777" w:rsidR="00C533B1" w:rsidRPr="00C27A60" w:rsidRDefault="00C533B1" w:rsidP="00C533B1">
            <w:pPr>
              <w:ind w:left="36"/>
              <w:jc w:val="both"/>
              <w:rPr>
                <w:i/>
                <w:iCs/>
                <w:sz w:val="22"/>
                <w:szCs w:val="22"/>
              </w:rPr>
            </w:pPr>
            <w:r w:rsidRPr="00C27A60">
              <w:rPr>
                <w:i/>
                <w:iCs/>
                <w:sz w:val="22"/>
                <w:szCs w:val="22"/>
              </w:rPr>
              <w:t>Пропонуємо викласти підпункт 4 пункту 5 Методики з урахуванням змін:</w:t>
            </w:r>
          </w:p>
          <w:p w14:paraId="3B5082F8" w14:textId="77777777" w:rsidR="00C533B1" w:rsidRPr="00C27A60" w:rsidRDefault="00C533B1" w:rsidP="00C533B1">
            <w:pPr>
              <w:ind w:left="36"/>
              <w:jc w:val="both"/>
              <w:rPr>
                <w:i/>
                <w:iCs/>
                <w:sz w:val="22"/>
                <w:szCs w:val="22"/>
              </w:rPr>
            </w:pPr>
          </w:p>
          <w:p w14:paraId="1ABD2B6E" w14:textId="77777777" w:rsidR="00C533B1" w:rsidRPr="00C27A60" w:rsidRDefault="00C533B1" w:rsidP="00C533B1">
            <w:pPr>
              <w:pStyle w:val="af6"/>
              <w:numPr>
                <w:ilvl w:val="0"/>
                <w:numId w:val="27"/>
              </w:numPr>
              <w:spacing w:after="0" w:line="240" w:lineRule="auto"/>
              <w:ind w:left="37" w:firstLine="426"/>
              <w:jc w:val="both"/>
              <w:rPr>
                <w:rFonts w:ascii="Times New Roman" w:hAnsi="Times New Roman"/>
                <w:i/>
                <w:iCs/>
                <w:lang w:val="uk-UA"/>
              </w:rPr>
            </w:pPr>
            <w:r w:rsidRPr="00C27A60">
              <w:rPr>
                <w:rFonts w:ascii="Times New Roman" w:hAnsi="Times New Roman"/>
                <w:i/>
                <w:iCs/>
                <w:lang w:val="uk-UA"/>
              </w:rPr>
              <w:t xml:space="preserve">Форма звітності № 2 НКРЕКП-розподіл електричної енергії - є квартальною та передбачає врахування обсягів фактичних ТВЕ із урахуванням Актів корегування до Актів купівлі-продажу електричної енергії для врегулювання небалансів </w:t>
            </w:r>
            <w:r w:rsidRPr="00C27A60">
              <w:rPr>
                <w:rFonts w:ascii="Times New Roman" w:hAnsi="Times New Roman"/>
                <w:b/>
                <w:i/>
                <w:iCs/>
                <w:lang w:val="uk-UA"/>
              </w:rPr>
              <w:t>минулих періодів</w:t>
            </w:r>
            <w:r w:rsidRPr="00C27A60">
              <w:rPr>
                <w:rFonts w:ascii="Times New Roman" w:hAnsi="Times New Roman"/>
                <w:i/>
                <w:iCs/>
                <w:lang w:val="uk-UA"/>
              </w:rPr>
              <w:t>. У зв’язку з цим, пропонується використовувати щомісячну форму звітності № 5-НКРЕКП-моніторинг-розподіл, затверджену постановою НКРЕКП від 29.03.2019 № 450, яка враховує дані в конкретному періоді.</w:t>
            </w:r>
          </w:p>
          <w:p w14:paraId="6637CB70" w14:textId="77777777" w:rsidR="00C533B1" w:rsidRPr="00C27A60" w:rsidRDefault="00C533B1" w:rsidP="00C533B1">
            <w:pPr>
              <w:pStyle w:val="af6"/>
              <w:numPr>
                <w:ilvl w:val="0"/>
                <w:numId w:val="27"/>
              </w:numPr>
              <w:spacing w:after="0" w:line="240" w:lineRule="auto"/>
              <w:ind w:left="37" w:firstLine="426"/>
              <w:jc w:val="both"/>
              <w:rPr>
                <w:rFonts w:ascii="Times New Roman" w:hAnsi="Times New Roman"/>
                <w:i/>
                <w:iCs/>
                <w:lang w:val="uk-UA"/>
              </w:rPr>
            </w:pPr>
            <w:r w:rsidRPr="00C27A60">
              <w:rPr>
                <w:rFonts w:ascii="Times New Roman" w:hAnsi="Times New Roman"/>
                <w:i/>
                <w:iCs/>
                <w:lang w:val="uk-UA"/>
              </w:rPr>
              <w:t>Досягнення встановленого критерію (частка оціночних даних комерційного обліку, використаних у розрахунку обсягу фактичних звітних витрат, не перевищує 3 % від загального їх обсягу електричної енергії) є ускладненим через відсутність можливості здійснення щомісячних контрольних оглядів по індивідуальним побутовим споживачам.</w:t>
            </w:r>
          </w:p>
          <w:p w14:paraId="05847589" w14:textId="77777777" w:rsidR="00C533B1" w:rsidRPr="00C27A60" w:rsidRDefault="00C533B1" w:rsidP="00C533B1">
            <w:pPr>
              <w:ind w:left="37"/>
              <w:jc w:val="both"/>
              <w:rPr>
                <w:i/>
                <w:iCs/>
                <w:sz w:val="22"/>
                <w:szCs w:val="22"/>
              </w:rPr>
            </w:pPr>
            <w:r w:rsidRPr="00C27A60">
              <w:rPr>
                <w:i/>
                <w:iCs/>
                <w:sz w:val="22"/>
                <w:szCs w:val="22"/>
              </w:rPr>
              <w:t>Відповідно до вимог п. 5.1.2 Правил роздрібного ринку електричної енергії, які затверджено постановою НКРЕКП № 312 від 14.03.2018, оператор системи зобов’язаний проводити контрольний огляд</w:t>
            </w:r>
            <w:r w:rsidRPr="00C27A60">
              <w:rPr>
                <w:i/>
                <w:iCs/>
                <w:sz w:val="22"/>
                <w:szCs w:val="22"/>
                <w:shd w:val="clear" w:color="auto" w:fill="FFFFFF"/>
              </w:rPr>
              <w:t xml:space="preserve"> засобів комерційного обліку споживачів відповідно до затверджених графіків</w:t>
            </w:r>
            <w:r w:rsidRPr="00C27A60">
              <w:rPr>
                <w:i/>
                <w:iCs/>
                <w:sz w:val="22"/>
                <w:szCs w:val="22"/>
              </w:rPr>
              <w:t xml:space="preserve"> </w:t>
            </w:r>
            <w:r w:rsidRPr="00C27A60">
              <w:rPr>
                <w:i/>
                <w:iCs/>
                <w:sz w:val="22"/>
                <w:szCs w:val="22"/>
                <w:u w:val="single"/>
              </w:rPr>
              <w:t>не рідше</w:t>
            </w:r>
            <w:r w:rsidRPr="00C27A60">
              <w:rPr>
                <w:i/>
                <w:iCs/>
                <w:sz w:val="22"/>
                <w:szCs w:val="22"/>
              </w:rPr>
              <w:t xml:space="preserve">  </w:t>
            </w:r>
            <w:r w:rsidRPr="00C27A60">
              <w:rPr>
                <w:i/>
                <w:iCs/>
                <w:sz w:val="22"/>
                <w:szCs w:val="22"/>
                <w:u w:val="single"/>
                <w:shd w:val="clear" w:color="auto" w:fill="FFFFFF"/>
              </w:rPr>
              <w:t>одного разу на 6 місяців</w:t>
            </w:r>
            <w:r w:rsidRPr="00C27A60">
              <w:rPr>
                <w:i/>
                <w:iCs/>
                <w:sz w:val="22"/>
                <w:szCs w:val="22"/>
                <w:shd w:val="clear" w:color="auto" w:fill="FFFFFF"/>
              </w:rPr>
              <w:t>.</w:t>
            </w:r>
          </w:p>
          <w:p w14:paraId="459DC72F" w14:textId="77777777" w:rsidR="00C533B1" w:rsidRPr="00C27A60" w:rsidRDefault="00C533B1" w:rsidP="00C533B1">
            <w:pPr>
              <w:pStyle w:val="af6"/>
              <w:ind w:left="0"/>
              <w:jc w:val="both"/>
              <w:rPr>
                <w:rFonts w:ascii="Times New Roman" w:hAnsi="Times New Roman"/>
                <w:i/>
                <w:iCs/>
                <w:lang w:val="uk-UA"/>
              </w:rPr>
            </w:pPr>
            <w:r w:rsidRPr="00C27A60">
              <w:rPr>
                <w:rFonts w:ascii="Times New Roman" w:hAnsi="Times New Roman"/>
                <w:i/>
                <w:iCs/>
                <w:lang w:val="uk-UA"/>
              </w:rPr>
              <w:t xml:space="preserve">Згідно з вимогами розділу 8.6 Кодексу комерційного обліку електричної енергії, затвердженого постановою НКРЕКП </w:t>
            </w:r>
            <w:r w:rsidRPr="00C27A60">
              <w:rPr>
                <w:rFonts w:ascii="Times New Roman" w:hAnsi="Times New Roman"/>
                <w:i/>
                <w:iCs/>
                <w:lang w:val="uk-UA"/>
              </w:rPr>
              <w:lastRenderedPageBreak/>
              <w:t xml:space="preserve">№ 311 від 14.03.2018, у разі якщо для індивідуального побутового споживача </w:t>
            </w:r>
            <w:r w:rsidRPr="00C27A60">
              <w:rPr>
                <w:rFonts w:ascii="Times New Roman" w:hAnsi="Times New Roman"/>
                <w:i/>
                <w:iCs/>
                <w:shd w:val="clear" w:color="auto" w:fill="FFFFFF"/>
                <w:lang w:val="uk-UA"/>
              </w:rPr>
              <w:t xml:space="preserve">відсутня можливість дистанційного зчитування даних ЗКО, або надати їх до кінця третього календарного дня місяця, що настає за розрахунковим, то ППКО визначає </w:t>
            </w:r>
            <w:r w:rsidRPr="00C27A60">
              <w:rPr>
                <w:rFonts w:ascii="Times New Roman" w:hAnsi="Times New Roman"/>
                <w:i/>
                <w:iCs/>
                <w:lang w:val="uk-UA"/>
              </w:rPr>
              <w:t>обсяг споживання оціночними даними, а саме за середнім споживанням аналогічних періодів минулого року.</w:t>
            </w:r>
          </w:p>
          <w:p w14:paraId="50EF3BAD" w14:textId="77777777" w:rsidR="00C533B1" w:rsidRPr="00C27A60" w:rsidRDefault="00C533B1" w:rsidP="00C533B1">
            <w:pPr>
              <w:pStyle w:val="af6"/>
              <w:ind w:left="0"/>
              <w:jc w:val="both"/>
              <w:rPr>
                <w:rFonts w:ascii="Times New Roman" w:hAnsi="Times New Roman"/>
                <w:i/>
                <w:iCs/>
                <w:lang w:val="uk-UA"/>
              </w:rPr>
            </w:pPr>
            <w:r w:rsidRPr="00C27A60">
              <w:rPr>
                <w:rFonts w:ascii="Times New Roman" w:hAnsi="Times New Roman"/>
                <w:i/>
                <w:iCs/>
                <w:lang w:val="uk-UA"/>
              </w:rPr>
              <w:t>Враховуючи відсутність можливості щомісячно фіксувати покази ЗКО значна частина обсягу споживання індивідуальних побутових споживачів визначається за оціночними даними.</w:t>
            </w:r>
          </w:p>
          <w:p w14:paraId="416E1CC8" w14:textId="77777777" w:rsidR="00C533B1" w:rsidRPr="00C27A60" w:rsidRDefault="00C533B1" w:rsidP="00C533B1">
            <w:pPr>
              <w:jc w:val="both"/>
              <w:rPr>
                <w:sz w:val="22"/>
                <w:szCs w:val="22"/>
              </w:rPr>
            </w:pPr>
          </w:p>
          <w:p w14:paraId="38530BD5" w14:textId="77777777" w:rsidR="00C533B1" w:rsidRPr="00C27A60" w:rsidRDefault="00C533B1" w:rsidP="00C533B1">
            <w:pPr>
              <w:ind w:firstLine="30"/>
              <w:jc w:val="both"/>
              <w:rPr>
                <w:i/>
                <w:sz w:val="22"/>
                <w:szCs w:val="22"/>
                <w:shd w:val="clear" w:color="auto" w:fill="FFFFFF"/>
              </w:rPr>
            </w:pPr>
            <w:r w:rsidRPr="00C27A60">
              <w:rPr>
                <w:i/>
                <w:sz w:val="22"/>
                <w:szCs w:val="22"/>
                <w:shd w:val="clear" w:color="auto" w:fill="FFFFFF"/>
              </w:rPr>
              <w:t>ГС «РЕУ»</w:t>
            </w:r>
          </w:p>
          <w:p w14:paraId="477AF0C8" w14:textId="4570234D" w:rsidR="00C533B1" w:rsidRPr="00C27A60" w:rsidRDefault="00C533B1" w:rsidP="00C533B1">
            <w:pPr>
              <w:ind w:firstLine="30"/>
              <w:jc w:val="both"/>
              <w:rPr>
                <w:i/>
                <w:sz w:val="22"/>
                <w:szCs w:val="22"/>
                <w:shd w:val="clear" w:color="auto" w:fill="FFFFFF"/>
              </w:rPr>
            </w:pPr>
            <w:r w:rsidRPr="00C27A60">
              <w:rPr>
                <w:i/>
                <w:sz w:val="22"/>
                <w:szCs w:val="22"/>
                <w:shd w:val="clear" w:color="auto" w:fill="FFFFFF"/>
              </w:rPr>
              <w:t>АТ ДТЕК «ДОНЕЦЬКІ ЕЛЕКТРОМЕРЕЖІ»</w:t>
            </w:r>
          </w:p>
          <w:p w14:paraId="0C499271" w14:textId="77777777" w:rsidR="00C533B1" w:rsidRPr="00C27A60" w:rsidRDefault="00C533B1" w:rsidP="00C533B1">
            <w:pPr>
              <w:ind w:firstLine="308"/>
              <w:jc w:val="both"/>
              <w:rPr>
                <w:sz w:val="22"/>
                <w:szCs w:val="22"/>
                <w:shd w:val="clear" w:color="auto" w:fill="FFFFFF"/>
              </w:rPr>
            </w:pPr>
          </w:p>
          <w:p w14:paraId="7D83AAF3" w14:textId="0E18DA88" w:rsidR="00C533B1" w:rsidRPr="00C27A60" w:rsidRDefault="00C533B1" w:rsidP="00C533B1">
            <w:pPr>
              <w:spacing w:after="75"/>
              <w:ind w:firstLine="240"/>
              <w:jc w:val="both"/>
              <w:rPr>
                <w:sz w:val="22"/>
                <w:szCs w:val="22"/>
              </w:rPr>
            </w:pPr>
            <w:r w:rsidRPr="00C27A60">
              <w:rPr>
                <w:sz w:val="22"/>
                <w:szCs w:val="22"/>
              </w:rPr>
              <w:t>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C27A60">
              <w:rPr>
                <w:noProof/>
                <w:sz w:val="22"/>
                <w:szCs w:val="22"/>
              </w:rPr>
              <w:drawing>
                <wp:inline distT="0" distB="0" distL="0" distR="0" wp14:anchorId="4EEAD42E" wp14:editId="24348681">
                  <wp:extent cx="581025" cy="2571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6374957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Pr="00C27A60">
              <w:rPr>
                <w:sz w:val="22"/>
                <w:szCs w:val="22"/>
              </w:rPr>
              <w:t>, тис. грн, що визначається за формулою</w:t>
            </w:r>
          </w:p>
          <w:tbl>
            <w:tblPr>
              <w:tblW w:w="5517" w:type="dxa"/>
              <w:tblLayout w:type="fixed"/>
              <w:tblLook w:val="04A0" w:firstRow="1" w:lastRow="0" w:firstColumn="1" w:lastColumn="0" w:noHBand="0" w:noVBand="1"/>
            </w:tblPr>
            <w:tblGrid>
              <w:gridCol w:w="4638"/>
              <w:gridCol w:w="879"/>
            </w:tblGrid>
            <w:tr w:rsidR="00C27A60" w:rsidRPr="00C27A60" w14:paraId="6A8E5DD9" w14:textId="77777777" w:rsidTr="00DA76BA">
              <w:trPr>
                <w:trHeight w:val="30"/>
              </w:trPr>
              <w:tc>
                <w:tcPr>
                  <w:tcW w:w="4638" w:type="dxa"/>
                  <w:vAlign w:val="center"/>
                  <w:hideMark/>
                </w:tcPr>
                <w:p w14:paraId="3F422B6E" w14:textId="434BDF2B" w:rsidR="00C533B1" w:rsidRPr="00C27A60" w:rsidRDefault="00C533B1" w:rsidP="00C533B1">
                  <w:pPr>
                    <w:spacing w:after="75"/>
                    <w:rPr>
                      <w:sz w:val="22"/>
                      <w:szCs w:val="22"/>
                    </w:rPr>
                  </w:pPr>
                  <w:r w:rsidRPr="00C27A60">
                    <w:rPr>
                      <w:noProof/>
                      <w:sz w:val="22"/>
                      <w:szCs w:val="22"/>
                    </w:rPr>
                    <w:drawing>
                      <wp:inline distT="0" distB="0" distL="0" distR="0" wp14:anchorId="21DAD50F" wp14:editId="64D7BBC8">
                        <wp:extent cx="2667000" cy="4667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6647407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67000" cy="466725"/>
                                </a:xfrm>
                                <a:prstGeom prst="rect">
                                  <a:avLst/>
                                </a:prstGeom>
                                <a:noFill/>
                                <a:ln>
                                  <a:noFill/>
                                </a:ln>
                              </pic:spPr>
                            </pic:pic>
                          </a:graphicData>
                        </a:graphic>
                      </wp:inline>
                    </w:drawing>
                  </w:r>
                </w:p>
              </w:tc>
              <w:tc>
                <w:tcPr>
                  <w:tcW w:w="879" w:type="dxa"/>
                  <w:vAlign w:val="center"/>
                  <w:hideMark/>
                </w:tcPr>
                <w:p w14:paraId="6888FE3D" w14:textId="77777777" w:rsidR="00C533B1" w:rsidRPr="00C27A60" w:rsidRDefault="00C533B1" w:rsidP="00C533B1">
                  <w:pPr>
                    <w:spacing w:after="75"/>
                    <w:jc w:val="both"/>
                    <w:rPr>
                      <w:sz w:val="22"/>
                      <w:szCs w:val="22"/>
                    </w:rPr>
                  </w:pPr>
                  <w:r w:rsidRPr="00C27A60">
                    <w:rPr>
                      <w:sz w:val="22"/>
                      <w:szCs w:val="22"/>
                    </w:rPr>
                    <w:t>,</w:t>
                  </w:r>
                </w:p>
              </w:tc>
            </w:tr>
          </w:tbl>
          <w:p w14:paraId="72B3390D" w14:textId="77777777" w:rsidR="00C533B1" w:rsidRPr="00C27A60" w:rsidRDefault="00C533B1" w:rsidP="00C533B1">
            <w:pPr>
              <w:spacing w:after="75"/>
              <w:ind w:firstLine="240"/>
              <w:jc w:val="both"/>
              <w:rPr>
                <w:kern w:val="2"/>
                <w:sz w:val="22"/>
                <w:szCs w:val="22"/>
                <w:lang w:eastAsia="en-US"/>
                <w14:ligatures w14:val="standardContextual"/>
              </w:rPr>
            </w:pPr>
            <w:r w:rsidRPr="00C27A60">
              <w:rPr>
                <w:sz w:val="22"/>
                <w:szCs w:val="22"/>
              </w:rPr>
              <w:t>де i - місяць,</w:t>
            </w:r>
          </w:p>
          <w:p w14:paraId="60A0A527" w14:textId="77777777" w:rsidR="00C533B1" w:rsidRPr="00C27A60" w:rsidRDefault="00C533B1" w:rsidP="00C533B1">
            <w:pPr>
              <w:spacing w:after="75"/>
              <w:ind w:firstLine="240"/>
              <w:jc w:val="both"/>
              <w:rPr>
                <w:sz w:val="22"/>
                <w:szCs w:val="22"/>
              </w:rPr>
            </w:pPr>
            <w:r w:rsidRPr="00C27A60">
              <w:rPr>
                <w:sz w:val="22"/>
                <w:szCs w:val="22"/>
              </w:rPr>
              <w:t>n - кількість місяців,</w:t>
            </w:r>
          </w:p>
          <w:p w14:paraId="0DECA5B5" w14:textId="77777777" w:rsidR="00C533B1" w:rsidRPr="00C27A60" w:rsidRDefault="00C533B1" w:rsidP="00C533B1">
            <w:pPr>
              <w:spacing w:after="75"/>
              <w:ind w:firstLine="240"/>
              <w:jc w:val="both"/>
              <w:rPr>
                <w:sz w:val="22"/>
                <w:szCs w:val="22"/>
              </w:rPr>
            </w:pPr>
            <w:r w:rsidRPr="00C27A60">
              <w:rPr>
                <w:sz w:val="22"/>
                <w:szCs w:val="22"/>
              </w:rPr>
              <w:t>Д</w:t>
            </w:r>
            <w:r w:rsidRPr="00C27A60">
              <w:rPr>
                <w:sz w:val="22"/>
                <w:szCs w:val="22"/>
                <w:vertAlign w:val="subscript"/>
              </w:rPr>
              <w:t>ТВЕ т</w:t>
            </w:r>
            <w:r w:rsidRPr="00C27A60">
              <w:rPr>
                <w:sz w:val="22"/>
                <w:szCs w:val="22"/>
              </w:rPr>
              <w:t xml:space="preserve"> - вартість технологічних витрат електричної енергії, урахована в тарифі на звітний рік, тис. грн,</w:t>
            </w:r>
          </w:p>
          <w:p w14:paraId="4A9DD0BE" w14:textId="77777777" w:rsidR="00C533B1" w:rsidRPr="00C27A60" w:rsidRDefault="00C533B1" w:rsidP="00C533B1">
            <w:pPr>
              <w:pStyle w:val="tj"/>
              <w:shd w:val="clear" w:color="auto" w:fill="FFFFFF"/>
              <w:spacing w:before="0" w:beforeAutospacing="0" w:after="0" w:afterAutospacing="0"/>
              <w:jc w:val="both"/>
              <w:rPr>
                <w:sz w:val="22"/>
                <w:szCs w:val="22"/>
              </w:rPr>
            </w:pPr>
            <w:r w:rsidRPr="00C27A60">
              <w:rPr>
                <w:sz w:val="22"/>
                <w:szCs w:val="22"/>
              </w:rPr>
              <w:t>Д</w:t>
            </w:r>
            <w:r w:rsidRPr="00C27A60">
              <w:rPr>
                <w:sz w:val="22"/>
                <w:szCs w:val="22"/>
                <w:vertAlign w:val="subscript"/>
              </w:rPr>
              <w:t xml:space="preserve">ТВЕ </w:t>
            </w:r>
            <w:proofErr w:type="spellStart"/>
            <w:r w:rsidRPr="00C27A60">
              <w:rPr>
                <w:sz w:val="22"/>
                <w:szCs w:val="22"/>
                <w:vertAlign w:val="subscript"/>
              </w:rPr>
              <w:t>нф</w:t>
            </w:r>
            <w:proofErr w:type="spellEnd"/>
            <w:r w:rsidRPr="00C27A60">
              <w:rPr>
                <w:sz w:val="22"/>
                <w:szCs w:val="22"/>
                <w:vertAlign w:val="subscript"/>
              </w:rPr>
              <w:t xml:space="preserve"> i</w:t>
            </w:r>
            <w:r w:rsidRPr="00C27A60">
              <w:rPr>
                <w:sz w:val="22"/>
                <w:szCs w:val="22"/>
              </w:rPr>
              <w:t xml:space="preserve">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p>
          <w:p w14:paraId="235DE783" w14:textId="77777777" w:rsidR="00C533B1" w:rsidRPr="00C27A60" w:rsidRDefault="00C533B1" w:rsidP="00C533B1">
            <w:pPr>
              <w:spacing w:after="75"/>
              <w:ind w:firstLine="240"/>
              <w:jc w:val="center"/>
              <w:rPr>
                <w:sz w:val="22"/>
                <w:szCs w:val="22"/>
              </w:rPr>
            </w:pPr>
          </w:p>
          <w:p w14:paraId="648741F0" w14:textId="77777777" w:rsidR="00C533B1" w:rsidRPr="00C27A60" w:rsidRDefault="00C533B1" w:rsidP="00C533B1">
            <w:pPr>
              <w:spacing w:after="75"/>
              <w:ind w:firstLine="240"/>
              <w:jc w:val="center"/>
              <w:rPr>
                <w:sz w:val="22"/>
                <w:szCs w:val="22"/>
              </w:rPr>
            </w:pPr>
            <w:r w:rsidRPr="00C27A60">
              <w:rPr>
                <w:sz w:val="22"/>
                <w:szCs w:val="22"/>
              </w:rPr>
              <w:t>Д</w:t>
            </w:r>
            <w:r w:rsidRPr="00C27A60">
              <w:rPr>
                <w:sz w:val="22"/>
                <w:szCs w:val="22"/>
                <w:vertAlign w:val="subscript"/>
              </w:rPr>
              <w:t xml:space="preserve">ТВЕ </w:t>
            </w:r>
            <w:proofErr w:type="spellStart"/>
            <w:r w:rsidRPr="00C27A60">
              <w:rPr>
                <w:sz w:val="22"/>
                <w:szCs w:val="22"/>
                <w:vertAlign w:val="subscript"/>
              </w:rPr>
              <w:t>нф</w:t>
            </w:r>
            <w:proofErr w:type="spellEnd"/>
            <w:r w:rsidRPr="00C27A60">
              <w:rPr>
                <w:sz w:val="22"/>
                <w:szCs w:val="22"/>
                <w:vertAlign w:val="subscript"/>
              </w:rPr>
              <w:t xml:space="preserve"> і</w:t>
            </w:r>
            <w:r w:rsidRPr="00C27A60">
              <w:rPr>
                <w:sz w:val="22"/>
                <w:szCs w:val="22"/>
              </w:rPr>
              <w:t xml:space="preserve"> = О</w:t>
            </w:r>
            <w:r w:rsidRPr="00C27A60">
              <w:rPr>
                <w:sz w:val="22"/>
                <w:szCs w:val="22"/>
                <w:vertAlign w:val="subscript"/>
              </w:rPr>
              <w:t xml:space="preserve">ТВЕ </w:t>
            </w:r>
            <w:proofErr w:type="spellStart"/>
            <w:r w:rsidRPr="00C27A60">
              <w:rPr>
                <w:sz w:val="22"/>
                <w:szCs w:val="22"/>
                <w:vertAlign w:val="subscript"/>
              </w:rPr>
              <w:t>нф</w:t>
            </w:r>
            <w:proofErr w:type="spellEnd"/>
            <w:r w:rsidRPr="00C27A60">
              <w:rPr>
                <w:sz w:val="22"/>
                <w:szCs w:val="22"/>
                <w:vertAlign w:val="subscript"/>
              </w:rPr>
              <w:t xml:space="preserve"> i</w:t>
            </w:r>
            <w:r w:rsidRPr="00C27A60">
              <w:rPr>
                <w:sz w:val="22"/>
                <w:szCs w:val="22"/>
              </w:rPr>
              <w:t xml:space="preserve"> × Ц</w:t>
            </w:r>
            <w:r w:rsidRPr="00C27A60">
              <w:rPr>
                <w:sz w:val="22"/>
                <w:szCs w:val="22"/>
                <w:vertAlign w:val="subscript"/>
              </w:rPr>
              <w:t>ТВЕ i</w:t>
            </w:r>
            <w:r w:rsidRPr="00C27A60">
              <w:rPr>
                <w:sz w:val="22"/>
                <w:szCs w:val="22"/>
              </w:rPr>
              <w:t xml:space="preserve"> ,</w:t>
            </w:r>
          </w:p>
          <w:p w14:paraId="33F97A9E" w14:textId="77777777" w:rsidR="00C533B1" w:rsidRPr="00C27A60" w:rsidRDefault="00C533B1" w:rsidP="00C533B1">
            <w:pPr>
              <w:spacing w:after="75"/>
              <w:ind w:firstLine="240"/>
              <w:jc w:val="both"/>
              <w:rPr>
                <w:sz w:val="22"/>
                <w:szCs w:val="22"/>
              </w:rPr>
            </w:pPr>
            <w:r w:rsidRPr="00C27A60">
              <w:rPr>
                <w:sz w:val="22"/>
                <w:szCs w:val="22"/>
              </w:rPr>
              <w:t>де О</w:t>
            </w:r>
            <w:r w:rsidRPr="00C27A60">
              <w:rPr>
                <w:sz w:val="22"/>
                <w:szCs w:val="22"/>
                <w:vertAlign w:val="subscript"/>
              </w:rPr>
              <w:t xml:space="preserve">ТВЕ </w:t>
            </w:r>
            <w:proofErr w:type="spellStart"/>
            <w:r w:rsidRPr="00C27A60">
              <w:rPr>
                <w:sz w:val="22"/>
                <w:szCs w:val="22"/>
                <w:vertAlign w:val="subscript"/>
              </w:rPr>
              <w:t>нф</w:t>
            </w:r>
            <w:proofErr w:type="spellEnd"/>
            <w:r w:rsidRPr="00C27A60">
              <w:rPr>
                <w:sz w:val="22"/>
                <w:szCs w:val="22"/>
                <w:vertAlign w:val="subscript"/>
              </w:rPr>
              <w:t xml:space="preserve"> i</w:t>
            </w:r>
            <w:r w:rsidRPr="00C27A60">
              <w:rPr>
                <w:sz w:val="22"/>
                <w:szCs w:val="22"/>
              </w:rPr>
              <w:t xml:space="preserve"> - нормативно-фактичний обсяг технологічних витрат електричної енергії на її розподіл на 1 та 2 класах </w:t>
            </w:r>
            <w:r w:rsidRPr="00C27A60">
              <w:rPr>
                <w:sz w:val="22"/>
                <w:szCs w:val="22"/>
              </w:rPr>
              <w:lastRenderedPageBreak/>
              <w:t>напруги, в і-му місяці звітного року, МВт·год, що розраховується за формулою</w:t>
            </w:r>
          </w:p>
          <w:tbl>
            <w:tblPr>
              <w:tblW w:w="5545" w:type="dxa"/>
              <w:tblLayout w:type="fixed"/>
              <w:tblLook w:val="04A0" w:firstRow="1" w:lastRow="0" w:firstColumn="1" w:lastColumn="0" w:noHBand="0" w:noVBand="1"/>
            </w:tblPr>
            <w:tblGrid>
              <w:gridCol w:w="5115"/>
              <w:gridCol w:w="430"/>
            </w:tblGrid>
            <w:tr w:rsidR="00C27A60" w:rsidRPr="00C27A60" w14:paraId="65DB7BCD" w14:textId="77777777" w:rsidTr="00DA76BA">
              <w:trPr>
                <w:trHeight w:val="42"/>
              </w:trPr>
              <w:tc>
                <w:tcPr>
                  <w:tcW w:w="5115" w:type="dxa"/>
                  <w:vAlign w:val="center"/>
                  <w:hideMark/>
                </w:tcPr>
                <w:p w14:paraId="04E1BE7E" w14:textId="4E90C9A7" w:rsidR="00C533B1" w:rsidRPr="00C27A60" w:rsidRDefault="00C533B1" w:rsidP="00C533B1">
                  <w:pPr>
                    <w:spacing w:after="75"/>
                    <w:rPr>
                      <w:sz w:val="22"/>
                      <w:szCs w:val="22"/>
                    </w:rPr>
                  </w:pPr>
                  <w:r w:rsidRPr="00C27A60">
                    <w:rPr>
                      <w:noProof/>
                      <w:sz w:val="22"/>
                      <w:szCs w:val="22"/>
                    </w:rPr>
                    <w:drawing>
                      <wp:inline distT="0" distB="0" distL="0" distR="0" wp14:anchorId="632C6CF3" wp14:editId="30C9F38A">
                        <wp:extent cx="272415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4790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24150" cy="266700"/>
                                </a:xfrm>
                                <a:prstGeom prst="rect">
                                  <a:avLst/>
                                </a:prstGeom>
                                <a:noFill/>
                                <a:ln>
                                  <a:noFill/>
                                </a:ln>
                              </pic:spPr>
                            </pic:pic>
                          </a:graphicData>
                        </a:graphic>
                      </wp:inline>
                    </w:drawing>
                  </w:r>
                </w:p>
              </w:tc>
              <w:tc>
                <w:tcPr>
                  <w:tcW w:w="430" w:type="dxa"/>
                  <w:vAlign w:val="center"/>
                  <w:hideMark/>
                </w:tcPr>
                <w:p w14:paraId="63559900" w14:textId="77777777" w:rsidR="00C533B1" w:rsidRPr="00C27A60" w:rsidRDefault="00C533B1" w:rsidP="00C533B1">
                  <w:pPr>
                    <w:spacing w:after="75"/>
                    <w:jc w:val="both"/>
                    <w:rPr>
                      <w:sz w:val="22"/>
                      <w:szCs w:val="22"/>
                    </w:rPr>
                  </w:pPr>
                  <w:r w:rsidRPr="00C27A60">
                    <w:rPr>
                      <w:sz w:val="22"/>
                      <w:szCs w:val="22"/>
                    </w:rPr>
                    <w:t>,</w:t>
                  </w:r>
                </w:p>
              </w:tc>
            </w:tr>
          </w:tbl>
          <w:p w14:paraId="30294968" w14:textId="77777777" w:rsidR="00C533B1" w:rsidRPr="00C27A60" w:rsidRDefault="00C533B1" w:rsidP="00C533B1">
            <w:pPr>
              <w:spacing w:after="75"/>
              <w:ind w:firstLine="240"/>
              <w:jc w:val="both"/>
              <w:rPr>
                <w:kern w:val="2"/>
                <w:sz w:val="22"/>
                <w:szCs w:val="22"/>
                <w:lang w:eastAsia="en-US"/>
                <w14:ligatures w14:val="standardContextual"/>
              </w:rPr>
            </w:pPr>
            <w:r w:rsidRPr="00C27A60">
              <w:rPr>
                <w:sz w:val="22"/>
                <w:szCs w:val="22"/>
              </w:rPr>
              <w:t xml:space="preserve">де </w:t>
            </w:r>
            <w:r w:rsidRPr="00C27A60">
              <w:rPr>
                <w:i/>
                <w:sz w:val="22"/>
                <w:szCs w:val="22"/>
              </w:rPr>
              <w:t>W</w:t>
            </w:r>
            <w:r w:rsidRPr="00C27A60">
              <w:rPr>
                <w:sz w:val="22"/>
                <w:szCs w:val="22"/>
                <w:vertAlign w:val="subscript"/>
              </w:rPr>
              <w:t>1 i</w:t>
            </w:r>
            <w:r w:rsidRPr="00C27A60">
              <w:rPr>
                <w:sz w:val="22"/>
                <w:szCs w:val="22"/>
              </w:rPr>
              <w:t xml:space="preserve"> , - фактичний обсяг корисного відпуску електричної енергії споживачам на 1 класі напруги у і-му місяці звітного року, МВт·год;</w:t>
            </w:r>
          </w:p>
          <w:p w14:paraId="3AF1DDC5" w14:textId="77777777" w:rsidR="00C533B1" w:rsidRPr="00C27A60" w:rsidRDefault="00C533B1" w:rsidP="00C533B1">
            <w:pPr>
              <w:spacing w:after="75"/>
              <w:ind w:firstLine="240"/>
              <w:jc w:val="both"/>
              <w:rPr>
                <w:sz w:val="22"/>
                <w:szCs w:val="22"/>
              </w:rPr>
            </w:pPr>
            <w:r w:rsidRPr="00C27A60">
              <w:rPr>
                <w:i/>
                <w:sz w:val="22"/>
                <w:szCs w:val="22"/>
              </w:rPr>
              <w:t>W</w:t>
            </w:r>
            <w:r w:rsidRPr="00C27A60">
              <w:rPr>
                <w:sz w:val="22"/>
                <w:szCs w:val="22"/>
                <w:vertAlign w:val="subscript"/>
              </w:rPr>
              <w:t>2 i</w:t>
            </w:r>
            <w:r w:rsidRPr="00C27A60">
              <w:rPr>
                <w:sz w:val="22"/>
                <w:szCs w:val="22"/>
              </w:rPr>
              <w:t xml:space="preserve"> - фактичний обсяг розподілу електричної енергії споживачам на 2 класі напруги в і-му місяці звітного року, МВт·год;</w:t>
            </w:r>
          </w:p>
          <w:p w14:paraId="6BD590E0" w14:textId="77777777" w:rsidR="00C533B1" w:rsidRPr="00C27A60" w:rsidRDefault="00C533B1" w:rsidP="00C533B1">
            <w:pPr>
              <w:pStyle w:val="tj"/>
              <w:shd w:val="clear" w:color="auto" w:fill="FFFFFF"/>
              <w:spacing w:before="0" w:beforeAutospacing="0" w:after="0" w:afterAutospacing="0"/>
              <w:jc w:val="both"/>
              <w:rPr>
                <w:sz w:val="22"/>
                <w:szCs w:val="22"/>
              </w:rPr>
            </w:pPr>
            <w:r w:rsidRPr="00C27A60">
              <w:rPr>
                <w:sz w:val="22"/>
                <w:szCs w:val="22"/>
              </w:rPr>
              <w:t>К</w:t>
            </w:r>
            <w:r w:rsidRPr="00C27A60">
              <w:rPr>
                <w:sz w:val="22"/>
                <w:szCs w:val="22"/>
                <w:vertAlign w:val="subscript"/>
              </w:rPr>
              <w:t>1</w:t>
            </w:r>
            <w:r w:rsidRPr="00C27A60">
              <w:rPr>
                <w:sz w:val="22"/>
                <w:szCs w:val="22"/>
              </w:rPr>
              <w:t>, К</w:t>
            </w:r>
            <w:r w:rsidRPr="00C27A60">
              <w:rPr>
                <w:sz w:val="22"/>
                <w:szCs w:val="22"/>
                <w:vertAlign w:val="subscript"/>
              </w:rPr>
              <w:t>2</w:t>
            </w:r>
            <w:r w:rsidRPr="00C27A60">
              <w:rPr>
                <w:sz w:val="22"/>
                <w:szCs w:val="22"/>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7B23D80F" w14:textId="77777777" w:rsidR="00C533B1" w:rsidRPr="00C27A60" w:rsidRDefault="00C533B1" w:rsidP="00C533B1">
            <w:pPr>
              <w:pStyle w:val="tj"/>
              <w:shd w:val="clear" w:color="auto" w:fill="FFFFFF"/>
              <w:spacing w:before="0" w:beforeAutospacing="0" w:after="0" w:afterAutospacing="0"/>
              <w:jc w:val="both"/>
              <w:rPr>
                <w:sz w:val="22"/>
                <w:szCs w:val="22"/>
              </w:rPr>
            </w:pPr>
          </w:p>
          <w:p w14:paraId="2924ACDD" w14:textId="77777777" w:rsidR="00C533B1" w:rsidRPr="00C27A60" w:rsidRDefault="00C533B1" w:rsidP="00C533B1">
            <w:pPr>
              <w:spacing w:after="75"/>
              <w:ind w:firstLine="240"/>
              <w:jc w:val="both"/>
              <w:rPr>
                <w:sz w:val="22"/>
                <w:szCs w:val="22"/>
              </w:rPr>
            </w:pPr>
            <w:r w:rsidRPr="00C27A60">
              <w:rPr>
                <w:sz w:val="22"/>
                <w:szCs w:val="22"/>
              </w:rPr>
              <w:t>Ц</w:t>
            </w:r>
            <w:r w:rsidRPr="00C27A60">
              <w:rPr>
                <w:sz w:val="22"/>
                <w:szCs w:val="22"/>
                <w:vertAlign w:val="subscript"/>
              </w:rPr>
              <w:t>ТВЕ i</w:t>
            </w:r>
            <w:r w:rsidRPr="00C27A60">
              <w:rPr>
                <w:sz w:val="22"/>
                <w:szCs w:val="22"/>
              </w:rPr>
              <w:t xml:space="preserve">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грн/МВт·год, та розраховується за формулою</w:t>
            </w:r>
          </w:p>
          <w:p w14:paraId="7F086609" w14:textId="77777777" w:rsidR="00C533B1" w:rsidRPr="00C27A60" w:rsidRDefault="00C533B1" w:rsidP="00C533B1">
            <w:pPr>
              <w:pStyle w:val="tj"/>
              <w:shd w:val="clear" w:color="auto" w:fill="FFFFFF"/>
              <w:spacing w:before="0" w:beforeAutospacing="0" w:after="0" w:afterAutospacing="0"/>
              <w:jc w:val="both"/>
              <w:rPr>
                <w:sz w:val="22"/>
                <w:szCs w:val="22"/>
              </w:rPr>
            </w:pPr>
          </w:p>
          <w:p w14:paraId="003F599D" w14:textId="77777777" w:rsidR="00C533B1" w:rsidRPr="00C27A60" w:rsidRDefault="00C533B1" w:rsidP="00C533B1">
            <w:pPr>
              <w:pStyle w:val="tj"/>
              <w:shd w:val="clear" w:color="auto" w:fill="FFFFFF"/>
              <w:spacing w:before="0" w:beforeAutospacing="0" w:after="0" w:afterAutospacing="0"/>
              <w:jc w:val="both"/>
              <w:rPr>
                <w:sz w:val="22"/>
                <w:szCs w:val="22"/>
                <w:vertAlign w:val="subscript"/>
              </w:rPr>
            </w:pPr>
            <w:r w:rsidRPr="00C27A60">
              <w:rPr>
                <w:sz w:val="22"/>
                <w:szCs w:val="22"/>
              </w:rPr>
              <w:t>Ц</w:t>
            </w:r>
            <w:r w:rsidRPr="00C27A60">
              <w:rPr>
                <w:sz w:val="22"/>
                <w:szCs w:val="22"/>
                <w:vertAlign w:val="subscript"/>
              </w:rPr>
              <w:t>ТВЕ i</w:t>
            </w:r>
            <w:r w:rsidRPr="00C27A60">
              <w:rPr>
                <w:sz w:val="22"/>
                <w:szCs w:val="22"/>
              </w:rPr>
              <w:t xml:space="preserve"> </w:t>
            </w:r>
            <w:r w:rsidRPr="00C27A60">
              <w:rPr>
                <w:sz w:val="22"/>
                <w:szCs w:val="22"/>
                <w:vertAlign w:val="subscript"/>
              </w:rPr>
              <w:t>=</w:t>
            </w:r>
            <w:r w:rsidRPr="00C27A60">
              <w:rPr>
                <w:sz w:val="22"/>
                <w:szCs w:val="22"/>
              </w:rPr>
              <w:t xml:space="preserve"> Ц </w:t>
            </w:r>
            <w:r w:rsidRPr="00C27A60">
              <w:rPr>
                <w:sz w:val="22"/>
                <w:szCs w:val="22"/>
                <w:vertAlign w:val="subscript"/>
              </w:rPr>
              <w:t>РДН ф i</w:t>
            </w:r>
            <w:r w:rsidRPr="00C27A60">
              <w:rPr>
                <w:sz w:val="22"/>
                <w:szCs w:val="22"/>
              </w:rPr>
              <w:t xml:space="preserve"> × (1 - К</w:t>
            </w:r>
            <w:r w:rsidRPr="00C27A60">
              <w:rPr>
                <w:sz w:val="22"/>
                <w:szCs w:val="22"/>
                <w:vertAlign w:val="superscript"/>
              </w:rPr>
              <w:t>БР</w:t>
            </w:r>
            <w:r w:rsidRPr="00C27A60">
              <w:rPr>
                <w:sz w:val="22"/>
                <w:szCs w:val="22"/>
                <w:vertAlign w:val="subscript"/>
              </w:rPr>
              <w:t>W</w:t>
            </w:r>
            <w:r w:rsidRPr="00C27A60">
              <w:rPr>
                <w:sz w:val="22"/>
                <w:szCs w:val="22"/>
              </w:rPr>
              <w:t xml:space="preserve"> - К</w:t>
            </w:r>
            <w:r w:rsidRPr="00C27A60">
              <w:rPr>
                <w:sz w:val="22"/>
                <w:szCs w:val="22"/>
                <w:vertAlign w:val="superscript"/>
              </w:rPr>
              <w:t>ДД</w:t>
            </w:r>
            <w:r w:rsidRPr="00C27A60">
              <w:rPr>
                <w:sz w:val="22"/>
                <w:szCs w:val="22"/>
                <w:vertAlign w:val="subscript"/>
              </w:rPr>
              <w:t>W</w:t>
            </w:r>
            <w:r w:rsidRPr="00C27A60">
              <w:rPr>
                <w:sz w:val="22"/>
                <w:szCs w:val="22"/>
              </w:rPr>
              <w:t xml:space="preserve">) + Ц </w:t>
            </w:r>
            <w:r w:rsidRPr="00C27A60">
              <w:rPr>
                <w:sz w:val="22"/>
                <w:szCs w:val="22"/>
                <w:vertAlign w:val="subscript"/>
              </w:rPr>
              <w:t>РДН ф i</w:t>
            </w:r>
            <w:r w:rsidRPr="00C27A60">
              <w:rPr>
                <w:sz w:val="22"/>
                <w:szCs w:val="22"/>
              </w:rPr>
              <w:t xml:space="preserve"> × (1 + К</w:t>
            </w:r>
            <w:r w:rsidRPr="00C27A60">
              <w:rPr>
                <w:sz w:val="22"/>
                <w:szCs w:val="22"/>
                <w:vertAlign w:val="superscript"/>
              </w:rPr>
              <w:t>БР</w:t>
            </w:r>
            <w:r w:rsidRPr="00C27A60">
              <w:rPr>
                <w:sz w:val="22"/>
                <w:szCs w:val="22"/>
                <w:vertAlign w:val="subscript"/>
              </w:rPr>
              <w:t>Ц</w:t>
            </w:r>
            <w:r w:rsidRPr="00C27A60">
              <w:rPr>
                <w:sz w:val="22"/>
                <w:szCs w:val="22"/>
              </w:rPr>
              <w:t>) × К</w:t>
            </w:r>
            <w:r w:rsidRPr="00C27A60">
              <w:rPr>
                <w:sz w:val="22"/>
                <w:szCs w:val="22"/>
                <w:vertAlign w:val="superscript"/>
              </w:rPr>
              <w:t>БР</w:t>
            </w:r>
            <w:r w:rsidRPr="00C27A60">
              <w:rPr>
                <w:sz w:val="22"/>
                <w:szCs w:val="22"/>
                <w:vertAlign w:val="subscript"/>
              </w:rPr>
              <w:t>W</w:t>
            </w:r>
            <w:r w:rsidRPr="00C27A60">
              <w:rPr>
                <w:sz w:val="22"/>
                <w:szCs w:val="22"/>
              </w:rPr>
              <w:t xml:space="preserve"> + Ц </w:t>
            </w:r>
            <w:r w:rsidRPr="00C27A60">
              <w:rPr>
                <w:sz w:val="22"/>
                <w:szCs w:val="22"/>
                <w:vertAlign w:val="subscript"/>
              </w:rPr>
              <w:t>РДД ф i</w:t>
            </w:r>
            <w:r w:rsidRPr="00C27A60">
              <w:rPr>
                <w:sz w:val="22"/>
                <w:szCs w:val="22"/>
              </w:rPr>
              <w:t xml:space="preserve"> × К</w:t>
            </w:r>
            <w:r w:rsidRPr="00C27A60">
              <w:rPr>
                <w:sz w:val="22"/>
                <w:szCs w:val="22"/>
                <w:vertAlign w:val="superscript"/>
              </w:rPr>
              <w:t>ДД</w:t>
            </w:r>
            <w:r w:rsidRPr="00C27A60">
              <w:rPr>
                <w:sz w:val="22"/>
                <w:szCs w:val="22"/>
                <w:vertAlign w:val="subscript"/>
              </w:rPr>
              <w:t>W,</w:t>
            </w:r>
          </w:p>
          <w:p w14:paraId="195D96B5" w14:textId="77777777" w:rsidR="00C533B1" w:rsidRPr="00C27A60" w:rsidRDefault="00C533B1" w:rsidP="00C533B1">
            <w:pPr>
              <w:spacing w:after="75"/>
              <w:ind w:firstLine="240"/>
              <w:jc w:val="both"/>
              <w:rPr>
                <w:sz w:val="22"/>
                <w:szCs w:val="22"/>
              </w:rPr>
            </w:pPr>
            <w:r w:rsidRPr="00C27A60">
              <w:rPr>
                <w:sz w:val="22"/>
                <w:szCs w:val="22"/>
              </w:rPr>
              <w:t xml:space="preserve">де Ц </w:t>
            </w:r>
            <w:r w:rsidRPr="00C27A60">
              <w:rPr>
                <w:sz w:val="22"/>
                <w:szCs w:val="22"/>
                <w:vertAlign w:val="subscript"/>
              </w:rPr>
              <w:t>РДН ф i</w:t>
            </w:r>
            <w:r w:rsidRPr="00C27A60">
              <w:rPr>
                <w:sz w:val="22"/>
                <w:szCs w:val="22"/>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оператора системи розподілу, грн/МВт·год,</w:t>
            </w:r>
          </w:p>
          <w:p w14:paraId="366B59D9" w14:textId="77777777" w:rsidR="00C533B1" w:rsidRPr="00C27A60" w:rsidRDefault="00C533B1" w:rsidP="00C533B1">
            <w:pPr>
              <w:spacing w:after="75"/>
              <w:ind w:firstLine="240"/>
              <w:jc w:val="both"/>
              <w:rPr>
                <w:sz w:val="22"/>
                <w:szCs w:val="22"/>
              </w:rPr>
            </w:pPr>
            <w:r w:rsidRPr="00C27A60">
              <w:rPr>
                <w:sz w:val="22"/>
                <w:szCs w:val="22"/>
              </w:rPr>
              <w:t>К</w:t>
            </w:r>
            <w:r w:rsidRPr="00C27A60">
              <w:rPr>
                <w:sz w:val="22"/>
                <w:szCs w:val="22"/>
                <w:vertAlign w:val="superscript"/>
              </w:rPr>
              <w:t>БР</w:t>
            </w:r>
            <w:r w:rsidRPr="00C27A60">
              <w:rPr>
                <w:sz w:val="22"/>
                <w:szCs w:val="22"/>
                <w:vertAlign w:val="subscript"/>
              </w:rPr>
              <w:t>W</w:t>
            </w:r>
            <w:r w:rsidRPr="00C27A60">
              <w:rPr>
                <w:sz w:val="22"/>
                <w:szCs w:val="22"/>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w:t>
            </w:r>
            <w:r w:rsidRPr="00C27A60">
              <w:rPr>
                <w:b/>
                <w:sz w:val="22"/>
                <w:szCs w:val="22"/>
              </w:rPr>
              <w:t>,</w:t>
            </w:r>
            <w:r w:rsidRPr="00C27A60">
              <w:rPr>
                <w:sz w:val="22"/>
                <w:szCs w:val="22"/>
              </w:rPr>
              <w:t xml:space="preserve"> відносні одиниці;</w:t>
            </w:r>
          </w:p>
          <w:p w14:paraId="4F62B59A" w14:textId="77777777" w:rsidR="00C533B1" w:rsidRPr="00C27A60" w:rsidRDefault="00C533B1" w:rsidP="00C533B1">
            <w:pPr>
              <w:spacing w:after="75"/>
              <w:ind w:firstLine="240"/>
              <w:jc w:val="both"/>
              <w:rPr>
                <w:sz w:val="22"/>
                <w:szCs w:val="22"/>
              </w:rPr>
            </w:pPr>
            <w:r w:rsidRPr="00C27A60">
              <w:rPr>
                <w:sz w:val="22"/>
                <w:szCs w:val="22"/>
              </w:rPr>
              <w:lastRenderedPageBreak/>
              <w:t>К</w:t>
            </w:r>
            <w:r w:rsidRPr="00C27A60">
              <w:rPr>
                <w:sz w:val="22"/>
                <w:szCs w:val="22"/>
                <w:vertAlign w:val="superscript"/>
              </w:rPr>
              <w:t>ДД</w:t>
            </w:r>
            <w:r w:rsidRPr="00C27A60">
              <w:rPr>
                <w:sz w:val="22"/>
                <w:szCs w:val="22"/>
                <w:vertAlign w:val="subscript"/>
              </w:rPr>
              <w:t>W</w:t>
            </w:r>
            <w:r w:rsidRPr="00C27A60">
              <w:rPr>
                <w:sz w:val="22"/>
                <w:szCs w:val="22"/>
              </w:rPr>
              <w:t xml:space="preserve">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18DDA3D9" w14:textId="77777777" w:rsidR="00C533B1" w:rsidRPr="00C27A60" w:rsidRDefault="00C533B1" w:rsidP="00C533B1">
            <w:pPr>
              <w:spacing w:after="75"/>
              <w:ind w:firstLine="240"/>
              <w:jc w:val="both"/>
              <w:rPr>
                <w:sz w:val="22"/>
                <w:szCs w:val="22"/>
              </w:rPr>
            </w:pPr>
            <w:r w:rsidRPr="00C27A60">
              <w:rPr>
                <w:sz w:val="22"/>
                <w:szCs w:val="22"/>
              </w:rPr>
              <w:t>К</w:t>
            </w:r>
            <w:r w:rsidRPr="00C27A60">
              <w:rPr>
                <w:sz w:val="22"/>
                <w:szCs w:val="22"/>
                <w:vertAlign w:val="superscript"/>
              </w:rPr>
              <w:t>БР</w:t>
            </w:r>
            <w:r w:rsidRPr="00C27A60">
              <w:rPr>
                <w:sz w:val="22"/>
                <w:szCs w:val="22"/>
                <w:vertAlign w:val="subscript"/>
              </w:rPr>
              <w:t>Ц</w:t>
            </w:r>
            <w:r w:rsidRPr="00C27A60">
              <w:rPr>
                <w:sz w:val="22"/>
                <w:szCs w:val="22"/>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09E37994" w14:textId="77777777" w:rsidR="00C533B1" w:rsidRPr="00C27A60" w:rsidRDefault="00C533B1" w:rsidP="00C533B1">
            <w:pPr>
              <w:pStyle w:val="tj"/>
              <w:shd w:val="clear" w:color="auto" w:fill="FFFFFF"/>
              <w:spacing w:before="0" w:beforeAutospacing="0" w:after="0" w:afterAutospacing="0"/>
              <w:jc w:val="both"/>
              <w:rPr>
                <w:sz w:val="22"/>
                <w:szCs w:val="22"/>
              </w:rPr>
            </w:pPr>
            <w:r w:rsidRPr="00C27A60">
              <w:rPr>
                <w:sz w:val="22"/>
                <w:szCs w:val="22"/>
              </w:rPr>
              <w:t xml:space="preserve">Ц </w:t>
            </w:r>
            <w:r w:rsidRPr="00C27A60">
              <w:rPr>
                <w:sz w:val="22"/>
                <w:szCs w:val="22"/>
                <w:vertAlign w:val="subscript"/>
              </w:rPr>
              <w:t>РДД ф i</w:t>
            </w:r>
            <w:r w:rsidRPr="00C27A60">
              <w:rPr>
                <w:sz w:val="22"/>
                <w:szCs w:val="22"/>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грн/МВт·год.</w:t>
            </w:r>
          </w:p>
          <w:p w14:paraId="76BBC9A7" w14:textId="77777777" w:rsidR="00C533B1" w:rsidRPr="00C27A60" w:rsidRDefault="00C533B1" w:rsidP="00C533B1">
            <w:pPr>
              <w:pStyle w:val="tj"/>
              <w:shd w:val="clear" w:color="auto" w:fill="FFFFFF"/>
              <w:spacing w:before="0" w:beforeAutospacing="0" w:after="0" w:afterAutospacing="0"/>
              <w:jc w:val="both"/>
              <w:rPr>
                <w:sz w:val="22"/>
                <w:szCs w:val="22"/>
              </w:rPr>
            </w:pPr>
          </w:p>
          <w:p w14:paraId="6C880C12" w14:textId="77777777" w:rsidR="00C533B1" w:rsidRPr="00C27A60" w:rsidRDefault="00C533B1" w:rsidP="00C533B1">
            <w:pPr>
              <w:spacing w:after="75"/>
              <w:ind w:firstLine="240"/>
              <w:jc w:val="both"/>
              <w:rPr>
                <w:sz w:val="22"/>
                <w:szCs w:val="22"/>
              </w:rPr>
            </w:pPr>
            <w:r w:rsidRPr="00C27A60">
              <w:rPr>
                <w:sz w:val="22"/>
                <w:szCs w:val="22"/>
              </w:rPr>
              <w:t>Для цілей розрахунку складова (1 - К</w:t>
            </w:r>
            <w:r w:rsidRPr="00C27A60">
              <w:rPr>
                <w:sz w:val="22"/>
                <w:szCs w:val="22"/>
                <w:vertAlign w:val="superscript"/>
              </w:rPr>
              <w:t>БР</w:t>
            </w:r>
            <w:r w:rsidRPr="00C27A60">
              <w:rPr>
                <w:sz w:val="22"/>
                <w:szCs w:val="22"/>
                <w:vertAlign w:val="subscript"/>
              </w:rPr>
              <w:t>W</w:t>
            </w:r>
            <w:r w:rsidRPr="00C27A60">
              <w:rPr>
                <w:sz w:val="22"/>
                <w:szCs w:val="22"/>
              </w:rPr>
              <w:t xml:space="preserve"> - К</w:t>
            </w:r>
            <w:r w:rsidRPr="00C27A60">
              <w:rPr>
                <w:sz w:val="22"/>
                <w:szCs w:val="22"/>
                <w:vertAlign w:val="superscript"/>
              </w:rPr>
              <w:t>ДД</w:t>
            </w:r>
            <w:r w:rsidRPr="00C27A60">
              <w:rPr>
                <w:sz w:val="22"/>
                <w:szCs w:val="22"/>
                <w:vertAlign w:val="subscript"/>
              </w:rPr>
              <w:t>W</w:t>
            </w:r>
            <w:r w:rsidRPr="00C27A60">
              <w:rPr>
                <w:sz w:val="22"/>
                <w:szCs w:val="22"/>
              </w:rPr>
              <w:t>) приймається рівною нулю у разі, якщо її значення менше нуля.</w:t>
            </w:r>
          </w:p>
          <w:p w14:paraId="3A43F87D" w14:textId="77777777" w:rsidR="00C533B1" w:rsidRPr="00C27A60" w:rsidRDefault="00C533B1" w:rsidP="00C533B1">
            <w:pPr>
              <w:spacing w:after="75"/>
              <w:ind w:firstLine="240"/>
              <w:jc w:val="both"/>
              <w:rPr>
                <w:sz w:val="22"/>
                <w:szCs w:val="22"/>
              </w:rPr>
            </w:pPr>
            <w:r w:rsidRPr="00C27A60">
              <w:rPr>
                <w:sz w:val="22"/>
                <w:szCs w:val="22"/>
              </w:rPr>
              <w:t>Починаючи з 2023 року:</w:t>
            </w:r>
          </w:p>
          <w:p w14:paraId="5CA0A741" w14:textId="77777777" w:rsidR="00C533B1" w:rsidRPr="00C27A60" w:rsidRDefault="00C533B1" w:rsidP="00C533B1">
            <w:pPr>
              <w:pStyle w:val="tj"/>
              <w:shd w:val="clear" w:color="auto" w:fill="FFFFFF"/>
              <w:spacing w:before="0" w:beforeAutospacing="0" w:after="0" w:afterAutospacing="0"/>
              <w:jc w:val="both"/>
              <w:rPr>
                <w:sz w:val="22"/>
                <w:szCs w:val="22"/>
              </w:rPr>
            </w:pPr>
            <w:r w:rsidRPr="00C27A60">
              <w:rPr>
                <w:sz w:val="22"/>
                <w:szCs w:val="22"/>
              </w:rPr>
              <w:t xml:space="preserve">Ц </w:t>
            </w:r>
            <w:r w:rsidRPr="00C27A60">
              <w:rPr>
                <w:sz w:val="22"/>
                <w:szCs w:val="22"/>
                <w:vertAlign w:val="subscript"/>
              </w:rPr>
              <w:t>ТВЕ і</w:t>
            </w:r>
            <w:r w:rsidRPr="00C27A60">
              <w:rPr>
                <w:sz w:val="22"/>
                <w:szCs w:val="22"/>
              </w:rPr>
              <w:t xml:space="preserve"> = Ц </w:t>
            </w:r>
            <w:r w:rsidRPr="00C27A60">
              <w:rPr>
                <w:sz w:val="22"/>
                <w:szCs w:val="22"/>
                <w:vertAlign w:val="subscript"/>
              </w:rPr>
              <w:t>РДН ф і</w:t>
            </w:r>
            <w:r w:rsidRPr="00C27A60">
              <w:rPr>
                <w:sz w:val="22"/>
                <w:szCs w:val="22"/>
              </w:rPr>
              <w:t xml:space="preserve"> × (1 - </w:t>
            </w:r>
            <w:proofErr w:type="spellStart"/>
            <w:r w:rsidRPr="00C27A60">
              <w:rPr>
                <w:sz w:val="22"/>
                <w:szCs w:val="22"/>
              </w:rPr>
              <w:t>К</w:t>
            </w:r>
            <w:r w:rsidRPr="00C27A60">
              <w:rPr>
                <w:sz w:val="22"/>
                <w:szCs w:val="22"/>
                <w:vertAlign w:val="superscript"/>
              </w:rPr>
              <w:t>БР</w:t>
            </w:r>
            <w:r w:rsidRPr="00C27A60">
              <w:rPr>
                <w:sz w:val="22"/>
                <w:szCs w:val="22"/>
              </w:rPr>
              <w:t>w</w:t>
            </w:r>
            <w:proofErr w:type="spellEnd"/>
            <w:r w:rsidRPr="00C27A60">
              <w:rPr>
                <w:sz w:val="22"/>
                <w:szCs w:val="22"/>
              </w:rPr>
              <w:t xml:space="preserve"> - </w:t>
            </w:r>
            <w:proofErr w:type="spellStart"/>
            <w:r w:rsidRPr="00C27A60">
              <w:rPr>
                <w:sz w:val="22"/>
                <w:szCs w:val="22"/>
              </w:rPr>
              <w:t>К</w:t>
            </w:r>
            <w:r w:rsidRPr="00C27A60">
              <w:rPr>
                <w:sz w:val="22"/>
                <w:szCs w:val="22"/>
                <w:vertAlign w:val="superscript"/>
              </w:rPr>
              <w:t>ДД</w:t>
            </w:r>
            <w:r w:rsidRPr="00C27A60">
              <w:rPr>
                <w:sz w:val="22"/>
                <w:szCs w:val="22"/>
              </w:rPr>
              <w:t>w</w:t>
            </w:r>
            <w:proofErr w:type="spellEnd"/>
            <w:r w:rsidRPr="00C27A60">
              <w:rPr>
                <w:sz w:val="22"/>
                <w:szCs w:val="22"/>
              </w:rPr>
              <w:t xml:space="preserve">) + Ц </w:t>
            </w:r>
            <w:r w:rsidRPr="00C27A60">
              <w:rPr>
                <w:sz w:val="22"/>
                <w:szCs w:val="22"/>
                <w:vertAlign w:val="subscript"/>
              </w:rPr>
              <w:t>РДН ф і</w:t>
            </w:r>
            <w:r w:rsidRPr="00C27A60">
              <w:rPr>
                <w:sz w:val="22"/>
                <w:szCs w:val="22"/>
              </w:rPr>
              <w:t xml:space="preserve"> × (1 + </w:t>
            </w:r>
            <w:proofErr w:type="spellStart"/>
            <w:r w:rsidRPr="00C27A60">
              <w:rPr>
                <w:sz w:val="22"/>
                <w:szCs w:val="22"/>
              </w:rPr>
              <w:t>К</w:t>
            </w:r>
            <w:r w:rsidRPr="00C27A60">
              <w:rPr>
                <w:sz w:val="22"/>
                <w:szCs w:val="22"/>
                <w:vertAlign w:val="superscript"/>
              </w:rPr>
              <w:t>БР</w:t>
            </w:r>
            <w:r w:rsidRPr="00C27A60">
              <w:rPr>
                <w:sz w:val="22"/>
                <w:szCs w:val="22"/>
              </w:rPr>
              <w:t>ц</w:t>
            </w:r>
            <w:proofErr w:type="spellEnd"/>
            <w:r w:rsidRPr="00C27A60">
              <w:rPr>
                <w:sz w:val="22"/>
                <w:szCs w:val="22"/>
              </w:rPr>
              <w:t xml:space="preserve">) × </w:t>
            </w:r>
            <w:proofErr w:type="spellStart"/>
            <w:r w:rsidRPr="00C27A60">
              <w:rPr>
                <w:sz w:val="22"/>
                <w:szCs w:val="22"/>
              </w:rPr>
              <w:t>К</w:t>
            </w:r>
            <w:r w:rsidRPr="00C27A60">
              <w:rPr>
                <w:sz w:val="22"/>
                <w:szCs w:val="22"/>
                <w:vertAlign w:val="superscript"/>
              </w:rPr>
              <w:t>БР</w:t>
            </w:r>
            <w:r w:rsidRPr="00C27A60">
              <w:rPr>
                <w:sz w:val="22"/>
                <w:szCs w:val="22"/>
              </w:rPr>
              <w:t>w</w:t>
            </w:r>
            <w:proofErr w:type="spellEnd"/>
            <w:r w:rsidRPr="00C27A60">
              <w:rPr>
                <w:sz w:val="22"/>
                <w:szCs w:val="22"/>
              </w:rPr>
              <w:t xml:space="preserve"> + Ц </w:t>
            </w:r>
            <w:r w:rsidRPr="00C27A60">
              <w:rPr>
                <w:sz w:val="22"/>
                <w:szCs w:val="22"/>
                <w:vertAlign w:val="subscript"/>
              </w:rPr>
              <w:t>РДД ф і</w:t>
            </w:r>
            <w:r w:rsidRPr="00C27A60">
              <w:rPr>
                <w:sz w:val="22"/>
                <w:szCs w:val="22"/>
              </w:rPr>
              <w:t xml:space="preserve"> × К × </w:t>
            </w:r>
            <w:proofErr w:type="spellStart"/>
            <w:r w:rsidRPr="00C27A60">
              <w:rPr>
                <w:sz w:val="22"/>
                <w:szCs w:val="22"/>
              </w:rPr>
              <w:t>К</w:t>
            </w:r>
            <w:r w:rsidRPr="00C27A60">
              <w:rPr>
                <w:sz w:val="22"/>
                <w:szCs w:val="22"/>
                <w:vertAlign w:val="superscript"/>
              </w:rPr>
              <w:t>ДД</w:t>
            </w:r>
            <w:r w:rsidRPr="00C27A60">
              <w:rPr>
                <w:sz w:val="22"/>
                <w:szCs w:val="22"/>
              </w:rPr>
              <w:t>w</w:t>
            </w:r>
            <w:proofErr w:type="spellEnd"/>
            <w:r w:rsidRPr="00C27A60">
              <w:rPr>
                <w:sz w:val="22"/>
                <w:szCs w:val="22"/>
              </w:rPr>
              <w:t>;</w:t>
            </w:r>
          </w:p>
          <w:p w14:paraId="1A3D4C45" w14:textId="77777777" w:rsidR="00C533B1" w:rsidRPr="00C27A60" w:rsidRDefault="00C533B1" w:rsidP="00C533B1">
            <w:pPr>
              <w:rPr>
                <w:sz w:val="22"/>
                <w:szCs w:val="22"/>
              </w:rPr>
            </w:pPr>
            <w:r w:rsidRPr="00C27A60">
              <w:rPr>
                <w:sz w:val="22"/>
                <w:szCs w:val="22"/>
              </w:rPr>
              <w:t>де К</w:t>
            </w:r>
            <w:r w:rsidRPr="00C27A60">
              <w:rPr>
                <w:sz w:val="22"/>
                <w:szCs w:val="22"/>
                <w:vertAlign w:val="superscript"/>
              </w:rPr>
              <w:t>БР</w:t>
            </w:r>
            <w:r w:rsidRPr="00C27A60">
              <w:rPr>
                <w:sz w:val="22"/>
                <w:szCs w:val="22"/>
                <w:vertAlign w:val="subscript"/>
              </w:rPr>
              <w:t>W</w:t>
            </w:r>
            <w:r w:rsidRPr="00C27A60">
              <w:rPr>
                <w:sz w:val="22"/>
                <w:szCs w:val="22"/>
              </w:rPr>
              <w:t>, К</w:t>
            </w:r>
            <w:r w:rsidRPr="00C27A60">
              <w:rPr>
                <w:sz w:val="22"/>
                <w:szCs w:val="22"/>
                <w:vertAlign w:val="superscript"/>
              </w:rPr>
              <w:t>ДД</w:t>
            </w:r>
            <w:r w:rsidRPr="00C27A60">
              <w:rPr>
                <w:sz w:val="22"/>
                <w:szCs w:val="22"/>
                <w:vertAlign w:val="subscript"/>
              </w:rPr>
              <w:t>W</w:t>
            </w:r>
            <w:r w:rsidRPr="00C27A60">
              <w:rPr>
                <w:sz w:val="22"/>
                <w:szCs w:val="22"/>
              </w:rPr>
              <w:t xml:space="preserve"> та К</w:t>
            </w:r>
            <w:r w:rsidRPr="00C27A60">
              <w:rPr>
                <w:sz w:val="22"/>
                <w:szCs w:val="22"/>
                <w:vertAlign w:val="superscript"/>
              </w:rPr>
              <w:t>БР</w:t>
            </w:r>
            <w:r w:rsidRPr="00C27A60">
              <w:rPr>
                <w:sz w:val="22"/>
                <w:szCs w:val="22"/>
                <w:vertAlign w:val="subscript"/>
              </w:rPr>
              <w:t>Ц</w:t>
            </w:r>
            <w:r w:rsidRPr="00C27A60">
              <w:rPr>
                <w:sz w:val="22"/>
                <w:szCs w:val="22"/>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3CA3BCDF" w14:textId="77777777" w:rsidR="00C533B1" w:rsidRPr="00C27A60" w:rsidRDefault="00C533B1" w:rsidP="00C533B1">
            <w:pPr>
              <w:jc w:val="both"/>
              <w:rPr>
                <w:sz w:val="22"/>
                <w:szCs w:val="22"/>
              </w:rPr>
            </w:pPr>
            <w:r w:rsidRPr="00C27A60">
              <w:rPr>
                <w:b/>
                <w:sz w:val="22"/>
                <w:szCs w:val="22"/>
              </w:rPr>
              <w:t>Так, з метою перевірки ліцензованої діяльності за 2024 рік, К</w:t>
            </w:r>
            <w:r w:rsidRPr="00C27A60">
              <w:rPr>
                <w:b/>
                <w:sz w:val="22"/>
                <w:szCs w:val="22"/>
                <w:vertAlign w:val="superscript"/>
              </w:rPr>
              <w:t>БР</w:t>
            </w:r>
            <w:r w:rsidRPr="00C27A60">
              <w:rPr>
                <w:b/>
                <w:sz w:val="22"/>
                <w:szCs w:val="22"/>
                <w:vertAlign w:val="subscript"/>
              </w:rPr>
              <w:t>W</w:t>
            </w:r>
            <w:r w:rsidRPr="00C27A60">
              <w:rPr>
                <w:b/>
                <w:sz w:val="22"/>
                <w:szCs w:val="22"/>
              </w:rPr>
              <w:t>,</w:t>
            </w:r>
            <w:r w:rsidRPr="00C27A60">
              <w:rPr>
                <w:b/>
                <w:sz w:val="22"/>
                <w:szCs w:val="22"/>
                <w:vertAlign w:val="subscript"/>
              </w:rPr>
              <w:t xml:space="preserve"> </w:t>
            </w:r>
            <w:r w:rsidRPr="00C27A60">
              <w:rPr>
                <w:b/>
                <w:sz w:val="22"/>
                <w:szCs w:val="22"/>
              </w:rPr>
              <w:t>К</w:t>
            </w:r>
            <w:r w:rsidRPr="00C27A60">
              <w:rPr>
                <w:b/>
                <w:sz w:val="22"/>
                <w:szCs w:val="22"/>
                <w:vertAlign w:val="superscript"/>
              </w:rPr>
              <w:t>ДД</w:t>
            </w:r>
            <w:r w:rsidRPr="00C27A60">
              <w:rPr>
                <w:b/>
                <w:sz w:val="22"/>
                <w:szCs w:val="22"/>
                <w:vertAlign w:val="subscript"/>
              </w:rPr>
              <w:t xml:space="preserve">W </w:t>
            </w:r>
            <w:r w:rsidRPr="00C27A60">
              <w:rPr>
                <w:b/>
                <w:sz w:val="22"/>
                <w:szCs w:val="22"/>
              </w:rPr>
              <w:t>визначається на рівнях 0,1 та  0,6 відповідно.</w:t>
            </w:r>
          </w:p>
          <w:p w14:paraId="70918DA0" w14:textId="77777777" w:rsidR="00C533B1" w:rsidRPr="00C27A60" w:rsidRDefault="00C533B1" w:rsidP="00C533B1">
            <w:pPr>
              <w:spacing w:after="75"/>
              <w:ind w:firstLine="240"/>
              <w:jc w:val="both"/>
              <w:rPr>
                <w:sz w:val="22"/>
                <w:szCs w:val="22"/>
              </w:rPr>
            </w:pPr>
          </w:p>
          <w:p w14:paraId="1AF3326E" w14:textId="77777777" w:rsidR="00C533B1" w:rsidRPr="00C27A60" w:rsidRDefault="00C533B1" w:rsidP="00C533B1">
            <w:pPr>
              <w:spacing w:after="75"/>
              <w:ind w:firstLine="240"/>
              <w:jc w:val="both"/>
              <w:rPr>
                <w:sz w:val="22"/>
                <w:szCs w:val="22"/>
              </w:rPr>
            </w:pPr>
            <w:r w:rsidRPr="00C27A60">
              <w:rPr>
                <w:sz w:val="22"/>
                <w:szCs w:val="22"/>
              </w:rPr>
              <w:t>Ц</w:t>
            </w:r>
            <w:r w:rsidRPr="00C27A60">
              <w:rPr>
                <w:sz w:val="22"/>
                <w:szCs w:val="22"/>
                <w:vertAlign w:val="subscript"/>
              </w:rPr>
              <w:t>РДД ф і</w:t>
            </w:r>
            <w:r w:rsidRPr="00C27A60">
              <w:rPr>
                <w:sz w:val="22"/>
                <w:szCs w:val="22"/>
              </w:rPr>
              <w:t xml:space="preserve"> - місячний індекс базового навантаження на ринку двосторонніх договорів в і-му місяці звітного року, який </w:t>
            </w:r>
            <w:r w:rsidRPr="00C27A60">
              <w:rPr>
                <w:sz w:val="22"/>
                <w:szCs w:val="22"/>
              </w:rPr>
              <w:lastRenderedPageBreak/>
              <w:t>оприлюднюється ТОВ "Українська енергетична біржа" на його офіційному вебсайті в мережі Інтернет, грн/МВт·год;</w:t>
            </w:r>
          </w:p>
          <w:p w14:paraId="7EE270D0" w14:textId="77777777" w:rsidR="00C533B1" w:rsidRPr="00C27A60" w:rsidRDefault="00C533B1" w:rsidP="00C533B1">
            <w:pPr>
              <w:spacing w:after="75"/>
              <w:ind w:firstLine="240"/>
              <w:jc w:val="both"/>
              <w:rPr>
                <w:sz w:val="22"/>
                <w:szCs w:val="22"/>
              </w:rPr>
            </w:pPr>
            <w:r w:rsidRPr="00C27A60">
              <w:rPr>
                <w:sz w:val="22"/>
                <w:szCs w:val="22"/>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500EC702" w14:textId="77777777" w:rsidR="00C533B1" w:rsidRPr="00C27A60" w:rsidRDefault="00C533B1" w:rsidP="00C533B1">
            <w:pPr>
              <w:pStyle w:val="tj"/>
              <w:shd w:val="clear" w:color="auto" w:fill="FFFFFF"/>
              <w:spacing w:before="0" w:beforeAutospacing="0" w:after="0" w:afterAutospacing="0"/>
              <w:jc w:val="both"/>
              <w:rPr>
                <w:sz w:val="22"/>
                <w:szCs w:val="22"/>
              </w:rPr>
            </w:pPr>
            <w:r w:rsidRPr="00C27A60">
              <w:rPr>
                <w:sz w:val="22"/>
                <w:szCs w:val="22"/>
              </w:rPr>
              <w:t xml:space="preserve">К = Ц </w:t>
            </w:r>
            <w:r w:rsidRPr="00C27A60">
              <w:rPr>
                <w:sz w:val="22"/>
                <w:szCs w:val="22"/>
                <w:vertAlign w:val="subscript"/>
              </w:rPr>
              <w:t>РДН ф і</w:t>
            </w:r>
            <w:r w:rsidRPr="00C27A60">
              <w:rPr>
                <w:sz w:val="22"/>
                <w:szCs w:val="22"/>
              </w:rPr>
              <w:t xml:space="preserve"> / Ц </w:t>
            </w:r>
            <w:r w:rsidRPr="00C27A60">
              <w:rPr>
                <w:sz w:val="22"/>
                <w:szCs w:val="22"/>
                <w:vertAlign w:val="subscript"/>
              </w:rPr>
              <w:t>база і</w:t>
            </w:r>
            <w:r w:rsidRPr="00C27A60">
              <w:rPr>
                <w:sz w:val="22"/>
                <w:szCs w:val="22"/>
              </w:rPr>
              <w:t>;</w:t>
            </w:r>
          </w:p>
          <w:p w14:paraId="61F583D9" w14:textId="77777777" w:rsidR="00C533B1" w:rsidRPr="00C27A60" w:rsidRDefault="00C533B1" w:rsidP="00C533B1">
            <w:pPr>
              <w:spacing w:after="75"/>
              <w:ind w:firstLine="240"/>
              <w:jc w:val="both"/>
              <w:rPr>
                <w:sz w:val="22"/>
                <w:szCs w:val="22"/>
              </w:rPr>
            </w:pPr>
            <w:r w:rsidRPr="00C27A60">
              <w:rPr>
                <w:sz w:val="22"/>
                <w:szCs w:val="22"/>
              </w:rPr>
              <w:t xml:space="preserve">Ц </w:t>
            </w:r>
            <w:r w:rsidRPr="00C27A60">
              <w:rPr>
                <w:sz w:val="22"/>
                <w:szCs w:val="22"/>
                <w:vertAlign w:val="subscript"/>
              </w:rPr>
              <w:t>база і</w:t>
            </w:r>
            <w:r w:rsidRPr="00C27A60">
              <w:rPr>
                <w:sz w:val="22"/>
                <w:szCs w:val="22"/>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вебсайті в мережі Інтернет, грн/МВт.</w:t>
            </w:r>
          </w:p>
          <w:p w14:paraId="22CFF9CB" w14:textId="77777777" w:rsidR="00C533B1" w:rsidRPr="00C27A60" w:rsidRDefault="00C533B1" w:rsidP="00C533B1">
            <w:pPr>
              <w:spacing w:after="75"/>
              <w:ind w:firstLine="240"/>
              <w:jc w:val="both"/>
              <w:rPr>
                <w:sz w:val="22"/>
                <w:szCs w:val="22"/>
              </w:rPr>
            </w:pPr>
            <w:r w:rsidRPr="00C27A60">
              <w:rPr>
                <w:sz w:val="22"/>
                <w:szCs w:val="22"/>
              </w:rPr>
              <w:t xml:space="preserve">Якщо </w:t>
            </w:r>
            <w:r w:rsidRPr="00C27A60">
              <w:rPr>
                <w:b/>
                <w:sz w:val="22"/>
                <w:szCs w:val="22"/>
              </w:rPr>
              <w:t>порушена схема нормального режиму роботи системи розподілу / змінені обсяги розподілу / надходження / віддачі / транзиту електричної енергії тощо внаслідок введення воєнного стану та/або бойових дій в Україні та за умови, що</w:t>
            </w:r>
          </w:p>
          <w:p w14:paraId="1FAEB20C" w14:textId="77777777" w:rsidR="00C533B1" w:rsidRPr="00C27A60" w:rsidRDefault="00C533B1" w:rsidP="00C533B1">
            <w:pPr>
              <w:spacing w:after="75"/>
              <w:ind w:firstLine="240"/>
              <w:jc w:val="center"/>
              <w:rPr>
                <w:sz w:val="22"/>
                <w:szCs w:val="22"/>
              </w:rPr>
            </w:pPr>
            <w:r w:rsidRPr="00C27A60">
              <w:rPr>
                <w:sz w:val="22"/>
                <w:szCs w:val="22"/>
              </w:rPr>
              <w:t xml:space="preserve"> </w:t>
            </w:r>
          </w:p>
          <w:p w14:paraId="0BF12CE9" w14:textId="766B513A" w:rsidR="00C533B1" w:rsidRPr="00C27A60" w:rsidRDefault="00C533B1" w:rsidP="00C533B1">
            <w:pPr>
              <w:pStyle w:val="tj"/>
              <w:shd w:val="clear" w:color="auto" w:fill="FFFFFF"/>
              <w:spacing w:before="0" w:beforeAutospacing="0" w:after="0" w:afterAutospacing="0"/>
              <w:ind w:left="-108"/>
              <w:jc w:val="both"/>
              <w:rPr>
                <w:sz w:val="22"/>
                <w:szCs w:val="22"/>
              </w:rPr>
            </w:pPr>
            <w:r w:rsidRPr="00C27A60">
              <w:rPr>
                <w:noProof/>
                <w:sz w:val="22"/>
                <w:szCs w:val="22"/>
              </w:rPr>
              <w:drawing>
                <wp:inline distT="0" distB="0" distL="0" distR="0" wp14:anchorId="3A5C9193" wp14:editId="07D44BC4">
                  <wp:extent cx="2714625" cy="352425"/>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09160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14625" cy="352425"/>
                          </a:xfrm>
                          <a:prstGeom prst="rect">
                            <a:avLst/>
                          </a:prstGeom>
                          <a:noFill/>
                          <a:ln>
                            <a:noFill/>
                          </a:ln>
                        </pic:spPr>
                      </pic:pic>
                    </a:graphicData>
                  </a:graphic>
                </wp:inline>
              </w:drawing>
            </w:r>
            <w:r w:rsidRPr="00C27A60">
              <w:rPr>
                <w:sz w:val="22"/>
                <w:szCs w:val="22"/>
              </w:rPr>
              <w:t>,</w:t>
            </w:r>
          </w:p>
          <w:p w14:paraId="3E54A31D" w14:textId="77777777" w:rsidR="00C533B1" w:rsidRPr="00C27A60" w:rsidRDefault="00C533B1" w:rsidP="00C533B1">
            <w:pPr>
              <w:spacing w:after="75"/>
              <w:ind w:firstLine="240"/>
              <w:jc w:val="both"/>
              <w:rPr>
                <w:sz w:val="22"/>
                <w:szCs w:val="22"/>
              </w:rPr>
            </w:pPr>
            <w:r w:rsidRPr="00C27A60">
              <w:rPr>
                <w:sz w:val="22"/>
                <w:szCs w:val="22"/>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5002596A" w14:textId="77777777" w:rsidR="00C533B1" w:rsidRPr="00C27A60" w:rsidRDefault="00C533B1" w:rsidP="00C533B1">
            <w:pPr>
              <w:spacing w:after="75"/>
              <w:ind w:firstLine="240"/>
              <w:jc w:val="both"/>
              <w:rPr>
                <w:sz w:val="22"/>
                <w:szCs w:val="22"/>
              </w:rPr>
            </w:pPr>
            <w:r w:rsidRPr="00C27A60">
              <w:rPr>
                <w:sz w:val="22"/>
                <w:szCs w:val="22"/>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052D1519" w14:textId="77777777" w:rsidR="00C533B1" w:rsidRPr="00C27A60" w:rsidRDefault="00C533B1" w:rsidP="00C533B1">
            <w:pPr>
              <w:pStyle w:val="tj"/>
              <w:shd w:val="clear" w:color="auto" w:fill="FFFFFF"/>
              <w:spacing w:before="0" w:beforeAutospacing="0" w:after="0" w:afterAutospacing="0"/>
              <w:jc w:val="both"/>
              <w:rPr>
                <w:b/>
                <w:sz w:val="22"/>
                <w:szCs w:val="22"/>
              </w:rPr>
            </w:pPr>
          </w:p>
          <w:p w14:paraId="2D8F0E8A" w14:textId="77777777" w:rsidR="00C533B1" w:rsidRPr="00C27A60" w:rsidRDefault="00C533B1" w:rsidP="00C533B1">
            <w:pPr>
              <w:pStyle w:val="tj"/>
              <w:shd w:val="clear" w:color="auto" w:fill="FFFFFF"/>
              <w:spacing w:before="0" w:beforeAutospacing="0" w:after="0" w:afterAutospacing="0"/>
              <w:jc w:val="both"/>
              <w:rPr>
                <w:b/>
                <w:sz w:val="22"/>
                <w:szCs w:val="22"/>
              </w:rPr>
            </w:pPr>
            <w:r w:rsidRPr="00C27A60">
              <w:rPr>
                <w:b/>
                <w:sz w:val="22"/>
                <w:szCs w:val="22"/>
              </w:rPr>
              <w:t xml:space="preserve">належним чином оформлених розрахунків витрат електричної енергії за 2022 – 2024 роки згідно із фактичними схемами роботи системи розподілу / обсягами розподілу / надходження / віддачі / транзиту електричної енергії тощо за 2022 – 2024 роки (за характерними періодами роботи мережі), проведених </w:t>
            </w:r>
            <w:r w:rsidRPr="00C27A60">
              <w:rPr>
                <w:b/>
                <w:sz w:val="22"/>
                <w:szCs w:val="22"/>
              </w:rPr>
              <w:lastRenderedPageBreak/>
              <w:t>спеціалізованими підприємствами / 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2024 роках (з 2024 року за умови, що частка оціночних даних комерційного обліку, використаних у розрахунку обсягу фактичних звітних витрат, не перевищує 5 % від загального річного обсягу розподілу  електричної енергії відповідно до даних за формою звітності № 2 НКРЕКП розподіл електричної енергії).</w:t>
            </w:r>
          </w:p>
          <w:p w14:paraId="642D8F49" w14:textId="77777777" w:rsidR="00C533B1" w:rsidRPr="00C27A60" w:rsidRDefault="00C533B1" w:rsidP="00C533B1">
            <w:pPr>
              <w:pStyle w:val="tj"/>
              <w:shd w:val="clear" w:color="auto" w:fill="FFFFFF"/>
              <w:spacing w:before="0" w:beforeAutospacing="0" w:after="0" w:afterAutospacing="0"/>
              <w:jc w:val="both"/>
              <w:rPr>
                <w:b/>
                <w:sz w:val="22"/>
                <w:szCs w:val="22"/>
              </w:rPr>
            </w:pPr>
          </w:p>
          <w:p w14:paraId="42DEC47A" w14:textId="77777777" w:rsidR="00C533B1" w:rsidRPr="00C27A60" w:rsidRDefault="00C533B1" w:rsidP="00C533B1">
            <w:pPr>
              <w:pStyle w:val="tj"/>
              <w:shd w:val="clear" w:color="auto" w:fill="FFFFFF"/>
              <w:spacing w:before="0" w:beforeAutospacing="0" w:after="0" w:afterAutospacing="0"/>
              <w:jc w:val="both"/>
              <w:rPr>
                <w:b/>
                <w:bCs/>
                <w:sz w:val="22"/>
                <w:szCs w:val="22"/>
              </w:rPr>
            </w:pPr>
            <w:r w:rsidRPr="00C27A60">
              <w:rPr>
                <w:b/>
                <w:bCs/>
                <w:sz w:val="22"/>
                <w:szCs w:val="22"/>
              </w:rPr>
              <w:t>ДЛЯ АТ «ДТЕК ДОНЕЦЬКІ ЕЛЕКТРОМЕРЕЖІ»; ПАТ «ЗАПОРІЖЖЯОБЛЕНЕРГО»; АТ «ХЕРСОНОБЛЕНЕРГО» та ТОВ «ДТЕК ВИСОКОВОЛЬТНІ МЕРЕЖІ»:</w:t>
            </w:r>
          </w:p>
          <w:p w14:paraId="772457CE" w14:textId="77777777" w:rsidR="00C533B1" w:rsidRPr="00C27A60" w:rsidRDefault="00C533B1" w:rsidP="00C533B1">
            <w:pPr>
              <w:jc w:val="both"/>
              <w:rPr>
                <w:b/>
                <w:sz w:val="22"/>
                <w:szCs w:val="22"/>
              </w:rPr>
            </w:pPr>
            <w:r w:rsidRPr="00C27A60">
              <w:rPr>
                <w:b/>
                <w:sz w:val="22"/>
                <w:szCs w:val="22"/>
              </w:rPr>
              <w:t xml:space="preserve">належним чином оформлених розрахунків витрат електричної енергії за 2022 – 2024 роки згідно із фактичними схемами роботи системи розподілу / обсягами розподілу / надходження / віддачі / транзиту електричної енергії тощо за 2022 – 2024 роки (за характерними періодами роботи мережі), проведених спеціалізованими підприємствами / 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2024 роках (з 2024 року за умови, що частка оціночних даних комерційного обліку, використаних у розрахунку обсягу фактичних звітних витрат електроенергії в цілому за рік  не перевищує </w:t>
            </w:r>
            <w:r w:rsidRPr="00C27A60">
              <w:rPr>
                <w:b/>
                <w:sz w:val="22"/>
                <w:szCs w:val="22"/>
                <w:u w:val="single"/>
              </w:rPr>
              <w:t>45%</w:t>
            </w:r>
            <w:r w:rsidRPr="00C27A60">
              <w:rPr>
                <w:b/>
                <w:sz w:val="22"/>
                <w:szCs w:val="22"/>
              </w:rPr>
              <w:t xml:space="preserve"> від загального </w:t>
            </w:r>
            <w:r w:rsidRPr="00C27A60">
              <w:rPr>
                <w:b/>
                <w:sz w:val="22"/>
                <w:szCs w:val="22"/>
                <w:u w:val="single"/>
              </w:rPr>
              <w:t>річного</w:t>
            </w:r>
            <w:r w:rsidRPr="00C27A60">
              <w:rPr>
                <w:b/>
                <w:sz w:val="22"/>
                <w:szCs w:val="22"/>
              </w:rPr>
              <w:t xml:space="preserve"> обсягу </w:t>
            </w:r>
            <w:r w:rsidRPr="00C27A60">
              <w:rPr>
                <w:b/>
                <w:sz w:val="22"/>
                <w:szCs w:val="22"/>
                <w:u w:val="single"/>
              </w:rPr>
              <w:t>розподілу</w:t>
            </w:r>
            <w:r w:rsidRPr="00C27A60">
              <w:rPr>
                <w:b/>
                <w:sz w:val="22"/>
                <w:szCs w:val="22"/>
              </w:rPr>
              <w:t xml:space="preserve"> електричної енергії відповідно до даних </w:t>
            </w:r>
            <w:r w:rsidRPr="00C27A60">
              <w:rPr>
                <w:b/>
                <w:sz w:val="22"/>
                <w:szCs w:val="22"/>
              </w:rPr>
              <w:lastRenderedPageBreak/>
              <w:t xml:space="preserve">відповідно до даних за формою звітності № 2 НКРЕКП розподіл електричної енергії). </w:t>
            </w:r>
          </w:p>
          <w:p w14:paraId="484971B9" w14:textId="77777777" w:rsidR="00C533B1" w:rsidRPr="00C27A60" w:rsidRDefault="00C533B1" w:rsidP="00C533B1">
            <w:pPr>
              <w:spacing w:after="75"/>
              <w:ind w:firstLine="240"/>
              <w:jc w:val="both"/>
              <w:rPr>
                <w:b/>
                <w:sz w:val="22"/>
                <w:szCs w:val="22"/>
              </w:rPr>
            </w:pPr>
            <w:r w:rsidRPr="00C27A60">
              <w:rPr>
                <w:b/>
                <w:sz w:val="22"/>
                <w:szCs w:val="22"/>
              </w:rPr>
              <w:t xml:space="preserve">ДТВЕ </w:t>
            </w:r>
            <w:proofErr w:type="spellStart"/>
            <w:r w:rsidRPr="00C27A60">
              <w:rPr>
                <w:b/>
                <w:sz w:val="22"/>
                <w:szCs w:val="22"/>
              </w:rPr>
              <w:t>нф</w:t>
            </w:r>
            <w:proofErr w:type="spellEnd"/>
            <w:r w:rsidRPr="00C27A60">
              <w:rPr>
                <w:b/>
                <w:sz w:val="22"/>
                <w:szCs w:val="22"/>
              </w:rPr>
              <w:t xml:space="preserve"> і за 2022 – 2024 роки визначається за формулою</w:t>
            </w:r>
          </w:p>
          <w:p w14:paraId="449C91A9" w14:textId="77777777" w:rsidR="00C533B1" w:rsidRPr="00C27A60" w:rsidRDefault="00C533B1" w:rsidP="00C533B1">
            <w:pPr>
              <w:rPr>
                <w:b/>
                <w:sz w:val="22"/>
                <w:szCs w:val="22"/>
              </w:rPr>
            </w:pPr>
            <w:r w:rsidRPr="00C27A60">
              <w:rPr>
                <w:b/>
                <w:sz w:val="22"/>
                <w:szCs w:val="22"/>
              </w:rPr>
              <w:t xml:space="preserve">ДТВЕ </w:t>
            </w:r>
            <w:proofErr w:type="spellStart"/>
            <w:r w:rsidRPr="00C27A60">
              <w:rPr>
                <w:b/>
                <w:sz w:val="22"/>
                <w:szCs w:val="22"/>
              </w:rPr>
              <w:t>нф</w:t>
            </w:r>
            <w:proofErr w:type="spellEnd"/>
            <w:r w:rsidRPr="00C27A60">
              <w:rPr>
                <w:b/>
                <w:sz w:val="22"/>
                <w:szCs w:val="22"/>
              </w:rPr>
              <w:t xml:space="preserve"> і = (ОТВЕ ф і – ОТВЕ он і) x ЦТВЕ і,</w:t>
            </w:r>
          </w:p>
          <w:p w14:paraId="458CD6DD" w14:textId="77777777" w:rsidR="00C533B1" w:rsidRPr="00C27A60" w:rsidRDefault="00C533B1" w:rsidP="00C533B1">
            <w:pPr>
              <w:ind w:firstLine="308"/>
              <w:jc w:val="both"/>
              <w:rPr>
                <w:sz w:val="22"/>
                <w:szCs w:val="22"/>
              </w:rPr>
            </w:pPr>
            <w:r w:rsidRPr="00C27A60">
              <w:rPr>
                <w:sz w:val="22"/>
                <w:szCs w:val="22"/>
              </w:rPr>
              <w:t>де О</w:t>
            </w:r>
            <w:r w:rsidRPr="00C27A60">
              <w:rPr>
                <w:sz w:val="22"/>
                <w:szCs w:val="22"/>
                <w:vertAlign w:val="subscript"/>
              </w:rPr>
              <w:t>ТВЕ ф і</w:t>
            </w:r>
            <w:r w:rsidRPr="00C27A60">
              <w:rPr>
                <w:sz w:val="22"/>
                <w:szCs w:val="22"/>
              </w:rPr>
              <w:t xml:space="preserve"> - фактичний обсяг технологічних витрат електричної енергії на її розподіл в і-му місяці звітного року, МВт·год;</w:t>
            </w:r>
          </w:p>
          <w:p w14:paraId="1DC4B2DE" w14:textId="77777777" w:rsidR="00C533B1" w:rsidRPr="00C27A60" w:rsidRDefault="00C533B1" w:rsidP="00C533B1">
            <w:pPr>
              <w:rPr>
                <w:b/>
                <w:sz w:val="22"/>
                <w:szCs w:val="22"/>
                <w:shd w:val="clear" w:color="auto" w:fill="FFFFFF"/>
              </w:rPr>
            </w:pPr>
            <w:r w:rsidRPr="00C27A60">
              <w:rPr>
                <w:b/>
                <w:sz w:val="22"/>
                <w:szCs w:val="22"/>
                <w:shd w:val="clear" w:color="auto" w:fill="FFFFFF"/>
              </w:rPr>
              <w:t>ОТВЕ он і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 / надходження / віддачі / транзиту електричної енергії тощо внаслідок введення воєнного стану та/або бойових дій в Україні, в і-му місяці звітного року, МВт·год</w:t>
            </w:r>
          </w:p>
          <w:p w14:paraId="34851F3E" w14:textId="77777777" w:rsidR="00C533B1" w:rsidRPr="00C27A60" w:rsidRDefault="00C533B1" w:rsidP="00C533B1">
            <w:pPr>
              <w:rPr>
                <w:i/>
                <w:sz w:val="22"/>
                <w:szCs w:val="22"/>
              </w:rPr>
            </w:pPr>
          </w:p>
          <w:p w14:paraId="325E059B" w14:textId="77777777" w:rsidR="00C533B1" w:rsidRPr="00C27A60" w:rsidRDefault="00C533B1" w:rsidP="00C533B1">
            <w:pPr>
              <w:rPr>
                <w:i/>
                <w:sz w:val="22"/>
                <w:szCs w:val="22"/>
              </w:rPr>
            </w:pPr>
            <w:r w:rsidRPr="00C27A60">
              <w:rPr>
                <w:i/>
                <w:sz w:val="22"/>
                <w:szCs w:val="22"/>
              </w:rPr>
              <w:t>ОБРГРУНТУВАННЯ:</w:t>
            </w:r>
          </w:p>
          <w:p w14:paraId="033B4DE3" w14:textId="77777777" w:rsidR="00C533B1" w:rsidRPr="00C27A60" w:rsidRDefault="00C533B1" w:rsidP="00C533B1">
            <w:pPr>
              <w:rPr>
                <w:i/>
                <w:sz w:val="22"/>
                <w:szCs w:val="22"/>
              </w:rPr>
            </w:pPr>
          </w:p>
          <w:p w14:paraId="1A6BD6E5" w14:textId="77777777" w:rsidR="00C533B1" w:rsidRPr="00C27A60" w:rsidRDefault="00C533B1" w:rsidP="00C533B1">
            <w:pPr>
              <w:spacing w:after="160" w:line="256" w:lineRule="auto"/>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З огляду на обмежені можливості придбання необхідних обсягів ТВЕ  на біржі за визначеним НКРЕКП тарифним індикативом ціни у 2024 році пропонуємо врахувати частки закупівлі ТВЕ на відповідних сегментах ринку: 60% РДД, 30% РДН, 10% БР.</w:t>
            </w:r>
          </w:p>
          <w:p w14:paraId="4DA841C0" w14:textId="77777777" w:rsidR="00C533B1" w:rsidRPr="00C27A60" w:rsidRDefault="00C533B1" w:rsidP="00C533B1">
            <w:pPr>
              <w:spacing w:after="160" w:line="256" w:lineRule="auto"/>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Відповідно до вимог кодексу</w:t>
            </w:r>
            <w:r w:rsidRPr="00C27A60">
              <w:rPr>
                <w:rFonts w:eastAsia="Calibri"/>
                <w:kern w:val="2"/>
                <w:sz w:val="22"/>
                <w:szCs w:val="22"/>
                <w:lang w:eastAsia="en-US"/>
                <w14:ligatures w14:val="standardContextual"/>
              </w:rPr>
              <w:br/>
              <w:t xml:space="preserve">комерційного обліку електричної енергії (п.6.5.1) ОСР зобов’язаний здійснювати зчитування даних з лічильників електричної енергії не рідше одного разу на </w:t>
            </w:r>
            <w:r w:rsidRPr="00C27A60">
              <w:rPr>
                <w:rFonts w:eastAsia="Calibri"/>
                <w:b/>
                <w:bCs/>
                <w:kern w:val="2"/>
                <w:sz w:val="22"/>
                <w:szCs w:val="22"/>
                <w:lang w:eastAsia="en-US"/>
                <w14:ligatures w14:val="standardContextual"/>
              </w:rPr>
              <w:t>шість</w:t>
            </w:r>
            <w:r w:rsidRPr="00C27A60">
              <w:rPr>
                <w:rFonts w:eastAsia="Calibri"/>
                <w:kern w:val="2"/>
                <w:sz w:val="22"/>
                <w:szCs w:val="22"/>
                <w:lang w:eastAsia="en-US"/>
                <w14:ligatures w14:val="standardContextual"/>
              </w:rPr>
              <w:t xml:space="preserve"> місяців. З урахуванням цієї вимоги, пропонується врахування 5% (частка оціночних даних комерційного обліку) від загального річного обсягу розподілу.</w:t>
            </w:r>
          </w:p>
          <w:p w14:paraId="57A0B6C4" w14:textId="77777777" w:rsidR="00C533B1" w:rsidRPr="00C27A60" w:rsidRDefault="00C533B1" w:rsidP="00C533B1">
            <w:pPr>
              <w:spacing w:after="160" w:line="256" w:lineRule="auto"/>
              <w:jc w:val="both"/>
              <w:rPr>
                <w:rFonts w:eastAsia="Calibri"/>
                <w:kern w:val="2"/>
                <w:sz w:val="22"/>
                <w:szCs w:val="22"/>
                <w:lang w:eastAsia="en-US"/>
                <w14:ligatures w14:val="standardContextual"/>
              </w:rPr>
            </w:pPr>
          </w:p>
          <w:p w14:paraId="02D2D017" w14:textId="55F69F73" w:rsidR="00C533B1" w:rsidRPr="00C27A60" w:rsidRDefault="00C533B1" w:rsidP="00C533B1">
            <w:pPr>
              <w:rPr>
                <w:rFonts w:eastAsia="Calibri"/>
                <w:sz w:val="22"/>
                <w:szCs w:val="22"/>
                <w:lang w:eastAsia="en-US"/>
              </w:rPr>
            </w:pPr>
            <w:r w:rsidRPr="00C27A60">
              <w:rPr>
                <w:rFonts w:eastAsia="Calibri"/>
                <w:sz w:val="22"/>
                <w:szCs w:val="22"/>
                <w:lang w:eastAsia="en-US"/>
              </w:rPr>
              <w:t xml:space="preserve">З урахуванням вкрай важких умов роботи зазначених ОСР та обумовлених цим складнощами у реалізації вимог </w:t>
            </w:r>
            <w:r w:rsidRPr="00C27A60">
              <w:rPr>
                <w:rFonts w:eastAsia="Calibri"/>
                <w:sz w:val="22"/>
                <w:szCs w:val="22"/>
                <w:lang w:eastAsia="en-US"/>
              </w:rPr>
              <w:lastRenderedPageBreak/>
              <w:t>кодексу</w:t>
            </w:r>
            <w:r w:rsidRPr="00C27A60">
              <w:rPr>
                <w:rFonts w:eastAsia="Calibri"/>
                <w:sz w:val="22"/>
                <w:szCs w:val="22"/>
                <w:lang w:eastAsia="en-US"/>
              </w:rPr>
              <w:br/>
              <w:t>комерційного обліку електричної енергії (п.6.5.1) на територіях діяльності вказаних підприємств пропонуємо застосувати частку оціночних даних актуальну для таких умов.</w:t>
            </w:r>
          </w:p>
          <w:p w14:paraId="714FE49A" w14:textId="2101E261" w:rsidR="00C533B1" w:rsidRPr="00C27A60" w:rsidRDefault="00C533B1" w:rsidP="00C533B1">
            <w:pPr>
              <w:rPr>
                <w:rFonts w:eastAsia="Calibri"/>
                <w:sz w:val="22"/>
                <w:szCs w:val="22"/>
                <w:lang w:eastAsia="en-US"/>
              </w:rPr>
            </w:pPr>
          </w:p>
          <w:p w14:paraId="60567595" w14:textId="77186AF5" w:rsidR="00C533B1" w:rsidRPr="00C27A60" w:rsidRDefault="00C533B1" w:rsidP="00C533B1">
            <w:pPr>
              <w:rPr>
                <w:rFonts w:eastAsia="Calibri"/>
                <w:i/>
                <w:sz w:val="22"/>
                <w:szCs w:val="22"/>
                <w:lang w:eastAsia="en-US"/>
              </w:rPr>
            </w:pPr>
            <w:r w:rsidRPr="00C27A60">
              <w:rPr>
                <w:rFonts w:eastAsia="Calibri"/>
                <w:i/>
                <w:sz w:val="22"/>
                <w:szCs w:val="22"/>
                <w:lang w:eastAsia="en-US"/>
              </w:rPr>
              <w:t>АТ «ДТЕК ДНІПРОВСЬКІ ЕЛЕКТРОМЕРЕЖІ»</w:t>
            </w:r>
          </w:p>
          <w:p w14:paraId="7ECC3C80" w14:textId="7C39F24F" w:rsidR="00C533B1" w:rsidRPr="00C27A60" w:rsidRDefault="00C533B1" w:rsidP="00C533B1">
            <w:pPr>
              <w:rPr>
                <w:rFonts w:eastAsia="Calibri"/>
                <w:sz w:val="22"/>
                <w:szCs w:val="22"/>
                <w:lang w:eastAsia="en-US"/>
              </w:rPr>
            </w:pPr>
          </w:p>
          <w:p w14:paraId="64C0FDE1"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C27A60">
              <w:rPr>
                <w:rFonts w:eastAsia="Calibri"/>
                <w:noProof/>
                <w:kern w:val="2"/>
                <w:sz w:val="22"/>
                <w:szCs w:val="22"/>
                <w:lang w:eastAsia="en-US"/>
                <w14:ligatures w14:val="standardContextual"/>
              </w:rPr>
              <w:drawing>
                <wp:inline distT="0" distB="0" distL="0" distR="0" wp14:anchorId="41A1F143" wp14:editId="7CB16496">
                  <wp:extent cx="581025" cy="257175"/>
                  <wp:effectExtent l="0" t="0" r="9525" b="9525"/>
                  <wp:docPr id="1763749573" name="Рисунок 1763749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Pr="00C27A60">
              <w:rPr>
                <w:rFonts w:eastAsia="Calibri"/>
                <w:kern w:val="2"/>
                <w:sz w:val="22"/>
                <w:szCs w:val="22"/>
                <w:lang w:eastAsia="en-US"/>
                <w14:ligatures w14:val="standardContextual"/>
              </w:rPr>
              <w:t>, тис. грн, що визначається за формулою</w:t>
            </w:r>
          </w:p>
          <w:tbl>
            <w:tblPr>
              <w:tblW w:w="5580" w:type="dxa"/>
              <w:tblLayout w:type="fixed"/>
              <w:tblLook w:val="04A0" w:firstRow="1" w:lastRow="0" w:firstColumn="1" w:lastColumn="0" w:noHBand="0" w:noVBand="1"/>
            </w:tblPr>
            <w:tblGrid>
              <w:gridCol w:w="4691"/>
              <w:gridCol w:w="889"/>
            </w:tblGrid>
            <w:tr w:rsidR="00C27A60" w:rsidRPr="00C27A60" w14:paraId="6A5E8A6B" w14:textId="77777777" w:rsidTr="00436F83">
              <w:trPr>
                <w:trHeight w:val="32"/>
              </w:trPr>
              <w:tc>
                <w:tcPr>
                  <w:tcW w:w="4691" w:type="dxa"/>
                  <w:vAlign w:val="center"/>
                  <w:hideMark/>
                </w:tcPr>
                <w:p w14:paraId="5AD87B07" w14:textId="77777777" w:rsidR="00C533B1" w:rsidRPr="00C27A60" w:rsidRDefault="00C533B1" w:rsidP="00C533B1">
                  <w:pPr>
                    <w:spacing w:after="75" w:line="259" w:lineRule="auto"/>
                    <w:rPr>
                      <w:rFonts w:eastAsia="Calibri"/>
                      <w:kern w:val="2"/>
                      <w:sz w:val="22"/>
                      <w:szCs w:val="22"/>
                      <w:lang w:eastAsia="en-US"/>
                      <w14:ligatures w14:val="standardContextual"/>
                    </w:rPr>
                  </w:pPr>
                  <w:r w:rsidRPr="00C27A60">
                    <w:rPr>
                      <w:rFonts w:eastAsia="Calibri"/>
                      <w:noProof/>
                      <w:kern w:val="2"/>
                      <w:sz w:val="22"/>
                      <w:szCs w:val="22"/>
                      <w:lang w:eastAsia="en-US"/>
                      <w14:ligatures w14:val="standardContextual"/>
                    </w:rPr>
                    <w:drawing>
                      <wp:inline distT="0" distB="0" distL="0" distR="0" wp14:anchorId="3C6CD91C" wp14:editId="36D1E283">
                        <wp:extent cx="2665007" cy="463821"/>
                        <wp:effectExtent l="0" t="0" r="2540" b="0"/>
                        <wp:docPr id="1966474070" name="Рисунок 1966474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71072" cy="464877"/>
                                </a:xfrm>
                                <a:prstGeom prst="rect">
                                  <a:avLst/>
                                </a:prstGeom>
                                <a:noFill/>
                                <a:ln>
                                  <a:noFill/>
                                </a:ln>
                              </pic:spPr>
                            </pic:pic>
                          </a:graphicData>
                        </a:graphic>
                      </wp:inline>
                    </w:drawing>
                  </w:r>
                </w:p>
              </w:tc>
              <w:tc>
                <w:tcPr>
                  <w:tcW w:w="889" w:type="dxa"/>
                  <w:vAlign w:val="center"/>
                  <w:hideMark/>
                </w:tcPr>
                <w:p w14:paraId="3DF490A9" w14:textId="77777777" w:rsidR="00C533B1" w:rsidRPr="00C27A60" w:rsidRDefault="00C533B1" w:rsidP="00C533B1">
                  <w:pPr>
                    <w:spacing w:after="75" w:line="259" w:lineRule="auto"/>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w:t>
                  </w:r>
                </w:p>
              </w:tc>
            </w:tr>
          </w:tbl>
          <w:p w14:paraId="47F121B5"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де i - місяць,</w:t>
            </w:r>
          </w:p>
          <w:p w14:paraId="08A6F9BE"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n - кількість місяців,</w:t>
            </w:r>
          </w:p>
          <w:p w14:paraId="08C7B176"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w:t>
            </w:r>
            <w:r w:rsidRPr="00C27A60">
              <w:rPr>
                <w:rFonts w:eastAsia="Calibri"/>
                <w:kern w:val="2"/>
                <w:sz w:val="22"/>
                <w:szCs w:val="22"/>
                <w:vertAlign w:val="subscript"/>
                <w:lang w:eastAsia="en-US"/>
                <w14:ligatures w14:val="standardContextual"/>
              </w:rPr>
              <w:t>ТВЕ т</w:t>
            </w:r>
            <w:r w:rsidRPr="00C27A60">
              <w:rPr>
                <w:rFonts w:eastAsia="Calibri"/>
                <w:kern w:val="2"/>
                <w:sz w:val="22"/>
                <w:szCs w:val="22"/>
                <w:lang w:eastAsia="en-US"/>
                <w14:ligatures w14:val="standardContextual"/>
              </w:rPr>
              <w:t xml:space="preserve"> - вартість технологічних витрат електричної енергії, урахована в тарифі на звітний рік, тис. грн,</w:t>
            </w:r>
          </w:p>
          <w:p w14:paraId="6FEFC19F" w14:textId="77777777" w:rsidR="00C533B1" w:rsidRPr="00C27A60" w:rsidRDefault="00C533B1" w:rsidP="00C533B1">
            <w:pPr>
              <w:shd w:val="clear" w:color="auto" w:fill="FFFFFF"/>
              <w:jc w:val="both"/>
              <w:rPr>
                <w:sz w:val="22"/>
                <w:szCs w:val="22"/>
                <w:lang w:eastAsia="uk-UA"/>
              </w:rPr>
            </w:pPr>
            <w:r w:rsidRPr="00C27A60">
              <w:rPr>
                <w:sz w:val="22"/>
                <w:szCs w:val="22"/>
                <w:lang w:eastAsia="uk-UA"/>
              </w:rPr>
              <w:t>Д</w:t>
            </w:r>
            <w:r w:rsidRPr="00C27A60">
              <w:rPr>
                <w:sz w:val="22"/>
                <w:szCs w:val="22"/>
                <w:vertAlign w:val="subscript"/>
                <w:lang w:eastAsia="uk-UA"/>
              </w:rPr>
              <w:t xml:space="preserve">ТВЕ </w:t>
            </w:r>
            <w:proofErr w:type="spellStart"/>
            <w:r w:rsidRPr="00C27A60">
              <w:rPr>
                <w:sz w:val="22"/>
                <w:szCs w:val="22"/>
                <w:vertAlign w:val="subscript"/>
                <w:lang w:eastAsia="uk-UA"/>
              </w:rPr>
              <w:t>нф</w:t>
            </w:r>
            <w:proofErr w:type="spellEnd"/>
            <w:r w:rsidRPr="00C27A60">
              <w:rPr>
                <w:sz w:val="22"/>
                <w:szCs w:val="22"/>
                <w:vertAlign w:val="subscript"/>
                <w:lang w:eastAsia="uk-UA"/>
              </w:rPr>
              <w:t xml:space="preserve"> i</w:t>
            </w:r>
            <w:r w:rsidRPr="00C27A60">
              <w:rPr>
                <w:sz w:val="22"/>
                <w:szCs w:val="22"/>
                <w:lang w:eastAsia="uk-UA"/>
              </w:rPr>
              <w:t xml:space="preserve">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p>
          <w:p w14:paraId="5BE3F515" w14:textId="77777777" w:rsidR="00C533B1" w:rsidRPr="00C27A60" w:rsidRDefault="00C533B1" w:rsidP="00C533B1">
            <w:pPr>
              <w:spacing w:after="75" w:line="259" w:lineRule="auto"/>
              <w:ind w:firstLine="240"/>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w:t>
            </w:r>
            <w:r w:rsidRPr="00C27A60">
              <w:rPr>
                <w:rFonts w:eastAsia="Calibri"/>
                <w:kern w:val="2"/>
                <w:sz w:val="22"/>
                <w:szCs w:val="22"/>
                <w:vertAlign w:val="subscript"/>
                <w:lang w:eastAsia="en-US"/>
                <w14:ligatures w14:val="standardContextual"/>
              </w:rPr>
              <w:t xml:space="preserve">ТВЕ </w:t>
            </w:r>
            <w:proofErr w:type="spellStart"/>
            <w:r w:rsidRPr="00C27A60">
              <w:rPr>
                <w:rFonts w:eastAsia="Calibri"/>
                <w:kern w:val="2"/>
                <w:sz w:val="22"/>
                <w:szCs w:val="22"/>
                <w:vertAlign w:val="subscript"/>
                <w:lang w:eastAsia="en-US"/>
                <w14:ligatures w14:val="standardContextual"/>
              </w:rPr>
              <w:t>нф</w:t>
            </w:r>
            <w:proofErr w:type="spellEnd"/>
            <w:r w:rsidRPr="00C27A60">
              <w:rPr>
                <w:rFonts w:eastAsia="Calibri"/>
                <w:kern w:val="2"/>
                <w:sz w:val="22"/>
                <w:szCs w:val="22"/>
                <w:vertAlign w:val="subscript"/>
                <w:lang w:eastAsia="en-US"/>
                <w14:ligatures w14:val="standardContextual"/>
              </w:rPr>
              <w:t xml:space="preserve"> і</w:t>
            </w:r>
            <w:r w:rsidRPr="00C27A60">
              <w:rPr>
                <w:rFonts w:eastAsia="Calibri"/>
                <w:kern w:val="2"/>
                <w:sz w:val="22"/>
                <w:szCs w:val="22"/>
                <w:lang w:eastAsia="en-US"/>
                <w14:ligatures w14:val="standardContextual"/>
              </w:rPr>
              <w:t xml:space="preserve"> = О</w:t>
            </w:r>
            <w:r w:rsidRPr="00C27A60">
              <w:rPr>
                <w:rFonts w:eastAsia="Calibri"/>
                <w:kern w:val="2"/>
                <w:sz w:val="22"/>
                <w:szCs w:val="22"/>
                <w:vertAlign w:val="subscript"/>
                <w:lang w:eastAsia="en-US"/>
                <w14:ligatures w14:val="standardContextual"/>
              </w:rPr>
              <w:t xml:space="preserve">ТВЕ </w:t>
            </w:r>
            <w:proofErr w:type="spellStart"/>
            <w:r w:rsidRPr="00C27A60">
              <w:rPr>
                <w:rFonts w:eastAsia="Calibri"/>
                <w:kern w:val="2"/>
                <w:sz w:val="22"/>
                <w:szCs w:val="22"/>
                <w:vertAlign w:val="subscript"/>
                <w:lang w:eastAsia="en-US"/>
                <w14:ligatures w14:val="standardContextual"/>
              </w:rPr>
              <w:t>нф</w:t>
            </w:r>
            <w:proofErr w:type="spellEnd"/>
            <w:r w:rsidRPr="00C27A60">
              <w:rPr>
                <w:rFonts w:eastAsia="Calibri"/>
                <w:kern w:val="2"/>
                <w:sz w:val="22"/>
                <w:szCs w:val="22"/>
                <w:vertAlign w:val="subscript"/>
                <w:lang w:eastAsia="en-US"/>
                <w14:ligatures w14:val="standardContextual"/>
              </w:rPr>
              <w:t xml:space="preserve"> i</w:t>
            </w:r>
            <w:r w:rsidRPr="00C27A60">
              <w:rPr>
                <w:rFonts w:eastAsia="Calibri"/>
                <w:kern w:val="2"/>
                <w:sz w:val="22"/>
                <w:szCs w:val="22"/>
                <w:lang w:eastAsia="en-US"/>
                <w14:ligatures w14:val="standardContextual"/>
              </w:rPr>
              <w:t xml:space="preserve"> × Ц</w:t>
            </w:r>
            <w:r w:rsidRPr="00C27A60">
              <w:rPr>
                <w:rFonts w:eastAsia="Calibri"/>
                <w:kern w:val="2"/>
                <w:sz w:val="22"/>
                <w:szCs w:val="22"/>
                <w:vertAlign w:val="subscript"/>
                <w:lang w:eastAsia="en-US"/>
                <w14:ligatures w14:val="standardContextual"/>
              </w:rPr>
              <w:t>ТВЕ i</w:t>
            </w:r>
            <w:r w:rsidRPr="00C27A60">
              <w:rPr>
                <w:rFonts w:eastAsia="Calibri"/>
                <w:kern w:val="2"/>
                <w:sz w:val="22"/>
                <w:szCs w:val="22"/>
                <w:lang w:eastAsia="en-US"/>
                <w14:ligatures w14:val="standardContextual"/>
              </w:rPr>
              <w:t xml:space="preserve"> ,</w:t>
            </w:r>
          </w:p>
          <w:p w14:paraId="533E1E70"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де О</w:t>
            </w:r>
            <w:r w:rsidRPr="00C27A60">
              <w:rPr>
                <w:rFonts w:eastAsia="Calibri"/>
                <w:kern w:val="2"/>
                <w:sz w:val="22"/>
                <w:szCs w:val="22"/>
                <w:vertAlign w:val="subscript"/>
                <w:lang w:eastAsia="en-US"/>
                <w14:ligatures w14:val="standardContextual"/>
              </w:rPr>
              <w:t xml:space="preserve">ТВЕ </w:t>
            </w:r>
            <w:proofErr w:type="spellStart"/>
            <w:r w:rsidRPr="00C27A60">
              <w:rPr>
                <w:rFonts w:eastAsia="Calibri"/>
                <w:kern w:val="2"/>
                <w:sz w:val="22"/>
                <w:szCs w:val="22"/>
                <w:vertAlign w:val="subscript"/>
                <w:lang w:eastAsia="en-US"/>
                <w14:ligatures w14:val="standardContextual"/>
              </w:rPr>
              <w:t>нф</w:t>
            </w:r>
            <w:proofErr w:type="spellEnd"/>
            <w:r w:rsidRPr="00C27A60">
              <w:rPr>
                <w:rFonts w:eastAsia="Calibri"/>
                <w:kern w:val="2"/>
                <w:sz w:val="22"/>
                <w:szCs w:val="22"/>
                <w:vertAlign w:val="subscript"/>
                <w:lang w:eastAsia="en-US"/>
                <w14:ligatures w14:val="standardContextual"/>
              </w:rPr>
              <w:t xml:space="preserve"> i</w:t>
            </w:r>
            <w:r w:rsidRPr="00C27A60">
              <w:rPr>
                <w:rFonts w:eastAsia="Calibri"/>
                <w:kern w:val="2"/>
                <w:sz w:val="22"/>
                <w:szCs w:val="22"/>
                <w:lang w:eastAsia="en-US"/>
                <w14:ligatures w14:val="standardContextual"/>
              </w:rPr>
              <w:t xml:space="preserve"> - нормативно-фактичний обсяг технологічних витрат електричної енергії на її розподіл на 1 та 2 класах напруги, в і-му місяці звітного року, МВт·год, що розраховується за формулою</w:t>
            </w:r>
          </w:p>
          <w:tbl>
            <w:tblPr>
              <w:tblW w:w="5640" w:type="dxa"/>
              <w:tblLayout w:type="fixed"/>
              <w:tblLook w:val="04A0" w:firstRow="1" w:lastRow="0" w:firstColumn="1" w:lastColumn="0" w:noHBand="0" w:noVBand="1"/>
            </w:tblPr>
            <w:tblGrid>
              <w:gridCol w:w="5202"/>
              <w:gridCol w:w="438"/>
            </w:tblGrid>
            <w:tr w:rsidR="00C27A60" w:rsidRPr="00C27A60" w14:paraId="10E64F0E" w14:textId="77777777" w:rsidTr="00436F83">
              <w:trPr>
                <w:trHeight w:val="35"/>
              </w:trPr>
              <w:tc>
                <w:tcPr>
                  <w:tcW w:w="5202" w:type="dxa"/>
                  <w:vAlign w:val="center"/>
                  <w:hideMark/>
                </w:tcPr>
                <w:p w14:paraId="1122998A" w14:textId="77777777" w:rsidR="00C533B1" w:rsidRPr="00C27A60" w:rsidRDefault="00C533B1" w:rsidP="00C533B1">
                  <w:pPr>
                    <w:spacing w:after="75" w:line="259" w:lineRule="auto"/>
                    <w:rPr>
                      <w:rFonts w:eastAsia="Calibri"/>
                      <w:kern w:val="2"/>
                      <w:sz w:val="22"/>
                      <w:szCs w:val="22"/>
                      <w:lang w:eastAsia="en-US"/>
                      <w14:ligatures w14:val="standardContextual"/>
                    </w:rPr>
                  </w:pPr>
                  <w:r w:rsidRPr="00C27A60">
                    <w:rPr>
                      <w:rFonts w:eastAsia="Calibri"/>
                      <w:noProof/>
                      <w:kern w:val="2"/>
                      <w:sz w:val="22"/>
                      <w:szCs w:val="22"/>
                      <w:lang w:eastAsia="en-US"/>
                      <w14:ligatures w14:val="standardContextual"/>
                    </w:rPr>
                    <w:drawing>
                      <wp:inline distT="0" distB="0" distL="0" distR="0" wp14:anchorId="2CEB7F2D" wp14:editId="617AB50A">
                        <wp:extent cx="2721935" cy="266095"/>
                        <wp:effectExtent l="0" t="0" r="2540" b="635"/>
                        <wp:docPr id="56479021" name="Рисунок 56479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472" cy="279345"/>
                                </a:xfrm>
                                <a:prstGeom prst="rect">
                                  <a:avLst/>
                                </a:prstGeom>
                                <a:noFill/>
                                <a:ln>
                                  <a:noFill/>
                                </a:ln>
                              </pic:spPr>
                            </pic:pic>
                          </a:graphicData>
                        </a:graphic>
                      </wp:inline>
                    </w:drawing>
                  </w:r>
                </w:p>
              </w:tc>
              <w:tc>
                <w:tcPr>
                  <w:tcW w:w="438" w:type="dxa"/>
                  <w:vAlign w:val="center"/>
                  <w:hideMark/>
                </w:tcPr>
                <w:p w14:paraId="7768F75B" w14:textId="77777777" w:rsidR="00C533B1" w:rsidRPr="00C27A60" w:rsidRDefault="00C533B1" w:rsidP="00C533B1">
                  <w:pPr>
                    <w:spacing w:after="75" w:line="259" w:lineRule="auto"/>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w:t>
                  </w:r>
                </w:p>
              </w:tc>
            </w:tr>
          </w:tbl>
          <w:p w14:paraId="6E737C43"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де </w:t>
            </w:r>
            <w:r w:rsidRPr="00C27A60">
              <w:rPr>
                <w:rFonts w:eastAsia="Calibri"/>
                <w:i/>
                <w:kern w:val="2"/>
                <w:sz w:val="22"/>
                <w:szCs w:val="22"/>
                <w:lang w:eastAsia="en-US"/>
                <w14:ligatures w14:val="standardContextual"/>
              </w:rPr>
              <w:t>W</w:t>
            </w:r>
            <w:r w:rsidRPr="00C27A60">
              <w:rPr>
                <w:rFonts w:eastAsia="Calibri"/>
                <w:kern w:val="2"/>
                <w:sz w:val="22"/>
                <w:szCs w:val="22"/>
                <w:vertAlign w:val="subscript"/>
                <w:lang w:eastAsia="en-US"/>
                <w14:ligatures w14:val="standardContextual"/>
              </w:rPr>
              <w:t>1 i</w:t>
            </w:r>
            <w:r w:rsidRPr="00C27A60">
              <w:rPr>
                <w:rFonts w:eastAsia="Calibri"/>
                <w:kern w:val="2"/>
                <w:sz w:val="22"/>
                <w:szCs w:val="22"/>
                <w:lang w:eastAsia="en-US"/>
                <w14:ligatures w14:val="standardContextual"/>
              </w:rPr>
              <w:t xml:space="preserve"> , - фактичний обсяг корисного відпуску електричної енергії споживачам на 1 класі напруги у і-му місяці звітного року, МВт·год;</w:t>
            </w:r>
          </w:p>
          <w:p w14:paraId="5F730EAC"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i/>
                <w:kern w:val="2"/>
                <w:sz w:val="22"/>
                <w:szCs w:val="22"/>
                <w:lang w:eastAsia="en-US"/>
                <w14:ligatures w14:val="standardContextual"/>
              </w:rPr>
              <w:lastRenderedPageBreak/>
              <w:t>W</w:t>
            </w:r>
            <w:r w:rsidRPr="00C27A60">
              <w:rPr>
                <w:rFonts w:eastAsia="Calibri"/>
                <w:kern w:val="2"/>
                <w:sz w:val="22"/>
                <w:szCs w:val="22"/>
                <w:vertAlign w:val="subscript"/>
                <w:lang w:eastAsia="en-US"/>
                <w14:ligatures w14:val="standardContextual"/>
              </w:rPr>
              <w:t>2 i</w:t>
            </w:r>
            <w:r w:rsidRPr="00C27A60">
              <w:rPr>
                <w:rFonts w:eastAsia="Calibri"/>
                <w:kern w:val="2"/>
                <w:sz w:val="22"/>
                <w:szCs w:val="22"/>
                <w:lang w:eastAsia="en-US"/>
                <w14:ligatures w14:val="standardContextual"/>
              </w:rPr>
              <w:t xml:space="preserve"> - фактичний обсяг розподілу електричної енергії споживачам на 2 класі напруги в і-му місяці звітного року, МВт·год;</w:t>
            </w:r>
          </w:p>
          <w:p w14:paraId="5C06D1E5" w14:textId="77777777" w:rsidR="00C533B1" w:rsidRPr="00C27A60" w:rsidRDefault="00C533B1" w:rsidP="00C533B1">
            <w:pPr>
              <w:shd w:val="clear" w:color="auto" w:fill="FFFFFF"/>
              <w:jc w:val="both"/>
              <w:rPr>
                <w:sz w:val="22"/>
                <w:szCs w:val="22"/>
                <w:lang w:eastAsia="uk-UA"/>
              </w:rPr>
            </w:pPr>
            <w:r w:rsidRPr="00C27A60">
              <w:rPr>
                <w:sz w:val="22"/>
                <w:szCs w:val="22"/>
                <w:lang w:eastAsia="uk-UA"/>
              </w:rPr>
              <w:t>К</w:t>
            </w:r>
            <w:r w:rsidRPr="00C27A60">
              <w:rPr>
                <w:sz w:val="22"/>
                <w:szCs w:val="22"/>
                <w:vertAlign w:val="subscript"/>
                <w:lang w:eastAsia="uk-UA"/>
              </w:rPr>
              <w:t>1</w:t>
            </w:r>
            <w:r w:rsidRPr="00C27A60">
              <w:rPr>
                <w:sz w:val="22"/>
                <w:szCs w:val="22"/>
                <w:lang w:eastAsia="uk-UA"/>
              </w:rPr>
              <w:t>, К</w:t>
            </w:r>
            <w:r w:rsidRPr="00C27A60">
              <w:rPr>
                <w:sz w:val="22"/>
                <w:szCs w:val="22"/>
                <w:vertAlign w:val="subscript"/>
                <w:lang w:eastAsia="uk-UA"/>
              </w:rPr>
              <w:t>2</w:t>
            </w:r>
            <w:r w:rsidRPr="00C27A60">
              <w:rPr>
                <w:sz w:val="22"/>
                <w:szCs w:val="22"/>
                <w:lang w:eastAsia="uk-UA"/>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0CAF303C"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Ц</w:t>
            </w:r>
            <w:r w:rsidRPr="00C27A60">
              <w:rPr>
                <w:rFonts w:eastAsia="Calibri"/>
                <w:kern w:val="2"/>
                <w:sz w:val="22"/>
                <w:szCs w:val="22"/>
                <w:vertAlign w:val="subscript"/>
                <w:lang w:eastAsia="en-US"/>
                <w14:ligatures w14:val="standardContextual"/>
              </w:rPr>
              <w:t>ТВЕ i</w:t>
            </w:r>
            <w:r w:rsidRPr="00C27A60">
              <w:rPr>
                <w:rFonts w:eastAsia="Calibri"/>
                <w:kern w:val="2"/>
                <w:sz w:val="22"/>
                <w:szCs w:val="22"/>
                <w:lang w:eastAsia="en-US"/>
                <w14:ligatures w14:val="standardContextual"/>
              </w:rPr>
              <w:t xml:space="preserve">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грн/МВт·год, та розраховується за формулою</w:t>
            </w:r>
          </w:p>
          <w:p w14:paraId="37DA32CF" w14:textId="77777777" w:rsidR="00C533B1" w:rsidRPr="00C27A60" w:rsidRDefault="00C533B1" w:rsidP="00C533B1">
            <w:pPr>
              <w:shd w:val="clear" w:color="auto" w:fill="FFFFFF"/>
              <w:jc w:val="both"/>
              <w:rPr>
                <w:sz w:val="22"/>
                <w:szCs w:val="22"/>
                <w:vertAlign w:val="subscript"/>
                <w:lang w:eastAsia="uk-UA"/>
              </w:rPr>
            </w:pPr>
            <w:r w:rsidRPr="00C27A60">
              <w:rPr>
                <w:sz w:val="22"/>
                <w:szCs w:val="22"/>
                <w:lang w:eastAsia="uk-UA"/>
              </w:rPr>
              <w:t>Ц</w:t>
            </w:r>
            <w:r w:rsidRPr="00C27A60">
              <w:rPr>
                <w:sz w:val="22"/>
                <w:szCs w:val="22"/>
                <w:vertAlign w:val="subscript"/>
                <w:lang w:eastAsia="uk-UA"/>
              </w:rPr>
              <w:t>ТВЕ i</w:t>
            </w:r>
            <w:r w:rsidRPr="00C27A60">
              <w:rPr>
                <w:sz w:val="22"/>
                <w:szCs w:val="22"/>
                <w:lang w:eastAsia="uk-UA"/>
              </w:rPr>
              <w:t xml:space="preserve"> </w:t>
            </w:r>
            <w:r w:rsidRPr="00C27A60">
              <w:rPr>
                <w:sz w:val="22"/>
                <w:szCs w:val="22"/>
                <w:vertAlign w:val="subscript"/>
                <w:lang w:eastAsia="uk-UA"/>
              </w:rPr>
              <w:t>=</w:t>
            </w:r>
            <w:r w:rsidRPr="00C27A60">
              <w:rPr>
                <w:sz w:val="22"/>
                <w:szCs w:val="22"/>
                <w:lang w:eastAsia="uk-UA"/>
              </w:rPr>
              <w:t xml:space="preserve"> Ц </w:t>
            </w:r>
            <w:r w:rsidRPr="00C27A60">
              <w:rPr>
                <w:sz w:val="22"/>
                <w:szCs w:val="22"/>
                <w:vertAlign w:val="subscript"/>
                <w:lang w:eastAsia="uk-UA"/>
              </w:rPr>
              <w:t>РДН ф i</w:t>
            </w:r>
            <w:r w:rsidRPr="00C27A60">
              <w:rPr>
                <w:sz w:val="22"/>
                <w:szCs w:val="22"/>
                <w:lang w:eastAsia="uk-UA"/>
              </w:rPr>
              <w:t xml:space="preserve"> × (1 - К</w:t>
            </w:r>
            <w:r w:rsidRPr="00C27A60">
              <w:rPr>
                <w:sz w:val="22"/>
                <w:szCs w:val="22"/>
                <w:vertAlign w:val="superscript"/>
                <w:lang w:eastAsia="uk-UA"/>
              </w:rPr>
              <w:t>БР</w:t>
            </w:r>
            <w:r w:rsidRPr="00C27A60">
              <w:rPr>
                <w:sz w:val="22"/>
                <w:szCs w:val="22"/>
                <w:vertAlign w:val="subscript"/>
                <w:lang w:eastAsia="uk-UA"/>
              </w:rPr>
              <w:t>W</w:t>
            </w:r>
            <w:r w:rsidRPr="00C27A60">
              <w:rPr>
                <w:sz w:val="22"/>
                <w:szCs w:val="22"/>
                <w:lang w:eastAsia="uk-UA"/>
              </w:rPr>
              <w:t xml:space="preserve"> - К</w:t>
            </w:r>
            <w:r w:rsidRPr="00C27A60">
              <w:rPr>
                <w:sz w:val="22"/>
                <w:szCs w:val="22"/>
                <w:vertAlign w:val="superscript"/>
                <w:lang w:eastAsia="uk-UA"/>
              </w:rPr>
              <w:t>ДД</w:t>
            </w:r>
            <w:r w:rsidRPr="00C27A60">
              <w:rPr>
                <w:sz w:val="22"/>
                <w:szCs w:val="22"/>
                <w:vertAlign w:val="subscript"/>
                <w:lang w:eastAsia="uk-UA"/>
              </w:rPr>
              <w:t>W</w:t>
            </w:r>
            <w:r w:rsidRPr="00C27A60">
              <w:rPr>
                <w:sz w:val="22"/>
                <w:szCs w:val="22"/>
                <w:lang w:eastAsia="uk-UA"/>
              </w:rPr>
              <w:t xml:space="preserve">) + Ц </w:t>
            </w:r>
            <w:r w:rsidRPr="00C27A60">
              <w:rPr>
                <w:sz w:val="22"/>
                <w:szCs w:val="22"/>
                <w:vertAlign w:val="subscript"/>
                <w:lang w:eastAsia="uk-UA"/>
              </w:rPr>
              <w:t>РДН ф i</w:t>
            </w:r>
            <w:r w:rsidRPr="00C27A60">
              <w:rPr>
                <w:sz w:val="22"/>
                <w:szCs w:val="22"/>
                <w:lang w:eastAsia="uk-UA"/>
              </w:rPr>
              <w:t xml:space="preserve"> × (1 + К</w:t>
            </w:r>
            <w:r w:rsidRPr="00C27A60">
              <w:rPr>
                <w:sz w:val="22"/>
                <w:szCs w:val="22"/>
                <w:vertAlign w:val="superscript"/>
                <w:lang w:eastAsia="uk-UA"/>
              </w:rPr>
              <w:t>БР</w:t>
            </w:r>
            <w:r w:rsidRPr="00C27A60">
              <w:rPr>
                <w:sz w:val="22"/>
                <w:szCs w:val="22"/>
                <w:vertAlign w:val="subscript"/>
                <w:lang w:eastAsia="uk-UA"/>
              </w:rPr>
              <w:t>Ц</w:t>
            </w:r>
            <w:r w:rsidRPr="00C27A60">
              <w:rPr>
                <w:sz w:val="22"/>
                <w:szCs w:val="22"/>
                <w:lang w:eastAsia="uk-UA"/>
              </w:rPr>
              <w:t>) × К</w:t>
            </w:r>
            <w:r w:rsidRPr="00C27A60">
              <w:rPr>
                <w:sz w:val="22"/>
                <w:szCs w:val="22"/>
                <w:vertAlign w:val="superscript"/>
                <w:lang w:eastAsia="uk-UA"/>
              </w:rPr>
              <w:t>БР</w:t>
            </w:r>
            <w:r w:rsidRPr="00C27A60">
              <w:rPr>
                <w:sz w:val="22"/>
                <w:szCs w:val="22"/>
                <w:vertAlign w:val="subscript"/>
                <w:lang w:eastAsia="uk-UA"/>
              </w:rPr>
              <w:t>W</w:t>
            </w:r>
            <w:r w:rsidRPr="00C27A60">
              <w:rPr>
                <w:sz w:val="22"/>
                <w:szCs w:val="22"/>
                <w:lang w:eastAsia="uk-UA"/>
              </w:rPr>
              <w:t xml:space="preserve"> + Ц </w:t>
            </w:r>
            <w:r w:rsidRPr="00C27A60">
              <w:rPr>
                <w:sz w:val="22"/>
                <w:szCs w:val="22"/>
                <w:vertAlign w:val="subscript"/>
                <w:lang w:eastAsia="uk-UA"/>
              </w:rPr>
              <w:t>РДД ф i</w:t>
            </w:r>
            <w:r w:rsidRPr="00C27A60">
              <w:rPr>
                <w:sz w:val="22"/>
                <w:szCs w:val="22"/>
                <w:lang w:eastAsia="uk-UA"/>
              </w:rPr>
              <w:t xml:space="preserve"> × К</w:t>
            </w:r>
            <w:r w:rsidRPr="00C27A60">
              <w:rPr>
                <w:sz w:val="22"/>
                <w:szCs w:val="22"/>
                <w:vertAlign w:val="superscript"/>
                <w:lang w:eastAsia="uk-UA"/>
              </w:rPr>
              <w:t>ДД</w:t>
            </w:r>
            <w:r w:rsidRPr="00C27A60">
              <w:rPr>
                <w:sz w:val="22"/>
                <w:szCs w:val="22"/>
                <w:vertAlign w:val="subscript"/>
                <w:lang w:eastAsia="uk-UA"/>
              </w:rPr>
              <w:t>W,</w:t>
            </w:r>
          </w:p>
          <w:p w14:paraId="48DBEDD7"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де Ц </w:t>
            </w:r>
            <w:r w:rsidRPr="00C27A60">
              <w:rPr>
                <w:rFonts w:eastAsia="Calibri"/>
                <w:kern w:val="2"/>
                <w:sz w:val="22"/>
                <w:szCs w:val="22"/>
                <w:vertAlign w:val="subscript"/>
                <w:lang w:eastAsia="en-US"/>
                <w14:ligatures w14:val="standardContextual"/>
              </w:rPr>
              <w:t>РДН ф i</w:t>
            </w:r>
            <w:r w:rsidRPr="00C27A60">
              <w:rPr>
                <w:rFonts w:eastAsia="Calibri"/>
                <w:kern w:val="2"/>
                <w:sz w:val="22"/>
                <w:szCs w:val="22"/>
                <w:lang w:eastAsia="en-US"/>
                <w14:ligatures w14:val="standardContextual"/>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оператора системи розподілу, грн/МВт·год,</w:t>
            </w:r>
          </w:p>
          <w:p w14:paraId="38402540"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К</w:t>
            </w:r>
            <w:r w:rsidRPr="00C27A60">
              <w:rPr>
                <w:rFonts w:eastAsia="Calibri"/>
                <w:kern w:val="2"/>
                <w:sz w:val="22"/>
                <w:szCs w:val="22"/>
                <w:vertAlign w:val="superscript"/>
                <w:lang w:eastAsia="en-US"/>
                <w14:ligatures w14:val="standardContextual"/>
              </w:rPr>
              <w:t>БР</w:t>
            </w:r>
            <w:r w:rsidRPr="00C27A60">
              <w:rPr>
                <w:rFonts w:eastAsia="Calibri"/>
                <w:kern w:val="2"/>
                <w:sz w:val="22"/>
                <w:szCs w:val="22"/>
                <w:vertAlign w:val="subscript"/>
                <w:lang w:eastAsia="en-US"/>
                <w14:ligatures w14:val="standardContextual"/>
              </w:rPr>
              <w:t>W</w:t>
            </w:r>
            <w:r w:rsidRPr="00C27A60">
              <w:rPr>
                <w:rFonts w:eastAsia="Calibri"/>
                <w:kern w:val="2"/>
                <w:sz w:val="22"/>
                <w:szCs w:val="22"/>
                <w:lang w:eastAsia="en-US"/>
                <w14:ligatures w14:val="standardContextual"/>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w:t>
            </w:r>
            <w:r w:rsidRPr="00C27A60">
              <w:rPr>
                <w:rFonts w:eastAsia="Calibri"/>
                <w:b/>
                <w:kern w:val="2"/>
                <w:sz w:val="22"/>
                <w:szCs w:val="22"/>
                <w:lang w:eastAsia="en-US"/>
                <w14:ligatures w14:val="standardContextual"/>
              </w:rPr>
              <w:t>,</w:t>
            </w:r>
            <w:r w:rsidRPr="00C27A60">
              <w:rPr>
                <w:rFonts w:eastAsia="Calibri"/>
                <w:kern w:val="2"/>
                <w:sz w:val="22"/>
                <w:szCs w:val="22"/>
                <w:lang w:eastAsia="en-US"/>
                <w14:ligatures w14:val="standardContextual"/>
              </w:rPr>
              <w:t xml:space="preserve"> відносні одиниці;</w:t>
            </w:r>
          </w:p>
          <w:p w14:paraId="0FE1E16B"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К</w:t>
            </w:r>
            <w:r w:rsidRPr="00C27A60">
              <w:rPr>
                <w:rFonts w:eastAsia="Calibri"/>
                <w:kern w:val="2"/>
                <w:sz w:val="22"/>
                <w:szCs w:val="22"/>
                <w:vertAlign w:val="superscript"/>
                <w:lang w:eastAsia="en-US"/>
                <w14:ligatures w14:val="standardContextual"/>
              </w:rPr>
              <w:t>ДД</w:t>
            </w:r>
            <w:r w:rsidRPr="00C27A60">
              <w:rPr>
                <w:rFonts w:eastAsia="Calibri"/>
                <w:kern w:val="2"/>
                <w:sz w:val="22"/>
                <w:szCs w:val="22"/>
                <w:vertAlign w:val="subscript"/>
                <w:lang w:eastAsia="en-US"/>
                <w14:ligatures w14:val="standardContextual"/>
              </w:rPr>
              <w:t>W</w:t>
            </w:r>
            <w:r w:rsidRPr="00C27A60">
              <w:rPr>
                <w:rFonts w:eastAsia="Calibri"/>
                <w:kern w:val="2"/>
                <w:sz w:val="22"/>
                <w:szCs w:val="22"/>
                <w:lang w:eastAsia="en-US"/>
                <w14:ligatures w14:val="standardContextual"/>
              </w:rPr>
              <w:t xml:space="preserve">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67917F30"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К</w:t>
            </w:r>
            <w:r w:rsidRPr="00C27A60">
              <w:rPr>
                <w:rFonts w:eastAsia="Calibri"/>
                <w:kern w:val="2"/>
                <w:sz w:val="22"/>
                <w:szCs w:val="22"/>
                <w:vertAlign w:val="superscript"/>
                <w:lang w:eastAsia="en-US"/>
                <w14:ligatures w14:val="standardContextual"/>
              </w:rPr>
              <w:t>БР</w:t>
            </w:r>
            <w:r w:rsidRPr="00C27A60">
              <w:rPr>
                <w:rFonts w:eastAsia="Calibri"/>
                <w:kern w:val="2"/>
                <w:sz w:val="22"/>
                <w:szCs w:val="22"/>
                <w:vertAlign w:val="subscript"/>
                <w:lang w:eastAsia="en-US"/>
                <w14:ligatures w14:val="standardContextual"/>
              </w:rPr>
              <w:t>Ц</w:t>
            </w:r>
            <w:r w:rsidRPr="00C27A60">
              <w:rPr>
                <w:rFonts w:eastAsia="Calibri"/>
                <w:kern w:val="2"/>
                <w:sz w:val="22"/>
                <w:szCs w:val="22"/>
                <w:lang w:eastAsia="en-US"/>
                <w14:ligatures w14:val="standardContextual"/>
              </w:rPr>
              <w:t xml:space="preserve"> - коефіцієнт, що враховує граничне відносне відхилення цін небалансів електричної енергії від цін </w:t>
            </w:r>
            <w:r w:rsidRPr="00C27A60">
              <w:rPr>
                <w:rFonts w:eastAsia="Calibri"/>
                <w:kern w:val="2"/>
                <w:sz w:val="22"/>
                <w:szCs w:val="22"/>
                <w:lang w:eastAsia="en-US"/>
                <w14:ligatures w14:val="standardContextual"/>
              </w:rPr>
              <w:lastRenderedPageBreak/>
              <w:t>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53C952EA" w14:textId="77777777" w:rsidR="00C533B1" w:rsidRPr="00C27A60" w:rsidRDefault="00C533B1" w:rsidP="00C533B1">
            <w:pPr>
              <w:shd w:val="clear" w:color="auto" w:fill="FFFFFF"/>
              <w:jc w:val="both"/>
              <w:rPr>
                <w:sz w:val="22"/>
                <w:szCs w:val="22"/>
                <w:lang w:eastAsia="uk-UA"/>
              </w:rPr>
            </w:pPr>
            <w:r w:rsidRPr="00C27A60">
              <w:rPr>
                <w:sz w:val="22"/>
                <w:szCs w:val="22"/>
                <w:lang w:eastAsia="uk-UA"/>
              </w:rPr>
              <w:t xml:space="preserve">Ц </w:t>
            </w:r>
            <w:r w:rsidRPr="00C27A60">
              <w:rPr>
                <w:sz w:val="22"/>
                <w:szCs w:val="22"/>
                <w:vertAlign w:val="subscript"/>
                <w:lang w:eastAsia="uk-UA"/>
              </w:rPr>
              <w:t>РДД ф i</w:t>
            </w:r>
            <w:r w:rsidRPr="00C27A60">
              <w:rPr>
                <w:sz w:val="22"/>
                <w:szCs w:val="22"/>
                <w:lang w:eastAsia="uk-UA"/>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грн/МВт·год.</w:t>
            </w:r>
          </w:p>
          <w:p w14:paraId="6D7ECC39" w14:textId="77777777" w:rsidR="00C533B1" w:rsidRPr="00C27A60" w:rsidRDefault="00C533B1" w:rsidP="00C533B1">
            <w:pPr>
              <w:shd w:val="clear" w:color="auto" w:fill="FFFFFF"/>
              <w:jc w:val="both"/>
              <w:rPr>
                <w:sz w:val="22"/>
                <w:szCs w:val="22"/>
                <w:lang w:eastAsia="uk-UA"/>
              </w:rPr>
            </w:pPr>
          </w:p>
          <w:p w14:paraId="346D9228"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Для цілей розрахунку складова (1 - К</w:t>
            </w:r>
            <w:r w:rsidRPr="00C27A60">
              <w:rPr>
                <w:rFonts w:eastAsia="Calibri"/>
                <w:kern w:val="2"/>
                <w:sz w:val="22"/>
                <w:szCs w:val="22"/>
                <w:vertAlign w:val="superscript"/>
                <w:lang w:eastAsia="en-US"/>
                <w14:ligatures w14:val="standardContextual"/>
              </w:rPr>
              <w:t>БР</w:t>
            </w:r>
            <w:r w:rsidRPr="00C27A60">
              <w:rPr>
                <w:rFonts w:eastAsia="Calibri"/>
                <w:kern w:val="2"/>
                <w:sz w:val="22"/>
                <w:szCs w:val="22"/>
                <w:vertAlign w:val="subscript"/>
                <w:lang w:eastAsia="en-US"/>
                <w14:ligatures w14:val="standardContextual"/>
              </w:rPr>
              <w:t>W</w:t>
            </w:r>
            <w:r w:rsidRPr="00C27A60">
              <w:rPr>
                <w:rFonts w:eastAsia="Calibri"/>
                <w:kern w:val="2"/>
                <w:sz w:val="22"/>
                <w:szCs w:val="22"/>
                <w:lang w:eastAsia="en-US"/>
                <w14:ligatures w14:val="standardContextual"/>
              </w:rPr>
              <w:t xml:space="preserve"> - К</w:t>
            </w:r>
            <w:r w:rsidRPr="00C27A60">
              <w:rPr>
                <w:rFonts w:eastAsia="Calibri"/>
                <w:kern w:val="2"/>
                <w:sz w:val="22"/>
                <w:szCs w:val="22"/>
                <w:vertAlign w:val="superscript"/>
                <w:lang w:eastAsia="en-US"/>
                <w14:ligatures w14:val="standardContextual"/>
              </w:rPr>
              <w:t>ДД</w:t>
            </w:r>
            <w:r w:rsidRPr="00C27A60">
              <w:rPr>
                <w:rFonts w:eastAsia="Calibri"/>
                <w:kern w:val="2"/>
                <w:sz w:val="22"/>
                <w:szCs w:val="22"/>
                <w:vertAlign w:val="subscript"/>
                <w:lang w:eastAsia="en-US"/>
                <w14:ligatures w14:val="standardContextual"/>
              </w:rPr>
              <w:t>W</w:t>
            </w:r>
            <w:r w:rsidRPr="00C27A60">
              <w:rPr>
                <w:rFonts w:eastAsia="Calibri"/>
                <w:kern w:val="2"/>
                <w:sz w:val="22"/>
                <w:szCs w:val="22"/>
                <w:lang w:eastAsia="en-US"/>
                <w14:ligatures w14:val="standardContextual"/>
              </w:rPr>
              <w:t>) приймається рівною нулю у разі, якщо її значення менше нуля.</w:t>
            </w:r>
          </w:p>
          <w:p w14:paraId="6A8CCE4A"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Починаючи з 2023 року:</w:t>
            </w:r>
          </w:p>
          <w:p w14:paraId="36D2CAD8" w14:textId="77777777" w:rsidR="00C533B1" w:rsidRPr="00C27A60" w:rsidRDefault="00C533B1" w:rsidP="00C533B1">
            <w:pPr>
              <w:shd w:val="clear" w:color="auto" w:fill="FFFFFF"/>
              <w:jc w:val="both"/>
              <w:rPr>
                <w:sz w:val="22"/>
                <w:szCs w:val="22"/>
                <w:lang w:eastAsia="uk-UA"/>
              </w:rPr>
            </w:pPr>
            <w:r w:rsidRPr="00C27A60">
              <w:rPr>
                <w:sz w:val="22"/>
                <w:szCs w:val="22"/>
                <w:lang w:eastAsia="uk-UA"/>
              </w:rPr>
              <w:t xml:space="preserve">Ц </w:t>
            </w:r>
            <w:r w:rsidRPr="00C27A60">
              <w:rPr>
                <w:sz w:val="22"/>
                <w:szCs w:val="22"/>
                <w:vertAlign w:val="subscript"/>
                <w:lang w:eastAsia="uk-UA"/>
              </w:rPr>
              <w:t>ТВЕ і</w:t>
            </w:r>
            <w:r w:rsidRPr="00C27A60">
              <w:rPr>
                <w:sz w:val="22"/>
                <w:szCs w:val="22"/>
                <w:lang w:eastAsia="uk-UA"/>
              </w:rPr>
              <w:t xml:space="preserve"> = Ц </w:t>
            </w:r>
            <w:r w:rsidRPr="00C27A60">
              <w:rPr>
                <w:sz w:val="22"/>
                <w:szCs w:val="22"/>
                <w:vertAlign w:val="subscript"/>
                <w:lang w:eastAsia="uk-UA"/>
              </w:rPr>
              <w:t>РДН ф і</w:t>
            </w:r>
            <w:r w:rsidRPr="00C27A60">
              <w:rPr>
                <w:sz w:val="22"/>
                <w:szCs w:val="22"/>
                <w:lang w:eastAsia="uk-UA"/>
              </w:rPr>
              <w:t xml:space="preserve"> × (1 - </w:t>
            </w:r>
            <w:proofErr w:type="spellStart"/>
            <w:r w:rsidRPr="00C27A60">
              <w:rPr>
                <w:sz w:val="22"/>
                <w:szCs w:val="22"/>
                <w:lang w:eastAsia="uk-UA"/>
              </w:rPr>
              <w:t>К</w:t>
            </w:r>
            <w:r w:rsidRPr="00C27A60">
              <w:rPr>
                <w:sz w:val="22"/>
                <w:szCs w:val="22"/>
                <w:vertAlign w:val="superscript"/>
                <w:lang w:eastAsia="uk-UA"/>
              </w:rPr>
              <w:t>БР</w:t>
            </w:r>
            <w:r w:rsidRPr="00C27A60">
              <w:rPr>
                <w:sz w:val="22"/>
                <w:szCs w:val="22"/>
                <w:lang w:eastAsia="uk-UA"/>
              </w:rPr>
              <w:t>w</w:t>
            </w:r>
            <w:proofErr w:type="spellEnd"/>
            <w:r w:rsidRPr="00C27A60">
              <w:rPr>
                <w:sz w:val="22"/>
                <w:szCs w:val="22"/>
                <w:lang w:eastAsia="uk-UA"/>
              </w:rPr>
              <w:t xml:space="preserve"> - </w:t>
            </w:r>
            <w:proofErr w:type="spellStart"/>
            <w:r w:rsidRPr="00C27A60">
              <w:rPr>
                <w:sz w:val="22"/>
                <w:szCs w:val="22"/>
                <w:lang w:eastAsia="uk-UA"/>
              </w:rPr>
              <w:t>К</w:t>
            </w:r>
            <w:r w:rsidRPr="00C27A60">
              <w:rPr>
                <w:sz w:val="22"/>
                <w:szCs w:val="22"/>
                <w:vertAlign w:val="superscript"/>
                <w:lang w:eastAsia="uk-UA"/>
              </w:rPr>
              <w:t>ДД</w:t>
            </w:r>
            <w:r w:rsidRPr="00C27A60">
              <w:rPr>
                <w:sz w:val="22"/>
                <w:szCs w:val="22"/>
                <w:lang w:eastAsia="uk-UA"/>
              </w:rPr>
              <w:t>w</w:t>
            </w:r>
            <w:proofErr w:type="spellEnd"/>
            <w:r w:rsidRPr="00C27A60">
              <w:rPr>
                <w:sz w:val="22"/>
                <w:szCs w:val="22"/>
                <w:lang w:eastAsia="uk-UA"/>
              </w:rPr>
              <w:t xml:space="preserve">) + Ц </w:t>
            </w:r>
            <w:r w:rsidRPr="00C27A60">
              <w:rPr>
                <w:sz w:val="22"/>
                <w:szCs w:val="22"/>
                <w:vertAlign w:val="subscript"/>
                <w:lang w:eastAsia="uk-UA"/>
              </w:rPr>
              <w:t>РДН ф і</w:t>
            </w:r>
            <w:r w:rsidRPr="00C27A60">
              <w:rPr>
                <w:sz w:val="22"/>
                <w:szCs w:val="22"/>
                <w:lang w:eastAsia="uk-UA"/>
              </w:rPr>
              <w:t xml:space="preserve"> × (1 + </w:t>
            </w:r>
            <w:proofErr w:type="spellStart"/>
            <w:r w:rsidRPr="00C27A60">
              <w:rPr>
                <w:sz w:val="22"/>
                <w:szCs w:val="22"/>
                <w:lang w:eastAsia="uk-UA"/>
              </w:rPr>
              <w:t>К</w:t>
            </w:r>
            <w:r w:rsidRPr="00C27A60">
              <w:rPr>
                <w:sz w:val="22"/>
                <w:szCs w:val="22"/>
                <w:vertAlign w:val="superscript"/>
                <w:lang w:eastAsia="uk-UA"/>
              </w:rPr>
              <w:t>БР</w:t>
            </w:r>
            <w:r w:rsidRPr="00C27A60">
              <w:rPr>
                <w:sz w:val="22"/>
                <w:szCs w:val="22"/>
                <w:lang w:eastAsia="uk-UA"/>
              </w:rPr>
              <w:t>ц</w:t>
            </w:r>
            <w:proofErr w:type="spellEnd"/>
            <w:r w:rsidRPr="00C27A60">
              <w:rPr>
                <w:sz w:val="22"/>
                <w:szCs w:val="22"/>
                <w:lang w:eastAsia="uk-UA"/>
              </w:rPr>
              <w:t xml:space="preserve">) × </w:t>
            </w:r>
            <w:proofErr w:type="spellStart"/>
            <w:r w:rsidRPr="00C27A60">
              <w:rPr>
                <w:sz w:val="22"/>
                <w:szCs w:val="22"/>
                <w:lang w:eastAsia="uk-UA"/>
              </w:rPr>
              <w:t>К</w:t>
            </w:r>
            <w:r w:rsidRPr="00C27A60">
              <w:rPr>
                <w:sz w:val="22"/>
                <w:szCs w:val="22"/>
                <w:vertAlign w:val="superscript"/>
                <w:lang w:eastAsia="uk-UA"/>
              </w:rPr>
              <w:t>БР</w:t>
            </w:r>
            <w:r w:rsidRPr="00C27A60">
              <w:rPr>
                <w:sz w:val="22"/>
                <w:szCs w:val="22"/>
                <w:lang w:eastAsia="uk-UA"/>
              </w:rPr>
              <w:t>w</w:t>
            </w:r>
            <w:proofErr w:type="spellEnd"/>
            <w:r w:rsidRPr="00C27A60">
              <w:rPr>
                <w:sz w:val="22"/>
                <w:szCs w:val="22"/>
                <w:lang w:eastAsia="uk-UA"/>
              </w:rPr>
              <w:t xml:space="preserve"> + Ц </w:t>
            </w:r>
            <w:r w:rsidRPr="00C27A60">
              <w:rPr>
                <w:sz w:val="22"/>
                <w:szCs w:val="22"/>
                <w:vertAlign w:val="subscript"/>
                <w:lang w:eastAsia="uk-UA"/>
              </w:rPr>
              <w:t>РДД ф і</w:t>
            </w:r>
            <w:r w:rsidRPr="00C27A60">
              <w:rPr>
                <w:sz w:val="22"/>
                <w:szCs w:val="22"/>
                <w:lang w:eastAsia="uk-UA"/>
              </w:rPr>
              <w:t xml:space="preserve"> × К × </w:t>
            </w:r>
            <w:proofErr w:type="spellStart"/>
            <w:r w:rsidRPr="00C27A60">
              <w:rPr>
                <w:sz w:val="22"/>
                <w:szCs w:val="22"/>
                <w:lang w:eastAsia="uk-UA"/>
              </w:rPr>
              <w:t>К</w:t>
            </w:r>
            <w:r w:rsidRPr="00C27A60">
              <w:rPr>
                <w:sz w:val="22"/>
                <w:szCs w:val="22"/>
                <w:vertAlign w:val="superscript"/>
                <w:lang w:eastAsia="uk-UA"/>
              </w:rPr>
              <w:t>ДД</w:t>
            </w:r>
            <w:r w:rsidRPr="00C27A60">
              <w:rPr>
                <w:sz w:val="22"/>
                <w:szCs w:val="22"/>
                <w:lang w:eastAsia="uk-UA"/>
              </w:rPr>
              <w:t>w</w:t>
            </w:r>
            <w:proofErr w:type="spellEnd"/>
            <w:r w:rsidRPr="00C27A60">
              <w:rPr>
                <w:sz w:val="22"/>
                <w:szCs w:val="22"/>
                <w:lang w:eastAsia="uk-UA"/>
              </w:rPr>
              <w:t>;</w:t>
            </w:r>
          </w:p>
          <w:p w14:paraId="4FBC91C4" w14:textId="77777777" w:rsidR="00C533B1" w:rsidRPr="00C27A60" w:rsidRDefault="00C533B1" w:rsidP="00C533B1">
            <w:pPr>
              <w:spacing w:after="160" w:line="259" w:lineRule="auto"/>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де К</w:t>
            </w:r>
            <w:r w:rsidRPr="00C27A60">
              <w:rPr>
                <w:rFonts w:eastAsia="Calibri"/>
                <w:kern w:val="2"/>
                <w:sz w:val="22"/>
                <w:szCs w:val="22"/>
                <w:vertAlign w:val="superscript"/>
                <w:lang w:eastAsia="en-US"/>
                <w14:ligatures w14:val="standardContextual"/>
              </w:rPr>
              <w:t>БР</w:t>
            </w:r>
            <w:r w:rsidRPr="00C27A60">
              <w:rPr>
                <w:rFonts w:eastAsia="Calibri"/>
                <w:kern w:val="2"/>
                <w:sz w:val="22"/>
                <w:szCs w:val="22"/>
                <w:vertAlign w:val="subscript"/>
                <w:lang w:eastAsia="en-US"/>
                <w14:ligatures w14:val="standardContextual"/>
              </w:rPr>
              <w:t>W</w:t>
            </w:r>
            <w:r w:rsidRPr="00C27A60">
              <w:rPr>
                <w:rFonts w:eastAsia="Calibri"/>
                <w:kern w:val="2"/>
                <w:sz w:val="22"/>
                <w:szCs w:val="22"/>
                <w:lang w:eastAsia="en-US"/>
                <w14:ligatures w14:val="standardContextual"/>
              </w:rPr>
              <w:t>, К</w:t>
            </w:r>
            <w:r w:rsidRPr="00C27A60">
              <w:rPr>
                <w:rFonts w:eastAsia="Calibri"/>
                <w:kern w:val="2"/>
                <w:sz w:val="22"/>
                <w:szCs w:val="22"/>
                <w:vertAlign w:val="superscript"/>
                <w:lang w:eastAsia="en-US"/>
                <w14:ligatures w14:val="standardContextual"/>
              </w:rPr>
              <w:t>ДД</w:t>
            </w:r>
            <w:r w:rsidRPr="00C27A60">
              <w:rPr>
                <w:rFonts w:eastAsia="Calibri"/>
                <w:kern w:val="2"/>
                <w:sz w:val="22"/>
                <w:szCs w:val="22"/>
                <w:vertAlign w:val="subscript"/>
                <w:lang w:eastAsia="en-US"/>
                <w14:ligatures w14:val="standardContextual"/>
              </w:rPr>
              <w:t>W</w:t>
            </w:r>
            <w:r w:rsidRPr="00C27A60">
              <w:rPr>
                <w:rFonts w:eastAsia="Calibri"/>
                <w:kern w:val="2"/>
                <w:sz w:val="22"/>
                <w:szCs w:val="22"/>
                <w:lang w:eastAsia="en-US"/>
                <w14:ligatures w14:val="standardContextual"/>
              </w:rPr>
              <w:t xml:space="preserve"> та К</w:t>
            </w:r>
            <w:r w:rsidRPr="00C27A60">
              <w:rPr>
                <w:rFonts w:eastAsia="Calibri"/>
                <w:kern w:val="2"/>
                <w:sz w:val="22"/>
                <w:szCs w:val="22"/>
                <w:vertAlign w:val="superscript"/>
                <w:lang w:eastAsia="en-US"/>
                <w14:ligatures w14:val="standardContextual"/>
              </w:rPr>
              <w:t>БР</w:t>
            </w:r>
            <w:r w:rsidRPr="00C27A60">
              <w:rPr>
                <w:rFonts w:eastAsia="Calibri"/>
                <w:kern w:val="2"/>
                <w:sz w:val="22"/>
                <w:szCs w:val="22"/>
                <w:vertAlign w:val="subscript"/>
                <w:lang w:eastAsia="en-US"/>
                <w14:ligatures w14:val="standardContextual"/>
              </w:rPr>
              <w:t>Ц</w:t>
            </w:r>
            <w:r w:rsidRPr="00C27A60">
              <w:rPr>
                <w:rFonts w:eastAsia="Calibri"/>
                <w:kern w:val="2"/>
                <w:sz w:val="22"/>
                <w:szCs w:val="22"/>
                <w:lang w:eastAsia="en-US"/>
                <w14:ligatures w14:val="standardContextual"/>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1030E91E" w14:textId="77777777" w:rsidR="00C533B1" w:rsidRPr="00C27A60" w:rsidRDefault="00C533B1" w:rsidP="00C533B1">
            <w:pPr>
              <w:spacing w:after="160" w:line="259" w:lineRule="auto"/>
              <w:jc w:val="both"/>
              <w:rPr>
                <w:rFonts w:eastAsia="Calibri"/>
                <w:kern w:val="2"/>
                <w:sz w:val="22"/>
                <w:szCs w:val="22"/>
                <w:lang w:eastAsia="en-US"/>
                <w14:ligatures w14:val="standardContextual"/>
              </w:rPr>
            </w:pPr>
            <w:r w:rsidRPr="00C27A60">
              <w:rPr>
                <w:rFonts w:eastAsia="Calibri"/>
                <w:b/>
                <w:kern w:val="2"/>
                <w:sz w:val="22"/>
                <w:szCs w:val="22"/>
                <w14:ligatures w14:val="standardContextual"/>
              </w:rPr>
              <w:t>Так, з метою перевірки ліцензованої діяльності за 2024 рік, К</w:t>
            </w:r>
            <w:r w:rsidRPr="00C27A60">
              <w:rPr>
                <w:rFonts w:eastAsia="Calibri"/>
                <w:b/>
                <w:kern w:val="2"/>
                <w:sz w:val="22"/>
                <w:szCs w:val="22"/>
                <w:vertAlign w:val="superscript"/>
                <w14:ligatures w14:val="standardContextual"/>
              </w:rPr>
              <w:t>БР</w:t>
            </w:r>
            <w:r w:rsidRPr="00C27A60">
              <w:rPr>
                <w:rFonts w:eastAsia="Calibri"/>
                <w:b/>
                <w:kern w:val="2"/>
                <w:sz w:val="22"/>
                <w:szCs w:val="22"/>
                <w:vertAlign w:val="subscript"/>
                <w14:ligatures w14:val="standardContextual"/>
              </w:rPr>
              <w:t>W</w:t>
            </w:r>
            <w:r w:rsidRPr="00C27A60">
              <w:rPr>
                <w:rFonts w:eastAsia="Calibri"/>
                <w:b/>
                <w:kern w:val="2"/>
                <w:sz w:val="22"/>
                <w:szCs w:val="22"/>
                <w14:ligatures w14:val="standardContextual"/>
              </w:rPr>
              <w:t>,</w:t>
            </w:r>
            <w:r w:rsidRPr="00C27A60">
              <w:rPr>
                <w:rFonts w:eastAsia="Calibri"/>
                <w:b/>
                <w:kern w:val="2"/>
                <w:sz w:val="22"/>
                <w:szCs w:val="22"/>
                <w:vertAlign w:val="subscript"/>
                <w14:ligatures w14:val="standardContextual"/>
              </w:rPr>
              <w:t xml:space="preserve"> </w:t>
            </w:r>
            <w:r w:rsidRPr="00C27A60">
              <w:rPr>
                <w:rFonts w:eastAsia="Calibri"/>
                <w:b/>
                <w:kern w:val="2"/>
                <w:sz w:val="22"/>
                <w:szCs w:val="22"/>
                <w14:ligatures w14:val="standardContextual"/>
              </w:rPr>
              <w:t>К</w:t>
            </w:r>
            <w:r w:rsidRPr="00C27A60">
              <w:rPr>
                <w:rFonts w:eastAsia="Calibri"/>
                <w:b/>
                <w:kern w:val="2"/>
                <w:sz w:val="22"/>
                <w:szCs w:val="22"/>
                <w:vertAlign w:val="superscript"/>
                <w14:ligatures w14:val="standardContextual"/>
              </w:rPr>
              <w:t>ДД</w:t>
            </w:r>
            <w:r w:rsidRPr="00C27A60">
              <w:rPr>
                <w:rFonts w:eastAsia="Calibri"/>
                <w:b/>
                <w:kern w:val="2"/>
                <w:sz w:val="22"/>
                <w:szCs w:val="22"/>
                <w:vertAlign w:val="subscript"/>
                <w14:ligatures w14:val="standardContextual"/>
              </w:rPr>
              <w:t xml:space="preserve">W </w:t>
            </w:r>
            <w:r w:rsidRPr="00C27A60">
              <w:rPr>
                <w:rFonts w:eastAsia="Calibri"/>
                <w:b/>
                <w:kern w:val="2"/>
                <w:sz w:val="22"/>
                <w:szCs w:val="22"/>
                <w14:ligatures w14:val="standardContextual"/>
              </w:rPr>
              <w:t>визначається на рівнях 0,1 та  0,6 відповідно</w:t>
            </w:r>
            <w:r w:rsidRPr="00C27A60">
              <w:rPr>
                <w:rFonts w:eastAsia="Calibri"/>
                <w:b/>
                <w:kern w:val="2"/>
                <w:sz w:val="22"/>
                <w:szCs w:val="22"/>
                <w:lang w:eastAsia="en-US"/>
                <w14:ligatures w14:val="standardContextual"/>
              </w:rPr>
              <w:t>.</w:t>
            </w:r>
          </w:p>
          <w:p w14:paraId="288B4008"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Ц</w:t>
            </w:r>
            <w:r w:rsidRPr="00C27A60">
              <w:rPr>
                <w:rFonts w:eastAsia="Calibri"/>
                <w:kern w:val="2"/>
                <w:sz w:val="22"/>
                <w:szCs w:val="22"/>
                <w:vertAlign w:val="subscript"/>
                <w:lang w:eastAsia="en-US"/>
                <w14:ligatures w14:val="standardContextual"/>
              </w:rPr>
              <w:t>РДД ф і</w:t>
            </w:r>
            <w:r w:rsidRPr="00C27A60">
              <w:rPr>
                <w:rFonts w:eastAsia="Calibri"/>
                <w:kern w:val="2"/>
                <w:sz w:val="22"/>
                <w:szCs w:val="22"/>
                <w:lang w:eastAsia="en-US"/>
                <w14:ligatures w14:val="standardContextual"/>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вебсайті в мережі Інтернет, грн/МВт·год;</w:t>
            </w:r>
          </w:p>
          <w:p w14:paraId="01242A22"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w:t>
            </w:r>
            <w:r w:rsidRPr="00C27A60">
              <w:rPr>
                <w:rFonts w:eastAsia="Calibri"/>
                <w:kern w:val="2"/>
                <w:sz w:val="22"/>
                <w:szCs w:val="22"/>
                <w:lang w:eastAsia="en-US"/>
                <w14:ligatures w14:val="standardContextual"/>
              </w:rPr>
              <w:lastRenderedPageBreak/>
              <w:t>навантаження на ринку "на добу наперед", відносні одиниці, який визначається за формулою</w:t>
            </w:r>
          </w:p>
          <w:p w14:paraId="637108CE" w14:textId="77777777" w:rsidR="00C533B1" w:rsidRPr="00C27A60" w:rsidRDefault="00C533B1" w:rsidP="00C533B1">
            <w:pPr>
              <w:shd w:val="clear" w:color="auto" w:fill="FFFFFF"/>
              <w:jc w:val="both"/>
              <w:rPr>
                <w:sz w:val="22"/>
                <w:szCs w:val="22"/>
                <w:lang w:eastAsia="uk-UA"/>
              </w:rPr>
            </w:pPr>
            <w:r w:rsidRPr="00C27A60">
              <w:rPr>
                <w:sz w:val="22"/>
                <w:szCs w:val="22"/>
                <w:lang w:eastAsia="uk-UA"/>
              </w:rPr>
              <w:t xml:space="preserve">К = Ц </w:t>
            </w:r>
            <w:r w:rsidRPr="00C27A60">
              <w:rPr>
                <w:sz w:val="22"/>
                <w:szCs w:val="22"/>
                <w:vertAlign w:val="subscript"/>
                <w:lang w:eastAsia="uk-UA"/>
              </w:rPr>
              <w:t>РДН ф і</w:t>
            </w:r>
            <w:r w:rsidRPr="00C27A60">
              <w:rPr>
                <w:sz w:val="22"/>
                <w:szCs w:val="22"/>
                <w:lang w:eastAsia="uk-UA"/>
              </w:rPr>
              <w:t xml:space="preserve"> / Ц </w:t>
            </w:r>
            <w:r w:rsidRPr="00C27A60">
              <w:rPr>
                <w:sz w:val="22"/>
                <w:szCs w:val="22"/>
                <w:vertAlign w:val="subscript"/>
                <w:lang w:eastAsia="uk-UA"/>
              </w:rPr>
              <w:t>база і</w:t>
            </w:r>
            <w:r w:rsidRPr="00C27A60">
              <w:rPr>
                <w:sz w:val="22"/>
                <w:szCs w:val="22"/>
                <w:lang w:eastAsia="uk-UA"/>
              </w:rPr>
              <w:t>;</w:t>
            </w:r>
          </w:p>
          <w:p w14:paraId="026BB85C"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Ц </w:t>
            </w:r>
            <w:r w:rsidRPr="00C27A60">
              <w:rPr>
                <w:rFonts w:eastAsia="Calibri"/>
                <w:kern w:val="2"/>
                <w:sz w:val="22"/>
                <w:szCs w:val="22"/>
                <w:vertAlign w:val="subscript"/>
                <w:lang w:eastAsia="en-US"/>
                <w14:ligatures w14:val="standardContextual"/>
              </w:rPr>
              <w:t>база і</w:t>
            </w:r>
            <w:r w:rsidRPr="00C27A60">
              <w:rPr>
                <w:rFonts w:eastAsia="Calibri"/>
                <w:kern w:val="2"/>
                <w:sz w:val="22"/>
                <w:szCs w:val="22"/>
                <w:lang w:eastAsia="en-US"/>
                <w14:ligatures w14:val="standardContextual"/>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вебсайті в мережі Інтернет, грн/МВт.</w:t>
            </w:r>
          </w:p>
          <w:p w14:paraId="798C411D" w14:textId="77777777" w:rsidR="00C533B1" w:rsidRPr="00C27A60" w:rsidRDefault="00C533B1" w:rsidP="00C533B1">
            <w:pPr>
              <w:spacing w:after="75"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Якщо </w:t>
            </w:r>
            <w:r w:rsidRPr="00C27A60">
              <w:rPr>
                <w:rFonts w:eastAsia="Calibri"/>
                <w:b/>
                <w:kern w:val="2"/>
                <w:sz w:val="22"/>
                <w:szCs w:val="22"/>
                <w:lang w:eastAsia="en-US"/>
                <w14:ligatures w14:val="standardContextual"/>
              </w:rPr>
              <w:t>порушена схема нормального режиму роботи системи розподілу / змінені обсяги розподілу / надходження / віддачі / транзиту електричної енергії тощо внаслідок введення воєнного стану та/або бойових дій в Україні та за умови, що</w:t>
            </w:r>
          </w:p>
          <w:p w14:paraId="14AAEF60" w14:textId="77777777" w:rsidR="00C533B1" w:rsidRPr="00C27A60" w:rsidRDefault="00C533B1" w:rsidP="00C533B1">
            <w:pPr>
              <w:shd w:val="clear" w:color="auto" w:fill="FFFFFF"/>
              <w:jc w:val="both"/>
              <w:rPr>
                <w:sz w:val="22"/>
                <w:szCs w:val="22"/>
                <w:lang w:eastAsia="uk-UA"/>
              </w:rPr>
            </w:pPr>
            <w:r w:rsidRPr="00C27A60">
              <w:rPr>
                <w:noProof/>
                <w:sz w:val="22"/>
                <w:szCs w:val="22"/>
                <w:lang w:eastAsia="uk-UA"/>
              </w:rPr>
              <w:drawing>
                <wp:inline distT="0" distB="0" distL="0" distR="0" wp14:anchorId="3B803CB7" wp14:editId="41A60A87">
                  <wp:extent cx="2711302" cy="351610"/>
                  <wp:effectExtent l="0" t="0" r="0" b="0"/>
                  <wp:docPr id="1010916000" name="Рисунок 1010916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30010" cy="354036"/>
                          </a:xfrm>
                          <a:prstGeom prst="rect">
                            <a:avLst/>
                          </a:prstGeom>
                          <a:noFill/>
                          <a:ln>
                            <a:noFill/>
                          </a:ln>
                        </pic:spPr>
                      </pic:pic>
                    </a:graphicData>
                  </a:graphic>
                </wp:inline>
              </w:drawing>
            </w:r>
          </w:p>
          <w:p w14:paraId="7CADE766" w14:textId="77777777" w:rsidR="00C533B1" w:rsidRPr="00C27A60" w:rsidRDefault="00C533B1" w:rsidP="00C533B1">
            <w:pPr>
              <w:spacing w:after="160" w:line="259" w:lineRule="auto"/>
              <w:ind w:firstLine="240"/>
              <w:jc w:val="both"/>
              <w:rPr>
                <w:rFonts w:eastAsia="Calibri"/>
                <w:kern w:val="2"/>
                <w:sz w:val="22"/>
                <w:szCs w:val="22"/>
                <w:lang w:val="ru-RU" w:eastAsia="en-US"/>
                <w14:ligatures w14:val="standardContextual"/>
              </w:rPr>
            </w:pPr>
            <w:r w:rsidRPr="00C27A60">
              <w:rPr>
                <w:rFonts w:eastAsia="Calibri"/>
                <w:kern w:val="2"/>
                <w:sz w:val="22"/>
                <w:szCs w:val="22"/>
                <w:lang w:eastAsia="en-US"/>
                <w14:ligatures w14:val="standardContextual"/>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369336BB" w14:textId="77777777" w:rsidR="00C533B1" w:rsidRPr="00C27A60" w:rsidRDefault="00C533B1" w:rsidP="00C533B1">
            <w:pPr>
              <w:spacing w:after="160" w:line="259" w:lineRule="auto"/>
              <w:ind w:firstLine="240"/>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48A77561" w14:textId="77777777" w:rsidR="00C533B1" w:rsidRPr="00C27A60" w:rsidRDefault="00C533B1" w:rsidP="00C533B1">
            <w:pPr>
              <w:shd w:val="clear" w:color="auto" w:fill="FFFFFF"/>
              <w:jc w:val="both"/>
              <w:rPr>
                <w:b/>
                <w:sz w:val="22"/>
                <w:szCs w:val="22"/>
                <w:lang w:eastAsia="uk-UA"/>
              </w:rPr>
            </w:pPr>
            <w:r w:rsidRPr="00C27A60">
              <w:rPr>
                <w:b/>
                <w:sz w:val="22"/>
                <w:szCs w:val="22"/>
                <w:lang w:eastAsia="uk-UA"/>
              </w:rPr>
              <w:t xml:space="preserve">належним чином оформлених розрахунків витрат електричної енергії за 2022 – 2024 роки згідно із фактичними схемами роботи системи розподілу / обсягами розподілу / надходження / віддачі / транзиту електричної енергії тощо за 2022 – 2024 роки (за характерними періодами роботи мережі), проведених спеціалізованими підприємствами / 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w:t>
            </w:r>
            <w:r w:rsidRPr="00C27A60">
              <w:rPr>
                <w:b/>
                <w:sz w:val="22"/>
                <w:szCs w:val="22"/>
                <w:lang w:eastAsia="uk-UA"/>
              </w:rPr>
              <w:lastRenderedPageBreak/>
              <w:t>адміністратором комерційного обліку відповідності вихідних даних для проведення таких розрахунків, фактичному режиму роботи мережі у 2022 – 2024 роках (з 2024 року за умови, що частка оціночних даних комерційного обліку, використаних у розрахунку обсягу фактичних звітних витрат, не перевищує 5 % від загального річного обсягу розподілу  електричної енергії відповідно до даних за формою звітності № 2 НКРЕКП розподіл електричної енергії).</w:t>
            </w:r>
          </w:p>
          <w:p w14:paraId="5B4EF516" w14:textId="77777777" w:rsidR="00C533B1" w:rsidRPr="00C27A60" w:rsidRDefault="00C533B1" w:rsidP="00C533B1">
            <w:pPr>
              <w:shd w:val="clear" w:color="auto" w:fill="FFFFFF"/>
              <w:jc w:val="both"/>
              <w:rPr>
                <w:b/>
                <w:bCs/>
                <w:sz w:val="22"/>
                <w:szCs w:val="22"/>
                <w:lang w:eastAsia="uk-UA"/>
              </w:rPr>
            </w:pPr>
          </w:p>
          <w:p w14:paraId="7F1D2794" w14:textId="77777777" w:rsidR="00C533B1" w:rsidRPr="00C27A60" w:rsidRDefault="00C533B1" w:rsidP="00C533B1">
            <w:pPr>
              <w:spacing w:after="75" w:line="259" w:lineRule="auto"/>
              <w:ind w:firstLine="240"/>
              <w:jc w:val="both"/>
              <w:rPr>
                <w:rFonts w:eastAsia="Calibri"/>
                <w:b/>
                <w:kern w:val="2"/>
                <w:sz w:val="22"/>
                <w:szCs w:val="22"/>
                <w:lang w:eastAsia="en-US"/>
                <w14:ligatures w14:val="standardContextual"/>
              </w:rPr>
            </w:pPr>
            <w:r w:rsidRPr="00C27A60">
              <w:rPr>
                <w:rFonts w:eastAsia="Calibri"/>
                <w:b/>
                <w:kern w:val="2"/>
                <w:sz w:val="22"/>
                <w:szCs w:val="22"/>
                <w:lang w:eastAsia="en-US"/>
                <w14:ligatures w14:val="standardContextual"/>
              </w:rPr>
              <w:t>Д</w:t>
            </w:r>
            <w:r w:rsidRPr="00C27A60">
              <w:rPr>
                <w:rFonts w:eastAsia="Calibri"/>
                <w:b/>
                <w:kern w:val="2"/>
                <w:sz w:val="22"/>
                <w:szCs w:val="22"/>
                <w:vertAlign w:val="subscript"/>
                <w:lang w:eastAsia="en-US"/>
                <w14:ligatures w14:val="standardContextual"/>
              </w:rPr>
              <w:t xml:space="preserve">ТВЕ </w:t>
            </w:r>
            <w:proofErr w:type="spellStart"/>
            <w:r w:rsidRPr="00C27A60">
              <w:rPr>
                <w:rFonts w:eastAsia="Calibri"/>
                <w:b/>
                <w:kern w:val="2"/>
                <w:sz w:val="22"/>
                <w:szCs w:val="22"/>
                <w:vertAlign w:val="subscript"/>
                <w:lang w:eastAsia="en-US"/>
                <w14:ligatures w14:val="standardContextual"/>
              </w:rPr>
              <w:t>нф</w:t>
            </w:r>
            <w:proofErr w:type="spellEnd"/>
            <w:r w:rsidRPr="00C27A60">
              <w:rPr>
                <w:rFonts w:eastAsia="Calibri"/>
                <w:b/>
                <w:kern w:val="2"/>
                <w:sz w:val="22"/>
                <w:szCs w:val="22"/>
                <w:vertAlign w:val="subscript"/>
                <w:lang w:eastAsia="en-US"/>
                <w14:ligatures w14:val="standardContextual"/>
              </w:rPr>
              <w:t xml:space="preserve"> і </w:t>
            </w:r>
            <w:r w:rsidRPr="00C27A60">
              <w:rPr>
                <w:rFonts w:eastAsia="Calibri"/>
                <w:b/>
                <w:kern w:val="2"/>
                <w:sz w:val="22"/>
                <w:szCs w:val="22"/>
                <w:lang w:eastAsia="en-US"/>
                <w14:ligatures w14:val="standardContextual"/>
              </w:rPr>
              <w:t>за 2022 – 2024 роки визначається за формулою</w:t>
            </w:r>
          </w:p>
          <w:p w14:paraId="1C8449C3" w14:textId="77777777" w:rsidR="00C533B1" w:rsidRPr="00C27A60" w:rsidRDefault="00C533B1" w:rsidP="00C533B1">
            <w:pPr>
              <w:spacing w:after="160" w:line="259" w:lineRule="auto"/>
              <w:rPr>
                <w:rFonts w:eastAsia="Calibri"/>
                <w:b/>
                <w:kern w:val="2"/>
                <w:sz w:val="22"/>
                <w:szCs w:val="22"/>
                <w:lang w:val="ru-RU" w:eastAsia="en-US"/>
                <w14:ligatures w14:val="standardContextual"/>
              </w:rPr>
            </w:pPr>
            <w:r w:rsidRPr="00C27A60">
              <w:rPr>
                <w:rFonts w:eastAsia="Calibri"/>
                <w:b/>
                <w:kern w:val="2"/>
                <w:sz w:val="22"/>
                <w:szCs w:val="22"/>
                <w:lang w:eastAsia="en-US"/>
                <w14:ligatures w14:val="standardContextual"/>
              </w:rPr>
              <w:t>Д</w:t>
            </w:r>
            <w:r w:rsidRPr="00C27A60">
              <w:rPr>
                <w:rFonts w:eastAsia="Calibri"/>
                <w:b/>
                <w:kern w:val="2"/>
                <w:sz w:val="22"/>
                <w:szCs w:val="22"/>
                <w:vertAlign w:val="subscript"/>
                <w:lang w:eastAsia="en-US"/>
                <w14:ligatures w14:val="standardContextual"/>
              </w:rPr>
              <w:t xml:space="preserve">ТВЕ </w:t>
            </w:r>
            <w:proofErr w:type="spellStart"/>
            <w:r w:rsidRPr="00C27A60">
              <w:rPr>
                <w:rFonts w:eastAsia="Calibri"/>
                <w:b/>
                <w:kern w:val="2"/>
                <w:sz w:val="22"/>
                <w:szCs w:val="22"/>
                <w:vertAlign w:val="subscript"/>
                <w:lang w:eastAsia="en-US"/>
                <w14:ligatures w14:val="standardContextual"/>
              </w:rPr>
              <w:t>нф</w:t>
            </w:r>
            <w:proofErr w:type="spellEnd"/>
            <w:r w:rsidRPr="00C27A60">
              <w:rPr>
                <w:rFonts w:eastAsia="Calibri"/>
                <w:b/>
                <w:kern w:val="2"/>
                <w:sz w:val="22"/>
                <w:szCs w:val="22"/>
                <w:vertAlign w:val="subscript"/>
                <w:lang w:eastAsia="en-US"/>
                <w14:ligatures w14:val="standardContextual"/>
              </w:rPr>
              <w:t xml:space="preserve"> і </w:t>
            </w:r>
            <w:r w:rsidRPr="00C27A60">
              <w:rPr>
                <w:rFonts w:eastAsia="Calibri"/>
                <w:b/>
                <w:kern w:val="2"/>
                <w:sz w:val="22"/>
                <w:szCs w:val="22"/>
                <w:lang w:eastAsia="en-US"/>
                <w14:ligatures w14:val="standardContextual"/>
              </w:rPr>
              <w:t>= (О</w:t>
            </w:r>
            <w:r w:rsidRPr="00C27A60">
              <w:rPr>
                <w:rFonts w:eastAsia="Calibri"/>
                <w:b/>
                <w:kern w:val="2"/>
                <w:sz w:val="22"/>
                <w:szCs w:val="22"/>
                <w:vertAlign w:val="subscript"/>
                <w:lang w:eastAsia="en-US"/>
                <w14:ligatures w14:val="standardContextual"/>
              </w:rPr>
              <w:t>ТВЕ ф і</w:t>
            </w:r>
            <w:r w:rsidRPr="00C27A60">
              <w:rPr>
                <w:rFonts w:eastAsia="Calibri"/>
                <w:b/>
                <w:kern w:val="2"/>
                <w:sz w:val="22"/>
                <w:szCs w:val="22"/>
                <w:lang w:eastAsia="en-US"/>
                <w14:ligatures w14:val="standardContextual"/>
              </w:rPr>
              <w:t xml:space="preserve"> – О</w:t>
            </w:r>
            <w:r w:rsidRPr="00C27A60">
              <w:rPr>
                <w:rFonts w:eastAsia="Calibri"/>
                <w:b/>
                <w:kern w:val="2"/>
                <w:sz w:val="22"/>
                <w:szCs w:val="22"/>
                <w:vertAlign w:val="subscript"/>
                <w:lang w:eastAsia="en-US"/>
                <w14:ligatures w14:val="standardContextual"/>
              </w:rPr>
              <w:t>ТВЕ он і</w:t>
            </w:r>
            <w:r w:rsidRPr="00C27A60">
              <w:rPr>
                <w:rFonts w:eastAsia="Calibri"/>
                <w:b/>
                <w:kern w:val="2"/>
                <w:sz w:val="22"/>
                <w:szCs w:val="22"/>
                <w:lang w:eastAsia="en-US"/>
                <w14:ligatures w14:val="standardContextual"/>
              </w:rPr>
              <w:t>) x Ц</w:t>
            </w:r>
            <w:r w:rsidRPr="00C27A60">
              <w:rPr>
                <w:rFonts w:eastAsia="Calibri"/>
                <w:b/>
                <w:kern w:val="2"/>
                <w:sz w:val="22"/>
                <w:szCs w:val="22"/>
                <w:vertAlign w:val="subscript"/>
                <w:lang w:eastAsia="en-US"/>
                <w14:ligatures w14:val="standardContextual"/>
              </w:rPr>
              <w:t>ТВЕ і</w:t>
            </w:r>
            <w:r w:rsidRPr="00C27A60">
              <w:rPr>
                <w:rFonts w:eastAsia="Calibri"/>
                <w:b/>
                <w:kern w:val="2"/>
                <w:sz w:val="22"/>
                <w:szCs w:val="22"/>
                <w:lang w:eastAsia="en-US"/>
                <w14:ligatures w14:val="standardContextual"/>
              </w:rPr>
              <w:t>,</w:t>
            </w:r>
          </w:p>
          <w:p w14:paraId="1A0E6E05" w14:textId="77777777" w:rsidR="00C533B1" w:rsidRPr="00C27A60" w:rsidRDefault="00C533B1" w:rsidP="00BE5F6A">
            <w:pPr>
              <w:spacing w:after="160" w:line="259" w:lineRule="auto"/>
              <w:ind w:firstLine="308"/>
              <w:jc w:val="both"/>
              <w:rPr>
                <w:rFonts w:eastAsia="Calibri"/>
                <w:kern w:val="2"/>
                <w:sz w:val="22"/>
                <w:szCs w:val="22"/>
                <w:lang w:eastAsia="en-US"/>
                <w14:ligatures w14:val="standardContextual"/>
              </w:rPr>
            </w:pPr>
          </w:p>
          <w:p w14:paraId="369F87CA" w14:textId="77777777" w:rsidR="00C533B1" w:rsidRPr="00C27A60" w:rsidRDefault="00C533B1" w:rsidP="00BE5F6A">
            <w:pPr>
              <w:spacing w:after="160" w:line="259" w:lineRule="auto"/>
              <w:ind w:firstLine="308"/>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де О</w:t>
            </w:r>
            <w:r w:rsidRPr="00C27A60">
              <w:rPr>
                <w:rFonts w:eastAsia="Calibri"/>
                <w:kern w:val="2"/>
                <w:sz w:val="22"/>
                <w:szCs w:val="22"/>
                <w:vertAlign w:val="subscript"/>
                <w:lang w:eastAsia="en-US"/>
                <w14:ligatures w14:val="standardContextual"/>
              </w:rPr>
              <w:t>ТВЕ ф і</w:t>
            </w:r>
            <w:r w:rsidRPr="00C27A60">
              <w:rPr>
                <w:rFonts w:eastAsia="Calibri"/>
                <w:kern w:val="2"/>
                <w:sz w:val="22"/>
                <w:szCs w:val="22"/>
                <w:lang w:eastAsia="en-US"/>
                <w14:ligatures w14:val="standardContextual"/>
              </w:rPr>
              <w:t xml:space="preserve"> - фактичний обсяг технологічних витрат електричної енергії на її розподіл в і-му місяці звітного року, МВт·год;</w:t>
            </w:r>
          </w:p>
          <w:p w14:paraId="5611AB9F" w14:textId="4C35ACCC" w:rsidR="00C533B1" w:rsidRPr="00C27A60" w:rsidRDefault="00C533B1" w:rsidP="00BE5F6A">
            <w:pPr>
              <w:jc w:val="both"/>
              <w:rPr>
                <w:rFonts w:eastAsia="Calibri"/>
                <w:b/>
                <w:kern w:val="2"/>
                <w:sz w:val="22"/>
                <w:szCs w:val="22"/>
                <w:shd w:val="clear" w:color="auto" w:fill="FFFFFF"/>
                <w:lang w:eastAsia="en-US"/>
                <w14:ligatures w14:val="standardContextual"/>
              </w:rPr>
            </w:pPr>
            <w:r w:rsidRPr="00C27A60">
              <w:rPr>
                <w:rFonts w:eastAsia="Calibri"/>
                <w:b/>
                <w:kern w:val="2"/>
                <w:sz w:val="22"/>
                <w:szCs w:val="22"/>
                <w:shd w:val="clear" w:color="auto" w:fill="FFFFFF"/>
                <w:lang w:eastAsia="en-US"/>
                <w14:ligatures w14:val="standardContextual"/>
              </w:rPr>
              <w:t>О</w:t>
            </w:r>
            <w:r w:rsidRPr="00C27A60">
              <w:rPr>
                <w:rFonts w:eastAsia="Calibri"/>
                <w:b/>
                <w:kern w:val="2"/>
                <w:sz w:val="22"/>
                <w:szCs w:val="22"/>
                <w:shd w:val="clear" w:color="auto" w:fill="FFFFFF"/>
                <w:vertAlign w:val="subscript"/>
                <w:lang w:eastAsia="en-US"/>
                <w14:ligatures w14:val="standardContextual"/>
              </w:rPr>
              <w:t>ТВЕ он і</w:t>
            </w:r>
            <w:r w:rsidRPr="00C27A60">
              <w:rPr>
                <w:rFonts w:eastAsia="Calibri"/>
                <w:b/>
                <w:kern w:val="2"/>
                <w:sz w:val="22"/>
                <w:szCs w:val="22"/>
                <w:shd w:val="clear" w:color="auto" w:fill="FFFFFF"/>
                <w:lang w:eastAsia="en-US"/>
                <w14:ligatures w14:val="standardContextual"/>
              </w:rPr>
              <w:t xml:space="preserve">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 / надходження / віддачі / транзиту електричної енергії тощо внаслідок введення воєнного стану та/або бойових дій в Україні, в і-му місяці звітного року, МВт·год</w:t>
            </w:r>
          </w:p>
          <w:p w14:paraId="4232DC1C" w14:textId="3432FB62" w:rsidR="00C533B1" w:rsidRPr="00C27A60" w:rsidRDefault="00C533B1" w:rsidP="00BE5F6A">
            <w:pPr>
              <w:jc w:val="both"/>
              <w:rPr>
                <w:rFonts w:eastAsia="Calibri"/>
                <w:sz w:val="22"/>
                <w:szCs w:val="22"/>
                <w:lang w:eastAsia="en-US"/>
              </w:rPr>
            </w:pPr>
          </w:p>
          <w:p w14:paraId="6E911B4E" w14:textId="77777777" w:rsidR="00C533B1" w:rsidRPr="00C27A60" w:rsidRDefault="00C533B1" w:rsidP="00C533B1">
            <w:pPr>
              <w:rPr>
                <w:i/>
                <w:sz w:val="22"/>
                <w:szCs w:val="22"/>
              </w:rPr>
            </w:pPr>
            <w:r w:rsidRPr="00C27A60">
              <w:rPr>
                <w:i/>
                <w:sz w:val="22"/>
                <w:szCs w:val="22"/>
              </w:rPr>
              <w:t>ОБРГРУНТУВАННЯ:</w:t>
            </w:r>
          </w:p>
          <w:p w14:paraId="22E2B6F2" w14:textId="4FD184C8" w:rsidR="00C533B1" w:rsidRPr="00C27A60" w:rsidRDefault="00C533B1" w:rsidP="00C533B1">
            <w:pPr>
              <w:rPr>
                <w:rFonts w:eastAsia="Calibri"/>
                <w:sz w:val="22"/>
                <w:szCs w:val="22"/>
                <w:lang w:eastAsia="en-US"/>
              </w:rPr>
            </w:pPr>
          </w:p>
          <w:p w14:paraId="717A94C1" w14:textId="5804B278" w:rsidR="00C533B1" w:rsidRPr="00C27A60" w:rsidRDefault="00C533B1" w:rsidP="00C533B1">
            <w:pPr>
              <w:spacing w:after="160" w:line="259" w:lineRule="auto"/>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Пропозиції стосовно цього питання надавалися листом АТ ДТЕК Дніпровські електромережі  22.11.2024 № 69690/1001</w:t>
            </w:r>
          </w:p>
          <w:p w14:paraId="18F34C52" w14:textId="52805F65" w:rsidR="00C533B1" w:rsidRPr="00C27A60" w:rsidRDefault="00C533B1" w:rsidP="00BE5F6A">
            <w:pPr>
              <w:spacing w:after="160" w:line="259" w:lineRule="auto"/>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 xml:space="preserve"> З огляду на обмежені можливості придбання необхідних обсягів ТВЕ  на біржі за визначеним НКРЕКП тарифним індикативом ціни у 2024 році пропонуємо врахувати частки </w:t>
            </w:r>
            <w:r w:rsidRPr="00C27A60">
              <w:rPr>
                <w:rFonts w:eastAsia="Calibri"/>
                <w:kern w:val="2"/>
                <w:sz w:val="22"/>
                <w:szCs w:val="22"/>
                <w:lang w:eastAsia="en-US"/>
                <w14:ligatures w14:val="standardContextual"/>
              </w:rPr>
              <w:lastRenderedPageBreak/>
              <w:t>закупівлі ТВЕ на відповідних сегментах ринку: 60% РДД, 30% РДН, 10% БР.</w:t>
            </w:r>
          </w:p>
          <w:p w14:paraId="4E004F15" w14:textId="77777777" w:rsidR="00C533B1" w:rsidRPr="00C27A60" w:rsidRDefault="00C533B1" w:rsidP="00C533B1">
            <w:pPr>
              <w:spacing w:after="160" w:line="259" w:lineRule="auto"/>
              <w:jc w:val="both"/>
              <w:rPr>
                <w:rFonts w:eastAsia="Calibri"/>
                <w:kern w:val="2"/>
                <w:sz w:val="22"/>
                <w:szCs w:val="22"/>
                <w:lang w:eastAsia="en-US"/>
                <w14:ligatures w14:val="standardContextual"/>
              </w:rPr>
            </w:pPr>
            <w:r w:rsidRPr="00C27A60">
              <w:rPr>
                <w:rFonts w:eastAsia="Calibri"/>
                <w:kern w:val="2"/>
                <w:sz w:val="22"/>
                <w:szCs w:val="22"/>
                <w:lang w:eastAsia="en-US"/>
                <w14:ligatures w14:val="standardContextual"/>
              </w:rPr>
              <w:t>Відповідно до вимог кодексу</w:t>
            </w:r>
            <w:r w:rsidRPr="00C27A60">
              <w:rPr>
                <w:rFonts w:eastAsia="Calibri"/>
                <w:kern w:val="2"/>
                <w:sz w:val="22"/>
                <w:szCs w:val="22"/>
                <w:lang w:eastAsia="en-US"/>
                <w14:ligatures w14:val="standardContextual"/>
              </w:rPr>
              <w:br/>
              <w:t xml:space="preserve">комерційного обліку електричної енергії (п.6.5.1) ОСР зобов’язаний здійснювати зчитування даних з лічильників електричної енергії не рідше одного разу на </w:t>
            </w:r>
            <w:r w:rsidRPr="00C27A60">
              <w:rPr>
                <w:rFonts w:eastAsia="Calibri"/>
                <w:b/>
                <w:bCs/>
                <w:kern w:val="2"/>
                <w:sz w:val="22"/>
                <w:szCs w:val="22"/>
                <w:lang w:eastAsia="en-US"/>
                <w14:ligatures w14:val="standardContextual"/>
              </w:rPr>
              <w:t>шість</w:t>
            </w:r>
            <w:r w:rsidRPr="00C27A60">
              <w:rPr>
                <w:rFonts w:eastAsia="Calibri"/>
                <w:kern w:val="2"/>
                <w:sz w:val="22"/>
                <w:szCs w:val="22"/>
                <w:lang w:eastAsia="en-US"/>
                <w14:ligatures w14:val="standardContextual"/>
              </w:rPr>
              <w:t xml:space="preserve"> місяців. З урахуванням цієї вимоги, пропонується врахування 5% (частка оціночних даних комерційного обліку) від загального річного обсягу розподілу.</w:t>
            </w:r>
          </w:p>
          <w:p w14:paraId="62DF440F" w14:textId="77777777" w:rsidR="00C533B1" w:rsidRPr="00C27A60" w:rsidRDefault="00C533B1" w:rsidP="00C533B1">
            <w:pPr>
              <w:rPr>
                <w:i/>
                <w:sz w:val="22"/>
                <w:szCs w:val="22"/>
              </w:rPr>
            </w:pPr>
          </w:p>
          <w:p w14:paraId="39CDD31B" w14:textId="77777777" w:rsidR="00C533B1" w:rsidRPr="00C27A60" w:rsidRDefault="00C533B1" w:rsidP="00C533B1">
            <w:pPr>
              <w:rPr>
                <w:i/>
                <w:sz w:val="22"/>
                <w:szCs w:val="22"/>
              </w:rPr>
            </w:pPr>
            <w:r w:rsidRPr="00C27A60">
              <w:rPr>
                <w:i/>
                <w:sz w:val="22"/>
                <w:szCs w:val="22"/>
              </w:rPr>
              <w:t>АТ «ЖИТОМИРОБЛЕНЕРГО»</w:t>
            </w:r>
          </w:p>
          <w:p w14:paraId="3480A6CF" w14:textId="77777777" w:rsidR="00C533B1" w:rsidRPr="00C27A60" w:rsidRDefault="00C533B1" w:rsidP="00C533B1">
            <w:pPr>
              <w:rPr>
                <w:i/>
                <w:sz w:val="22"/>
                <w:szCs w:val="22"/>
              </w:rPr>
            </w:pPr>
          </w:p>
          <w:p w14:paraId="214C9E90" w14:textId="5799C5EE"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C27A60">
              <w:rPr>
                <w:noProof/>
                <w:sz w:val="22"/>
                <w:szCs w:val="22"/>
              </w:rPr>
              <w:drawing>
                <wp:inline distT="0" distB="0" distL="0" distR="0" wp14:anchorId="65E29105" wp14:editId="7A8EE951">
                  <wp:extent cx="581025" cy="2571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Pr="00C27A60">
              <w:rPr>
                <w:sz w:val="22"/>
                <w:szCs w:val="22"/>
                <w:lang w:eastAsia="ar-SA"/>
              </w:rPr>
              <w:t>, тис. грн, що визначається за формулою</w:t>
            </w:r>
          </w:p>
          <w:tbl>
            <w:tblPr>
              <w:tblW w:w="5526" w:type="dxa"/>
              <w:tblLayout w:type="fixed"/>
              <w:tblLook w:val="04A0" w:firstRow="1" w:lastRow="0" w:firstColumn="1" w:lastColumn="0" w:noHBand="0" w:noVBand="1"/>
            </w:tblPr>
            <w:tblGrid>
              <w:gridCol w:w="4646"/>
              <w:gridCol w:w="880"/>
            </w:tblGrid>
            <w:tr w:rsidR="00C27A60" w:rsidRPr="00C27A60" w14:paraId="2278547F" w14:textId="77777777" w:rsidTr="00E85A4B">
              <w:trPr>
                <w:trHeight w:val="27"/>
              </w:trPr>
              <w:tc>
                <w:tcPr>
                  <w:tcW w:w="4646" w:type="dxa"/>
                  <w:vAlign w:val="center"/>
                  <w:hideMark/>
                </w:tcPr>
                <w:p w14:paraId="136BB343" w14:textId="0CCB5B3F" w:rsidR="00C533B1" w:rsidRPr="00C27A60" w:rsidRDefault="00C533B1" w:rsidP="00C533B1">
                  <w:pPr>
                    <w:suppressAutoHyphens/>
                    <w:spacing w:after="75"/>
                    <w:rPr>
                      <w:sz w:val="22"/>
                      <w:szCs w:val="22"/>
                      <w:lang w:eastAsia="ar-SA"/>
                    </w:rPr>
                  </w:pPr>
                  <w:r w:rsidRPr="00C27A60">
                    <w:rPr>
                      <w:noProof/>
                      <w:sz w:val="22"/>
                      <w:szCs w:val="22"/>
                    </w:rPr>
                    <w:drawing>
                      <wp:inline distT="0" distB="0" distL="0" distR="0" wp14:anchorId="3FE25903" wp14:editId="363C1BD6">
                        <wp:extent cx="2781300" cy="484061"/>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01430" cy="487564"/>
                                </a:xfrm>
                                <a:prstGeom prst="rect">
                                  <a:avLst/>
                                </a:prstGeom>
                                <a:noFill/>
                                <a:ln>
                                  <a:noFill/>
                                </a:ln>
                              </pic:spPr>
                            </pic:pic>
                          </a:graphicData>
                        </a:graphic>
                      </wp:inline>
                    </w:drawing>
                  </w:r>
                </w:p>
              </w:tc>
              <w:tc>
                <w:tcPr>
                  <w:tcW w:w="880" w:type="dxa"/>
                  <w:vAlign w:val="center"/>
                  <w:hideMark/>
                </w:tcPr>
                <w:p w14:paraId="25C8C69E" w14:textId="77777777" w:rsidR="00C533B1" w:rsidRPr="00C27A60" w:rsidRDefault="00C533B1" w:rsidP="00C533B1">
                  <w:pPr>
                    <w:suppressAutoHyphens/>
                    <w:spacing w:after="75"/>
                    <w:jc w:val="both"/>
                    <w:rPr>
                      <w:sz w:val="22"/>
                      <w:szCs w:val="22"/>
                      <w:lang w:eastAsia="ar-SA"/>
                    </w:rPr>
                  </w:pPr>
                  <w:r w:rsidRPr="00C27A60">
                    <w:rPr>
                      <w:sz w:val="22"/>
                      <w:szCs w:val="22"/>
                      <w:lang w:eastAsia="ar-SA"/>
                    </w:rPr>
                    <w:t>,</w:t>
                  </w:r>
                </w:p>
              </w:tc>
            </w:tr>
          </w:tbl>
          <w:p w14:paraId="7D4E4F58"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де i - місяць,</w:t>
            </w:r>
          </w:p>
          <w:p w14:paraId="4046E08D"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n - кількість місяців,</w:t>
            </w:r>
          </w:p>
          <w:p w14:paraId="7A21452E"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Д</w:t>
            </w:r>
            <w:r w:rsidRPr="00C27A60">
              <w:rPr>
                <w:sz w:val="22"/>
                <w:szCs w:val="22"/>
                <w:vertAlign w:val="subscript"/>
                <w:lang w:eastAsia="ar-SA"/>
              </w:rPr>
              <w:t>ТВЕ т</w:t>
            </w:r>
            <w:r w:rsidRPr="00C27A60">
              <w:rPr>
                <w:sz w:val="22"/>
                <w:szCs w:val="22"/>
                <w:lang w:eastAsia="ar-SA"/>
              </w:rPr>
              <w:t xml:space="preserve"> - вартість технологічних витрат електричної енергії, урахована в тарифі на звітний рік, тис. грн,</w:t>
            </w:r>
          </w:p>
          <w:p w14:paraId="6967EC3F"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Д</w:t>
            </w:r>
            <w:r w:rsidRPr="00C27A60">
              <w:rPr>
                <w:sz w:val="22"/>
                <w:szCs w:val="22"/>
                <w:vertAlign w:val="subscript"/>
                <w:lang w:eastAsia="ar-SA"/>
              </w:rPr>
              <w:t xml:space="preserve">ТВЕ </w:t>
            </w:r>
            <w:proofErr w:type="spellStart"/>
            <w:r w:rsidRPr="00C27A60">
              <w:rPr>
                <w:sz w:val="22"/>
                <w:szCs w:val="22"/>
                <w:vertAlign w:val="subscript"/>
                <w:lang w:eastAsia="ar-SA"/>
              </w:rPr>
              <w:t>нф</w:t>
            </w:r>
            <w:proofErr w:type="spellEnd"/>
            <w:r w:rsidRPr="00C27A60">
              <w:rPr>
                <w:sz w:val="22"/>
                <w:szCs w:val="22"/>
                <w:vertAlign w:val="subscript"/>
                <w:lang w:eastAsia="ar-SA"/>
              </w:rPr>
              <w:t xml:space="preserve"> i</w:t>
            </w:r>
            <w:r w:rsidRPr="00C27A60">
              <w:rPr>
                <w:sz w:val="22"/>
                <w:szCs w:val="22"/>
                <w:lang w:eastAsia="ar-SA"/>
              </w:rPr>
              <w:t xml:space="preserve">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p>
          <w:p w14:paraId="52DF1483" w14:textId="77777777" w:rsidR="00C533B1" w:rsidRPr="00C27A60" w:rsidRDefault="00C533B1" w:rsidP="00C533B1">
            <w:pPr>
              <w:suppressAutoHyphens/>
              <w:spacing w:after="75"/>
              <w:ind w:firstLine="240"/>
              <w:jc w:val="center"/>
              <w:rPr>
                <w:sz w:val="22"/>
                <w:szCs w:val="22"/>
                <w:lang w:eastAsia="ar-SA"/>
              </w:rPr>
            </w:pPr>
            <w:r w:rsidRPr="00C27A60">
              <w:rPr>
                <w:sz w:val="22"/>
                <w:szCs w:val="22"/>
                <w:lang w:eastAsia="ar-SA"/>
              </w:rPr>
              <w:t>Д</w:t>
            </w:r>
            <w:r w:rsidRPr="00C27A60">
              <w:rPr>
                <w:sz w:val="22"/>
                <w:szCs w:val="22"/>
                <w:vertAlign w:val="subscript"/>
                <w:lang w:eastAsia="ar-SA"/>
              </w:rPr>
              <w:t xml:space="preserve">ТВЕ </w:t>
            </w:r>
            <w:proofErr w:type="spellStart"/>
            <w:r w:rsidRPr="00C27A60">
              <w:rPr>
                <w:sz w:val="22"/>
                <w:szCs w:val="22"/>
                <w:vertAlign w:val="subscript"/>
                <w:lang w:eastAsia="ar-SA"/>
              </w:rPr>
              <w:t>нф</w:t>
            </w:r>
            <w:proofErr w:type="spellEnd"/>
            <w:r w:rsidRPr="00C27A60">
              <w:rPr>
                <w:sz w:val="22"/>
                <w:szCs w:val="22"/>
                <w:vertAlign w:val="subscript"/>
                <w:lang w:eastAsia="ar-SA"/>
              </w:rPr>
              <w:t xml:space="preserve"> і</w:t>
            </w:r>
            <w:r w:rsidRPr="00C27A60">
              <w:rPr>
                <w:sz w:val="22"/>
                <w:szCs w:val="22"/>
                <w:lang w:eastAsia="ar-SA"/>
              </w:rPr>
              <w:t xml:space="preserve"> = О</w:t>
            </w:r>
            <w:r w:rsidRPr="00C27A60">
              <w:rPr>
                <w:sz w:val="22"/>
                <w:szCs w:val="22"/>
                <w:vertAlign w:val="subscript"/>
                <w:lang w:eastAsia="ar-SA"/>
              </w:rPr>
              <w:t xml:space="preserve">ТВЕ </w:t>
            </w:r>
            <w:proofErr w:type="spellStart"/>
            <w:r w:rsidRPr="00C27A60">
              <w:rPr>
                <w:sz w:val="22"/>
                <w:szCs w:val="22"/>
                <w:vertAlign w:val="subscript"/>
                <w:lang w:eastAsia="ar-SA"/>
              </w:rPr>
              <w:t>нф</w:t>
            </w:r>
            <w:proofErr w:type="spellEnd"/>
            <w:r w:rsidRPr="00C27A60">
              <w:rPr>
                <w:sz w:val="22"/>
                <w:szCs w:val="22"/>
                <w:vertAlign w:val="subscript"/>
                <w:lang w:eastAsia="ar-SA"/>
              </w:rPr>
              <w:t xml:space="preserve"> i</w:t>
            </w:r>
            <w:r w:rsidRPr="00C27A60">
              <w:rPr>
                <w:sz w:val="22"/>
                <w:szCs w:val="22"/>
                <w:lang w:eastAsia="ar-SA"/>
              </w:rPr>
              <w:t xml:space="preserve"> × Ц</w:t>
            </w:r>
            <w:r w:rsidRPr="00C27A60">
              <w:rPr>
                <w:sz w:val="22"/>
                <w:szCs w:val="22"/>
                <w:vertAlign w:val="subscript"/>
                <w:lang w:eastAsia="ar-SA"/>
              </w:rPr>
              <w:t>ТВЕ i</w:t>
            </w:r>
            <w:r w:rsidRPr="00C27A60">
              <w:rPr>
                <w:sz w:val="22"/>
                <w:szCs w:val="22"/>
                <w:lang w:eastAsia="ar-SA"/>
              </w:rPr>
              <w:t xml:space="preserve"> ,</w:t>
            </w:r>
          </w:p>
          <w:p w14:paraId="5322C772"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де О</w:t>
            </w:r>
            <w:r w:rsidRPr="00C27A60">
              <w:rPr>
                <w:sz w:val="22"/>
                <w:szCs w:val="22"/>
                <w:vertAlign w:val="subscript"/>
                <w:lang w:eastAsia="ar-SA"/>
              </w:rPr>
              <w:t xml:space="preserve">ТВЕ </w:t>
            </w:r>
            <w:proofErr w:type="spellStart"/>
            <w:r w:rsidRPr="00C27A60">
              <w:rPr>
                <w:sz w:val="22"/>
                <w:szCs w:val="22"/>
                <w:vertAlign w:val="subscript"/>
                <w:lang w:eastAsia="ar-SA"/>
              </w:rPr>
              <w:t>нф</w:t>
            </w:r>
            <w:proofErr w:type="spellEnd"/>
            <w:r w:rsidRPr="00C27A60">
              <w:rPr>
                <w:sz w:val="22"/>
                <w:szCs w:val="22"/>
                <w:vertAlign w:val="subscript"/>
                <w:lang w:eastAsia="ar-SA"/>
              </w:rPr>
              <w:t xml:space="preserve"> i</w:t>
            </w:r>
            <w:r w:rsidRPr="00C27A60">
              <w:rPr>
                <w:sz w:val="22"/>
                <w:szCs w:val="22"/>
                <w:lang w:eastAsia="ar-SA"/>
              </w:rPr>
              <w:t xml:space="preserve"> - нормативно-фактичний обсяг технологічних витрат електричної енергії на її розподіл на 1 та 2 класах напруги, в і-му місяці звітного року, МВт·год, що розраховується за формулою</w:t>
            </w:r>
          </w:p>
          <w:tbl>
            <w:tblPr>
              <w:tblW w:w="7555" w:type="dxa"/>
              <w:tblLayout w:type="fixed"/>
              <w:tblLook w:val="04A0" w:firstRow="1" w:lastRow="0" w:firstColumn="1" w:lastColumn="0" w:noHBand="0" w:noVBand="1"/>
            </w:tblPr>
            <w:tblGrid>
              <w:gridCol w:w="6968"/>
              <w:gridCol w:w="587"/>
            </w:tblGrid>
            <w:tr w:rsidR="00C27A60" w:rsidRPr="00C27A60" w14:paraId="6BF86E71" w14:textId="77777777" w:rsidTr="006A54E9">
              <w:trPr>
                <w:trHeight w:val="37"/>
              </w:trPr>
              <w:tc>
                <w:tcPr>
                  <w:tcW w:w="6968" w:type="dxa"/>
                  <w:vAlign w:val="center"/>
                  <w:hideMark/>
                </w:tcPr>
                <w:p w14:paraId="784A42CB" w14:textId="146610B9" w:rsidR="00C533B1" w:rsidRPr="00C27A60" w:rsidRDefault="00C533B1" w:rsidP="00C533B1">
                  <w:pPr>
                    <w:suppressAutoHyphens/>
                    <w:spacing w:after="75"/>
                    <w:rPr>
                      <w:sz w:val="22"/>
                      <w:szCs w:val="22"/>
                      <w:lang w:eastAsia="ar-SA"/>
                    </w:rPr>
                  </w:pPr>
                  <w:r w:rsidRPr="00C27A60">
                    <w:rPr>
                      <w:noProof/>
                      <w:sz w:val="22"/>
                      <w:szCs w:val="22"/>
                    </w:rPr>
                    <w:lastRenderedPageBreak/>
                    <w:drawing>
                      <wp:inline distT="0" distB="0" distL="0" distR="0" wp14:anchorId="697DAD04" wp14:editId="6AE44438">
                        <wp:extent cx="3409950" cy="332489"/>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77953" cy="339120"/>
                                </a:xfrm>
                                <a:prstGeom prst="rect">
                                  <a:avLst/>
                                </a:prstGeom>
                                <a:noFill/>
                                <a:ln>
                                  <a:noFill/>
                                </a:ln>
                              </pic:spPr>
                            </pic:pic>
                          </a:graphicData>
                        </a:graphic>
                      </wp:inline>
                    </w:drawing>
                  </w:r>
                </w:p>
              </w:tc>
              <w:tc>
                <w:tcPr>
                  <w:tcW w:w="587" w:type="dxa"/>
                  <w:vAlign w:val="center"/>
                  <w:hideMark/>
                </w:tcPr>
                <w:p w14:paraId="53F1528B" w14:textId="77777777" w:rsidR="00C533B1" w:rsidRPr="00C27A60" w:rsidRDefault="00C533B1" w:rsidP="00C533B1">
                  <w:pPr>
                    <w:suppressAutoHyphens/>
                    <w:spacing w:after="75"/>
                    <w:jc w:val="both"/>
                    <w:rPr>
                      <w:sz w:val="22"/>
                      <w:szCs w:val="22"/>
                      <w:lang w:eastAsia="ar-SA"/>
                    </w:rPr>
                  </w:pPr>
                  <w:r w:rsidRPr="00C27A60">
                    <w:rPr>
                      <w:sz w:val="22"/>
                      <w:szCs w:val="22"/>
                      <w:lang w:eastAsia="ar-SA"/>
                    </w:rPr>
                    <w:t>,</w:t>
                  </w:r>
                </w:p>
              </w:tc>
            </w:tr>
          </w:tbl>
          <w:p w14:paraId="34B1DDFC"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 xml:space="preserve">де </w:t>
            </w:r>
            <w:r w:rsidRPr="00C27A60">
              <w:rPr>
                <w:i/>
                <w:sz w:val="22"/>
                <w:szCs w:val="22"/>
                <w:lang w:eastAsia="ar-SA"/>
              </w:rPr>
              <w:t>W</w:t>
            </w:r>
            <w:r w:rsidRPr="00C27A60">
              <w:rPr>
                <w:sz w:val="22"/>
                <w:szCs w:val="22"/>
                <w:vertAlign w:val="subscript"/>
                <w:lang w:eastAsia="ar-SA"/>
              </w:rPr>
              <w:t>1 i</w:t>
            </w:r>
            <w:r w:rsidRPr="00C27A60">
              <w:rPr>
                <w:sz w:val="22"/>
                <w:szCs w:val="22"/>
                <w:lang w:eastAsia="ar-SA"/>
              </w:rPr>
              <w:t xml:space="preserve"> , - фактичний обсяг корисного відпуску електричної енергії споживачам на 1 класі напруги у і-му місяці звітного року, МВт·год;</w:t>
            </w:r>
          </w:p>
          <w:p w14:paraId="269DECFB" w14:textId="77777777" w:rsidR="00C533B1" w:rsidRPr="00C27A60" w:rsidRDefault="00C533B1" w:rsidP="00C533B1">
            <w:pPr>
              <w:suppressAutoHyphens/>
              <w:spacing w:after="75"/>
              <w:ind w:firstLine="240"/>
              <w:jc w:val="both"/>
              <w:rPr>
                <w:sz w:val="22"/>
                <w:szCs w:val="22"/>
                <w:lang w:eastAsia="ar-SA"/>
              </w:rPr>
            </w:pPr>
            <w:r w:rsidRPr="00C27A60">
              <w:rPr>
                <w:i/>
                <w:sz w:val="22"/>
                <w:szCs w:val="22"/>
                <w:lang w:eastAsia="ar-SA"/>
              </w:rPr>
              <w:t>W</w:t>
            </w:r>
            <w:r w:rsidRPr="00C27A60">
              <w:rPr>
                <w:sz w:val="22"/>
                <w:szCs w:val="22"/>
                <w:vertAlign w:val="subscript"/>
                <w:lang w:eastAsia="ar-SA"/>
              </w:rPr>
              <w:t>2 i</w:t>
            </w:r>
            <w:r w:rsidRPr="00C27A60">
              <w:rPr>
                <w:sz w:val="22"/>
                <w:szCs w:val="22"/>
                <w:lang w:eastAsia="ar-SA"/>
              </w:rPr>
              <w:t xml:space="preserve"> - фактичний обсяг розподілу електричної енергії споживачам на 2 класі напруги в і-му місяці звітного року, МВт·год;</w:t>
            </w:r>
          </w:p>
          <w:p w14:paraId="13992A42"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К</w:t>
            </w:r>
            <w:r w:rsidRPr="00C27A60">
              <w:rPr>
                <w:sz w:val="22"/>
                <w:szCs w:val="22"/>
                <w:vertAlign w:val="subscript"/>
                <w:lang w:eastAsia="ar-SA"/>
              </w:rPr>
              <w:t>1</w:t>
            </w:r>
            <w:r w:rsidRPr="00C27A60">
              <w:rPr>
                <w:sz w:val="22"/>
                <w:szCs w:val="22"/>
                <w:lang w:eastAsia="ar-SA"/>
              </w:rPr>
              <w:t>, К</w:t>
            </w:r>
            <w:r w:rsidRPr="00C27A60">
              <w:rPr>
                <w:sz w:val="22"/>
                <w:szCs w:val="22"/>
                <w:vertAlign w:val="subscript"/>
                <w:lang w:eastAsia="ar-SA"/>
              </w:rPr>
              <w:t>2</w:t>
            </w:r>
            <w:r w:rsidRPr="00C27A60">
              <w:rPr>
                <w:sz w:val="22"/>
                <w:szCs w:val="22"/>
                <w:lang w:eastAsia="ar-SA"/>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75F6EDFB"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Ц</w:t>
            </w:r>
            <w:r w:rsidRPr="00C27A60">
              <w:rPr>
                <w:sz w:val="22"/>
                <w:szCs w:val="22"/>
                <w:vertAlign w:val="subscript"/>
                <w:lang w:eastAsia="ar-SA"/>
              </w:rPr>
              <w:t>ТВЕ i</w:t>
            </w:r>
            <w:r w:rsidRPr="00C27A60">
              <w:rPr>
                <w:sz w:val="22"/>
                <w:szCs w:val="22"/>
                <w:lang w:eastAsia="ar-SA"/>
              </w:rPr>
              <w:t xml:space="preserve">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грн/МВт·год, та розраховується за формулою</w:t>
            </w:r>
          </w:p>
          <w:p w14:paraId="1D14A561" w14:textId="77777777" w:rsidR="00C533B1" w:rsidRPr="00C27A60" w:rsidRDefault="00C533B1" w:rsidP="00C533B1">
            <w:pPr>
              <w:suppressAutoHyphens/>
              <w:spacing w:after="75"/>
              <w:ind w:firstLine="240"/>
              <w:jc w:val="center"/>
              <w:rPr>
                <w:sz w:val="22"/>
                <w:szCs w:val="22"/>
                <w:lang w:eastAsia="ar-SA"/>
              </w:rPr>
            </w:pPr>
            <w:r w:rsidRPr="00C27A60">
              <w:rPr>
                <w:sz w:val="22"/>
                <w:szCs w:val="22"/>
                <w:lang w:eastAsia="ar-SA"/>
              </w:rPr>
              <w:t>Ц</w:t>
            </w:r>
            <w:r w:rsidRPr="00C27A60">
              <w:rPr>
                <w:sz w:val="22"/>
                <w:szCs w:val="22"/>
                <w:vertAlign w:val="subscript"/>
                <w:lang w:eastAsia="ar-SA"/>
              </w:rPr>
              <w:t>ТВЕ i</w:t>
            </w:r>
            <w:r w:rsidRPr="00C27A60">
              <w:rPr>
                <w:sz w:val="22"/>
                <w:szCs w:val="22"/>
                <w:lang w:eastAsia="ar-SA"/>
              </w:rPr>
              <w:t xml:space="preserve"> </w:t>
            </w:r>
            <w:r w:rsidRPr="00C27A60">
              <w:rPr>
                <w:sz w:val="22"/>
                <w:szCs w:val="22"/>
                <w:vertAlign w:val="subscript"/>
                <w:lang w:eastAsia="ar-SA"/>
              </w:rPr>
              <w:t>=</w:t>
            </w:r>
            <w:r w:rsidRPr="00C27A60">
              <w:rPr>
                <w:sz w:val="22"/>
                <w:szCs w:val="22"/>
                <w:lang w:eastAsia="ar-SA"/>
              </w:rPr>
              <w:t xml:space="preserve"> Ц </w:t>
            </w:r>
            <w:r w:rsidRPr="00C27A60">
              <w:rPr>
                <w:sz w:val="22"/>
                <w:szCs w:val="22"/>
                <w:vertAlign w:val="subscript"/>
                <w:lang w:eastAsia="ar-SA"/>
              </w:rPr>
              <w:t>РДН ф i</w:t>
            </w:r>
            <w:r w:rsidRPr="00C27A60">
              <w:rPr>
                <w:sz w:val="22"/>
                <w:szCs w:val="22"/>
                <w:lang w:eastAsia="ar-SA"/>
              </w:rPr>
              <w:t xml:space="preserve"> × (1 - К</w:t>
            </w:r>
            <w:r w:rsidRPr="00C27A60">
              <w:rPr>
                <w:sz w:val="22"/>
                <w:szCs w:val="22"/>
                <w:vertAlign w:val="superscript"/>
                <w:lang w:eastAsia="ar-SA"/>
              </w:rPr>
              <w:t>БР</w:t>
            </w:r>
            <w:r w:rsidRPr="00C27A60">
              <w:rPr>
                <w:sz w:val="22"/>
                <w:szCs w:val="22"/>
                <w:vertAlign w:val="subscript"/>
                <w:lang w:eastAsia="ar-SA"/>
              </w:rPr>
              <w:t>W</w:t>
            </w:r>
            <w:r w:rsidRPr="00C27A60">
              <w:rPr>
                <w:sz w:val="22"/>
                <w:szCs w:val="22"/>
                <w:lang w:eastAsia="ar-SA"/>
              </w:rPr>
              <w:t xml:space="preserve"> - К</w:t>
            </w:r>
            <w:r w:rsidRPr="00C27A60">
              <w:rPr>
                <w:sz w:val="22"/>
                <w:szCs w:val="22"/>
                <w:vertAlign w:val="superscript"/>
                <w:lang w:eastAsia="ar-SA"/>
              </w:rPr>
              <w:t>ДД</w:t>
            </w:r>
            <w:r w:rsidRPr="00C27A60">
              <w:rPr>
                <w:sz w:val="22"/>
                <w:szCs w:val="22"/>
                <w:vertAlign w:val="subscript"/>
                <w:lang w:eastAsia="ar-SA"/>
              </w:rPr>
              <w:t>W</w:t>
            </w:r>
            <w:r w:rsidRPr="00C27A60">
              <w:rPr>
                <w:sz w:val="22"/>
                <w:szCs w:val="22"/>
                <w:lang w:eastAsia="ar-SA"/>
              </w:rPr>
              <w:t xml:space="preserve">) + Ц </w:t>
            </w:r>
            <w:r w:rsidRPr="00C27A60">
              <w:rPr>
                <w:sz w:val="22"/>
                <w:szCs w:val="22"/>
                <w:vertAlign w:val="subscript"/>
                <w:lang w:eastAsia="ar-SA"/>
              </w:rPr>
              <w:t>РДН ф i</w:t>
            </w:r>
            <w:r w:rsidRPr="00C27A60">
              <w:rPr>
                <w:sz w:val="22"/>
                <w:szCs w:val="22"/>
                <w:lang w:eastAsia="ar-SA"/>
              </w:rPr>
              <w:t xml:space="preserve"> × (1 + К</w:t>
            </w:r>
            <w:r w:rsidRPr="00C27A60">
              <w:rPr>
                <w:sz w:val="22"/>
                <w:szCs w:val="22"/>
                <w:vertAlign w:val="superscript"/>
                <w:lang w:eastAsia="ar-SA"/>
              </w:rPr>
              <w:t>БР</w:t>
            </w:r>
            <w:r w:rsidRPr="00C27A60">
              <w:rPr>
                <w:sz w:val="22"/>
                <w:szCs w:val="22"/>
                <w:vertAlign w:val="subscript"/>
                <w:lang w:eastAsia="ar-SA"/>
              </w:rPr>
              <w:t>Ц</w:t>
            </w:r>
            <w:r w:rsidRPr="00C27A60">
              <w:rPr>
                <w:sz w:val="22"/>
                <w:szCs w:val="22"/>
                <w:lang w:eastAsia="ar-SA"/>
              </w:rPr>
              <w:t>) × К</w:t>
            </w:r>
            <w:r w:rsidRPr="00C27A60">
              <w:rPr>
                <w:sz w:val="22"/>
                <w:szCs w:val="22"/>
                <w:vertAlign w:val="superscript"/>
                <w:lang w:eastAsia="ar-SA"/>
              </w:rPr>
              <w:t>БР</w:t>
            </w:r>
            <w:r w:rsidRPr="00C27A60">
              <w:rPr>
                <w:sz w:val="22"/>
                <w:szCs w:val="22"/>
                <w:vertAlign w:val="subscript"/>
                <w:lang w:eastAsia="ar-SA"/>
              </w:rPr>
              <w:t>W</w:t>
            </w:r>
            <w:r w:rsidRPr="00C27A60">
              <w:rPr>
                <w:sz w:val="22"/>
                <w:szCs w:val="22"/>
                <w:lang w:eastAsia="ar-SA"/>
              </w:rPr>
              <w:t xml:space="preserve"> + Ц </w:t>
            </w:r>
            <w:r w:rsidRPr="00C27A60">
              <w:rPr>
                <w:sz w:val="22"/>
                <w:szCs w:val="22"/>
                <w:vertAlign w:val="subscript"/>
                <w:lang w:eastAsia="ar-SA"/>
              </w:rPr>
              <w:t>РДД ф i</w:t>
            </w:r>
            <w:r w:rsidRPr="00C27A60">
              <w:rPr>
                <w:sz w:val="22"/>
                <w:szCs w:val="22"/>
                <w:lang w:eastAsia="ar-SA"/>
              </w:rPr>
              <w:t xml:space="preserve"> × К</w:t>
            </w:r>
            <w:r w:rsidRPr="00C27A60">
              <w:rPr>
                <w:sz w:val="22"/>
                <w:szCs w:val="22"/>
                <w:vertAlign w:val="superscript"/>
                <w:lang w:eastAsia="ar-SA"/>
              </w:rPr>
              <w:t>ДД</w:t>
            </w:r>
            <w:r w:rsidRPr="00C27A60">
              <w:rPr>
                <w:sz w:val="22"/>
                <w:szCs w:val="22"/>
                <w:vertAlign w:val="subscript"/>
                <w:lang w:eastAsia="ar-SA"/>
              </w:rPr>
              <w:t>W,</w:t>
            </w:r>
          </w:p>
          <w:p w14:paraId="3C1942FF"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 xml:space="preserve">де Ц </w:t>
            </w:r>
            <w:r w:rsidRPr="00C27A60">
              <w:rPr>
                <w:sz w:val="22"/>
                <w:szCs w:val="22"/>
                <w:vertAlign w:val="subscript"/>
                <w:lang w:eastAsia="ar-SA"/>
              </w:rPr>
              <w:t>РДН ф i</w:t>
            </w:r>
            <w:r w:rsidRPr="00C27A60">
              <w:rPr>
                <w:sz w:val="22"/>
                <w:szCs w:val="22"/>
                <w:lang w:eastAsia="ar-SA"/>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оператора системи розподілу, грн/МВт·год,</w:t>
            </w:r>
          </w:p>
          <w:p w14:paraId="302BF26D"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К</w:t>
            </w:r>
            <w:r w:rsidRPr="00C27A60">
              <w:rPr>
                <w:sz w:val="22"/>
                <w:szCs w:val="22"/>
                <w:vertAlign w:val="superscript"/>
                <w:lang w:eastAsia="ar-SA"/>
              </w:rPr>
              <w:t>БР</w:t>
            </w:r>
            <w:r w:rsidRPr="00C27A60">
              <w:rPr>
                <w:sz w:val="22"/>
                <w:szCs w:val="22"/>
                <w:vertAlign w:val="subscript"/>
                <w:lang w:eastAsia="ar-SA"/>
              </w:rPr>
              <w:t>W</w:t>
            </w:r>
            <w:r w:rsidRPr="00C27A60">
              <w:rPr>
                <w:sz w:val="22"/>
                <w:szCs w:val="22"/>
                <w:lang w:eastAsia="ar-SA"/>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w:t>
            </w:r>
            <w:r w:rsidRPr="00C27A60">
              <w:rPr>
                <w:b/>
                <w:sz w:val="22"/>
                <w:szCs w:val="22"/>
                <w:lang w:eastAsia="ar-SA"/>
              </w:rPr>
              <w:t>,</w:t>
            </w:r>
            <w:r w:rsidRPr="00C27A60">
              <w:rPr>
                <w:sz w:val="22"/>
                <w:szCs w:val="22"/>
                <w:lang w:eastAsia="ar-SA"/>
              </w:rPr>
              <w:t xml:space="preserve"> відносні одиниці;</w:t>
            </w:r>
          </w:p>
          <w:p w14:paraId="21000582"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К</w:t>
            </w:r>
            <w:r w:rsidRPr="00C27A60">
              <w:rPr>
                <w:sz w:val="22"/>
                <w:szCs w:val="22"/>
                <w:vertAlign w:val="superscript"/>
                <w:lang w:eastAsia="ar-SA"/>
              </w:rPr>
              <w:t>ДД</w:t>
            </w:r>
            <w:r w:rsidRPr="00C27A60">
              <w:rPr>
                <w:sz w:val="22"/>
                <w:szCs w:val="22"/>
                <w:vertAlign w:val="subscript"/>
                <w:lang w:eastAsia="ar-SA"/>
              </w:rPr>
              <w:t>W</w:t>
            </w:r>
            <w:r w:rsidRPr="00C27A60">
              <w:rPr>
                <w:sz w:val="22"/>
                <w:szCs w:val="22"/>
                <w:lang w:eastAsia="ar-SA"/>
              </w:rPr>
              <w:t xml:space="preserve">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w:t>
            </w:r>
            <w:r w:rsidRPr="00C27A60">
              <w:rPr>
                <w:sz w:val="22"/>
                <w:szCs w:val="22"/>
                <w:lang w:eastAsia="ar-SA"/>
              </w:rPr>
              <w:lastRenderedPageBreak/>
              <w:t>електричної енергії) в i-му місяці звітного року, відносні одиниці;</w:t>
            </w:r>
          </w:p>
          <w:p w14:paraId="18E011C3"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К</w:t>
            </w:r>
            <w:r w:rsidRPr="00C27A60">
              <w:rPr>
                <w:sz w:val="22"/>
                <w:szCs w:val="22"/>
                <w:vertAlign w:val="superscript"/>
                <w:lang w:eastAsia="ar-SA"/>
              </w:rPr>
              <w:t>БР</w:t>
            </w:r>
            <w:r w:rsidRPr="00C27A60">
              <w:rPr>
                <w:sz w:val="22"/>
                <w:szCs w:val="22"/>
                <w:vertAlign w:val="subscript"/>
                <w:lang w:eastAsia="ar-SA"/>
              </w:rPr>
              <w:t>Ц</w:t>
            </w:r>
            <w:r w:rsidRPr="00C27A60">
              <w:rPr>
                <w:sz w:val="22"/>
                <w:szCs w:val="22"/>
                <w:lang w:eastAsia="ar-SA"/>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67162EE5"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 xml:space="preserve">Ц </w:t>
            </w:r>
            <w:r w:rsidRPr="00C27A60">
              <w:rPr>
                <w:sz w:val="22"/>
                <w:szCs w:val="22"/>
                <w:vertAlign w:val="subscript"/>
                <w:lang w:eastAsia="ar-SA"/>
              </w:rPr>
              <w:t>РДД ф i</w:t>
            </w:r>
            <w:r w:rsidRPr="00C27A60">
              <w:rPr>
                <w:sz w:val="22"/>
                <w:szCs w:val="22"/>
                <w:lang w:eastAsia="ar-SA"/>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грн/МВт·год.</w:t>
            </w:r>
          </w:p>
          <w:p w14:paraId="5911E4DA"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Для цілей розрахунку складова (1 - К</w:t>
            </w:r>
            <w:r w:rsidRPr="00C27A60">
              <w:rPr>
                <w:sz w:val="22"/>
                <w:szCs w:val="22"/>
                <w:vertAlign w:val="superscript"/>
                <w:lang w:eastAsia="ar-SA"/>
              </w:rPr>
              <w:t>БР</w:t>
            </w:r>
            <w:r w:rsidRPr="00C27A60">
              <w:rPr>
                <w:sz w:val="22"/>
                <w:szCs w:val="22"/>
                <w:vertAlign w:val="subscript"/>
                <w:lang w:eastAsia="ar-SA"/>
              </w:rPr>
              <w:t>W</w:t>
            </w:r>
            <w:r w:rsidRPr="00C27A60">
              <w:rPr>
                <w:sz w:val="22"/>
                <w:szCs w:val="22"/>
                <w:lang w:eastAsia="ar-SA"/>
              </w:rPr>
              <w:t xml:space="preserve"> - К</w:t>
            </w:r>
            <w:r w:rsidRPr="00C27A60">
              <w:rPr>
                <w:sz w:val="22"/>
                <w:szCs w:val="22"/>
                <w:vertAlign w:val="superscript"/>
                <w:lang w:eastAsia="ar-SA"/>
              </w:rPr>
              <w:t>ДД</w:t>
            </w:r>
            <w:r w:rsidRPr="00C27A60">
              <w:rPr>
                <w:sz w:val="22"/>
                <w:szCs w:val="22"/>
                <w:vertAlign w:val="subscript"/>
                <w:lang w:eastAsia="ar-SA"/>
              </w:rPr>
              <w:t>W</w:t>
            </w:r>
            <w:r w:rsidRPr="00C27A60">
              <w:rPr>
                <w:sz w:val="22"/>
                <w:szCs w:val="22"/>
                <w:lang w:eastAsia="ar-SA"/>
              </w:rPr>
              <w:t>) приймається рівною нулю у разі, якщо її значення менше нуля.</w:t>
            </w:r>
          </w:p>
          <w:p w14:paraId="1E855AFC"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Починаючи з 2023 року:</w:t>
            </w:r>
          </w:p>
          <w:p w14:paraId="7D003C93"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 xml:space="preserve">Ц </w:t>
            </w:r>
            <w:r w:rsidRPr="00C27A60">
              <w:rPr>
                <w:sz w:val="22"/>
                <w:szCs w:val="22"/>
                <w:vertAlign w:val="subscript"/>
                <w:lang w:eastAsia="ar-SA"/>
              </w:rPr>
              <w:t>ТВЕ і</w:t>
            </w:r>
            <w:r w:rsidRPr="00C27A60">
              <w:rPr>
                <w:sz w:val="22"/>
                <w:szCs w:val="22"/>
                <w:lang w:eastAsia="ar-SA"/>
              </w:rPr>
              <w:t xml:space="preserve"> = Ц </w:t>
            </w:r>
            <w:r w:rsidRPr="00C27A60">
              <w:rPr>
                <w:sz w:val="22"/>
                <w:szCs w:val="22"/>
                <w:vertAlign w:val="subscript"/>
                <w:lang w:eastAsia="ar-SA"/>
              </w:rPr>
              <w:t>РДН ф і</w:t>
            </w:r>
            <w:r w:rsidRPr="00C27A60">
              <w:rPr>
                <w:sz w:val="22"/>
                <w:szCs w:val="22"/>
                <w:lang w:eastAsia="ar-SA"/>
              </w:rPr>
              <w:t xml:space="preserve"> × (1 - </w:t>
            </w:r>
            <w:proofErr w:type="spellStart"/>
            <w:r w:rsidRPr="00C27A60">
              <w:rPr>
                <w:sz w:val="22"/>
                <w:szCs w:val="22"/>
                <w:lang w:eastAsia="ar-SA"/>
              </w:rPr>
              <w:t>К</w:t>
            </w:r>
            <w:r w:rsidRPr="00C27A60">
              <w:rPr>
                <w:sz w:val="22"/>
                <w:szCs w:val="22"/>
                <w:vertAlign w:val="superscript"/>
                <w:lang w:eastAsia="ar-SA"/>
              </w:rPr>
              <w:t>БР</w:t>
            </w:r>
            <w:r w:rsidRPr="00C27A60">
              <w:rPr>
                <w:sz w:val="22"/>
                <w:szCs w:val="22"/>
                <w:lang w:eastAsia="ar-SA"/>
              </w:rPr>
              <w:t>w</w:t>
            </w:r>
            <w:proofErr w:type="spellEnd"/>
            <w:r w:rsidRPr="00C27A60">
              <w:rPr>
                <w:sz w:val="22"/>
                <w:szCs w:val="22"/>
                <w:lang w:eastAsia="ar-SA"/>
              </w:rPr>
              <w:t xml:space="preserve"> - </w:t>
            </w:r>
            <w:proofErr w:type="spellStart"/>
            <w:r w:rsidRPr="00C27A60">
              <w:rPr>
                <w:sz w:val="22"/>
                <w:szCs w:val="22"/>
                <w:lang w:eastAsia="ar-SA"/>
              </w:rPr>
              <w:t>К</w:t>
            </w:r>
            <w:r w:rsidRPr="00C27A60">
              <w:rPr>
                <w:sz w:val="22"/>
                <w:szCs w:val="22"/>
                <w:vertAlign w:val="superscript"/>
                <w:lang w:eastAsia="ar-SA"/>
              </w:rPr>
              <w:t>ДД</w:t>
            </w:r>
            <w:r w:rsidRPr="00C27A60">
              <w:rPr>
                <w:sz w:val="22"/>
                <w:szCs w:val="22"/>
                <w:lang w:eastAsia="ar-SA"/>
              </w:rPr>
              <w:t>w</w:t>
            </w:r>
            <w:proofErr w:type="spellEnd"/>
            <w:r w:rsidRPr="00C27A60">
              <w:rPr>
                <w:sz w:val="22"/>
                <w:szCs w:val="22"/>
                <w:lang w:eastAsia="ar-SA"/>
              </w:rPr>
              <w:t xml:space="preserve">) + Ц </w:t>
            </w:r>
            <w:r w:rsidRPr="00C27A60">
              <w:rPr>
                <w:sz w:val="22"/>
                <w:szCs w:val="22"/>
                <w:vertAlign w:val="subscript"/>
                <w:lang w:eastAsia="ar-SA"/>
              </w:rPr>
              <w:t>РДН ф і</w:t>
            </w:r>
            <w:r w:rsidRPr="00C27A60">
              <w:rPr>
                <w:sz w:val="22"/>
                <w:szCs w:val="22"/>
                <w:lang w:eastAsia="ar-SA"/>
              </w:rPr>
              <w:t xml:space="preserve"> × (1 + </w:t>
            </w:r>
            <w:proofErr w:type="spellStart"/>
            <w:r w:rsidRPr="00C27A60">
              <w:rPr>
                <w:sz w:val="22"/>
                <w:szCs w:val="22"/>
                <w:lang w:eastAsia="ar-SA"/>
              </w:rPr>
              <w:t>К</w:t>
            </w:r>
            <w:r w:rsidRPr="00C27A60">
              <w:rPr>
                <w:sz w:val="22"/>
                <w:szCs w:val="22"/>
                <w:vertAlign w:val="superscript"/>
                <w:lang w:eastAsia="ar-SA"/>
              </w:rPr>
              <w:t>БР</w:t>
            </w:r>
            <w:r w:rsidRPr="00C27A60">
              <w:rPr>
                <w:sz w:val="22"/>
                <w:szCs w:val="22"/>
                <w:lang w:eastAsia="ar-SA"/>
              </w:rPr>
              <w:t>ц</w:t>
            </w:r>
            <w:proofErr w:type="spellEnd"/>
            <w:r w:rsidRPr="00C27A60">
              <w:rPr>
                <w:sz w:val="22"/>
                <w:szCs w:val="22"/>
                <w:lang w:eastAsia="ar-SA"/>
              </w:rPr>
              <w:t xml:space="preserve">) × </w:t>
            </w:r>
            <w:proofErr w:type="spellStart"/>
            <w:r w:rsidRPr="00C27A60">
              <w:rPr>
                <w:sz w:val="22"/>
                <w:szCs w:val="22"/>
                <w:lang w:eastAsia="ar-SA"/>
              </w:rPr>
              <w:t>К</w:t>
            </w:r>
            <w:r w:rsidRPr="00C27A60">
              <w:rPr>
                <w:sz w:val="22"/>
                <w:szCs w:val="22"/>
                <w:vertAlign w:val="superscript"/>
                <w:lang w:eastAsia="ar-SA"/>
              </w:rPr>
              <w:t>БР</w:t>
            </w:r>
            <w:r w:rsidRPr="00C27A60">
              <w:rPr>
                <w:sz w:val="22"/>
                <w:szCs w:val="22"/>
                <w:lang w:eastAsia="ar-SA"/>
              </w:rPr>
              <w:t>w</w:t>
            </w:r>
            <w:proofErr w:type="spellEnd"/>
            <w:r w:rsidRPr="00C27A60">
              <w:rPr>
                <w:sz w:val="22"/>
                <w:szCs w:val="22"/>
                <w:lang w:eastAsia="ar-SA"/>
              </w:rPr>
              <w:t xml:space="preserve"> + Ц </w:t>
            </w:r>
            <w:r w:rsidRPr="00C27A60">
              <w:rPr>
                <w:sz w:val="22"/>
                <w:szCs w:val="22"/>
                <w:vertAlign w:val="subscript"/>
                <w:lang w:eastAsia="ar-SA"/>
              </w:rPr>
              <w:t>РДД ф і</w:t>
            </w:r>
            <w:r w:rsidRPr="00C27A60">
              <w:rPr>
                <w:sz w:val="22"/>
                <w:szCs w:val="22"/>
                <w:lang w:eastAsia="ar-SA"/>
              </w:rPr>
              <w:t xml:space="preserve"> × К × </w:t>
            </w:r>
            <w:proofErr w:type="spellStart"/>
            <w:r w:rsidRPr="00C27A60">
              <w:rPr>
                <w:sz w:val="22"/>
                <w:szCs w:val="22"/>
                <w:lang w:eastAsia="ar-SA"/>
              </w:rPr>
              <w:t>К</w:t>
            </w:r>
            <w:r w:rsidRPr="00C27A60">
              <w:rPr>
                <w:sz w:val="22"/>
                <w:szCs w:val="22"/>
                <w:vertAlign w:val="superscript"/>
                <w:lang w:eastAsia="ar-SA"/>
              </w:rPr>
              <w:t>ДД</w:t>
            </w:r>
            <w:r w:rsidRPr="00C27A60">
              <w:rPr>
                <w:sz w:val="22"/>
                <w:szCs w:val="22"/>
                <w:lang w:eastAsia="ar-SA"/>
              </w:rPr>
              <w:t>w</w:t>
            </w:r>
            <w:proofErr w:type="spellEnd"/>
            <w:r w:rsidRPr="00C27A60">
              <w:rPr>
                <w:sz w:val="22"/>
                <w:szCs w:val="22"/>
                <w:lang w:eastAsia="ar-SA"/>
              </w:rPr>
              <w:t>;</w:t>
            </w:r>
          </w:p>
          <w:p w14:paraId="0D20DB1A"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де К</w:t>
            </w:r>
            <w:r w:rsidRPr="00C27A60">
              <w:rPr>
                <w:sz w:val="22"/>
                <w:szCs w:val="22"/>
                <w:vertAlign w:val="superscript"/>
                <w:lang w:eastAsia="ar-SA"/>
              </w:rPr>
              <w:t>БР</w:t>
            </w:r>
            <w:r w:rsidRPr="00C27A60">
              <w:rPr>
                <w:sz w:val="22"/>
                <w:szCs w:val="22"/>
                <w:vertAlign w:val="subscript"/>
                <w:lang w:eastAsia="ar-SA"/>
              </w:rPr>
              <w:t>W</w:t>
            </w:r>
            <w:r w:rsidRPr="00C27A60">
              <w:rPr>
                <w:sz w:val="22"/>
                <w:szCs w:val="22"/>
                <w:lang w:eastAsia="ar-SA"/>
              </w:rPr>
              <w:t>, К</w:t>
            </w:r>
            <w:r w:rsidRPr="00C27A60">
              <w:rPr>
                <w:sz w:val="22"/>
                <w:szCs w:val="22"/>
                <w:vertAlign w:val="superscript"/>
                <w:lang w:eastAsia="ar-SA"/>
              </w:rPr>
              <w:t>ДД</w:t>
            </w:r>
            <w:r w:rsidRPr="00C27A60">
              <w:rPr>
                <w:sz w:val="22"/>
                <w:szCs w:val="22"/>
                <w:vertAlign w:val="subscript"/>
                <w:lang w:eastAsia="ar-SA"/>
              </w:rPr>
              <w:t>W</w:t>
            </w:r>
            <w:r w:rsidRPr="00C27A60">
              <w:rPr>
                <w:sz w:val="22"/>
                <w:szCs w:val="22"/>
                <w:lang w:eastAsia="ar-SA"/>
              </w:rPr>
              <w:t xml:space="preserve"> та К</w:t>
            </w:r>
            <w:r w:rsidRPr="00C27A60">
              <w:rPr>
                <w:sz w:val="22"/>
                <w:szCs w:val="22"/>
                <w:vertAlign w:val="superscript"/>
                <w:lang w:eastAsia="ar-SA"/>
              </w:rPr>
              <w:t>БР</w:t>
            </w:r>
            <w:r w:rsidRPr="00C27A60">
              <w:rPr>
                <w:sz w:val="22"/>
                <w:szCs w:val="22"/>
                <w:vertAlign w:val="subscript"/>
                <w:lang w:eastAsia="ar-SA"/>
              </w:rPr>
              <w:t>Ц</w:t>
            </w:r>
            <w:r w:rsidRPr="00C27A60">
              <w:rPr>
                <w:sz w:val="22"/>
                <w:szCs w:val="22"/>
                <w:lang w:eastAsia="ar-SA"/>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40822620"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Ц</w:t>
            </w:r>
            <w:r w:rsidRPr="00C27A60">
              <w:rPr>
                <w:sz w:val="22"/>
                <w:szCs w:val="22"/>
                <w:vertAlign w:val="subscript"/>
                <w:lang w:eastAsia="ar-SA"/>
              </w:rPr>
              <w:t>РДД ф і</w:t>
            </w:r>
            <w:r w:rsidRPr="00C27A60">
              <w:rPr>
                <w:sz w:val="22"/>
                <w:szCs w:val="22"/>
                <w:lang w:eastAsia="ar-SA"/>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вебсайті в мережі Інтернет, грн/МВт·год;</w:t>
            </w:r>
          </w:p>
          <w:p w14:paraId="5BFD5D82"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21F933CC"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 xml:space="preserve">К = Ц </w:t>
            </w:r>
            <w:r w:rsidRPr="00C27A60">
              <w:rPr>
                <w:sz w:val="22"/>
                <w:szCs w:val="22"/>
                <w:vertAlign w:val="subscript"/>
                <w:lang w:eastAsia="ar-SA"/>
              </w:rPr>
              <w:t>РДН ф і</w:t>
            </w:r>
            <w:r w:rsidRPr="00C27A60">
              <w:rPr>
                <w:sz w:val="22"/>
                <w:szCs w:val="22"/>
                <w:lang w:eastAsia="ar-SA"/>
              </w:rPr>
              <w:t xml:space="preserve"> / Ц </w:t>
            </w:r>
            <w:r w:rsidRPr="00C27A60">
              <w:rPr>
                <w:sz w:val="22"/>
                <w:szCs w:val="22"/>
                <w:vertAlign w:val="subscript"/>
                <w:lang w:eastAsia="ar-SA"/>
              </w:rPr>
              <w:t>база і</w:t>
            </w:r>
            <w:r w:rsidRPr="00C27A60">
              <w:rPr>
                <w:sz w:val="22"/>
                <w:szCs w:val="22"/>
                <w:lang w:eastAsia="ar-SA"/>
              </w:rPr>
              <w:t>;</w:t>
            </w:r>
          </w:p>
          <w:p w14:paraId="7044DE57"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lastRenderedPageBreak/>
              <w:t xml:space="preserve">Ц </w:t>
            </w:r>
            <w:r w:rsidRPr="00C27A60">
              <w:rPr>
                <w:sz w:val="22"/>
                <w:szCs w:val="22"/>
                <w:vertAlign w:val="subscript"/>
                <w:lang w:eastAsia="ar-SA"/>
              </w:rPr>
              <w:t>база і</w:t>
            </w:r>
            <w:r w:rsidRPr="00C27A60">
              <w:rPr>
                <w:sz w:val="22"/>
                <w:szCs w:val="22"/>
                <w:lang w:eastAsia="ar-SA"/>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вебсайті в мережі Інтернет, грн/МВт.</w:t>
            </w:r>
          </w:p>
          <w:p w14:paraId="1D12A984"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 xml:space="preserve">Якщо </w:t>
            </w:r>
            <w:r w:rsidRPr="00C27A60">
              <w:rPr>
                <w:b/>
                <w:sz w:val="22"/>
                <w:szCs w:val="22"/>
                <w:lang w:eastAsia="ar-SA"/>
              </w:rPr>
              <w:t>порушена схема нормального режиму роботи системи розподілу / змінені обсяги розподілу / надходження / віддачі / транзиту електричної енергії тощо внаслідок введення воєнного стану та/або бойових дій в Україні та за умови, що</w:t>
            </w:r>
          </w:p>
          <w:p w14:paraId="6FFDF4CF" w14:textId="77777777" w:rsidR="00C533B1" w:rsidRPr="00C27A60" w:rsidRDefault="00C533B1" w:rsidP="00C533B1">
            <w:pPr>
              <w:suppressAutoHyphens/>
              <w:spacing w:after="75"/>
              <w:ind w:firstLine="240"/>
              <w:jc w:val="center"/>
              <w:rPr>
                <w:sz w:val="22"/>
                <w:szCs w:val="22"/>
                <w:lang w:eastAsia="ar-SA"/>
              </w:rPr>
            </w:pPr>
            <w:r w:rsidRPr="00C27A60">
              <w:rPr>
                <w:sz w:val="22"/>
                <w:szCs w:val="22"/>
                <w:lang w:eastAsia="ar-SA"/>
              </w:rPr>
              <w:t xml:space="preserve"> </w:t>
            </w:r>
          </w:p>
          <w:p w14:paraId="7CA58A74" w14:textId="698CA32A" w:rsidR="00C533B1" w:rsidRPr="00C27A60" w:rsidRDefault="00C533B1" w:rsidP="00C533B1">
            <w:pPr>
              <w:suppressAutoHyphens/>
              <w:spacing w:after="75"/>
              <w:ind w:firstLine="240"/>
              <w:jc w:val="center"/>
              <w:rPr>
                <w:sz w:val="22"/>
                <w:szCs w:val="22"/>
                <w:lang w:eastAsia="ar-SA"/>
              </w:rPr>
            </w:pPr>
            <w:r w:rsidRPr="00C27A60">
              <w:rPr>
                <w:noProof/>
                <w:sz w:val="22"/>
                <w:szCs w:val="22"/>
              </w:rPr>
              <w:drawing>
                <wp:inline distT="0" distB="0" distL="0" distR="0" wp14:anchorId="156365FF" wp14:editId="75FC4269">
                  <wp:extent cx="3305175" cy="428625"/>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05175" cy="428625"/>
                          </a:xfrm>
                          <a:prstGeom prst="rect">
                            <a:avLst/>
                          </a:prstGeom>
                          <a:noFill/>
                          <a:ln>
                            <a:noFill/>
                          </a:ln>
                        </pic:spPr>
                      </pic:pic>
                    </a:graphicData>
                  </a:graphic>
                </wp:inline>
              </w:drawing>
            </w:r>
            <w:r w:rsidRPr="00C27A60">
              <w:rPr>
                <w:sz w:val="22"/>
                <w:szCs w:val="22"/>
                <w:lang w:eastAsia="ar-SA"/>
              </w:rPr>
              <w:t>,</w:t>
            </w:r>
          </w:p>
          <w:p w14:paraId="75BD7BA6" w14:textId="77777777" w:rsidR="00C533B1" w:rsidRPr="00C27A60" w:rsidRDefault="00C533B1" w:rsidP="00C533B1">
            <w:pPr>
              <w:suppressAutoHyphens/>
              <w:spacing w:after="75"/>
              <w:ind w:firstLine="240"/>
              <w:jc w:val="center"/>
              <w:rPr>
                <w:sz w:val="22"/>
                <w:szCs w:val="22"/>
                <w:lang w:eastAsia="ar-SA"/>
              </w:rPr>
            </w:pPr>
            <w:r w:rsidRPr="00C27A60">
              <w:rPr>
                <w:sz w:val="22"/>
                <w:szCs w:val="22"/>
                <w:lang w:eastAsia="ar-SA"/>
              </w:rPr>
              <w:t xml:space="preserve"> </w:t>
            </w:r>
          </w:p>
          <w:p w14:paraId="013D84B9"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30195299"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5682838F"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 xml:space="preserve">належним чином оформлених розрахунків витрат електричної енергії за 2022 – 2024 роки згідно із фактичними схемами роботи системи розподілу / обсягами розподілу / надходження / віддачі / транзиту електричної енергії тощо за 2022 – 2024 роки (за характерними періодами роботи мережі), проведених спеціалізованими підприємствами / 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w:t>
            </w:r>
            <w:r w:rsidRPr="00C27A60">
              <w:rPr>
                <w:sz w:val="22"/>
                <w:szCs w:val="22"/>
                <w:lang w:eastAsia="ar-SA"/>
              </w:rPr>
              <w:lastRenderedPageBreak/>
              <w:t xml:space="preserve">2024 роках </w:t>
            </w:r>
            <w:r w:rsidRPr="00C27A60">
              <w:rPr>
                <w:b/>
                <w:sz w:val="22"/>
                <w:szCs w:val="22"/>
                <w:lang w:eastAsia="ar-SA"/>
              </w:rPr>
              <w:t>(</w:t>
            </w:r>
            <w:r w:rsidRPr="00C27A60">
              <w:rPr>
                <w:b/>
                <w:sz w:val="22"/>
                <w:szCs w:val="22"/>
                <w:u w:val="single"/>
                <w:lang w:eastAsia="ar-SA"/>
              </w:rPr>
              <w:t>з 2025 року</w:t>
            </w:r>
            <w:r w:rsidRPr="00C27A60">
              <w:rPr>
                <w:b/>
                <w:sz w:val="22"/>
                <w:szCs w:val="22"/>
                <w:lang w:eastAsia="ar-SA"/>
              </w:rPr>
              <w:t xml:space="preserve"> за умови, що частка оціночних даних комерційного обліку, використаних у розрахунку обсягу фактичних звітних витрат, не перевищує 3 % від загального їх обсягу електричної енергії відповідно до даних за формою звітності № 2 НКРЕКП розподіл електричної енергії).</w:t>
            </w:r>
          </w:p>
          <w:p w14:paraId="67FDF155" w14:textId="77777777" w:rsidR="00C533B1" w:rsidRPr="00C27A60" w:rsidRDefault="00C533B1" w:rsidP="00C533B1">
            <w:pPr>
              <w:suppressAutoHyphens/>
              <w:spacing w:after="75"/>
              <w:ind w:firstLine="240"/>
              <w:jc w:val="both"/>
              <w:rPr>
                <w:sz w:val="22"/>
                <w:szCs w:val="22"/>
                <w:lang w:eastAsia="ar-SA"/>
              </w:rPr>
            </w:pPr>
            <w:r w:rsidRPr="00C27A60">
              <w:rPr>
                <w:sz w:val="22"/>
                <w:szCs w:val="22"/>
                <w:lang w:eastAsia="ar-SA"/>
              </w:rPr>
              <w:t xml:space="preserve">ДТВЕ </w:t>
            </w:r>
            <w:proofErr w:type="spellStart"/>
            <w:r w:rsidRPr="00C27A60">
              <w:rPr>
                <w:sz w:val="22"/>
                <w:szCs w:val="22"/>
                <w:lang w:eastAsia="ar-SA"/>
              </w:rPr>
              <w:t>нф</w:t>
            </w:r>
            <w:proofErr w:type="spellEnd"/>
            <w:r w:rsidRPr="00C27A60">
              <w:rPr>
                <w:sz w:val="22"/>
                <w:szCs w:val="22"/>
                <w:lang w:eastAsia="ar-SA"/>
              </w:rPr>
              <w:t xml:space="preserve"> і за 2022 – 2024 роки визначається за формулою</w:t>
            </w:r>
          </w:p>
          <w:p w14:paraId="14202D16" w14:textId="77777777" w:rsidR="00C533B1" w:rsidRPr="00C27A60" w:rsidRDefault="00C533B1" w:rsidP="00C533B1">
            <w:pPr>
              <w:suppressAutoHyphens/>
              <w:spacing w:after="75"/>
              <w:ind w:firstLine="240"/>
              <w:jc w:val="center"/>
              <w:rPr>
                <w:sz w:val="22"/>
                <w:szCs w:val="22"/>
                <w:lang w:eastAsia="ar-SA"/>
              </w:rPr>
            </w:pPr>
            <w:r w:rsidRPr="00C27A60">
              <w:rPr>
                <w:sz w:val="22"/>
                <w:szCs w:val="22"/>
                <w:lang w:eastAsia="ar-SA"/>
              </w:rPr>
              <w:t xml:space="preserve">ДТВЕ </w:t>
            </w:r>
            <w:proofErr w:type="spellStart"/>
            <w:r w:rsidRPr="00C27A60">
              <w:rPr>
                <w:sz w:val="22"/>
                <w:szCs w:val="22"/>
                <w:lang w:eastAsia="ar-SA"/>
              </w:rPr>
              <w:t>нф</w:t>
            </w:r>
            <w:proofErr w:type="spellEnd"/>
            <w:r w:rsidRPr="00C27A60">
              <w:rPr>
                <w:sz w:val="22"/>
                <w:szCs w:val="22"/>
                <w:lang w:eastAsia="ar-SA"/>
              </w:rPr>
              <w:t xml:space="preserve"> і = (ОТВЕ ф і – ОТВЕ он і) x ЦТВЕ і,</w:t>
            </w:r>
          </w:p>
          <w:p w14:paraId="316E6B5A" w14:textId="77777777" w:rsidR="00C533B1" w:rsidRPr="00C27A60" w:rsidRDefault="00C533B1" w:rsidP="00C533B1">
            <w:pPr>
              <w:suppressAutoHyphens/>
              <w:ind w:firstLine="308"/>
              <w:jc w:val="both"/>
              <w:rPr>
                <w:sz w:val="22"/>
                <w:szCs w:val="22"/>
                <w:lang w:eastAsia="ar-SA"/>
              </w:rPr>
            </w:pPr>
            <w:r w:rsidRPr="00C27A60">
              <w:rPr>
                <w:sz w:val="22"/>
                <w:szCs w:val="22"/>
                <w:lang w:eastAsia="ar-SA"/>
              </w:rPr>
              <w:t>де О</w:t>
            </w:r>
            <w:r w:rsidRPr="00C27A60">
              <w:rPr>
                <w:sz w:val="22"/>
                <w:szCs w:val="22"/>
                <w:vertAlign w:val="subscript"/>
                <w:lang w:eastAsia="ar-SA"/>
              </w:rPr>
              <w:t>ТВЕ ф і</w:t>
            </w:r>
            <w:r w:rsidRPr="00C27A60">
              <w:rPr>
                <w:sz w:val="22"/>
                <w:szCs w:val="22"/>
                <w:lang w:eastAsia="ar-SA"/>
              </w:rPr>
              <w:t xml:space="preserve"> - фактичний обсяг технологічних витрат електричної енергії на її розподіл в і-му місяці звітного року, МВт·год;</w:t>
            </w:r>
          </w:p>
          <w:p w14:paraId="741924AC" w14:textId="77777777" w:rsidR="00C533B1" w:rsidRPr="00C27A60" w:rsidRDefault="00C533B1" w:rsidP="00C533B1">
            <w:pPr>
              <w:suppressAutoHyphens/>
              <w:ind w:firstLine="308"/>
              <w:jc w:val="both"/>
              <w:rPr>
                <w:sz w:val="22"/>
                <w:szCs w:val="22"/>
                <w:shd w:val="clear" w:color="auto" w:fill="FFFFFF"/>
                <w:lang w:eastAsia="ar-SA"/>
              </w:rPr>
            </w:pPr>
            <w:r w:rsidRPr="00C27A60">
              <w:rPr>
                <w:sz w:val="22"/>
                <w:szCs w:val="22"/>
                <w:shd w:val="clear" w:color="auto" w:fill="FFFFFF"/>
                <w:lang w:eastAsia="ar-SA"/>
              </w:rPr>
              <w:t>ОТВЕ он і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 / надходження / віддачі / транзиту електричної енергії тощо внаслідок введення воєнного стану та/або бойових дій в Україні, в і-му місяці звітного року, МВт·год;</w:t>
            </w:r>
          </w:p>
          <w:p w14:paraId="3D4ED0A2" w14:textId="77777777" w:rsidR="00C533B1" w:rsidRPr="00C27A60" w:rsidRDefault="00C533B1" w:rsidP="00C533B1">
            <w:pPr>
              <w:rPr>
                <w:i/>
                <w:sz w:val="22"/>
                <w:szCs w:val="22"/>
              </w:rPr>
            </w:pPr>
          </w:p>
          <w:p w14:paraId="5355EEFC" w14:textId="77777777" w:rsidR="00C533B1" w:rsidRPr="00C27A60" w:rsidRDefault="00C533B1" w:rsidP="00BE5F6A">
            <w:pPr>
              <w:jc w:val="both"/>
              <w:rPr>
                <w:i/>
                <w:sz w:val="22"/>
                <w:szCs w:val="22"/>
              </w:rPr>
            </w:pPr>
            <w:r w:rsidRPr="00C27A60">
              <w:rPr>
                <w:i/>
                <w:sz w:val="22"/>
                <w:szCs w:val="22"/>
              </w:rPr>
              <w:t>ОБРГРУНТУВАННЯ:</w:t>
            </w:r>
          </w:p>
          <w:p w14:paraId="03DB4D21" w14:textId="77777777" w:rsidR="00C533B1" w:rsidRPr="00C27A60" w:rsidRDefault="00C533B1" w:rsidP="00BE5F6A">
            <w:pPr>
              <w:jc w:val="both"/>
              <w:rPr>
                <w:sz w:val="22"/>
                <w:szCs w:val="22"/>
                <w:lang w:eastAsia="uk-UA"/>
              </w:rPr>
            </w:pPr>
            <w:r w:rsidRPr="00C27A60">
              <w:rPr>
                <w:sz w:val="22"/>
                <w:szCs w:val="22"/>
                <w:lang w:eastAsia="uk-UA"/>
              </w:rPr>
              <w:t xml:space="preserve">Доцільно застосовувати вимогу щодо врахування частки оціночних даних комерційного обліку, використаних у розрахунку обсягу фактичних звітних витрат починаючи з періоду (року), в якому було прийнято відповідну норму законодавства (тобто з 2025 року) та </w:t>
            </w:r>
            <w:proofErr w:type="spellStart"/>
            <w:r w:rsidRPr="00C27A60">
              <w:rPr>
                <w:sz w:val="22"/>
                <w:szCs w:val="22"/>
                <w:lang w:eastAsia="uk-UA"/>
              </w:rPr>
              <w:t>внести</w:t>
            </w:r>
            <w:proofErr w:type="spellEnd"/>
            <w:r w:rsidRPr="00C27A60">
              <w:rPr>
                <w:sz w:val="22"/>
                <w:szCs w:val="22"/>
                <w:lang w:eastAsia="uk-UA"/>
              </w:rPr>
              <w:t xml:space="preserve"> відповідні зміни у форму звітності №2-НКРЕКП-розподіл електричної енергії в частині відображення частки оціночних даних комерційного обліку.</w:t>
            </w:r>
          </w:p>
          <w:p w14:paraId="3EE33A06" w14:textId="20064859" w:rsidR="00C533B1" w:rsidRPr="00C27A60" w:rsidRDefault="00C533B1" w:rsidP="00BE5F6A">
            <w:pPr>
              <w:jc w:val="both"/>
              <w:rPr>
                <w:i/>
                <w:sz w:val="22"/>
                <w:szCs w:val="22"/>
              </w:rPr>
            </w:pPr>
          </w:p>
          <w:p w14:paraId="2C123B66" w14:textId="73149140" w:rsidR="007048D0" w:rsidRPr="00C27A60" w:rsidRDefault="007048D0" w:rsidP="00BE5F6A">
            <w:pPr>
              <w:jc w:val="both"/>
              <w:rPr>
                <w:i/>
                <w:sz w:val="22"/>
                <w:szCs w:val="22"/>
              </w:rPr>
            </w:pPr>
            <w:r w:rsidRPr="00C27A60">
              <w:rPr>
                <w:i/>
                <w:sz w:val="22"/>
                <w:szCs w:val="22"/>
              </w:rPr>
              <w:t>АТ «ВІННИЦЯОБЛЕНЕРГО»</w:t>
            </w:r>
          </w:p>
          <w:p w14:paraId="77154C77" w14:textId="07237A21" w:rsidR="007048D0" w:rsidRPr="00C27A60" w:rsidRDefault="007048D0" w:rsidP="00C533B1">
            <w:pPr>
              <w:rPr>
                <w:i/>
                <w:sz w:val="22"/>
                <w:szCs w:val="22"/>
              </w:rPr>
            </w:pPr>
          </w:p>
          <w:p w14:paraId="3B6E8E02"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1B4AA797"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 xml:space="preserve">1) збільшена на 10 % сума невиконання інвестиційної програми на звітний рік (за результатами діяльності 2021 </w:t>
            </w:r>
            <w:r w:rsidRPr="00C27A60">
              <w:rPr>
                <w:sz w:val="22"/>
                <w:szCs w:val="22"/>
                <w:shd w:val="clear" w:color="auto" w:fill="FFFFFF"/>
              </w:rPr>
              <w:lastRenderedPageBreak/>
              <w:t>року). Сума невиконання інвестиційної програми на звітний рік (за результатами діяльності 2022 - 2024 років), що визначається з урахуванням постанови N 406. Двократна сума невиконання інвестиційної програми на звітний рік (за результатами діяльності за рік, починаючи з 2025 року);</w:t>
            </w:r>
          </w:p>
          <w:p w14:paraId="1A0BFC90" w14:textId="77777777" w:rsidR="007048D0" w:rsidRPr="00C27A60" w:rsidRDefault="007048D0" w:rsidP="007048D0">
            <w:pPr>
              <w:widowControl w:val="0"/>
              <w:ind w:right="-55" w:firstLine="308"/>
              <w:jc w:val="both"/>
              <w:rPr>
                <w:sz w:val="22"/>
                <w:szCs w:val="22"/>
                <w:shd w:val="clear" w:color="auto" w:fill="FFFFFF"/>
              </w:rPr>
            </w:pPr>
          </w:p>
          <w:p w14:paraId="58E4D656"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&lt;…&gt;</w:t>
            </w:r>
          </w:p>
          <w:p w14:paraId="5DFF79A8" w14:textId="77777777" w:rsidR="007048D0" w:rsidRPr="00C27A60" w:rsidRDefault="007048D0" w:rsidP="007048D0">
            <w:pPr>
              <w:widowControl w:val="0"/>
              <w:ind w:right="-55" w:firstLine="308"/>
              <w:jc w:val="both"/>
              <w:rPr>
                <w:sz w:val="22"/>
                <w:szCs w:val="22"/>
                <w:shd w:val="clear" w:color="auto" w:fill="FFFFFF"/>
              </w:rPr>
            </w:pPr>
          </w:p>
          <w:p w14:paraId="2CEB08C2"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4) дельта за статтею "витрати, пов'язані з купівлею електричної енергії з метою компенсації технологічних витрат електричної енергії на її розподіл" ( , тис. грн, що визначається за формулою</w:t>
            </w:r>
          </w:p>
          <w:p w14:paraId="4FBBD570"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 xml:space="preserve"> </w:t>
            </w:r>
            <w:r w:rsidRPr="00C27A60">
              <w:rPr>
                <w:sz w:val="22"/>
                <w:szCs w:val="22"/>
                <w:shd w:val="clear" w:color="auto" w:fill="FFFFFF"/>
              </w:rPr>
              <w:tab/>
              <w:t>,</w:t>
            </w:r>
          </w:p>
          <w:p w14:paraId="73F81728"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де i - місяць,</w:t>
            </w:r>
          </w:p>
          <w:p w14:paraId="0F9D41D6"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n - кількість місяців,</w:t>
            </w:r>
          </w:p>
          <w:p w14:paraId="1EF35C3A"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ДТВЕ т - вартість технологічних витрат електричної енергії, урахована в тарифі на звітний рік, тис. грн,</w:t>
            </w:r>
          </w:p>
          <w:p w14:paraId="7925DA5C"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 xml:space="preserve">ДТВЕ </w:t>
            </w:r>
            <w:proofErr w:type="spellStart"/>
            <w:r w:rsidRPr="00C27A60">
              <w:rPr>
                <w:sz w:val="22"/>
                <w:szCs w:val="22"/>
                <w:shd w:val="clear" w:color="auto" w:fill="FFFFFF"/>
              </w:rPr>
              <w:t>нф</w:t>
            </w:r>
            <w:proofErr w:type="spellEnd"/>
            <w:r w:rsidRPr="00C27A60">
              <w:rPr>
                <w:sz w:val="22"/>
                <w:szCs w:val="22"/>
                <w:shd w:val="clear" w:color="auto" w:fill="FFFFFF"/>
              </w:rPr>
              <w:t xml:space="preserve"> i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p>
          <w:p w14:paraId="3C36EB97"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 xml:space="preserve">ДТВЕ </w:t>
            </w:r>
            <w:proofErr w:type="spellStart"/>
            <w:r w:rsidRPr="00C27A60">
              <w:rPr>
                <w:sz w:val="22"/>
                <w:szCs w:val="22"/>
                <w:shd w:val="clear" w:color="auto" w:fill="FFFFFF"/>
              </w:rPr>
              <w:t>нф</w:t>
            </w:r>
            <w:proofErr w:type="spellEnd"/>
            <w:r w:rsidRPr="00C27A60">
              <w:rPr>
                <w:sz w:val="22"/>
                <w:szCs w:val="22"/>
                <w:shd w:val="clear" w:color="auto" w:fill="FFFFFF"/>
              </w:rPr>
              <w:t xml:space="preserve"> і = ОТВЕ </w:t>
            </w:r>
            <w:proofErr w:type="spellStart"/>
            <w:r w:rsidRPr="00C27A60">
              <w:rPr>
                <w:sz w:val="22"/>
                <w:szCs w:val="22"/>
                <w:shd w:val="clear" w:color="auto" w:fill="FFFFFF"/>
              </w:rPr>
              <w:t>нф</w:t>
            </w:r>
            <w:proofErr w:type="spellEnd"/>
            <w:r w:rsidRPr="00C27A60">
              <w:rPr>
                <w:sz w:val="22"/>
                <w:szCs w:val="22"/>
                <w:shd w:val="clear" w:color="auto" w:fill="FFFFFF"/>
              </w:rPr>
              <w:t xml:space="preserve"> i × ЦТВЕ i ,</w:t>
            </w:r>
          </w:p>
          <w:p w14:paraId="21F8D68D"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 xml:space="preserve">де ОТВЕ </w:t>
            </w:r>
            <w:proofErr w:type="spellStart"/>
            <w:r w:rsidRPr="00C27A60">
              <w:rPr>
                <w:sz w:val="22"/>
                <w:szCs w:val="22"/>
                <w:shd w:val="clear" w:color="auto" w:fill="FFFFFF"/>
              </w:rPr>
              <w:t>нф</w:t>
            </w:r>
            <w:proofErr w:type="spellEnd"/>
            <w:r w:rsidRPr="00C27A60">
              <w:rPr>
                <w:sz w:val="22"/>
                <w:szCs w:val="22"/>
                <w:shd w:val="clear" w:color="auto" w:fill="FFFFFF"/>
              </w:rPr>
              <w:t xml:space="preserve"> i - нормативно-фактичний обсяг технологічних витрат електричної енергії на її розподіл на 1 та 2 класах напруги, в і-му місяці звітного року, МВт·год, що розраховується за формулою</w:t>
            </w:r>
          </w:p>
          <w:p w14:paraId="624B98C4"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 xml:space="preserve"> </w:t>
            </w:r>
            <w:r w:rsidRPr="00C27A60">
              <w:rPr>
                <w:sz w:val="22"/>
                <w:szCs w:val="22"/>
                <w:shd w:val="clear" w:color="auto" w:fill="FFFFFF"/>
              </w:rPr>
              <w:tab/>
              <w:t>,</w:t>
            </w:r>
          </w:p>
          <w:p w14:paraId="0930843A"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де W1 i , - фактичний обсяг корисного відпуску електричної енергії споживачам на 1 класі напруги у і-му місяці звітного року, МВт·год;</w:t>
            </w:r>
          </w:p>
          <w:p w14:paraId="254D6390"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W2 i - фактичний обсяг розподілу електричної енергії споживачам на 2 класі напруги в і-му місяці звітного року, МВт·год;</w:t>
            </w:r>
          </w:p>
          <w:p w14:paraId="24F15186"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К1, К2 -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58D13CB9"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 xml:space="preserve">ЦТВЕ i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w:t>
            </w:r>
            <w:r w:rsidRPr="00C27A60">
              <w:rPr>
                <w:sz w:val="22"/>
                <w:szCs w:val="22"/>
                <w:shd w:val="clear" w:color="auto" w:fill="FFFFFF"/>
              </w:rPr>
              <w:lastRenderedPageBreak/>
              <w:t>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грн/МВт·год, та розраховується за формулою</w:t>
            </w:r>
          </w:p>
          <w:p w14:paraId="6E136424"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ЦТВЕ i = Ц РДН ф i × (1 - КБРW - КДДW) + Ц РДН ф i × (1 + КБРЦ) × КБРW + Ц РДД ф i × КДДW,</w:t>
            </w:r>
          </w:p>
          <w:p w14:paraId="78F5983C"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де Ц РДН ф i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оператора системи розподілу, грн/МВт·год,</w:t>
            </w:r>
          </w:p>
          <w:p w14:paraId="00DE2A04"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КБРW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 відносні одиниці;</w:t>
            </w:r>
          </w:p>
          <w:p w14:paraId="65FE8470"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КДДW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702BA43D"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КБРЦ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55489E83"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Ц РДД ф i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грн/МВт·год.</w:t>
            </w:r>
          </w:p>
          <w:p w14:paraId="5DF5E639"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Для цілей розрахунку складова (1 - КБРW - КДДW) приймається рівною нулю у разі, якщо її значення менше нуля.</w:t>
            </w:r>
          </w:p>
          <w:p w14:paraId="3D8E025B"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lastRenderedPageBreak/>
              <w:t>Починаючи з 2023 року:</w:t>
            </w:r>
          </w:p>
          <w:p w14:paraId="0BFD3B3F"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 xml:space="preserve">Ц ТВЕ і = Ц РДН ф і × (1 - </w:t>
            </w:r>
            <w:proofErr w:type="spellStart"/>
            <w:r w:rsidRPr="00C27A60">
              <w:rPr>
                <w:sz w:val="22"/>
                <w:szCs w:val="22"/>
                <w:shd w:val="clear" w:color="auto" w:fill="FFFFFF"/>
              </w:rPr>
              <w:t>КБРw</w:t>
            </w:r>
            <w:proofErr w:type="spellEnd"/>
            <w:r w:rsidRPr="00C27A60">
              <w:rPr>
                <w:sz w:val="22"/>
                <w:szCs w:val="22"/>
                <w:shd w:val="clear" w:color="auto" w:fill="FFFFFF"/>
              </w:rPr>
              <w:t xml:space="preserve"> - </w:t>
            </w:r>
            <w:proofErr w:type="spellStart"/>
            <w:r w:rsidRPr="00C27A60">
              <w:rPr>
                <w:sz w:val="22"/>
                <w:szCs w:val="22"/>
                <w:shd w:val="clear" w:color="auto" w:fill="FFFFFF"/>
              </w:rPr>
              <w:t>КДДw</w:t>
            </w:r>
            <w:proofErr w:type="spellEnd"/>
            <w:r w:rsidRPr="00C27A60">
              <w:rPr>
                <w:sz w:val="22"/>
                <w:szCs w:val="22"/>
                <w:shd w:val="clear" w:color="auto" w:fill="FFFFFF"/>
              </w:rPr>
              <w:t xml:space="preserve">) + Ц РДН ф і × (1 + </w:t>
            </w:r>
            <w:proofErr w:type="spellStart"/>
            <w:r w:rsidRPr="00C27A60">
              <w:rPr>
                <w:sz w:val="22"/>
                <w:szCs w:val="22"/>
                <w:shd w:val="clear" w:color="auto" w:fill="FFFFFF"/>
              </w:rPr>
              <w:t>КБРц</w:t>
            </w:r>
            <w:proofErr w:type="spellEnd"/>
            <w:r w:rsidRPr="00C27A60">
              <w:rPr>
                <w:sz w:val="22"/>
                <w:szCs w:val="22"/>
                <w:shd w:val="clear" w:color="auto" w:fill="FFFFFF"/>
              </w:rPr>
              <w:t xml:space="preserve">) × </w:t>
            </w:r>
            <w:proofErr w:type="spellStart"/>
            <w:r w:rsidRPr="00C27A60">
              <w:rPr>
                <w:sz w:val="22"/>
                <w:szCs w:val="22"/>
                <w:shd w:val="clear" w:color="auto" w:fill="FFFFFF"/>
              </w:rPr>
              <w:t>КБРw</w:t>
            </w:r>
            <w:proofErr w:type="spellEnd"/>
            <w:r w:rsidRPr="00C27A60">
              <w:rPr>
                <w:sz w:val="22"/>
                <w:szCs w:val="22"/>
                <w:shd w:val="clear" w:color="auto" w:fill="FFFFFF"/>
              </w:rPr>
              <w:t xml:space="preserve"> + Ц РДД ф і × К × </w:t>
            </w:r>
            <w:proofErr w:type="spellStart"/>
            <w:r w:rsidRPr="00C27A60">
              <w:rPr>
                <w:sz w:val="22"/>
                <w:szCs w:val="22"/>
                <w:shd w:val="clear" w:color="auto" w:fill="FFFFFF"/>
              </w:rPr>
              <w:t>КДДw</w:t>
            </w:r>
            <w:proofErr w:type="spellEnd"/>
            <w:r w:rsidRPr="00C27A60">
              <w:rPr>
                <w:sz w:val="22"/>
                <w:szCs w:val="22"/>
                <w:shd w:val="clear" w:color="auto" w:fill="FFFFFF"/>
              </w:rPr>
              <w:t>;</w:t>
            </w:r>
          </w:p>
          <w:p w14:paraId="0CD69FBB"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де КБРW, КДДW та КБРЦ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20BA731F"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ЦРДД ф і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вебсайті в мережі Інтернет, грн/МВт·год;</w:t>
            </w:r>
          </w:p>
          <w:p w14:paraId="2BDF29DB"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2B5575E0"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К = Ц РДН ф і / Ц база і;</w:t>
            </w:r>
          </w:p>
          <w:p w14:paraId="0897D883"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Ц база і - місячний індекс базового навантаження на ринку "на добу наперед", в і-му місяці звітного року, який оприлюднюється АТ "Оператор ринку" на його офіційному вебсайті в мережі Інтернет, грн/МВт.</w:t>
            </w:r>
          </w:p>
          <w:p w14:paraId="4459CDAA" w14:textId="77777777" w:rsidR="007048D0" w:rsidRPr="00C27A60" w:rsidRDefault="007048D0" w:rsidP="007048D0">
            <w:pPr>
              <w:widowControl w:val="0"/>
              <w:ind w:right="-55" w:firstLine="308"/>
              <w:jc w:val="both"/>
              <w:rPr>
                <w:b/>
                <w:sz w:val="22"/>
                <w:szCs w:val="22"/>
                <w:shd w:val="clear" w:color="auto" w:fill="FFFFFF"/>
              </w:rPr>
            </w:pPr>
            <w:r w:rsidRPr="00C27A60">
              <w:rPr>
                <w:b/>
                <w:sz w:val="22"/>
                <w:szCs w:val="22"/>
                <w:shd w:val="clear" w:color="auto" w:fill="FFFFFF"/>
              </w:rPr>
              <w:t>Якщо порушена схема нормального режиму роботи системи розподілу / змінені обсяги розподілу / надходження / віддачі / транзиту електричної енергії тощо внаслідок введення воєнного стану та/або бойових дій в Україні та за умови, що</w:t>
            </w:r>
          </w:p>
          <w:p w14:paraId="4433D5D0" w14:textId="7B5858B3"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 xml:space="preserve"> </w:t>
            </w:r>
            <w:r w:rsidR="00BE5F6A" w:rsidRPr="00C27A60">
              <w:rPr>
                <w:sz w:val="22"/>
                <w:szCs w:val="22"/>
                <w:shd w:val="clear" w:color="auto" w:fill="FFFFFF"/>
              </w:rPr>
              <w:t>………………..</w:t>
            </w:r>
          </w:p>
          <w:p w14:paraId="06CD4B88" w14:textId="3AC33D25" w:rsidR="007048D0" w:rsidRPr="00C27A60" w:rsidRDefault="007048D0" w:rsidP="00BE5F6A">
            <w:pPr>
              <w:widowControl w:val="0"/>
              <w:ind w:right="-55" w:firstLine="308"/>
              <w:jc w:val="both"/>
              <w:rPr>
                <w:sz w:val="22"/>
                <w:szCs w:val="22"/>
                <w:shd w:val="clear" w:color="auto" w:fill="FFFFFF"/>
              </w:rPr>
            </w:pPr>
            <w:r w:rsidRPr="00C27A60">
              <w:rPr>
                <w:sz w:val="22"/>
                <w:szCs w:val="22"/>
                <w:shd w:val="clear" w:color="auto" w:fill="FFFFFF"/>
              </w:rPr>
              <w:t xml:space="preserve"> 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0CD760FF"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 xml:space="preserve">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w:t>
            </w:r>
            <w:r w:rsidRPr="00C27A60">
              <w:rPr>
                <w:sz w:val="22"/>
                <w:szCs w:val="22"/>
                <w:shd w:val="clear" w:color="auto" w:fill="FFFFFF"/>
              </w:rPr>
              <w:lastRenderedPageBreak/>
              <w:t>компетенції;</w:t>
            </w:r>
          </w:p>
          <w:p w14:paraId="3DB0E024" w14:textId="77777777" w:rsidR="007048D0" w:rsidRPr="00C27A60" w:rsidRDefault="007048D0" w:rsidP="007048D0">
            <w:pPr>
              <w:widowControl w:val="0"/>
              <w:ind w:right="-55" w:firstLine="308"/>
              <w:jc w:val="both"/>
              <w:rPr>
                <w:b/>
                <w:sz w:val="22"/>
                <w:szCs w:val="22"/>
                <w:shd w:val="clear" w:color="auto" w:fill="FFFFFF"/>
              </w:rPr>
            </w:pPr>
            <w:r w:rsidRPr="00C27A60">
              <w:rPr>
                <w:b/>
                <w:sz w:val="22"/>
                <w:szCs w:val="22"/>
                <w:shd w:val="clear" w:color="auto" w:fill="FFFFFF"/>
              </w:rPr>
              <w:t>належним чином оформлених розрахунків витрат електричної енергії за 2022 – 2024 роки згідно із фактичними схемами роботи системи розподілу / обсягами розподілу / надходження / віддачі / транзиту електричної енергії тощо за 2022 – 2024 роки (за характерними періодами роботи мережі), проведених спеціалізованими підприємствами / 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2024 роках.</w:t>
            </w:r>
          </w:p>
          <w:p w14:paraId="4593A62F" w14:textId="77777777" w:rsidR="007048D0" w:rsidRPr="00C27A60" w:rsidRDefault="007048D0" w:rsidP="007048D0">
            <w:pPr>
              <w:widowControl w:val="0"/>
              <w:ind w:right="-55" w:firstLine="308"/>
              <w:jc w:val="both"/>
              <w:rPr>
                <w:b/>
                <w:sz w:val="22"/>
                <w:szCs w:val="22"/>
                <w:shd w:val="clear" w:color="auto" w:fill="FFFFFF"/>
              </w:rPr>
            </w:pPr>
          </w:p>
          <w:p w14:paraId="56B5E416" w14:textId="77777777" w:rsidR="00BE5F6A" w:rsidRPr="00C27A60" w:rsidRDefault="00BE5F6A" w:rsidP="007048D0">
            <w:pPr>
              <w:widowControl w:val="0"/>
              <w:ind w:right="-55" w:firstLine="308"/>
              <w:jc w:val="both"/>
              <w:rPr>
                <w:b/>
                <w:sz w:val="22"/>
                <w:szCs w:val="22"/>
                <w:shd w:val="clear" w:color="auto" w:fill="FFFFFF"/>
              </w:rPr>
            </w:pPr>
          </w:p>
          <w:p w14:paraId="5F504C2D" w14:textId="5CC39848" w:rsidR="007048D0" w:rsidRPr="00C27A60" w:rsidRDefault="007048D0" w:rsidP="007048D0">
            <w:pPr>
              <w:widowControl w:val="0"/>
              <w:ind w:right="-55" w:firstLine="308"/>
              <w:jc w:val="both"/>
              <w:rPr>
                <w:b/>
                <w:sz w:val="22"/>
                <w:szCs w:val="22"/>
                <w:shd w:val="clear" w:color="auto" w:fill="FFFFFF"/>
              </w:rPr>
            </w:pPr>
            <w:r w:rsidRPr="00C27A60">
              <w:rPr>
                <w:b/>
                <w:sz w:val="22"/>
                <w:szCs w:val="22"/>
                <w:shd w:val="clear" w:color="auto" w:fill="FFFFFF"/>
              </w:rPr>
              <w:t xml:space="preserve">ДТВЕ </w:t>
            </w:r>
            <w:proofErr w:type="spellStart"/>
            <w:r w:rsidRPr="00C27A60">
              <w:rPr>
                <w:b/>
                <w:sz w:val="22"/>
                <w:szCs w:val="22"/>
                <w:shd w:val="clear" w:color="auto" w:fill="FFFFFF"/>
              </w:rPr>
              <w:t>нф</w:t>
            </w:r>
            <w:proofErr w:type="spellEnd"/>
            <w:r w:rsidRPr="00C27A60">
              <w:rPr>
                <w:b/>
                <w:sz w:val="22"/>
                <w:szCs w:val="22"/>
                <w:shd w:val="clear" w:color="auto" w:fill="FFFFFF"/>
              </w:rPr>
              <w:t xml:space="preserve"> і за 2022 – 2024 роки визначається за формулою</w:t>
            </w:r>
          </w:p>
          <w:p w14:paraId="2687413A" w14:textId="77777777" w:rsidR="007048D0" w:rsidRPr="00C27A60" w:rsidRDefault="007048D0" w:rsidP="007048D0">
            <w:pPr>
              <w:widowControl w:val="0"/>
              <w:ind w:right="-55" w:firstLine="308"/>
              <w:jc w:val="both"/>
              <w:rPr>
                <w:sz w:val="22"/>
                <w:szCs w:val="22"/>
                <w:shd w:val="clear" w:color="auto" w:fill="FFFFFF"/>
              </w:rPr>
            </w:pPr>
            <w:r w:rsidRPr="00C27A60">
              <w:rPr>
                <w:b/>
                <w:sz w:val="22"/>
                <w:szCs w:val="22"/>
                <w:shd w:val="clear" w:color="auto" w:fill="FFFFFF"/>
              </w:rPr>
              <w:t xml:space="preserve">ДТВЕ </w:t>
            </w:r>
            <w:proofErr w:type="spellStart"/>
            <w:r w:rsidRPr="00C27A60">
              <w:rPr>
                <w:b/>
                <w:sz w:val="22"/>
                <w:szCs w:val="22"/>
                <w:shd w:val="clear" w:color="auto" w:fill="FFFFFF"/>
              </w:rPr>
              <w:t>нф</w:t>
            </w:r>
            <w:proofErr w:type="spellEnd"/>
            <w:r w:rsidRPr="00C27A60">
              <w:rPr>
                <w:b/>
                <w:sz w:val="22"/>
                <w:szCs w:val="22"/>
                <w:shd w:val="clear" w:color="auto" w:fill="FFFFFF"/>
              </w:rPr>
              <w:t xml:space="preserve"> і = (ОТВЕ ф і – ОТВЕ он і) x ЦТВЕ і,</w:t>
            </w:r>
          </w:p>
          <w:p w14:paraId="2DDE109C" w14:textId="77777777" w:rsidR="007048D0" w:rsidRPr="00C27A60" w:rsidRDefault="007048D0" w:rsidP="007048D0">
            <w:pPr>
              <w:widowControl w:val="0"/>
              <w:ind w:right="-55" w:firstLine="308"/>
              <w:jc w:val="both"/>
              <w:rPr>
                <w:sz w:val="22"/>
                <w:szCs w:val="22"/>
                <w:shd w:val="clear" w:color="auto" w:fill="FFFFFF"/>
              </w:rPr>
            </w:pPr>
            <w:r w:rsidRPr="00C27A60">
              <w:rPr>
                <w:sz w:val="22"/>
                <w:szCs w:val="22"/>
                <w:shd w:val="clear" w:color="auto" w:fill="FFFFFF"/>
              </w:rPr>
              <w:t>де ОТВЕ ф і - фактичний обсяг технологічних витрат електричної енергії на її розподіл в і-му місяці звітного року, МВт·год;</w:t>
            </w:r>
          </w:p>
          <w:p w14:paraId="7710F211" w14:textId="390543D2" w:rsidR="007048D0" w:rsidRPr="00C27A60" w:rsidRDefault="007048D0" w:rsidP="00BE5F6A">
            <w:pPr>
              <w:jc w:val="both"/>
              <w:rPr>
                <w:b/>
                <w:sz w:val="22"/>
                <w:szCs w:val="22"/>
                <w:shd w:val="clear" w:color="auto" w:fill="FFFFFF"/>
              </w:rPr>
            </w:pPr>
            <w:r w:rsidRPr="00C27A60">
              <w:rPr>
                <w:b/>
                <w:sz w:val="22"/>
                <w:szCs w:val="22"/>
                <w:shd w:val="clear" w:color="auto" w:fill="FFFFFF"/>
              </w:rPr>
              <w:t>ОТВЕ он і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 / надходження / віддачі / транзиту електричної енергії тощо внаслідок введення воєнного стану та/або бойових дій в Україні, в і-му місяці звітного року, МВт·год</w:t>
            </w:r>
          </w:p>
          <w:p w14:paraId="1A079C18" w14:textId="30FBFF2A" w:rsidR="007048D0" w:rsidRPr="00C27A60" w:rsidRDefault="007048D0" w:rsidP="007048D0">
            <w:pPr>
              <w:rPr>
                <w:i/>
                <w:sz w:val="22"/>
                <w:szCs w:val="22"/>
              </w:rPr>
            </w:pPr>
          </w:p>
          <w:p w14:paraId="36944AD6" w14:textId="77777777" w:rsidR="007048D0" w:rsidRPr="00C27A60" w:rsidRDefault="007048D0" w:rsidP="007048D0">
            <w:pPr>
              <w:rPr>
                <w:i/>
                <w:sz w:val="22"/>
                <w:szCs w:val="22"/>
              </w:rPr>
            </w:pPr>
            <w:r w:rsidRPr="00C27A60">
              <w:rPr>
                <w:i/>
                <w:sz w:val="22"/>
                <w:szCs w:val="22"/>
              </w:rPr>
              <w:t>ОБРГРУНТУВАННЯ:</w:t>
            </w:r>
          </w:p>
          <w:p w14:paraId="4E78BBCF" w14:textId="7207C197" w:rsidR="007048D0" w:rsidRPr="00C27A60" w:rsidRDefault="007048D0" w:rsidP="007048D0">
            <w:pPr>
              <w:rPr>
                <w:i/>
                <w:sz w:val="22"/>
                <w:szCs w:val="22"/>
              </w:rPr>
            </w:pPr>
          </w:p>
          <w:p w14:paraId="776FDC3A" w14:textId="77777777" w:rsidR="007048D0" w:rsidRPr="00C27A60" w:rsidRDefault="007048D0" w:rsidP="007048D0">
            <w:pPr>
              <w:widowControl w:val="0"/>
              <w:spacing w:before="100" w:beforeAutospacing="1" w:after="100" w:afterAutospacing="1"/>
              <w:jc w:val="both"/>
              <w:rPr>
                <w:sz w:val="22"/>
                <w:szCs w:val="22"/>
                <w:lang w:eastAsia="uk-UA"/>
              </w:rPr>
            </w:pPr>
            <w:r w:rsidRPr="00C27A60">
              <w:rPr>
                <w:sz w:val="22"/>
                <w:szCs w:val="22"/>
                <w:lang w:eastAsia="uk-UA"/>
              </w:rPr>
              <w:t xml:space="preserve">Товариство пропонує скасувати додаткову умову про обмеження частки оціночних даних комерційного обліку </w:t>
            </w:r>
            <w:r w:rsidRPr="00C27A60">
              <w:rPr>
                <w:sz w:val="22"/>
                <w:szCs w:val="22"/>
                <w:lang w:eastAsia="uk-UA"/>
              </w:rPr>
              <w:lastRenderedPageBreak/>
              <w:t xml:space="preserve">від загального обсягу електричної енергії, наведену у підпункті 4 пункту 5 додатку 29 до Порядку. </w:t>
            </w:r>
          </w:p>
          <w:p w14:paraId="19609DE0" w14:textId="77777777" w:rsidR="007048D0" w:rsidRPr="00C27A60" w:rsidRDefault="007048D0" w:rsidP="007048D0">
            <w:pPr>
              <w:widowControl w:val="0"/>
              <w:spacing w:before="100" w:beforeAutospacing="1" w:after="100" w:afterAutospacing="1"/>
              <w:jc w:val="both"/>
              <w:rPr>
                <w:sz w:val="22"/>
                <w:szCs w:val="22"/>
                <w:lang w:eastAsia="uk-UA"/>
              </w:rPr>
            </w:pPr>
            <w:r w:rsidRPr="00C27A60">
              <w:rPr>
                <w:sz w:val="22"/>
                <w:szCs w:val="22"/>
                <w:lang w:eastAsia="uk-UA"/>
              </w:rPr>
              <w:t>Так, у наданій редакції проєкту змін пропонується викласти вищеописану норму у такій редакції:</w:t>
            </w:r>
          </w:p>
          <w:p w14:paraId="2A955725" w14:textId="77777777" w:rsidR="007048D0" w:rsidRPr="00C27A60" w:rsidRDefault="007048D0" w:rsidP="007048D0">
            <w:pPr>
              <w:widowControl w:val="0"/>
              <w:spacing w:before="100" w:beforeAutospacing="1" w:after="100" w:afterAutospacing="1"/>
              <w:jc w:val="both"/>
              <w:rPr>
                <w:sz w:val="22"/>
                <w:szCs w:val="22"/>
                <w:lang w:eastAsia="uk-UA"/>
              </w:rPr>
            </w:pPr>
            <w:r w:rsidRPr="00C27A60">
              <w:rPr>
                <w:sz w:val="22"/>
                <w:szCs w:val="22"/>
                <w:lang w:eastAsia="uk-UA"/>
              </w:rPr>
              <w:t>«(з 2024 року за умови, що частка оціночних даних комерційного обліку, використаних у розрахунку обсягу фактичних звітних витрат, не перевищує 3 % від загального їх обсягу електричної енергії відповідно до даних за формою звітності № 2 НКРЕКП розподіл електричної енергії)».</w:t>
            </w:r>
          </w:p>
          <w:p w14:paraId="3E3CE5D5" w14:textId="77777777" w:rsidR="007048D0" w:rsidRPr="00C27A60" w:rsidRDefault="007048D0" w:rsidP="007048D0">
            <w:pPr>
              <w:widowControl w:val="0"/>
              <w:spacing w:before="100" w:beforeAutospacing="1" w:after="100" w:afterAutospacing="1"/>
              <w:jc w:val="both"/>
              <w:rPr>
                <w:sz w:val="22"/>
                <w:szCs w:val="22"/>
                <w:lang w:eastAsia="uk-UA"/>
              </w:rPr>
            </w:pPr>
            <w:r w:rsidRPr="00C27A60">
              <w:rPr>
                <w:sz w:val="22"/>
                <w:szCs w:val="22"/>
                <w:lang w:eastAsia="uk-UA"/>
              </w:rPr>
              <w:t>Регулятор не наводить конкретних розрахунків, чому обрано саме 3%, а не 10% або 15%.</w:t>
            </w:r>
          </w:p>
          <w:p w14:paraId="4149E97B" w14:textId="77777777" w:rsidR="007048D0" w:rsidRPr="00C27A60" w:rsidRDefault="007048D0" w:rsidP="007048D0">
            <w:pPr>
              <w:widowControl w:val="0"/>
              <w:spacing w:before="100" w:beforeAutospacing="1" w:after="100" w:afterAutospacing="1"/>
              <w:jc w:val="both"/>
              <w:rPr>
                <w:sz w:val="22"/>
                <w:szCs w:val="22"/>
                <w:lang w:eastAsia="uk-UA"/>
              </w:rPr>
            </w:pPr>
            <w:r w:rsidRPr="00C27A60">
              <w:rPr>
                <w:sz w:val="22"/>
                <w:szCs w:val="22"/>
                <w:lang w:eastAsia="uk-UA"/>
              </w:rPr>
              <w:t>1. Вважаємо, що дана вимога є нереалістичною, економічно необґрунтованою та технічно нездійсненною, особливо в умовах воєнного стану та складної ситуації в енергетичному секторі України.</w:t>
            </w:r>
          </w:p>
          <w:p w14:paraId="4B8EEA00" w14:textId="77777777" w:rsidR="007048D0" w:rsidRPr="00C27A60" w:rsidRDefault="007048D0" w:rsidP="007048D0">
            <w:pPr>
              <w:widowControl w:val="0"/>
              <w:spacing w:before="100" w:beforeAutospacing="1" w:after="100" w:afterAutospacing="1"/>
              <w:jc w:val="both"/>
              <w:rPr>
                <w:sz w:val="22"/>
                <w:szCs w:val="22"/>
                <w:lang w:eastAsia="uk-UA"/>
              </w:rPr>
            </w:pPr>
            <w:r w:rsidRPr="00C27A60">
              <w:rPr>
                <w:sz w:val="22"/>
                <w:szCs w:val="22"/>
                <w:lang w:eastAsia="uk-UA"/>
              </w:rPr>
              <w:t xml:space="preserve">Згідно визначення фактичних звітних витрат електричної енергії, наведеного у розділі 3 ГНД 34.09.104-2003, «звітне значення витрат електроенергії – це кількість електроенергії, що визначається різницею між сумою значень надходжень і сумою значень </w:t>
            </w:r>
            <w:proofErr w:type="spellStart"/>
            <w:r w:rsidRPr="00C27A60">
              <w:rPr>
                <w:sz w:val="22"/>
                <w:szCs w:val="22"/>
                <w:lang w:eastAsia="uk-UA"/>
              </w:rPr>
              <w:t>віддач</w:t>
            </w:r>
            <w:proofErr w:type="spellEnd"/>
            <w:r w:rsidRPr="00C27A60">
              <w:rPr>
                <w:sz w:val="22"/>
                <w:szCs w:val="22"/>
                <w:lang w:eastAsia="uk-UA"/>
              </w:rPr>
              <w:t xml:space="preserve"> електроенергії, що визначені за показами розрахункових засобів обліку електроенергії». При цьому згідно визначення терміну «віддача електроенергії», також наведеного у розділі 3 ГНД 34.09.104-2003, до віддачі електроенергії належить її віддача як сусіднім ліцензіатам, так і споживачам.</w:t>
            </w:r>
          </w:p>
          <w:p w14:paraId="44B3E56E" w14:textId="77777777" w:rsidR="007048D0" w:rsidRPr="00C27A60" w:rsidRDefault="007048D0" w:rsidP="007048D0">
            <w:pPr>
              <w:widowControl w:val="0"/>
              <w:spacing w:before="100" w:beforeAutospacing="1" w:after="100" w:afterAutospacing="1"/>
              <w:jc w:val="both"/>
              <w:rPr>
                <w:sz w:val="22"/>
                <w:szCs w:val="22"/>
                <w:lang w:eastAsia="uk-UA"/>
              </w:rPr>
            </w:pPr>
            <w:r w:rsidRPr="00C27A60">
              <w:rPr>
                <w:sz w:val="22"/>
                <w:szCs w:val="22"/>
                <w:lang w:eastAsia="uk-UA"/>
              </w:rPr>
              <w:t>Загальна кількість точок комерційного обліку в АТ «ВІННИЦЯОБЛЕНЕРГО» становить 839 365, з яких автоматичний облік забезпечують лише 189 963 точок (22,63%). Решта 77,37% точок працюють за оціночним методом.</w:t>
            </w:r>
          </w:p>
          <w:p w14:paraId="44758839" w14:textId="77777777" w:rsidR="007048D0" w:rsidRPr="00C27A60" w:rsidRDefault="007048D0" w:rsidP="007048D0">
            <w:pPr>
              <w:widowControl w:val="0"/>
              <w:spacing w:before="100" w:beforeAutospacing="1" w:after="100" w:afterAutospacing="1"/>
              <w:jc w:val="both"/>
              <w:rPr>
                <w:sz w:val="22"/>
                <w:szCs w:val="22"/>
                <w:lang w:eastAsia="uk-UA"/>
              </w:rPr>
            </w:pPr>
            <w:r w:rsidRPr="00C27A60">
              <w:rPr>
                <w:sz w:val="22"/>
                <w:szCs w:val="22"/>
                <w:lang w:eastAsia="uk-UA"/>
              </w:rPr>
              <w:lastRenderedPageBreak/>
              <w:t>Товариство приходить до цілком логічного висновку про те, що при розрахунку обсягів електроенергії, дані щодо комерційного обліку якого є оціночними, мають бути враховані серед іншого і дані щодо обсягів електроенергії, відданої споживачам. Але оскільки значна кількість побутових і непобутових споживачів не оснащені ТКО із дистанційною передачею показів та не передає вчасно дані комерційного обліку, для розрахунку з ними використовуються дані комерційного обліку, отримані розрахунковим шляхом. При цьому незрозуміло, чи належать такі розрахункові дані до оціночних (якщо так, то виникають сумніви щодо принципової можливості виконання умови щодо неперевищення частки оціночних даних комерційного обліку, використаних у розрахунку обсягу фактичних звітних витрат, в розмірі 3 % від загального обсягу електричної енергії).</w:t>
            </w:r>
          </w:p>
          <w:p w14:paraId="6BF7D5AF" w14:textId="77777777" w:rsidR="007048D0" w:rsidRPr="00C27A60" w:rsidRDefault="007048D0" w:rsidP="007048D0">
            <w:pPr>
              <w:widowControl w:val="0"/>
              <w:spacing w:before="100" w:beforeAutospacing="1" w:after="100" w:afterAutospacing="1"/>
              <w:jc w:val="both"/>
              <w:rPr>
                <w:sz w:val="22"/>
                <w:szCs w:val="22"/>
                <w:lang w:eastAsia="uk-UA"/>
              </w:rPr>
            </w:pPr>
            <w:r w:rsidRPr="00C27A60">
              <w:rPr>
                <w:sz w:val="22"/>
                <w:szCs w:val="22"/>
                <w:lang w:eastAsia="uk-UA"/>
              </w:rPr>
              <w:t>В умовах сучасної інфраструктури та поточного рівня автоматизації систем комерційного обліку встановлення рівня оціночних даних у 3% є нереалістичним, оскільки для його досягнення необхідно забезпечити автоматизацію майже всіх точок обліку, що фінансово та технічно недосяжно в короткостроковій перспективі.</w:t>
            </w:r>
          </w:p>
          <w:p w14:paraId="1DCD98C2" w14:textId="77777777" w:rsidR="007048D0" w:rsidRPr="00C27A60" w:rsidRDefault="007048D0" w:rsidP="007048D0">
            <w:pPr>
              <w:widowControl w:val="0"/>
              <w:spacing w:before="100" w:beforeAutospacing="1" w:after="100" w:afterAutospacing="1"/>
              <w:jc w:val="both"/>
              <w:rPr>
                <w:sz w:val="22"/>
                <w:szCs w:val="22"/>
                <w:lang w:eastAsia="uk-UA"/>
              </w:rPr>
            </w:pPr>
            <w:r w:rsidRPr="00C27A60">
              <w:rPr>
                <w:sz w:val="22"/>
                <w:szCs w:val="22"/>
                <w:lang w:eastAsia="uk-UA"/>
              </w:rPr>
              <w:t>Аналіз нормативних вимог в інших країнах свідчить про допустимий рівень оціночних даних у діапазоні 5–15%, що залежить від ступеня автоматизації та сучасності обладнання.</w:t>
            </w:r>
          </w:p>
          <w:p w14:paraId="7369F974" w14:textId="77777777" w:rsidR="007048D0" w:rsidRPr="00C27A60" w:rsidRDefault="007048D0" w:rsidP="007048D0">
            <w:pPr>
              <w:widowControl w:val="0"/>
              <w:spacing w:before="100" w:beforeAutospacing="1" w:after="100" w:afterAutospacing="1"/>
              <w:jc w:val="both"/>
              <w:rPr>
                <w:sz w:val="22"/>
                <w:szCs w:val="22"/>
                <w:lang w:eastAsia="uk-UA"/>
              </w:rPr>
            </w:pPr>
            <w:r w:rsidRPr="00C27A60">
              <w:rPr>
                <w:sz w:val="22"/>
                <w:szCs w:val="22"/>
                <w:lang w:eastAsia="uk-UA"/>
              </w:rPr>
              <w:t>Війна та її наслідки вплинули на різні регіони України по-різному. Оператори, які зазнали більших пошкоджень фізично не зможуть забезпечити рівень оціночних даних у 3%, що може призвести до некоректних фінансових санкцій.</w:t>
            </w:r>
          </w:p>
          <w:p w14:paraId="4393D312" w14:textId="77777777" w:rsidR="007048D0" w:rsidRPr="00C27A60" w:rsidRDefault="007048D0" w:rsidP="007048D0">
            <w:pPr>
              <w:widowControl w:val="0"/>
              <w:spacing w:before="100" w:beforeAutospacing="1" w:after="100" w:afterAutospacing="1"/>
              <w:jc w:val="both"/>
              <w:rPr>
                <w:sz w:val="22"/>
                <w:szCs w:val="22"/>
                <w:lang w:eastAsia="uk-UA"/>
              </w:rPr>
            </w:pPr>
            <w:r w:rsidRPr="00C27A60">
              <w:rPr>
                <w:sz w:val="22"/>
                <w:szCs w:val="22"/>
                <w:lang w:eastAsia="uk-UA"/>
              </w:rPr>
              <w:t xml:space="preserve">2. Згідно положень п. 9.10.2 ККОЕЕ - формування оціночних даних комерційного обліку проводиться відповідно до нормативного документа, що розробляється АКО. Станом на 03.12.2024 року АКО опублікував на сайті </w:t>
            </w:r>
            <w:r w:rsidRPr="00C27A60">
              <w:rPr>
                <w:sz w:val="22"/>
                <w:szCs w:val="22"/>
                <w:lang w:eastAsia="uk-UA"/>
              </w:rPr>
              <w:lastRenderedPageBreak/>
              <w:t xml:space="preserve">НЕК «УКРЕНЕРГО» в розділі «Новини» протокол узгоджувальної наради разом з порівняльними таблицями та проєкт Порядку формування оціночних даних комерційного обліку, формування профілів та профілювання даних комерційного обліку у центральній інформаційно-комунікаційній платформі </w:t>
            </w:r>
            <w:proofErr w:type="spellStart"/>
            <w:r w:rsidRPr="00C27A60">
              <w:rPr>
                <w:sz w:val="22"/>
                <w:szCs w:val="22"/>
                <w:lang w:eastAsia="uk-UA"/>
              </w:rPr>
              <w:t>Датахаб</w:t>
            </w:r>
            <w:proofErr w:type="spellEnd"/>
            <w:r w:rsidRPr="00C27A60">
              <w:rPr>
                <w:sz w:val="22"/>
                <w:szCs w:val="22"/>
                <w:lang w:eastAsia="uk-UA"/>
              </w:rPr>
              <w:t xml:space="preserve">, та </w:t>
            </w:r>
            <w:proofErr w:type="spellStart"/>
            <w:r w:rsidRPr="00C27A60">
              <w:rPr>
                <w:sz w:val="22"/>
                <w:szCs w:val="22"/>
                <w:lang w:eastAsia="uk-UA"/>
              </w:rPr>
              <w:t>проєкт</w:t>
            </w:r>
            <w:proofErr w:type="spellEnd"/>
            <w:r w:rsidRPr="00C27A60">
              <w:rPr>
                <w:sz w:val="22"/>
                <w:szCs w:val="22"/>
                <w:lang w:eastAsia="uk-UA"/>
              </w:rPr>
              <w:t xml:space="preserve"> Порядку агрегації даних комерційного обліку та складання балансу за областю комерційного обліку у центральній інформаційно-комунікаційній платформі </w:t>
            </w:r>
            <w:proofErr w:type="spellStart"/>
            <w:r w:rsidRPr="00C27A60">
              <w:rPr>
                <w:sz w:val="22"/>
                <w:szCs w:val="22"/>
                <w:lang w:eastAsia="uk-UA"/>
              </w:rPr>
              <w:t>Датахаб</w:t>
            </w:r>
            <w:proofErr w:type="spellEnd"/>
            <w:r w:rsidRPr="00C27A60">
              <w:rPr>
                <w:sz w:val="22"/>
                <w:szCs w:val="22"/>
                <w:lang w:eastAsia="uk-UA"/>
              </w:rPr>
              <w:t>.</w:t>
            </w:r>
          </w:p>
          <w:p w14:paraId="2E9AB37F" w14:textId="1915442A" w:rsidR="007048D0" w:rsidRPr="00C27A60" w:rsidRDefault="007048D0" w:rsidP="007048D0">
            <w:pPr>
              <w:rPr>
                <w:i/>
                <w:sz w:val="22"/>
                <w:szCs w:val="22"/>
              </w:rPr>
            </w:pPr>
            <w:r w:rsidRPr="00C27A60">
              <w:rPr>
                <w:sz w:val="22"/>
                <w:szCs w:val="22"/>
                <w:lang w:eastAsia="uk-UA"/>
              </w:rPr>
              <w:t xml:space="preserve">Станом на 20.02.2025 року Товариство не має відомостей стосовно ухвалення вищезгаданих проєктів. Протягом 2024 року не була реалізована можливість передачі на платформу </w:t>
            </w:r>
            <w:proofErr w:type="spellStart"/>
            <w:r w:rsidRPr="00C27A60">
              <w:rPr>
                <w:sz w:val="22"/>
                <w:szCs w:val="22"/>
                <w:lang w:eastAsia="uk-UA"/>
              </w:rPr>
              <w:t>Датахаб</w:t>
            </w:r>
            <w:proofErr w:type="spellEnd"/>
            <w:r w:rsidRPr="00C27A60">
              <w:rPr>
                <w:sz w:val="22"/>
                <w:szCs w:val="22"/>
                <w:lang w:eastAsia="uk-UA"/>
              </w:rPr>
              <w:t xml:space="preserve"> даних комерційного обліку з відміткою «оціночні», тому механізм здійснення формування оціночних даних комерційного обліку за 2024 рік вважаємо не врегульованим.</w:t>
            </w:r>
          </w:p>
          <w:p w14:paraId="6AD53649" w14:textId="019B539C" w:rsidR="00C533B1" w:rsidRPr="00C27A60" w:rsidRDefault="00C533B1" w:rsidP="00C533B1">
            <w:pPr>
              <w:rPr>
                <w:i/>
                <w:sz w:val="22"/>
                <w:szCs w:val="22"/>
              </w:rPr>
            </w:pPr>
          </w:p>
        </w:tc>
        <w:tc>
          <w:tcPr>
            <w:tcW w:w="3546" w:type="dxa"/>
          </w:tcPr>
          <w:p w14:paraId="77969CBB" w14:textId="77777777" w:rsidR="00BE5F6A" w:rsidRPr="00C27A60" w:rsidRDefault="00BE5F6A" w:rsidP="00BE5F6A">
            <w:pPr>
              <w:jc w:val="both"/>
              <w:rPr>
                <w:b/>
                <w:sz w:val="22"/>
                <w:szCs w:val="22"/>
              </w:rPr>
            </w:pPr>
          </w:p>
          <w:p w14:paraId="503E0CEC" w14:textId="77777777" w:rsidR="00BE5F6A" w:rsidRPr="00C27A60" w:rsidRDefault="00BE5F6A" w:rsidP="00BE5F6A">
            <w:pPr>
              <w:jc w:val="both"/>
              <w:rPr>
                <w:b/>
                <w:sz w:val="22"/>
                <w:szCs w:val="22"/>
              </w:rPr>
            </w:pPr>
          </w:p>
          <w:p w14:paraId="6722230C" w14:textId="77777777" w:rsidR="00BE5F6A" w:rsidRPr="00C27A60" w:rsidRDefault="00BE5F6A" w:rsidP="00BE5F6A">
            <w:pPr>
              <w:jc w:val="both"/>
              <w:rPr>
                <w:b/>
                <w:sz w:val="22"/>
                <w:szCs w:val="22"/>
              </w:rPr>
            </w:pPr>
          </w:p>
          <w:p w14:paraId="6955A0AD" w14:textId="77777777" w:rsidR="00BE5F6A" w:rsidRPr="00C27A60" w:rsidRDefault="00BE5F6A" w:rsidP="00BE5F6A">
            <w:pPr>
              <w:jc w:val="both"/>
              <w:rPr>
                <w:b/>
                <w:sz w:val="22"/>
                <w:szCs w:val="22"/>
              </w:rPr>
            </w:pPr>
          </w:p>
          <w:p w14:paraId="08A4D574" w14:textId="77777777" w:rsidR="00BE5F6A" w:rsidRPr="00C27A60" w:rsidRDefault="00BE5F6A" w:rsidP="00BE5F6A">
            <w:pPr>
              <w:jc w:val="both"/>
              <w:rPr>
                <w:b/>
                <w:sz w:val="22"/>
                <w:szCs w:val="22"/>
              </w:rPr>
            </w:pPr>
          </w:p>
          <w:p w14:paraId="51AE5F24" w14:textId="77777777" w:rsidR="00BE5F6A" w:rsidRPr="00C27A60" w:rsidRDefault="00BE5F6A" w:rsidP="00BE5F6A">
            <w:pPr>
              <w:jc w:val="both"/>
              <w:rPr>
                <w:b/>
                <w:sz w:val="22"/>
                <w:szCs w:val="22"/>
              </w:rPr>
            </w:pPr>
          </w:p>
          <w:p w14:paraId="6360F971" w14:textId="77777777" w:rsidR="00BE5F6A" w:rsidRPr="00C27A60" w:rsidRDefault="00BE5F6A" w:rsidP="00BE5F6A">
            <w:pPr>
              <w:jc w:val="both"/>
              <w:rPr>
                <w:b/>
                <w:sz w:val="22"/>
                <w:szCs w:val="22"/>
              </w:rPr>
            </w:pPr>
          </w:p>
          <w:p w14:paraId="473E9EC6" w14:textId="77777777" w:rsidR="00BE5F6A" w:rsidRPr="00C27A60" w:rsidRDefault="00BE5F6A" w:rsidP="00BE5F6A">
            <w:pPr>
              <w:jc w:val="both"/>
              <w:rPr>
                <w:b/>
                <w:sz w:val="22"/>
                <w:szCs w:val="22"/>
              </w:rPr>
            </w:pPr>
          </w:p>
          <w:p w14:paraId="587ADB99" w14:textId="77777777" w:rsidR="00BE5F6A" w:rsidRPr="00C27A60" w:rsidRDefault="00BE5F6A" w:rsidP="00BE5F6A">
            <w:pPr>
              <w:jc w:val="both"/>
              <w:rPr>
                <w:b/>
                <w:sz w:val="22"/>
                <w:szCs w:val="22"/>
              </w:rPr>
            </w:pPr>
          </w:p>
          <w:p w14:paraId="56FC4837" w14:textId="77777777" w:rsidR="00BE5F6A" w:rsidRPr="00C27A60" w:rsidRDefault="00BE5F6A" w:rsidP="00BE5F6A">
            <w:pPr>
              <w:jc w:val="both"/>
              <w:rPr>
                <w:b/>
                <w:sz w:val="22"/>
                <w:szCs w:val="22"/>
              </w:rPr>
            </w:pPr>
          </w:p>
          <w:p w14:paraId="5CA97CDA" w14:textId="77777777" w:rsidR="00BE5F6A" w:rsidRPr="00C27A60" w:rsidRDefault="00BE5F6A" w:rsidP="00BE5F6A">
            <w:pPr>
              <w:jc w:val="both"/>
              <w:rPr>
                <w:b/>
                <w:sz w:val="22"/>
                <w:szCs w:val="22"/>
              </w:rPr>
            </w:pPr>
          </w:p>
          <w:p w14:paraId="221C1622" w14:textId="77777777" w:rsidR="00BE5F6A" w:rsidRPr="00C27A60" w:rsidRDefault="00BE5F6A" w:rsidP="00BE5F6A">
            <w:pPr>
              <w:jc w:val="both"/>
              <w:rPr>
                <w:b/>
                <w:sz w:val="22"/>
                <w:szCs w:val="22"/>
              </w:rPr>
            </w:pPr>
          </w:p>
          <w:p w14:paraId="05D97B9E" w14:textId="77777777" w:rsidR="00BE5F6A" w:rsidRPr="00C27A60" w:rsidRDefault="00BE5F6A" w:rsidP="00BE5F6A">
            <w:pPr>
              <w:jc w:val="both"/>
              <w:rPr>
                <w:b/>
                <w:sz w:val="22"/>
                <w:szCs w:val="22"/>
              </w:rPr>
            </w:pPr>
          </w:p>
          <w:p w14:paraId="4C357F07" w14:textId="77777777" w:rsidR="00BE5F6A" w:rsidRPr="00C27A60" w:rsidRDefault="00BE5F6A" w:rsidP="00BE5F6A">
            <w:pPr>
              <w:jc w:val="both"/>
              <w:rPr>
                <w:b/>
                <w:sz w:val="22"/>
                <w:szCs w:val="22"/>
              </w:rPr>
            </w:pPr>
          </w:p>
          <w:p w14:paraId="144C4F12" w14:textId="77777777" w:rsidR="00BE5F6A" w:rsidRPr="00C27A60" w:rsidRDefault="00BE5F6A" w:rsidP="00BE5F6A">
            <w:pPr>
              <w:jc w:val="both"/>
              <w:rPr>
                <w:b/>
                <w:sz w:val="22"/>
                <w:szCs w:val="22"/>
              </w:rPr>
            </w:pPr>
          </w:p>
          <w:p w14:paraId="71B5ACB9" w14:textId="77777777" w:rsidR="00BE5F6A" w:rsidRPr="00C27A60" w:rsidRDefault="00BE5F6A" w:rsidP="00BE5F6A">
            <w:pPr>
              <w:jc w:val="both"/>
              <w:rPr>
                <w:b/>
                <w:sz w:val="22"/>
                <w:szCs w:val="22"/>
              </w:rPr>
            </w:pPr>
          </w:p>
          <w:p w14:paraId="3F45D72B" w14:textId="77777777" w:rsidR="00BE5F6A" w:rsidRPr="00C27A60" w:rsidRDefault="00BE5F6A" w:rsidP="00BE5F6A">
            <w:pPr>
              <w:jc w:val="both"/>
              <w:rPr>
                <w:b/>
                <w:sz w:val="22"/>
                <w:szCs w:val="22"/>
              </w:rPr>
            </w:pPr>
          </w:p>
          <w:p w14:paraId="7515AB90" w14:textId="77777777" w:rsidR="00BE5F6A" w:rsidRPr="00C27A60" w:rsidRDefault="00BE5F6A" w:rsidP="00BE5F6A">
            <w:pPr>
              <w:jc w:val="both"/>
              <w:rPr>
                <w:b/>
                <w:sz w:val="22"/>
                <w:szCs w:val="22"/>
              </w:rPr>
            </w:pPr>
          </w:p>
          <w:p w14:paraId="18278084" w14:textId="77777777" w:rsidR="00BE5F6A" w:rsidRPr="00C27A60" w:rsidRDefault="00BE5F6A" w:rsidP="00BE5F6A">
            <w:pPr>
              <w:jc w:val="both"/>
              <w:rPr>
                <w:b/>
                <w:sz w:val="22"/>
                <w:szCs w:val="22"/>
              </w:rPr>
            </w:pPr>
          </w:p>
          <w:p w14:paraId="6C1C3530" w14:textId="77777777" w:rsidR="00BE5F6A" w:rsidRPr="00C27A60" w:rsidRDefault="00BE5F6A" w:rsidP="00BE5F6A">
            <w:pPr>
              <w:jc w:val="both"/>
              <w:rPr>
                <w:b/>
                <w:sz w:val="22"/>
                <w:szCs w:val="22"/>
              </w:rPr>
            </w:pPr>
          </w:p>
          <w:p w14:paraId="2C92A2BE" w14:textId="77777777" w:rsidR="00BE5F6A" w:rsidRPr="00C27A60" w:rsidRDefault="00BE5F6A" w:rsidP="00BE5F6A">
            <w:pPr>
              <w:jc w:val="both"/>
              <w:rPr>
                <w:b/>
                <w:sz w:val="22"/>
                <w:szCs w:val="22"/>
              </w:rPr>
            </w:pPr>
          </w:p>
          <w:p w14:paraId="3A150C16" w14:textId="77777777" w:rsidR="00BE5F6A" w:rsidRPr="00C27A60" w:rsidRDefault="00BE5F6A" w:rsidP="00BE5F6A">
            <w:pPr>
              <w:jc w:val="both"/>
              <w:rPr>
                <w:b/>
                <w:sz w:val="22"/>
                <w:szCs w:val="22"/>
              </w:rPr>
            </w:pPr>
          </w:p>
          <w:p w14:paraId="6E7773B6" w14:textId="77777777" w:rsidR="00BE5F6A" w:rsidRPr="00C27A60" w:rsidRDefault="00BE5F6A" w:rsidP="00BE5F6A">
            <w:pPr>
              <w:jc w:val="both"/>
              <w:rPr>
                <w:b/>
                <w:sz w:val="22"/>
                <w:szCs w:val="22"/>
              </w:rPr>
            </w:pPr>
          </w:p>
          <w:p w14:paraId="2A3986D9" w14:textId="77777777" w:rsidR="00BE5F6A" w:rsidRPr="00C27A60" w:rsidRDefault="00BE5F6A" w:rsidP="00BE5F6A">
            <w:pPr>
              <w:jc w:val="both"/>
              <w:rPr>
                <w:b/>
                <w:sz w:val="22"/>
                <w:szCs w:val="22"/>
              </w:rPr>
            </w:pPr>
          </w:p>
          <w:p w14:paraId="4CCE1543" w14:textId="77777777" w:rsidR="00BE5F6A" w:rsidRPr="00C27A60" w:rsidRDefault="00BE5F6A" w:rsidP="00BE5F6A">
            <w:pPr>
              <w:jc w:val="both"/>
              <w:rPr>
                <w:b/>
                <w:sz w:val="22"/>
                <w:szCs w:val="22"/>
              </w:rPr>
            </w:pPr>
          </w:p>
          <w:p w14:paraId="796066CA" w14:textId="77777777" w:rsidR="00BE5F6A" w:rsidRPr="00C27A60" w:rsidRDefault="00BE5F6A" w:rsidP="00BE5F6A">
            <w:pPr>
              <w:jc w:val="both"/>
              <w:rPr>
                <w:b/>
                <w:sz w:val="22"/>
                <w:szCs w:val="22"/>
              </w:rPr>
            </w:pPr>
          </w:p>
          <w:p w14:paraId="779EB8AB" w14:textId="77777777" w:rsidR="00BE5F6A" w:rsidRPr="00C27A60" w:rsidRDefault="00BE5F6A" w:rsidP="00BE5F6A">
            <w:pPr>
              <w:jc w:val="both"/>
              <w:rPr>
                <w:b/>
                <w:sz w:val="22"/>
                <w:szCs w:val="22"/>
              </w:rPr>
            </w:pPr>
          </w:p>
          <w:p w14:paraId="138365FC" w14:textId="77777777" w:rsidR="00BE5F6A" w:rsidRPr="00C27A60" w:rsidRDefault="00BE5F6A" w:rsidP="00BE5F6A">
            <w:pPr>
              <w:jc w:val="both"/>
              <w:rPr>
                <w:b/>
                <w:sz w:val="22"/>
                <w:szCs w:val="22"/>
              </w:rPr>
            </w:pPr>
          </w:p>
          <w:p w14:paraId="2B54C27F" w14:textId="77777777" w:rsidR="00BE5F6A" w:rsidRPr="00C27A60" w:rsidRDefault="00BE5F6A" w:rsidP="00BE5F6A">
            <w:pPr>
              <w:jc w:val="both"/>
              <w:rPr>
                <w:b/>
                <w:sz w:val="22"/>
                <w:szCs w:val="22"/>
              </w:rPr>
            </w:pPr>
          </w:p>
          <w:p w14:paraId="05ABD1C0" w14:textId="77777777" w:rsidR="00BE5F6A" w:rsidRPr="00C27A60" w:rsidRDefault="00BE5F6A" w:rsidP="00BE5F6A">
            <w:pPr>
              <w:jc w:val="both"/>
              <w:rPr>
                <w:b/>
                <w:sz w:val="22"/>
                <w:szCs w:val="22"/>
              </w:rPr>
            </w:pPr>
          </w:p>
          <w:p w14:paraId="5C259E31" w14:textId="77777777" w:rsidR="00BE5F6A" w:rsidRPr="00C27A60" w:rsidRDefault="00BE5F6A" w:rsidP="00BE5F6A">
            <w:pPr>
              <w:jc w:val="both"/>
              <w:rPr>
                <w:b/>
                <w:sz w:val="22"/>
                <w:szCs w:val="22"/>
              </w:rPr>
            </w:pPr>
          </w:p>
          <w:p w14:paraId="72DBF5A4" w14:textId="77777777" w:rsidR="00BE5F6A" w:rsidRPr="00C27A60" w:rsidRDefault="00BE5F6A" w:rsidP="00BE5F6A">
            <w:pPr>
              <w:jc w:val="both"/>
              <w:rPr>
                <w:b/>
                <w:sz w:val="22"/>
                <w:szCs w:val="22"/>
              </w:rPr>
            </w:pPr>
          </w:p>
          <w:p w14:paraId="6A400281" w14:textId="77777777" w:rsidR="00BE5F6A" w:rsidRPr="00C27A60" w:rsidRDefault="00BE5F6A" w:rsidP="00BE5F6A">
            <w:pPr>
              <w:jc w:val="both"/>
              <w:rPr>
                <w:b/>
                <w:sz w:val="22"/>
                <w:szCs w:val="22"/>
              </w:rPr>
            </w:pPr>
          </w:p>
          <w:p w14:paraId="6A117FEC" w14:textId="77777777" w:rsidR="00BE5F6A" w:rsidRPr="00C27A60" w:rsidRDefault="00BE5F6A" w:rsidP="00BE5F6A">
            <w:pPr>
              <w:jc w:val="both"/>
              <w:rPr>
                <w:b/>
                <w:sz w:val="22"/>
                <w:szCs w:val="22"/>
              </w:rPr>
            </w:pPr>
          </w:p>
          <w:p w14:paraId="17D4C521" w14:textId="77777777" w:rsidR="00BE5F6A" w:rsidRPr="00C27A60" w:rsidRDefault="00BE5F6A" w:rsidP="00BE5F6A">
            <w:pPr>
              <w:jc w:val="both"/>
              <w:rPr>
                <w:b/>
                <w:sz w:val="22"/>
                <w:szCs w:val="22"/>
              </w:rPr>
            </w:pPr>
          </w:p>
          <w:p w14:paraId="55CA41CC" w14:textId="77777777" w:rsidR="00BE5F6A" w:rsidRPr="00C27A60" w:rsidRDefault="00BE5F6A" w:rsidP="00BE5F6A">
            <w:pPr>
              <w:jc w:val="both"/>
              <w:rPr>
                <w:b/>
                <w:sz w:val="22"/>
                <w:szCs w:val="22"/>
              </w:rPr>
            </w:pPr>
          </w:p>
          <w:p w14:paraId="1AFEC8CB" w14:textId="77777777" w:rsidR="00BE5F6A" w:rsidRPr="00C27A60" w:rsidRDefault="00BE5F6A" w:rsidP="00BE5F6A">
            <w:pPr>
              <w:jc w:val="both"/>
              <w:rPr>
                <w:b/>
                <w:sz w:val="22"/>
                <w:szCs w:val="22"/>
              </w:rPr>
            </w:pPr>
          </w:p>
          <w:p w14:paraId="66850AED" w14:textId="77777777" w:rsidR="00BE5F6A" w:rsidRPr="00C27A60" w:rsidRDefault="00BE5F6A" w:rsidP="00BE5F6A">
            <w:pPr>
              <w:jc w:val="both"/>
              <w:rPr>
                <w:b/>
                <w:sz w:val="22"/>
                <w:szCs w:val="22"/>
              </w:rPr>
            </w:pPr>
          </w:p>
          <w:p w14:paraId="58729452" w14:textId="77777777" w:rsidR="00BE5F6A" w:rsidRPr="00C27A60" w:rsidRDefault="00BE5F6A" w:rsidP="00BE5F6A">
            <w:pPr>
              <w:jc w:val="both"/>
              <w:rPr>
                <w:b/>
                <w:sz w:val="22"/>
                <w:szCs w:val="22"/>
              </w:rPr>
            </w:pPr>
          </w:p>
          <w:p w14:paraId="2636C031" w14:textId="77777777" w:rsidR="00BE5F6A" w:rsidRPr="00C27A60" w:rsidRDefault="00BE5F6A" w:rsidP="00BE5F6A">
            <w:pPr>
              <w:jc w:val="both"/>
              <w:rPr>
                <w:b/>
                <w:sz w:val="22"/>
                <w:szCs w:val="22"/>
              </w:rPr>
            </w:pPr>
          </w:p>
          <w:p w14:paraId="1D10B72B" w14:textId="77777777" w:rsidR="00BE5F6A" w:rsidRPr="00C27A60" w:rsidRDefault="00BE5F6A" w:rsidP="00BE5F6A">
            <w:pPr>
              <w:jc w:val="both"/>
              <w:rPr>
                <w:b/>
                <w:sz w:val="22"/>
                <w:szCs w:val="22"/>
              </w:rPr>
            </w:pPr>
          </w:p>
          <w:p w14:paraId="7B252C18" w14:textId="77777777" w:rsidR="00BE5F6A" w:rsidRPr="00C27A60" w:rsidRDefault="00BE5F6A" w:rsidP="00BE5F6A">
            <w:pPr>
              <w:jc w:val="both"/>
              <w:rPr>
                <w:b/>
                <w:sz w:val="22"/>
                <w:szCs w:val="22"/>
              </w:rPr>
            </w:pPr>
          </w:p>
          <w:p w14:paraId="5D252B76" w14:textId="77777777" w:rsidR="00BE5F6A" w:rsidRPr="00C27A60" w:rsidRDefault="00BE5F6A" w:rsidP="00BE5F6A">
            <w:pPr>
              <w:jc w:val="both"/>
              <w:rPr>
                <w:b/>
                <w:sz w:val="22"/>
                <w:szCs w:val="22"/>
              </w:rPr>
            </w:pPr>
          </w:p>
          <w:p w14:paraId="7E23A127" w14:textId="77777777" w:rsidR="00E10423" w:rsidRPr="00C27A60" w:rsidRDefault="00E10423" w:rsidP="00E10423">
            <w:pPr>
              <w:jc w:val="both"/>
              <w:rPr>
                <w:b/>
                <w:sz w:val="22"/>
                <w:szCs w:val="22"/>
              </w:rPr>
            </w:pPr>
            <w:r w:rsidRPr="00C27A60">
              <w:rPr>
                <w:b/>
                <w:sz w:val="22"/>
                <w:szCs w:val="22"/>
              </w:rPr>
              <w:t>Пропонується до обговорення</w:t>
            </w:r>
          </w:p>
          <w:p w14:paraId="503CA7D5" w14:textId="5281FFD3" w:rsidR="00BE5F6A" w:rsidRPr="00C27A60" w:rsidRDefault="00BE5F6A" w:rsidP="00BE5F6A">
            <w:pPr>
              <w:jc w:val="both"/>
              <w:rPr>
                <w:b/>
                <w:sz w:val="22"/>
                <w:szCs w:val="22"/>
              </w:rPr>
            </w:pPr>
            <w:r w:rsidRPr="00C27A60">
              <w:rPr>
                <w:b/>
                <w:sz w:val="22"/>
                <w:szCs w:val="22"/>
              </w:rPr>
              <w:t>Пропонується викласти в наступній редакції</w:t>
            </w:r>
          </w:p>
          <w:p w14:paraId="41FF6E6B" w14:textId="77777777" w:rsidR="00BE5F6A" w:rsidRPr="00C27A60" w:rsidRDefault="00BE5F6A" w:rsidP="00BE5F6A">
            <w:pPr>
              <w:jc w:val="both"/>
              <w:rPr>
                <w:b/>
                <w:sz w:val="22"/>
                <w:szCs w:val="22"/>
              </w:rPr>
            </w:pPr>
            <w:r w:rsidRPr="00C27A60">
              <w:rPr>
                <w:b/>
                <w:sz w:val="22"/>
                <w:szCs w:val="22"/>
              </w:rPr>
              <w:t>….</w:t>
            </w:r>
          </w:p>
          <w:p w14:paraId="7F3BE91E" w14:textId="067586A4" w:rsidR="00BE5F6A" w:rsidRPr="00C27A60" w:rsidRDefault="00BE5F6A" w:rsidP="00BE5F6A">
            <w:pPr>
              <w:jc w:val="both"/>
              <w:rPr>
                <w:b/>
                <w:sz w:val="22"/>
                <w:szCs w:val="22"/>
              </w:rPr>
            </w:pPr>
            <w:r w:rsidRPr="00C27A60">
              <w:rPr>
                <w:rFonts w:ascii="Calibri" w:hAnsi="Calibri" w:cs="Calibri"/>
                <w:sz w:val="22"/>
                <w:szCs w:val="22"/>
              </w:rPr>
              <w:lastRenderedPageBreak/>
              <w:t>«(</w:t>
            </w:r>
            <w:r w:rsidRPr="00C27A60">
              <w:rPr>
                <w:sz w:val="22"/>
                <w:szCs w:val="22"/>
              </w:rPr>
              <w:t>з 2024 року за умови, що величина загального обсягу віддачі електричної енергії (в тис. кВт*год), що визначена за фактичними показами розрахункових засобів обліку електроенергії за звітний рік, складає не менше ніж 97% від суми величин загального обсягу віддачі електричної енергії (в тис. кВт*год), що наведені у формі звітності № 5 НКРЕКП-моніторинг-розподіл (місячна) за відповідний звітний рік).»</w:t>
            </w:r>
          </w:p>
          <w:p w14:paraId="386B1378" w14:textId="77777777" w:rsidR="00BE5F6A" w:rsidRPr="00C27A60" w:rsidRDefault="00BE5F6A" w:rsidP="00BE5F6A">
            <w:pPr>
              <w:rPr>
                <w:b/>
                <w:sz w:val="22"/>
                <w:szCs w:val="22"/>
              </w:rPr>
            </w:pPr>
            <w:r w:rsidRPr="00C27A60">
              <w:rPr>
                <w:b/>
                <w:sz w:val="22"/>
                <w:szCs w:val="22"/>
              </w:rPr>
              <w:t>…..</w:t>
            </w:r>
          </w:p>
          <w:p w14:paraId="070C9FE4" w14:textId="77777777" w:rsidR="00C533B1" w:rsidRPr="00C27A60" w:rsidRDefault="00C533B1" w:rsidP="00C533B1">
            <w:pPr>
              <w:ind w:firstLine="240"/>
              <w:jc w:val="both"/>
              <w:rPr>
                <w:i/>
                <w:sz w:val="22"/>
                <w:szCs w:val="22"/>
              </w:rPr>
            </w:pPr>
          </w:p>
          <w:p w14:paraId="68A47E6F" w14:textId="77777777" w:rsidR="00304810" w:rsidRPr="00C27A60" w:rsidRDefault="00304810" w:rsidP="00C533B1">
            <w:pPr>
              <w:ind w:firstLine="240"/>
              <w:jc w:val="both"/>
              <w:rPr>
                <w:i/>
                <w:sz w:val="22"/>
                <w:szCs w:val="22"/>
              </w:rPr>
            </w:pPr>
          </w:p>
          <w:p w14:paraId="71E530D9" w14:textId="77777777" w:rsidR="00304810" w:rsidRPr="00C27A60" w:rsidRDefault="00304810" w:rsidP="00C533B1">
            <w:pPr>
              <w:ind w:firstLine="240"/>
              <w:jc w:val="both"/>
              <w:rPr>
                <w:i/>
                <w:sz w:val="22"/>
                <w:szCs w:val="22"/>
              </w:rPr>
            </w:pPr>
          </w:p>
          <w:p w14:paraId="2D5F0FF4" w14:textId="77777777" w:rsidR="00304810" w:rsidRPr="00C27A60" w:rsidRDefault="00304810" w:rsidP="00C533B1">
            <w:pPr>
              <w:ind w:firstLine="240"/>
              <w:jc w:val="both"/>
              <w:rPr>
                <w:i/>
                <w:sz w:val="22"/>
                <w:szCs w:val="22"/>
              </w:rPr>
            </w:pPr>
          </w:p>
          <w:p w14:paraId="4C9961FE" w14:textId="77777777" w:rsidR="00304810" w:rsidRPr="00C27A60" w:rsidRDefault="00304810" w:rsidP="00C533B1">
            <w:pPr>
              <w:ind w:firstLine="240"/>
              <w:jc w:val="both"/>
              <w:rPr>
                <w:i/>
                <w:sz w:val="22"/>
                <w:szCs w:val="22"/>
              </w:rPr>
            </w:pPr>
          </w:p>
          <w:p w14:paraId="4A88CE6A" w14:textId="77777777" w:rsidR="00304810" w:rsidRPr="00C27A60" w:rsidRDefault="00304810" w:rsidP="00C533B1">
            <w:pPr>
              <w:ind w:firstLine="240"/>
              <w:jc w:val="both"/>
              <w:rPr>
                <w:i/>
                <w:sz w:val="22"/>
                <w:szCs w:val="22"/>
              </w:rPr>
            </w:pPr>
          </w:p>
          <w:p w14:paraId="73450BB8" w14:textId="77777777" w:rsidR="00304810" w:rsidRPr="00C27A60" w:rsidRDefault="00304810" w:rsidP="00C533B1">
            <w:pPr>
              <w:ind w:firstLine="240"/>
              <w:jc w:val="both"/>
              <w:rPr>
                <w:i/>
                <w:sz w:val="22"/>
                <w:szCs w:val="22"/>
              </w:rPr>
            </w:pPr>
          </w:p>
          <w:p w14:paraId="2F121B2D" w14:textId="77777777" w:rsidR="00304810" w:rsidRPr="00C27A60" w:rsidRDefault="00304810" w:rsidP="00C533B1">
            <w:pPr>
              <w:ind w:firstLine="240"/>
              <w:jc w:val="both"/>
              <w:rPr>
                <w:i/>
                <w:sz w:val="22"/>
                <w:szCs w:val="22"/>
              </w:rPr>
            </w:pPr>
          </w:p>
          <w:p w14:paraId="4E9E3400" w14:textId="77777777" w:rsidR="00304810" w:rsidRPr="00C27A60" w:rsidRDefault="00304810" w:rsidP="00C533B1">
            <w:pPr>
              <w:ind w:firstLine="240"/>
              <w:jc w:val="both"/>
              <w:rPr>
                <w:i/>
                <w:sz w:val="22"/>
                <w:szCs w:val="22"/>
              </w:rPr>
            </w:pPr>
          </w:p>
          <w:p w14:paraId="2C51F421" w14:textId="77777777" w:rsidR="00304810" w:rsidRPr="00C27A60" w:rsidRDefault="00304810" w:rsidP="00C533B1">
            <w:pPr>
              <w:ind w:firstLine="240"/>
              <w:jc w:val="both"/>
              <w:rPr>
                <w:i/>
                <w:sz w:val="22"/>
                <w:szCs w:val="22"/>
              </w:rPr>
            </w:pPr>
          </w:p>
          <w:p w14:paraId="6B8D28DA" w14:textId="77777777" w:rsidR="00304810" w:rsidRPr="00C27A60" w:rsidRDefault="00304810" w:rsidP="00C533B1">
            <w:pPr>
              <w:ind w:firstLine="240"/>
              <w:jc w:val="both"/>
              <w:rPr>
                <w:i/>
                <w:sz w:val="22"/>
                <w:szCs w:val="22"/>
              </w:rPr>
            </w:pPr>
          </w:p>
          <w:p w14:paraId="41BC89E0" w14:textId="77777777" w:rsidR="00304810" w:rsidRPr="00C27A60" w:rsidRDefault="00304810" w:rsidP="00C533B1">
            <w:pPr>
              <w:ind w:firstLine="240"/>
              <w:jc w:val="both"/>
              <w:rPr>
                <w:i/>
                <w:sz w:val="22"/>
                <w:szCs w:val="22"/>
              </w:rPr>
            </w:pPr>
          </w:p>
          <w:p w14:paraId="62992FD1" w14:textId="77777777" w:rsidR="00304810" w:rsidRPr="00C27A60" w:rsidRDefault="00304810" w:rsidP="00C533B1">
            <w:pPr>
              <w:ind w:firstLine="240"/>
              <w:jc w:val="both"/>
              <w:rPr>
                <w:i/>
                <w:sz w:val="22"/>
                <w:szCs w:val="22"/>
              </w:rPr>
            </w:pPr>
          </w:p>
          <w:p w14:paraId="1DF7DB34" w14:textId="77777777" w:rsidR="00304810" w:rsidRPr="00C27A60" w:rsidRDefault="00304810" w:rsidP="00C533B1">
            <w:pPr>
              <w:ind w:firstLine="240"/>
              <w:jc w:val="both"/>
              <w:rPr>
                <w:i/>
                <w:sz w:val="22"/>
                <w:szCs w:val="22"/>
              </w:rPr>
            </w:pPr>
          </w:p>
          <w:p w14:paraId="658AA0D1" w14:textId="77777777" w:rsidR="00304810" w:rsidRPr="00C27A60" w:rsidRDefault="00304810" w:rsidP="00C533B1">
            <w:pPr>
              <w:ind w:firstLine="240"/>
              <w:jc w:val="both"/>
              <w:rPr>
                <w:i/>
                <w:sz w:val="22"/>
                <w:szCs w:val="22"/>
              </w:rPr>
            </w:pPr>
          </w:p>
          <w:p w14:paraId="003DEE71" w14:textId="77777777" w:rsidR="00304810" w:rsidRPr="00C27A60" w:rsidRDefault="00304810" w:rsidP="00C533B1">
            <w:pPr>
              <w:ind w:firstLine="240"/>
              <w:jc w:val="both"/>
              <w:rPr>
                <w:i/>
                <w:sz w:val="22"/>
                <w:szCs w:val="22"/>
              </w:rPr>
            </w:pPr>
          </w:p>
          <w:p w14:paraId="542A5D07" w14:textId="77777777" w:rsidR="00304810" w:rsidRPr="00C27A60" w:rsidRDefault="00304810" w:rsidP="00C533B1">
            <w:pPr>
              <w:ind w:firstLine="240"/>
              <w:jc w:val="both"/>
              <w:rPr>
                <w:i/>
                <w:sz w:val="22"/>
                <w:szCs w:val="22"/>
              </w:rPr>
            </w:pPr>
          </w:p>
          <w:p w14:paraId="416E2F49" w14:textId="77777777" w:rsidR="00304810" w:rsidRPr="00C27A60" w:rsidRDefault="00304810" w:rsidP="00C533B1">
            <w:pPr>
              <w:ind w:firstLine="240"/>
              <w:jc w:val="both"/>
              <w:rPr>
                <w:i/>
                <w:sz w:val="22"/>
                <w:szCs w:val="22"/>
              </w:rPr>
            </w:pPr>
          </w:p>
          <w:p w14:paraId="4577D281" w14:textId="77777777" w:rsidR="00304810" w:rsidRPr="00C27A60" w:rsidRDefault="00304810" w:rsidP="00C533B1">
            <w:pPr>
              <w:ind w:firstLine="240"/>
              <w:jc w:val="both"/>
              <w:rPr>
                <w:i/>
                <w:sz w:val="22"/>
                <w:szCs w:val="22"/>
              </w:rPr>
            </w:pPr>
          </w:p>
          <w:p w14:paraId="6DF809F9" w14:textId="77777777" w:rsidR="00304810" w:rsidRPr="00C27A60" w:rsidRDefault="00304810" w:rsidP="00C533B1">
            <w:pPr>
              <w:ind w:firstLine="240"/>
              <w:jc w:val="both"/>
              <w:rPr>
                <w:i/>
                <w:sz w:val="22"/>
                <w:szCs w:val="22"/>
              </w:rPr>
            </w:pPr>
          </w:p>
          <w:p w14:paraId="1CCBFE88" w14:textId="77777777" w:rsidR="00304810" w:rsidRPr="00C27A60" w:rsidRDefault="00304810" w:rsidP="00C533B1">
            <w:pPr>
              <w:ind w:firstLine="240"/>
              <w:jc w:val="both"/>
              <w:rPr>
                <w:i/>
                <w:sz w:val="22"/>
                <w:szCs w:val="22"/>
              </w:rPr>
            </w:pPr>
          </w:p>
          <w:p w14:paraId="17E40163" w14:textId="77777777" w:rsidR="00304810" w:rsidRPr="00C27A60" w:rsidRDefault="00304810" w:rsidP="00C533B1">
            <w:pPr>
              <w:ind w:firstLine="240"/>
              <w:jc w:val="both"/>
              <w:rPr>
                <w:i/>
                <w:sz w:val="22"/>
                <w:szCs w:val="22"/>
              </w:rPr>
            </w:pPr>
          </w:p>
          <w:p w14:paraId="640A829F" w14:textId="77777777" w:rsidR="00304810" w:rsidRPr="00C27A60" w:rsidRDefault="00304810" w:rsidP="00C533B1">
            <w:pPr>
              <w:ind w:firstLine="240"/>
              <w:jc w:val="both"/>
              <w:rPr>
                <w:i/>
                <w:sz w:val="22"/>
                <w:szCs w:val="22"/>
              </w:rPr>
            </w:pPr>
          </w:p>
          <w:p w14:paraId="376CD8F4" w14:textId="77777777" w:rsidR="00304810" w:rsidRPr="00C27A60" w:rsidRDefault="00304810" w:rsidP="00C533B1">
            <w:pPr>
              <w:ind w:firstLine="240"/>
              <w:jc w:val="both"/>
              <w:rPr>
                <w:i/>
                <w:sz w:val="22"/>
                <w:szCs w:val="22"/>
              </w:rPr>
            </w:pPr>
          </w:p>
          <w:p w14:paraId="55E27DB7" w14:textId="77777777" w:rsidR="00304810" w:rsidRPr="00C27A60" w:rsidRDefault="00304810" w:rsidP="00C533B1">
            <w:pPr>
              <w:ind w:firstLine="240"/>
              <w:jc w:val="both"/>
              <w:rPr>
                <w:i/>
                <w:sz w:val="22"/>
                <w:szCs w:val="22"/>
              </w:rPr>
            </w:pPr>
          </w:p>
          <w:p w14:paraId="5EAB46E3" w14:textId="77777777" w:rsidR="00304810" w:rsidRPr="00C27A60" w:rsidRDefault="00304810" w:rsidP="00C533B1">
            <w:pPr>
              <w:ind w:firstLine="240"/>
              <w:jc w:val="both"/>
              <w:rPr>
                <w:i/>
                <w:sz w:val="22"/>
                <w:szCs w:val="22"/>
              </w:rPr>
            </w:pPr>
          </w:p>
          <w:p w14:paraId="71E7963F" w14:textId="77777777" w:rsidR="00304810" w:rsidRPr="00C27A60" w:rsidRDefault="00304810" w:rsidP="00C533B1">
            <w:pPr>
              <w:ind w:firstLine="240"/>
              <w:jc w:val="both"/>
              <w:rPr>
                <w:i/>
                <w:sz w:val="22"/>
                <w:szCs w:val="22"/>
              </w:rPr>
            </w:pPr>
          </w:p>
          <w:p w14:paraId="16F5351C" w14:textId="77777777" w:rsidR="00304810" w:rsidRPr="00C27A60" w:rsidRDefault="00304810" w:rsidP="00C533B1">
            <w:pPr>
              <w:ind w:firstLine="240"/>
              <w:jc w:val="both"/>
              <w:rPr>
                <w:i/>
                <w:sz w:val="22"/>
                <w:szCs w:val="22"/>
              </w:rPr>
            </w:pPr>
          </w:p>
          <w:p w14:paraId="0C7599E7" w14:textId="77777777" w:rsidR="00304810" w:rsidRPr="00C27A60" w:rsidRDefault="00304810" w:rsidP="00C533B1">
            <w:pPr>
              <w:ind w:firstLine="240"/>
              <w:jc w:val="both"/>
              <w:rPr>
                <w:i/>
                <w:sz w:val="22"/>
                <w:szCs w:val="22"/>
              </w:rPr>
            </w:pPr>
          </w:p>
          <w:p w14:paraId="4243665F" w14:textId="77777777" w:rsidR="00304810" w:rsidRPr="00C27A60" w:rsidRDefault="00304810" w:rsidP="00C533B1">
            <w:pPr>
              <w:ind w:firstLine="240"/>
              <w:jc w:val="both"/>
              <w:rPr>
                <w:i/>
                <w:sz w:val="22"/>
                <w:szCs w:val="22"/>
              </w:rPr>
            </w:pPr>
          </w:p>
          <w:p w14:paraId="5E42ED49" w14:textId="77777777" w:rsidR="00304810" w:rsidRPr="00C27A60" w:rsidRDefault="00304810" w:rsidP="00C533B1">
            <w:pPr>
              <w:ind w:firstLine="240"/>
              <w:jc w:val="both"/>
              <w:rPr>
                <w:i/>
                <w:sz w:val="22"/>
                <w:szCs w:val="22"/>
              </w:rPr>
            </w:pPr>
          </w:p>
          <w:p w14:paraId="3C005269" w14:textId="77777777" w:rsidR="00304810" w:rsidRPr="00C27A60" w:rsidRDefault="00304810" w:rsidP="00C533B1">
            <w:pPr>
              <w:ind w:firstLine="240"/>
              <w:jc w:val="both"/>
              <w:rPr>
                <w:i/>
                <w:sz w:val="22"/>
                <w:szCs w:val="22"/>
              </w:rPr>
            </w:pPr>
          </w:p>
          <w:p w14:paraId="37974E13" w14:textId="77777777" w:rsidR="00304810" w:rsidRPr="00C27A60" w:rsidRDefault="00304810" w:rsidP="00C533B1">
            <w:pPr>
              <w:ind w:firstLine="240"/>
              <w:jc w:val="both"/>
              <w:rPr>
                <w:i/>
                <w:sz w:val="22"/>
                <w:szCs w:val="22"/>
              </w:rPr>
            </w:pPr>
          </w:p>
          <w:p w14:paraId="517FE920" w14:textId="77777777" w:rsidR="00304810" w:rsidRPr="00C27A60" w:rsidRDefault="00304810" w:rsidP="00C533B1">
            <w:pPr>
              <w:ind w:firstLine="240"/>
              <w:jc w:val="both"/>
              <w:rPr>
                <w:i/>
                <w:sz w:val="22"/>
                <w:szCs w:val="22"/>
              </w:rPr>
            </w:pPr>
          </w:p>
          <w:p w14:paraId="52B20651" w14:textId="77777777" w:rsidR="00304810" w:rsidRPr="00C27A60" w:rsidRDefault="00304810" w:rsidP="00C533B1">
            <w:pPr>
              <w:ind w:firstLine="240"/>
              <w:jc w:val="both"/>
              <w:rPr>
                <w:i/>
                <w:sz w:val="22"/>
                <w:szCs w:val="22"/>
              </w:rPr>
            </w:pPr>
          </w:p>
          <w:p w14:paraId="7E01EBFA" w14:textId="77777777" w:rsidR="00304810" w:rsidRPr="00C27A60" w:rsidRDefault="00304810" w:rsidP="00C533B1">
            <w:pPr>
              <w:ind w:firstLine="240"/>
              <w:jc w:val="both"/>
              <w:rPr>
                <w:i/>
                <w:sz w:val="22"/>
                <w:szCs w:val="22"/>
              </w:rPr>
            </w:pPr>
          </w:p>
          <w:p w14:paraId="27E28361" w14:textId="77777777" w:rsidR="00304810" w:rsidRPr="00C27A60" w:rsidRDefault="00304810" w:rsidP="00C533B1">
            <w:pPr>
              <w:ind w:firstLine="240"/>
              <w:jc w:val="both"/>
              <w:rPr>
                <w:i/>
                <w:sz w:val="22"/>
                <w:szCs w:val="22"/>
              </w:rPr>
            </w:pPr>
          </w:p>
          <w:p w14:paraId="497BEE85" w14:textId="77777777" w:rsidR="00304810" w:rsidRPr="00C27A60" w:rsidRDefault="00304810" w:rsidP="00C533B1">
            <w:pPr>
              <w:ind w:firstLine="240"/>
              <w:jc w:val="both"/>
              <w:rPr>
                <w:i/>
                <w:sz w:val="22"/>
                <w:szCs w:val="22"/>
              </w:rPr>
            </w:pPr>
          </w:p>
          <w:p w14:paraId="17C629A9" w14:textId="77777777" w:rsidR="00304810" w:rsidRPr="00C27A60" w:rsidRDefault="00304810" w:rsidP="00C533B1">
            <w:pPr>
              <w:ind w:firstLine="240"/>
              <w:jc w:val="both"/>
              <w:rPr>
                <w:i/>
                <w:sz w:val="22"/>
                <w:szCs w:val="22"/>
              </w:rPr>
            </w:pPr>
          </w:p>
          <w:p w14:paraId="2E02160D" w14:textId="77777777" w:rsidR="00304810" w:rsidRPr="00C27A60" w:rsidRDefault="00304810" w:rsidP="00C533B1">
            <w:pPr>
              <w:ind w:firstLine="240"/>
              <w:jc w:val="both"/>
              <w:rPr>
                <w:i/>
                <w:sz w:val="22"/>
                <w:szCs w:val="22"/>
              </w:rPr>
            </w:pPr>
          </w:p>
          <w:p w14:paraId="341C39F6" w14:textId="77777777" w:rsidR="00304810" w:rsidRPr="00C27A60" w:rsidRDefault="00304810" w:rsidP="00C533B1">
            <w:pPr>
              <w:ind w:firstLine="240"/>
              <w:jc w:val="both"/>
              <w:rPr>
                <w:i/>
                <w:sz w:val="22"/>
                <w:szCs w:val="22"/>
              </w:rPr>
            </w:pPr>
          </w:p>
          <w:p w14:paraId="2416243B" w14:textId="77777777" w:rsidR="00304810" w:rsidRPr="00C27A60" w:rsidRDefault="00304810" w:rsidP="00C533B1">
            <w:pPr>
              <w:ind w:firstLine="240"/>
              <w:jc w:val="both"/>
              <w:rPr>
                <w:i/>
                <w:sz w:val="22"/>
                <w:szCs w:val="22"/>
              </w:rPr>
            </w:pPr>
          </w:p>
          <w:p w14:paraId="30B6E853" w14:textId="77777777" w:rsidR="00304810" w:rsidRPr="00C27A60" w:rsidRDefault="00304810" w:rsidP="00C533B1">
            <w:pPr>
              <w:ind w:firstLine="240"/>
              <w:jc w:val="both"/>
              <w:rPr>
                <w:i/>
                <w:sz w:val="22"/>
                <w:szCs w:val="22"/>
              </w:rPr>
            </w:pPr>
          </w:p>
          <w:p w14:paraId="11A46269" w14:textId="77777777" w:rsidR="00304810" w:rsidRPr="00C27A60" w:rsidRDefault="00304810" w:rsidP="00C533B1">
            <w:pPr>
              <w:ind w:firstLine="240"/>
              <w:jc w:val="both"/>
              <w:rPr>
                <w:i/>
                <w:sz w:val="22"/>
                <w:szCs w:val="22"/>
              </w:rPr>
            </w:pPr>
          </w:p>
          <w:p w14:paraId="049F84EF" w14:textId="77777777" w:rsidR="00304810" w:rsidRPr="00C27A60" w:rsidRDefault="00304810" w:rsidP="00C533B1">
            <w:pPr>
              <w:ind w:firstLine="240"/>
              <w:jc w:val="both"/>
              <w:rPr>
                <w:i/>
                <w:sz w:val="22"/>
                <w:szCs w:val="22"/>
              </w:rPr>
            </w:pPr>
          </w:p>
          <w:p w14:paraId="10117E83" w14:textId="77777777" w:rsidR="00304810" w:rsidRPr="00C27A60" w:rsidRDefault="00304810" w:rsidP="00C533B1">
            <w:pPr>
              <w:ind w:firstLine="240"/>
              <w:jc w:val="both"/>
              <w:rPr>
                <w:i/>
                <w:sz w:val="22"/>
                <w:szCs w:val="22"/>
              </w:rPr>
            </w:pPr>
          </w:p>
          <w:p w14:paraId="4C452BD0" w14:textId="77777777" w:rsidR="00304810" w:rsidRPr="00C27A60" w:rsidRDefault="00304810" w:rsidP="00C533B1">
            <w:pPr>
              <w:ind w:firstLine="240"/>
              <w:jc w:val="both"/>
              <w:rPr>
                <w:i/>
                <w:sz w:val="22"/>
                <w:szCs w:val="22"/>
              </w:rPr>
            </w:pPr>
          </w:p>
          <w:p w14:paraId="0BA38C8F" w14:textId="77777777" w:rsidR="00304810" w:rsidRPr="00C27A60" w:rsidRDefault="00304810" w:rsidP="00C533B1">
            <w:pPr>
              <w:ind w:firstLine="240"/>
              <w:jc w:val="both"/>
              <w:rPr>
                <w:i/>
                <w:sz w:val="22"/>
                <w:szCs w:val="22"/>
              </w:rPr>
            </w:pPr>
          </w:p>
          <w:p w14:paraId="5C9896FE" w14:textId="77777777" w:rsidR="00304810" w:rsidRPr="00C27A60" w:rsidRDefault="00304810" w:rsidP="00C533B1">
            <w:pPr>
              <w:ind w:firstLine="240"/>
              <w:jc w:val="both"/>
              <w:rPr>
                <w:i/>
                <w:sz w:val="22"/>
                <w:szCs w:val="22"/>
              </w:rPr>
            </w:pPr>
          </w:p>
          <w:p w14:paraId="53250C2F" w14:textId="77777777" w:rsidR="00304810" w:rsidRPr="00C27A60" w:rsidRDefault="00304810" w:rsidP="00C533B1">
            <w:pPr>
              <w:ind w:firstLine="240"/>
              <w:jc w:val="both"/>
              <w:rPr>
                <w:i/>
                <w:sz w:val="22"/>
                <w:szCs w:val="22"/>
              </w:rPr>
            </w:pPr>
          </w:p>
          <w:p w14:paraId="7D8A07C7" w14:textId="77777777" w:rsidR="00304810" w:rsidRPr="00C27A60" w:rsidRDefault="00304810" w:rsidP="00C533B1">
            <w:pPr>
              <w:ind w:firstLine="240"/>
              <w:jc w:val="both"/>
              <w:rPr>
                <w:i/>
                <w:sz w:val="22"/>
                <w:szCs w:val="22"/>
              </w:rPr>
            </w:pPr>
          </w:p>
          <w:p w14:paraId="04597A6D" w14:textId="77777777" w:rsidR="00304810" w:rsidRPr="00C27A60" w:rsidRDefault="00304810" w:rsidP="00C533B1">
            <w:pPr>
              <w:ind w:firstLine="240"/>
              <w:jc w:val="both"/>
              <w:rPr>
                <w:i/>
                <w:sz w:val="22"/>
                <w:szCs w:val="22"/>
              </w:rPr>
            </w:pPr>
          </w:p>
          <w:p w14:paraId="41A9AC11" w14:textId="77777777" w:rsidR="00304810" w:rsidRPr="00C27A60" w:rsidRDefault="00304810" w:rsidP="00C533B1">
            <w:pPr>
              <w:ind w:firstLine="240"/>
              <w:jc w:val="both"/>
              <w:rPr>
                <w:i/>
                <w:sz w:val="22"/>
                <w:szCs w:val="22"/>
              </w:rPr>
            </w:pPr>
          </w:p>
          <w:p w14:paraId="6102EDD8" w14:textId="77777777" w:rsidR="00304810" w:rsidRPr="00C27A60" w:rsidRDefault="00304810" w:rsidP="00C533B1">
            <w:pPr>
              <w:ind w:firstLine="240"/>
              <w:jc w:val="both"/>
              <w:rPr>
                <w:i/>
                <w:sz w:val="22"/>
                <w:szCs w:val="22"/>
              </w:rPr>
            </w:pPr>
          </w:p>
          <w:p w14:paraId="5BDB2A2D" w14:textId="77777777" w:rsidR="00304810" w:rsidRPr="00C27A60" w:rsidRDefault="00304810" w:rsidP="00C533B1">
            <w:pPr>
              <w:ind w:firstLine="240"/>
              <w:jc w:val="both"/>
              <w:rPr>
                <w:i/>
                <w:sz w:val="22"/>
                <w:szCs w:val="22"/>
              </w:rPr>
            </w:pPr>
          </w:p>
          <w:p w14:paraId="1D792DDF" w14:textId="77777777" w:rsidR="00304810" w:rsidRPr="00C27A60" w:rsidRDefault="00304810" w:rsidP="00C533B1">
            <w:pPr>
              <w:ind w:firstLine="240"/>
              <w:jc w:val="both"/>
              <w:rPr>
                <w:i/>
                <w:sz w:val="22"/>
                <w:szCs w:val="22"/>
              </w:rPr>
            </w:pPr>
          </w:p>
          <w:p w14:paraId="0089A0E6" w14:textId="77777777" w:rsidR="00304810" w:rsidRPr="00C27A60" w:rsidRDefault="00304810" w:rsidP="00C533B1">
            <w:pPr>
              <w:ind w:firstLine="240"/>
              <w:jc w:val="both"/>
              <w:rPr>
                <w:i/>
                <w:sz w:val="22"/>
                <w:szCs w:val="22"/>
              </w:rPr>
            </w:pPr>
          </w:p>
          <w:p w14:paraId="6439D2A3" w14:textId="77777777" w:rsidR="00304810" w:rsidRPr="00C27A60" w:rsidRDefault="00304810" w:rsidP="00C533B1">
            <w:pPr>
              <w:ind w:firstLine="240"/>
              <w:jc w:val="both"/>
              <w:rPr>
                <w:i/>
                <w:sz w:val="22"/>
                <w:szCs w:val="22"/>
              </w:rPr>
            </w:pPr>
          </w:p>
          <w:p w14:paraId="10CFC989" w14:textId="77777777" w:rsidR="00304810" w:rsidRPr="00C27A60" w:rsidRDefault="00304810" w:rsidP="00C533B1">
            <w:pPr>
              <w:ind w:firstLine="240"/>
              <w:jc w:val="both"/>
              <w:rPr>
                <w:i/>
                <w:sz w:val="22"/>
                <w:szCs w:val="22"/>
              </w:rPr>
            </w:pPr>
          </w:p>
          <w:p w14:paraId="7771772D" w14:textId="77777777" w:rsidR="00304810" w:rsidRPr="00C27A60" w:rsidRDefault="00304810" w:rsidP="00C533B1">
            <w:pPr>
              <w:ind w:firstLine="240"/>
              <w:jc w:val="both"/>
              <w:rPr>
                <w:i/>
                <w:sz w:val="22"/>
                <w:szCs w:val="22"/>
              </w:rPr>
            </w:pPr>
          </w:p>
          <w:p w14:paraId="32C746C0" w14:textId="77777777" w:rsidR="00304810" w:rsidRPr="00C27A60" w:rsidRDefault="00304810" w:rsidP="00C533B1">
            <w:pPr>
              <w:ind w:firstLine="240"/>
              <w:jc w:val="both"/>
              <w:rPr>
                <w:i/>
                <w:sz w:val="22"/>
                <w:szCs w:val="22"/>
              </w:rPr>
            </w:pPr>
          </w:p>
          <w:p w14:paraId="5C7C1CFC" w14:textId="77777777" w:rsidR="00304810" w:rsidRPr="00C27A60" w:rsidRDefault="00304810" w:rsidP="00C533B1">
            <w:pPr>
              <w:ind w:firstLine="240"/>
              <w:jc w:val="both"/>
              <w:rPr>
                <w:i/>
                <w:sz w:val="22"/>
                <w:szCs w:val="22"/>
              </w:rPr>
            </w:pPr>
          </w:p>
          <w:p w14:paraId="24BC2C2E" w14:textId="77777777" w:rsidR="00304810" w:rsidRPr="00C27A60" w:rsidRDefault="00304810" w:rsidP="00C533B1">
            <w:pPr>
              <w:ind w:firstLine="240"/>
              <w:jc w:val="both"/>
              <w:rPr>
                <w:i/>
                <w:sz w:val="22"/>
                <w:szCs w:val="22"/>
              </w:rPr>
            </w:pPr>
          </w:p>
          <w:p w14:paraId="7222256D" w14:textId="77777777" w:rsidR="00304810" w:rsidRPr="00C27A60" w:rsidRDefault="00304810" w:rsidP="00C533B1">
            <w:pPr>
              <w:ind w:firstLine="240"/>
              <w:jc w:val="both"/>
              <w:rPr>
                <w:i/>
                <w:sz w:val="22"/>
                <w:szCs w:val="22"/>
              </w:rPr>
            </w:pPr>
          </w:p>
          <w:p w14:paraId="3A38B353" w14:textId="77777777" w:rsidR="00304810" w:rsidRPr="00C27A60" w:rsidRDefault="00304810" w:rsidP="00C533B1">
            <w:pPr>
              <w:ind w:firstLine="240"/>
              <w:jc w:val="both"/>
              <w:rPr>
                <w:i/>
                <w:sz w:val="22"/>
                <w:szCs w:val="22"/>
              </w:rPr>
            </w:pPr>
          </w:p>
          <w:p w14:paraId="52C19F02" w14:textId="77777777" w:rsidR="00304810" w:rsidRPr="00C27A60" w:rsidRDefault="00304810" w:rsidP="00C533B1">
            <w:pPr>
              <w:ind w:firstLine="240"/>
              <w:jc w:val="both"/>
              <w:rPr>
                <w:i/>
                <w:sz w:val="22"/>
                <w:szCs w:val="22"/>
              </w:rPr>
            </w:pPr>
          </w:p>
          <w:p w14:paraId="6F079C14" w14:textId="77777777" w:rsidR="00304810" w:rsidRPr="00C27A60" w:rsidRDefault="00304810" w:rsidP="00C533B1">
            <w:pPr>
              <w:ind w:firstLine="240"/>
              <w:jc w:val="both"/>
              <w:rPr>
                <w:i/>
                <w:sz w:val="22"/>
                <w:szCs w:val="22"/>
              </w:rPr>
            </w:pPr>
          </w:p>
          <w:p w14:paraId="7E6112C0" w14:textId="77777777" w:rsidR="00304810" w:rsidRPr="00C27A60" w:rsidRDefault="00304810" w:rsidP="00C533B1">
            <w:pPr>
              <w:ind w:firstLine="240"/>
              <w:jc w:val="both"/>
              <w:rPr>
                <w:i/>
                <w:sz w:val="22"/>
                <w:szCs w:val="22"/>
              </w:rPr>
            </w:pPr>
          </w:p>
          <w:p w14:paraId="7CE6CEF0" w14:textId="77777777" w:rsidR="00304810" w:rsidRPr="00C27A60" w:rsidRDefault="00304810" w:rsidP="00C533B1">
            <w:pPr>
              <w:ind w:firstLine="240"/>
              <w:jc w:val="both"/>
              <w:rPr>
                <w:i/>
                <w:sz w:val="22"/>
                <w:szCs w:val="22"/>
              </w:rPr>
            </w:pPr>
          </w:p>
          <w:p w14:paraId="67146725" w14:textId="77777777" w:rsidR="00304810" w:rsidRPr="00C27A60" w:rsidRDefault="00304810" w:rsidP="00C533B1">
            <w:pPr>
              <w:ind w:firstLine="240"/>
              <w:jc w:val="both"/>
              <w:rPr>
                <w:i/>
                <w:sz w:val="22"/>
                <w:szCs w:val="22"/>
              </w:rPr>
            </w:pPr>
          </w:p>
          <w:p w14:paraId="087D1629" w14:textId="77777777" w:rsidR="00304810" w:rsidRPr="00C27A60" w:rsidRDefault="00304810" w:rsidP="00C533B1">
            <w:pPr>
              <w:ind w:firstLine="240"/>
              <w:jc w:val="both"/>
              <w:rPr>
                <w:i/>
                <w:sz w:val="22"/>
                <w:szCs w:val="22"/>
              </w:rPr>
            </w:pPr>
          </w:p>
          <w:p w14:paraId="2CD09128" w14:textId="77777777" w:rsidR="00304810" w:rsidRPr="00C27A60" w:rsidRDefault="00304810" w:rsidP="00C533B1">
            <w:pPr>
              <w:ind w:firstLine="240"/>
              <w:jc w:val="both"/>
              <w:rPr>
                <w:i/>
                <w:sz w:val="22"/>
                <w:szCs w:val="22"/>
              </w:rPr>
            </w:pPr>
          </w:p>
          <w:p w14:paraId="14291DD6" w14:textId="77777777" w:rsidR="00304810" w:rsidRPr="00C27A60" w:rsidRDefault="00304810" w:rsidP="00C533B1">
            <w:pPr>
              <w:ind w:firstLine="240"/>
              <w:jc w:val="both"/>
              <w:rPr>
                <w:i/>
                <w:sz w:val="22"/>
                <w:szCs w:val="22"/>
              </w:rPr>
            </w:pPr>
          </w:p>
          <w:p w14:paraId="73D9CE66" w14:textId="77777777" w:rsidR="00304810" w:rsidRPr="00C27A60" w:rsidRDefault="00304810" w:rsidP="00C533B1">
            <w:pPr>
              <w:ind w:firstLine="240"/>
              <w:jc w:val="both"/>
              <w:rPr>
                <w:i/>
                <w:sz w:val="22"/>
                <w:szCs w:val="22"/>
              </w:rPr>
            </w:pPr>
          </w:p>
          <w:p w14:paraId="18C84148" w14:textId="77777777" w:rsidR="00304810" w:rsidRPr="00C27A60" w:rsidRDefault="00304810" w:rsidP="00C533B1">
            <w:pPr>
              <w:ind w:firstLine="240"/>
              <w:jc w:val="both"/>
              <w:rPr>
                <w:i/>
                <w:sz w:val="22"/>
                <w:szCs w:val="22"/>
              </w:rPr>
            </w:pPr>
          </w:p>
          <w:p w14:paraId="3B4E2C35" w14:textId="77777777" w:rsidR="00304810" w:rsidRPr="00C27A60" w:rsidRDefault="00304810" w:rsidP="00C533B1">
            <w:pPr>
              <w:ind w:firstLine="240"/>
              <w:jc w:val="both"/>
              <w:rPr>
                <w:i/>
                <w:sz w:val="22"/>
                <w:szCs w:val="22"/>
              </w:rPr>
            </w:pPr>
          </w:p>
          <w:p w14:paraId="1F133E21" w14:textId="77777777" w:rsidR="00304810" w:rsidRPr="00C27A60" w:rsidRDefault="00304810" w:rsidP="00C533B1">
            <w:pPr>
              <w:ind w:firstLine="240"/>
              <w:jc w:val="both"/>
              <w:rPr>
                <w:i/>
                <w:sz w:val="22"/>
                <w:szCs w:val="22"/>
              </w:rPr>
            </w:pPr>
          </w:p>
          <w:p w14:paraId="70A72F32" w14:textId="77777777" w:rsidR="00304810" w:rsidRPr="00C27A60" w:rsidRDefault="00304810" w:rsidP="00C533B1">
            <w:pPr>
              <w:ind w:firstLine="240"/>
              <w:jc w:val="both"/>
              <w:rPr>
                <w:i/>
                <w:sz w:val="22"/>
                <w:szCs w:val="22"/>
              </w:rPr>
            </w:pPr>
          </w:p>
          <w:p w14:paraId="6B9F92B1" w14:textId="77777777" w:rsidR="00304810" w:rsidRPr="00C27A60" w:rsidRDefault="00304810" w:rsidP="00C533B1">
            <w:pPr>
              <w:ind w:firstLine="240"/>
              <w:jc w:val="both"/>
              <w:rPr>
                <w:i/>
                <w:sz w:val="22"/>
                <w:szCs w:val="22"/>
              </w:rPr>
            </w:pPr>
          </w:p>
          <w:p w14:paraId="125123C0" w14:textId="77777777" w:rsidR="00304810" w:rsidRPr="00C27A60" w:rsidRDefault="00304810" w:rsidP="00C533B1">
            <w:pPr>
              <w:ind w:firstLine="240"/>
              <w:jc w:val="both"/>
              <w:rPr>
                <w:i/>
                <w:sz w:val="22"/>
                <w:szCs w:val="22"/>
              </w:rPr>
            </w:pPr>
          </w:p>
          <w:p w14:paraId="07D0056D" w14:textId="77777777" w:rsidR="00304810" w:rsidRPr="00C27A60" w:rsidRDefault="00304810" w:rsidP="00C533B1">
            <w:pPr>
              <w:ind w:firstLine="240"/>
              <w:jc w:val="both"/>
              <w:rPr>
                <w:i/>
                <w:sz w:val="22"/>
                <w:szCs w:val="22"/>
              </w:rPr>
            </w:pPr>
          </w:p>
          <w:p w14:paraId="3486C19E" w14:textId="77777777" w:rsidR="00304810" w:rsidRPr="00C27A60" w:rsidRDefault="00304810" w:rsidP="00C533B1">
            <w:pPr>
              <w:ind w:firstLine="240"/>
              <w:jc w:val="both"/>
              <w:rPr>
                <w:i/>
                <w:sz w:val="22"/>
                <w:szCs w:val="22"/>
              </w:rPr>
            </w:pPr>
          </w:p>
          <w:p w14:paraId="1DB51E11" w14:textId="77777777" w:rsidR="00304810" w:rsidRPr="00C27A60" w:rsidRDefault="00304810" w:rsidP="00C533B1">
            <w:pPr>
              <w:ind w:firstLine="240"/>
              <w:jc w:val="both"/>
              <w:rPr>
                <w:i/>
                <w:sz w:val="22"/>
                <w:szCs w:val="22"/>
              </w:rPr>
            </w:pPr>
          </w:p>
          <w:p w14:paraId="209D9B3F" w14:textId="77777777" w:rsidR="00304810" w:rsidRPr="00C27A60" w:rsidRDefault="00304810" w:rsidP="00C533B1">
            <w:pPr>
              <w:ind w:firstLine="240"/>
              <w:jc w:val="both"/>
              <w:rPr>
                <w:i/>
                <w:sz w:val="22"/>
                <w:szCs w:val="22"/>
              </w:rPr>
            </w:pPr>
          </w:p>
          <w:p w14:paraId="594695F6" w14:textId="77777777" w:rsidR="00304810" w:rsidRPr="00C27A60" w:rsidRDefault="00304810" w:rsidP="00C533B1">
            <w:pPr>
              <w:ind w:firstLine="240"/>
              <w:jc w:val="both"/>
              <w:rPr>
                <w:i/>
                <w:sz w:val="22"/>
                <w:szCs w:val="22"/>
              </w:rPr>
            </w:pPr>
          </w:p>
          <w:p w14:paraId="4054F16A" w14:textId="77777777" w:rsidR="00304810" w:rsidRPr="00C27A60" w:rsidRDefault="00304810" w:rsidP="00C533B1">
            <w:pPr>
              <w:ind w:firstLine="240"/>
              <w:jc w:val="both"/>
              <w:rPr>
                <w:i/>
                <w:sz w:val="22"/>
                <w:szCs w:val="22"/>
              </w:rPr>
            </w:pPr>
          </w:p>
          <w:p w14:paraId="3D396DB9" w14:textId="77777777" w:rsidR="00304810" w:rsidRPr="00C27A60" w:rsidRDefault="00304810" w:rsidP="00C533B1">
            <w:pPr>
              <w:ind w:firstLine="240"/>
              <w:jc w:val="both"/>
              <w:rPr>
                <w:i/>
                <w:sz w:val="22"/>
                <w:szCs w:val="22"/>
              </w:rPr>
            </w:pPr>
          </w:p>
          <w:p w14:paraId="4A21EF0A" w14:textId="77777777" w:rsidR="00304810" w:rsidRPr="00C27A60" w:rsidRDefault="00304810" w:rsidP="00C533B1">
            <w:pPr>
              <w:ind w:firstLine="240"/>
              <w:jc w:val="both"/>
              <w:rPr>
                <w:i/>
                <w:sz w:val="22"/>
                <w:szCs w:val="22"/>
              </w:rPr>
            </w:pPr>
          </w:p>
          <w:p w14:paraId="22D11912" w14:textId="77777777" w:rsidR="00304810" w:rsidRPr="00C27A60" w:rsidRDefault="00304810" w:rsidP="00C533B1">
            <w:pPr>
              <w:ind w:firstLine="240"/>
              <w:jc w:val="both"/>
              <w:rPr>
                <w:i/>
                <w:sz w:val="22"/>
                <w:szCs w:val="22"/>
              </w:rPr>
            </w:pPr>
          </w:p>
          <w:p w14:paraId="1A30C32A" w14:textId="77777777" w:rsidR="00304810" w:rsidRPr="00C27A60" w:rsidRDefault="00304810" w:rsidP="00C533B1">
            <w:pPr>
              <w:ind w:firstLine="240"/>
              <w:jc w:val="both"/>
              <w:rPr>
                <w:i/>
                <w:sz w:val="22"/>
                <w:szCs w:val="22"/>
              </w:rPr>
            </w:pPr>
          </w:p>
          <w:p w14:paraId="51EEE8DA" w14:textId="77777777" w:rsidR="00304810" w:rsidRPr="00C27A60" w:rsidRDefault="00304810" w:rsidP="00C533B1">
            <w:pPr>
              <w:ind w:firstLine="240"/>
              <w:jc w:val="both"/>
              <w:rPr>
                <w:i/>
                <w:sz w:val="22"/>
                <w:szCs w:val="22"/>
              </w:rPr>
            </w:pPr>
          </w:p>
          <w:p w14:paraId="0DC0DAF3" w14:textId="77777777" w:rsidR="00304810" w:rsidRPr="00C27A60" w:rsidRDefault="00304810" w:rsidP="00C533B1">
            <w:pPr>
              <w:ind w:firstLine="240"/>
              <w:jc w:val="both"/>
              <w:rPr>
                <w:i/>
                <w:sz w:val="22"/>
                <w:szCs w:val="22"/>
              </w:rPr>
            </w:pPr>
          </w:p>
          <w:p w14:paraId="194D950E" w14:textId="77777777" w:rsidR="00304810" w:rsidRPr="00C27A60" w:rsidRDefault="00304810" w:rsidP="00C533B1">
            <w:pPr>
              <w:ind w:firstLine="240"/>
              <w:jc w:val="both"/>
              <w:rPr>
                <w:i/>
                <w:sz w:val="22"/>
                <w:szCs w:val="22"/>
              </w:rPr>
            </w:pPr>
          </w:p>
          <w:p w14:paraId="74C63BAD" w14:textId="77777777" w:rsidR="00304810" w:rsidRPr="00C27A60" w:rsidRDefault="00304810" w:rsidP="00C533B1">
            <w:pPr>
              <w:ind w:firstLine="240"/>
              <w:jc w:val="both"/>
              <w:rPr>
                <w:i/>
                <w:sz w:val="22"/>
                <w:szCs w:val="22"/>
              </w:rPr>
            </w:pPr>
          </w:p>
          <w:p w14:paraId="4BA2E6EB" w14:textId="77777777" w:rsidR="00304810" w:rsidRPr="00C27A60" w:rsidRDefault="00304810" w:rsidP="00C533B1">
            <w:pPr>
              <w:ind w:firstLine="240"/>
              <w:jc w:val="both"/>
              <w:rPr>
                <w:i/>
                <w:sz w:val="22"/>
                <w:szCs w:val="22"/>
              </w:rPr>
            </w:pPr>
          </w:p>
          <w:p w14:paraId="5E69B06D" w14:textId="77777777" w:rsidR="00304810" w:rsidRPr="00C27A60" w:rsidRDefault="00304810" w:rsidP="00C533B1">
            <w:pPr>
              <w:ind w:firstLine="240"/>
              <w:jc w:val="both"/>
              <w:rPr>
                <w:i/>
                <w:sz w:val="22"/>
                <w:szCs w:val="22"/>
              </w:rPr>
            </w:pPr>
          </w:p>
          <w:p w14:paraId="440F812B" w14:textId="77777777" w:rsidR="00304810" w:rsidRPr="00C27A60" w:rsidRDefault="00304810" w:rsidP="00C533B1">
            <w:pPr>
              <w:ind w:firstLine="240"/>
              <w:jc w:val="both"/>
              <w:rPr>
                <w:i/>
                <w:sz w:val="22"/>
                <w:szCs w:val="22"/>
              </w:rPr>
            </w:pPr>
          </w:p>
          <w:p w14:paraId="6D33A4FD" w14:textId="77777777" w:rsidR="00304810" w:rsidRPr="00C27A60" w:rsidRDefault="00304810" w:rsidP="00C533B1">
            <w:pPr>
              <w:ind w:firstLine="240"/>
              <w:jc w:val="both"/>
              <w:rPr>
                <w:i/>
                <w:sz w:val="22"/>
                <w:szCs w:val="22"/>
              </w:rPr>
            </w:pPr>
          </w:p>
          <w:p w14:paraId="42BE495F" w14:textId="77777777" w:rsidR="00304810" w:rsidRPr="00C27A60" w:rsidRDefault="00304810" w:rsidP="00C533B1">
            <w:pPr>
              <w:ind w:firstLine="240"/>
              <w:jc w:val="both"/>
              <w:rPr>
                <w:i/>
                <w:sz w:val="22"/>
                <w:szCs w:val="22"/>
              </w:rPr>
            </w:pPr>
          </w:p>
          <w:p w14:paraId="5392DC97" w14:textId="77777777" w:rsidR="00304810" w:rsidRPr="00C27A60" w:rsidRDefault="00304810" w:rsidP="00C533B1">
            <w:pPr>
              <w:ind w:firstLine="240"/>
              <w:jc w:val="both"/>
              <w:rPr>
                <w:i/>
                <w:sz w:val="22"/>
                <w:szCs w:val="22"/>
              </w:rPr>
            </w:pPr>
          </w:p>
          <w:p w14:paraId="6BDB7592" w14:textId="77777777" w:rsidR="00304810" w:rsidRPr="00C27A60" w:rsidRDefault="00304810" w:rsidP="00C533B1">
            <w:pPr>
              <w:ind w:firstLine="240"/>
              <w:jc w:val="both"/>
              <w:rPr>
                <w:i/>
                <w:sz w:val="22"/>
                <w:szCs w:val="22"/>
              </w:rPr>
            </w:pPr>
          </w:p>
          <w:p w14:paraId="245070D7" w14:textId="77777777" w:rsidR="00304810" w:rsidRPr="00C27A60" w:rsidRDefault="00304810" w:rsidP="00C533B1">
            <w:pPr>
              <w:ind w:firstLine="240"/>
              <w:jc w:val="both"/>
              <w:rPr>
                <w:i/>
                <w:sz w:val="22"/>
                <w:szCs w:val="22"/>
              </w:rPr>
            </w:pPr>
          </w:p>
          <w:p w14:paraId="1EF72938" w14:textId="77777777" w:rsidR="00304810" w:rsidRPr="00C27A60" w:rsidRDefault="00304810" w:rsidP="00C533B1">
            <w:pPr>
              <w:ind w:firstLine="240"/>
              <w:jc w:val="both"/>
              <w:rPr>
                <w:i/>
                <w:sz w:val="22"/>
                <w:szCs w:val="22"/>
              </w:rPr>
            </w:pPr>
          </w:p>
          <w:p w14:paraId="781A41D7" w14:textId="77777777" w:rsidR="00304810" w:rsidRPr="00C27A60" w:rsidRDefault="00304810" w:rsidP="00C533B1">
            <w:pPr>
              <w:ind w:firstLine="240"/>
              <w:jc w:val="both"/>
              <w:rPr>
                <w:i/>
                <w:sz w:val="22"/>
                <w:szCs w:val="22"/>
              </w:rPr>
            </w:pPr>
          </w:p>
          <w:p w14:paraId="5CB27D6A" w14:textId="77777777" w:rsidR="00304810" w:rsidRPr="00C27A60" w:rsidRDefault="00304810" w:rsidP="00C533B1">
            <w:pPr>
              <w:ind w:firstLine="240"/>
              <w:jc w:val="both"/>
              <w:rPr>
                <w:i/>
                <w:sz w:val="22"/>
                <w:szCs w:val="22"/>
              </w:rPr>
            </w:pPr>
          </w:p>
          <w:p w14:paraId="0D8B8EB8" w14:textId="77777777" w:rsidR="00304810" w:rsidRPr="00C27A60" w:rsidRDefault="00304810" w:rsidP="00C533B1">
            <w:pPr>
              <w:ind w:firstLine="240"/>
              <w:jc w:val="both"/>
              <w:rPr>
                <w:i/>
                <w:sz w:val="22"/>
                <w:szCs w:val="22"/>
              </w:rPr>
            </w:pPr>
          </w:p>
          <w:p w14:paraId="0EBAF0A5" w14:textId="77777777" w:rsidR="00304810" w:rsidRPr="00C27A60" w:rsidRDefault="00304810" w:rsidP="00C533B1">
            <w:pPr>
              <w:ind w:firstLine="240"/>
              <w:jc w:val="both"/>
              <w:rPr>
                <w:i/>
                <w:sz w:val="22"/>
                <w:szCs w:val="22"/>
              </w:rPr>
            </w:pPr>
          </w:p>
          <w:p w14:paraId="2D635ACF" w14:textId="77777777" w:rsidR="00304810" w:rsidRPr="00C27A60" w:rsidRDefault="00304810" w:rsidP="00C533B1">
            <w:pPr>
              <w:ind w:firstLine="240"/>
              <w:jc w:val="both"/>
              <w:rPr>
                <w:i/>
                <w:sz w:val="22"/>
                <w:szCs w:val="22"/>
              </w:rPr>
            </w:pPr>
          </w:p>
          <w:p w14:paraId="1AA99690" w14:textId="77777777" w:rsidR="00304810" w:rsidRPr="00C27A60" w:rsidRDefault="00304810" w:rsidP="00C533B1">
            <w:pPr>
              <w:ind w:firstLine="240"/>
              <w:jc w:val="both"/>
              <w:rPr>
                <w:i/>
                <w:sz w:val="22"/>
                <w:szCs w:val="22"/>
              </w:rPr>
            </w:pPr>
          </w:p>
          <w:p w14:paraId="1E2C9898" w14:textId="77777777" w:rsidR="00304810" w:rsidRPr="00C27A60" w:rsidRDefault="00304810" w:rsidP="00C533B1">
            <w:pPr>
              <w:ind w:firstLine="240"/>
              <w:jc w:val="both"/>
              <w:rPr>
                <w:i/>
                <w:sz w:val="22"/>
                <w:szCs w:val="22"/>
              </w:rPr>
            </w:pPr>
          </w:p>
          <w:p w14:paraId="43A3C2D5" w14:textId="77777777" w:rsidR="00304810" w:rsidRPr="00C27A60" w:rsidRDefault="00304810" w:rsidP="00C533B1">
            <w:pPr>
              <w:ind w:firstLine="240"/>
              <w:jc w:val="both"/>
              <w:rPr>
                <w:i/>
                <w:sz w:val="22"/>
                <w:szCs w:val="22"/>
              </w:rPr>
            </w:pPr>
          </w:p>
          <w:p w14:paraId="5E72A3E1" w14:textId="77777777" w:rsidR="00304810" w:rsidRPr="00C27A60" w:rsidRDefault="00304810" w:rsidP="00C533B1">
            <w:pPr>
              <w:ind w:firstLine="240"/>
              <w:jc w:val="both"/>
              <w:rPr>
                <w:i/>
                <w:sz w:val="22"/>
                <w:szCs w:val="22"/>
              </w:rPr>
            </w:pPr>
          </w:p>
          <w:p w14:paraId="4C03A667" w14:textId="77777777" w:rsidR="00304810" w:rsidRPr="00C27A60" w:rsidRDefault="00304810" w:rsidP="00C533B1">
            <w:pPr>
              <w:ind w:firstLine="240"/>
              <w:jc w:val="both"/>
              <w:rPr>
                <w:i/>
                <w:sz w:val="22"/>
                <w:szCs w:val="22"/>
              </w:rPr>
            </w:pPr>
          </w:p>
          <w:p w14:paraId="626207DA" w14:textId="77777777" w:rsidR="00304810" w:rsidRPr="00C27A60" w:rsidRDefault="00304810" w:rsidP="00C533B1">
            <w:pPr>
              <w:ind w:firstLine="240"/>
              <w:jc w:val="both"/>
              <w:rPr>
                <w:i/>
                <w:sz w:val="22"/>
                <w:szCs w:val="22"/>
              </w:rPr>
            </w:pPr>
          </w:p>
          <w:p w14:paraId="17660DAE" w14:textId="77777777" w:rsidR="00304810" w:rsidRPr="00C27A60" w:rsidRDefault="00304810" w:rsidP="00C533B1">
            <w:pPr>
              <w:ind w:firstLine="240"/>
              <w:jc w:val="both"/>
              <w:rPr>
                <w:i/>
                <w:sz w:val="22"/>
                <w:szCs w:val="22"/>
              </w:rPr>
            </w:pPr>
          </w:p>
          <w:p w14:paraId="25993ABF" w14:textId="77777777" w:rsidR="00304810" w:rsidRPr="00C27A60" w:rsidRDefault="00304810" w:rsidP="00C533B1">
            <w:pPr>
              <w:ind w:firstLine="240"/>
              <w:jc w:val="both"/>
              <w:rPr>
                <w:i/>
                <w:sz w:val="22"/>
                <w:szCs w:val="22"/>
              </w:rPr>
            </w:pPr>
          </w:p>
          <w:p w14:paraId="0962E298" w14:textId="77777777" w:rsidR="00304810" w:rsidRPr="00C27A60" w:rsidRDefault="00304810" w:rsidP="00C533B1">
            <w:pPr>
              <w:ind w:firstLine="240"/>
              <w:jc w:val="both"/>
              <w:rPr>
                <w:i/>
                <w:sz w:val="22"/>
                <w:szCs w:val="22"/>
              </w:rPr>
            </w:pPr>
          </w:p>
          <w:p w14:paraId="3A36C739" w14:textId="77777777" w:rsidR="00304810" w:rsidRPr="00C27A60" w:rsidRDefault="00304810" w:rsidP="00C533B1">
            <w:pPr>
              <w:ind w:firstLine="240"/>
              <w:jc w:val="both"/>
              <w:rPr>
                <w:i/>
                <w:sz w:val="22"/>
                <w:szCs w:val="22"/>
              </w:rPr>
            </w:pPr>
          </w:p>
          <w:p w14:paraId="3F7C9AAF" w14:textId="77777777" w:rsidR="00304810" w:rsidRPr="00C27A60" w:rsidRDefault="00304810" w:rsidP="00C533B1">
            <w:pPr>
              <w:ind w:firstLine="240"/>
              <w:jc w:val="both"/>
              <w:rPr>
                <w:i/>
                <w:sz w:val="22"/>
                <w:szCs w:val="22"/>
              </w:rPr>
            </w:pPr>
          </w:p>
          <w:p w14:paraId="001AD708" w14:textId="77777777" w:rsidR="00304810" w:rsidRPr="00C27A60" w:rsidRDefault="00304810" w:rsidP="00C533B1">
            <w:pPr>
              <w:ind w:firstLine="240"/>
              <w:jc w:val="both"/>
              <w:rPr>
                <w:i/>
                <w:sz w:val="22"/>
                <w:szCs w:val="22"/>
              </w:rPr>
            </w:pPr>
          </w:p>
          <w:p w14:paraId="4D05EAB1" w14:textId="77777777" w:rsidR="00304810" w:rsidRPr="00C27A60" w:rsidRDefault="00304810" w:rsidP="00C533B1">
            <w:pPr>
              <w:ind w:firstLine="240"/>
              <w:jc w:val="both"/>
              <w:rPr>
                <w:i/>
                <w:sz w:val="22"/>
                <w:szCs w:val="22"/>
              </w:rPr>
            </w:pPr>
          </w:p>
          <w:p w14:paraId="6E3844A4" w14:textId="77777777" w:rsidR="00304810" w:rsidRPr="00C27A60" w:rsidRDefault="00304810" w:rsidP="00C533B1">
            <w:pPr>
              <w:ind w:firstLine="240"/>
              <w:jc w:val="both"/>
              <w:rPr>
                <w:i/>
                <w:sz w:val="22"/>
                <w:szCs w:val="22"/>
              </w:rPr>
            </w:pPr>
          </w:p>
          <w:p w14:paraId="5B46DDF0" w14:textId="77777777" w:rsidR="00304810" w:rsidRPr="00C27A60" w:rsidRDefault="00304810" w:rsidP="00C533B1">
            <w:pPr>
              <w:ind w:firstLine="240"/>
              <w:jc w:val="both"/>
              <w:rPr>
                <w:i/>
                <w:sz w:val="22"/>
                <w:szCs w:val="22"/>
              </w:rPr>
            </w:pPr>
          </w:p>
          <w:p w14:paraId="1B1D7EE3" w14:textId="77777777" w:rsidR="00304810" w:rsidRPr="00C27A60" w:rsidRDefault="00304810" w:rsidP="00C533B1">
            <w:pPr>
              <w:ind w:firstLine="240"/>
              <w:jc w:val="both"/>
              <w:rPr>
                <w:i/>
                <w:sz w:val="22"/>
                <w:szCs w:val="22"/>
              </w:rPr>
            </w:pPr>
          </w:p>
          <w:p w14:paraId="7FEB30E7" w14:textId="77777777" w:rsidR="00304810" w:rsidRPr="00C27A60" w:rsidRDefault="00304810" w:rsidP="00C533B1">
            <w:pPr>
              <w:ind w:firstLine="240"/>
              <w:jc w:val="both"/>
              <w:rPr>
                <w:i/>
                <w:sz w:val="22"/>
                <w:szCs w:val="22"/>
              </w:rPr>
            </w:pPr>
          </w:p>
          <w:p w14:paraId="70D33705" w14:textId="77777777" w:rsidR="00304810" w:rsidRPr="00C27A60" w:rsidRDefault="00304810" w:rsidP="00C533B1">
            <w:pPr>
              <w:ind w:firstLine="240"/>
              <w:jc w:val="both"/>
              <w:rPr>
                <w:i/>
                <w:sz w:val="22"/>
                <w:szCs w:val="22"/>
              </w:rPr>
            </w:pPr>
          </w:p>
          <w:p w14:paraId="07794684" w14:textId="77777777" w:rsidR="00304810" w:rsidRPr="00C27A60" w:rsidRDefault="00304810" w:rsidP="00C533B1">
            <w:pPr>
              <w:ind w:firstLine="240"/>
              <w:jc w:val="both"/>
              <w:rPr>
                <w:i/>
                <w:sz w:val="22"/>
                <w:szCs w:val="22"/>
              </w:rPr>
            </w:pPr>
          </w:p>
          <w:p w14:paraId="69B8AB21" w14:textId="77777777" w:rsidR="00304810" w:rsidRPr="00C27A60" w:rsidRDefault="00304810" w:rsidP="00C533B1">
            <w:pPr>
              <w:ind w:firstLine="240"/>
              <w:jc w:val="both"/>
              <w:rPr>
                <w:i/>
                <w:sz w:val="22"/>
                <w:szCs w:val="22"/>
              </w:rPr>
            </w:pPr>
          </w:p>
          <w:p w14:paraId="065DE683" w14:textId="77777777" w:rsidR="00304810" w:rsidRPr="00C27A60" w:rsidRDefault="00304810" w:rsidP="00C533B1">
            <w:pPr>
              <w:ind w:firstLine="240"/>
              <w:jc w:val="both"/>
              <w:rPr>
                <w:i/>
                <w:sz w:val="22"/>
                <w:szCs w:val="22"/>
              </w:rPr>
            </w:pPr>
          </w:p>
          <w:p w14:paraId="30BFC028" w14:textId="77777777" w:rsidR="00304810" w:rsidRPr="00C27A60" w:rsidRDefault="00304810" w:rsidP="00C533B1">
            <w:pPr>
              <w:ind w:firstLine="240"/>
              <w:jc w:val="both"/>
              <w:rPr>
                <w:i/>
                <w:sz w:val="22"/>
                <w:szCs w:val="22"/>
              </w:rPr>
            </w:pPr>
          </w:p>
          <w:p w14:paraId="532C1360" w14:textId="77777777" w:rsidR="00304810" w:rsidRPr="00C27A60" w:rsidRDefault="00304810" w:rsidP="00C533B1">
            <w:pPr>
              <w:ind w:firstLine="240"/>
              <w:jc w:val="both"/>
              <w:rPr>
                <w:i/>
                <w:sz w:val="22"/>
                <w:szCs w:val="22"/>
              </w:rPr>
            </w:pPr>
          </w:p>
          <w:p w14:paraId="034678C7" w14:textId="77777777" w:rsidR="00304810" w:rsidRPr="00C27A60" w:rsidRDefault="00304810" w:rsidP="00C533B1">
            <w:pPr>
              <w:ind w:firstLine="240"/>
              <w:jc w:val="both"/>
              <w:rPr>
                <w:i/>
                <w:sz w:val="22"/>
                <w:szCs w:val="22"/>
              </w:rPr>
            </w:pPr>
          </w:p>
          <w:p w14:paraId="6A41207F" w14:textId="77777777" w:rsidR="00304810" w:rsidRPr="00C27A60" w:rsidRDefault="00304810" w:rsidP="00C533B1">
            <w:pPr>
              <w:ind w:firstLine="240"/>
              <w:jc w:val="both"/>
              <w:rPr>
                <w:i/>
                <w:sz w:val="22"/>
                <w:szCs w:val="22"/>
              </w:rPr>
            </w:pPr>
          </w:p>
          <w:p w14:paraId="178C9058" w14:textId="77777777" w:rsidR="00304810" w:rsidRPr="00C27A60" w:rsidRDefault="00304810" w:rsidP="00C533B1">
            <w:pPr>
              <w:ind w:firstLine="240"/>
              <w:jc w:val="both"/>
              <w:rPr>
                <w:i/>
                <w:sz w:val="22"/>
                <w:szCs w:val="22"/>
              </w:rPr>
            </w:pPr>
          </w:p>
          <w:p w14:paraId="7FAF9792" w14:textId="5E918C62" w:rsidR="00304810" w:rsidRPr="00C27A60" w:rsidRDefault="00304810" w:rsidP="00353A4E">
            <w:pPr>
              <w:pStyle w:val="af5"/>
              <w:spacing w:before="0" w:beforeAutospacing="0" w:after="0" w:afterAutospacing="0"/>
              <w:jc w:val="both"/>
              <w:rPr>
                <w:b/>
                <w:sz w:val="22"/>
                <w:lang w:eastAsia="ru-RU"/>
              </w:rPr>
            </w:pPr>
            <w:r w:rsidRPr="00C27A60">
              <w:rPr>
                <w:b/>
                <w:sz w:val="22"/>
                <w:lang w:eastAsia="ru-RU"/>
              </w:rPr>
              <w:t xml:space="preserve">Не враховується </w:t>
            </w:r>
          </w:p>
          <w:p w14:paraId="0E56B979" w14:textId="173721CB" w:rsidR="00304810" w:rsidRPr="00C27A60" w:rsidRDefault="00304810" w:rsidP="00353A4E">
            <w:pPr>
              <w:pStyle w:val="af5"/>
              <w:spacing w:before="0" w:beforeAutospacing="0" w:after="0" w:afterAutospacing="0"/>
              <w:jc w:val="both"/>
              <w:rPr>
                <w:b/>
                <w:sz w:val="22"/>
                <w:lang w:eastAsia="ru-RU"/>
              </w:rPr>
            </w:pPr>
          </w:p>
          <w:p w14:paraId="30160D22" w14:textId="77777777" w:rsidR="00304810" w:rsidRPr="00C27A60" w:rsidRDefault="00304810" w:rsidP="00353A4E">
            <w:pPr>
              <w:jc w:val="both"/>
              <w:rPr>
                <w:b/>
                <w:szCs w:val="22"/>
              </w:rPr>
            </w:pPr>
            <w:r w:rsidRPr="00C27A60">
              <w:rPr>
                <w:bCs/>
                <w:sz w:val="22"/>
                <w:szCs w:val="24"/>
              </w:rPr>
              <w:t>Не надано обґрунтованих підтверджень</w:t>
            </w:r>
            <w:r w:rsidRPr="00C27A60">
              <w:rPr>
                <w:sz w:val="18"/>
              </w:rPr>
              <w:t xml:space="preserve">  </w:t>
            </w:r>
            <w:r w:rsidRPr="00C27A60">
              <w:rPr>
                <w:bCs/>
                <w:sz w:val="22"/>
                <w:szCs w:val="24"/>
              </w:rPr>
              <w:t xml:space="preserve">істотних змін на ринку електричної енергії протягом 2024 року, які суттєво вплинули на необхідність </w:t>
            </w:r>
            <w:r w:rsidRPr="00C27A60">
              <w:rPr>
                <w:bCs/>
                <w:sz w:val="22"/>
                <w:szCs w:val="24"/>
              </w:rPr>
              <w:lastRenderedPageBreak/>
              <w:t>врахування при перевірці ліцензованої діяльності показників К</w:t>
            </w:r>
            <w:r w:rsidRPr="00C27A60">
              <w:rPr>
                <w:bCs/>
                <w:sz w:val="22"/>
                <w:szCs w:val="24"/>
                <w:vertAlign w:val="superscript"/>
              </w:rPr>
              <w:t>БР</w:t>
            </w:r>
            <w:r w:rsidRPr="00C27A60">
              <w:rPr>
                <w:bCs/>
                <w:sz w:val="22"/>
                <w:szCs w:val="24"/>
                <w:vertAlign w:val="subscript"/>
              </w:rPr>
              <w:t>W</w:t>
            </w:r>
            <w:r w:rsidRPr="00C27A60">
              <w:rPr>
                <w:bCs/>
                <w:sz w:val="22"/>
                <w:szCs w:val="24"/>
              </w:rPr>
              <w:t xml:space="preserve"> та</w:t>
            </w:r>
            <w:r w:rsidRPr="00C27A60">
              <w:rPr>
                <w:bCs/>
                <w:sz w:val="22"/>
                <w:szCs w:val="24"/>
                <w:vertAlign w:val="subscript"/>
              </w:rPr>
              <w:t xml:space="preserve"> </w:t>
            </w:r>
            <w:r w:rsidRPr="00C27A60">
              <w:rPr>
                <w:bCs/>
                <w:sz w:val="22"/>
                <w:szCs w:val="24"/>
              </w:rPr>
              <w:t>К</w:t>
            </w:r>
            <w:r w:rsidRPr="00C27A60">
              <w:rPr>
                <w:bCs/>
                <w:sz w:val="22"/>
                <w:szCs w:val="24"/>
                <w:vertAlign w:val="superscript"/>
              </w:rPr>
              <w:t>ДД</w:t>
            </w:r>
            <w:r w:rsidRPr="00C27A60">
              <w:rPr>
                <w:bCs/>
                <w:sz w:val="22"/>
                <w:szCs w:val="24"/>
                <w:vertAlign w:val="subscript"/>
              </w:rPr>
              <w:t>W</w:t>
            </w:r>
            <w:r w:rsidRPr="00C27A60">
              <w:rPr>
                <w:bCs/>
                <w:sz w:val="22"/>
                <w:szCs w:val="24"/>
              </w:rPr>
              <w:t xml:space="preserve"> на запропонованих рівнях</w:t>
            </w:r>
          </w:p>
          <w:p w14:paraId="7090D086" w14:textId="77777777" w:rsidR="00304810" w:rsidRPr="00C27A60" w:rsidRDefault="00304810" w:rsidP="00C533B1">
            <w:pPr>
              <w:ind w:firstLine="240"/>
              <w:jc w:val="both"/>
              <w:rPr>
                <w:i/>
                <w:sz w:val="22"/>
                <w:szCs w:val="22"/>
              </w:rPr>
            </w:pPr>
          </w:p>
          <w:p w14:paraId="59549085" w14:textId="77777777" w:rsidR="00A84F79" w:rsidRPr="00C27A60" w:rsidRDefault="00A84F79" w:rsidP="00C533B1">
            <w:pPr>
              <w:ind w:firstLine="240"/>
              <w:jc w:val="both"/>
              <w:rPr>
                <w:i/>
                <w:sz w:val="22"/>
                <w:szCs w:val="22"/>
              </w:rPr>
            </w:pPr>
          </w:p>
          <w:p w14:paraId="596599E7" w14:textId="77777777" w:rsidR="00A84F79" w:rsidRPr="00C27A60" w:rsidRDefault="00A84F79" w:rsidP="00C533B1">
            <w:pPr>
              <w:ind w:firstLine="240"/>
              <w:jc w:val="both"/>
              <w:rPr>
                <w:i/>
                <w:sz w:val="22"/>
                <w:szCs w:val="22"/>
              </w:rPr>
            </w:pPr>
          </w:p>
          <w:p w14:paraId="63DA1CF8" w14:textId="77777777" w:rsidR="00A84F79" w:rsidRPr="00C27A60" w:rsidRDefault="00A84F79" w:rsidP="00C533B1">
            <w:pPr>
              <w:ind w:firstLine="240"/>
              <w:jc w:val="both"/>
              <w:rPr>
                <w:i/>
                <w:sz w:val="22"/>
                <w:szCs w:val="22"/>
              </w:rPr>
            </w:pPr>
          </w:p>
          <w:p w14:paraId="3E26428B" w14:textId="77777777" w:rsidR="00A84F79" w:rsidRPr="00C27A60" w:rsidRDefault="00A84F79" w:rsidP="00C533B1">
            <w:pPr>
              <w:ind w:firstLine="240"/>
              <w:jc w:val="both"/>
              <w:rPr>
                <w:i/>
                <w:sz w:val="22"/>
                <w:szCs w:val="22"/>
              </w:rPr>
            </w:pPr>
          </w:p>
          <w:p w14:paraId="3CFF5329" w14:textId="77777777" w:rsidR="00A84F79" w:rsidRPr="00C27A60" w:rsidRDefault="00A84F79" w:rsidP="00C533B1">
            <w:pPr>
              <w:ind w:firstLine="240"/>
              <w:jc w:val="both"/>
              <w:rPr>
                <w:i/>
                <w:sz w:val="22"/>
                <w:szCs w:val="22"/>
              </w:rPr>
            </w:pPr>
          </w:p>
          <w:p w14:paraId="116ED268" w14:textId="77777777" w:rsidR="00A84F79" w:rsidRPr="00C27A60" w:rsidRDefault="00A84F79" w:rsidP="00C533B1">
            <w:pPr>
              <w:ind w:firstLine="240"/>
              <w:jc w:val="both"/>
              <w:rPr>
                <w:i/>
                <w:sz w:val="22"/>
                <w:szCs w:val="22"/>
              </w:rPr>
            </w:pPr>
          </w:p>
          <w:p w14:paraId="58AD00B6" w14:textId="77777777" w:rsidR="00A84F79" w:rsidRPr="00C27A60" w:rsidRDefault="00A84F79" w:rsidP="00C533B1">
            <w:pPr>
              <w:ind w:firstLine="240"/>
              <w:jc w:val="both"/>
              <w:rPr>
                <w:i/>
                <w:sz w:val="22"/>
                <w:szCs w:val="22"/>
              </w:rPr>
            </w:pPr>
          </w:p>
          <w:p w14:paraId="4AB757B0" w14:textId="77777777" w:rsidR="00A84F79" w:rsidRPr="00C27A60" w:rsidRDefault="00A84F79" w:rsidP="00C533B1">
            <w:pPr>
              <w:ind w:firstLine="240"/>
              <w:jc w:val="both"/>
              <w:rPr>
                <w:i/>
                <w:sz w:val="22"/>
                <w:szCs w:val="22"/>
              </w:rPr>
            </w:pPr>
          </w:p>
          <w:p w14:paraId="37EF42C3" w14:textId="77777777" w:rsidR="00A84F79" w:rsidRPr="00C27A60" w:rsidRDefault="00A84F79" w:rsidP="00C533B1">
            <w:pPr>
              <w:ind w:firstLine="240"/>
              <w:jc w:val="both"/>
              <w:rPr>
                <w:i/>
                <w:sz w:val="22"/>
                <w:szCs w:val="22"/>
              </w:rPr>
            </w:pPr>
          </w:p>
          <w:p w14:paraId="00DEECDC" w14:textId="77777777" w:rsidR="00A84F79" w:rsidRPr="00C27A60" w:rsidRDefault="00A84F79" w:rsidP="00C533B1">
            <w:pPr>
              <w:ind w:firstLine="240"/>
              <w:jc w:val="both"/>
              <w:rPr>
                <w:i/>
                <w:sz w:val="22"/>
                <w:szCs w:val="22"/>
              </w:rPr>
            </w:pPr>
          </w:p>
          <w:p w14:paraId="168FA5CE" w14:textId="77777777" w:rsidR="00A84F79" w:rsidRPr="00C27A60" w:rsidRDefault="00A84F79" w:rsidP="00C533B1">
            <w:pPr>
              <w:ind w:firstLine="240"/>
              <w:jc w:val="both"/>
              <w:rPr>
                <w:i/>
                <w:sz w:val="22"/>
                <w:szCs w:val="22"/>
              </w:rPr>
            </w:pPr>
          </w:p>
          <w:p w14:paraId="4FC96373" w14:textId="77777777" w:rsidR="00A84F79" w:rsidRPr="00C27A60" w:rsidRDefault="00A84F79" w:rsidP="00C533B1">
            <w:pPr>
              <w:ind w:firstLine="240"/>
              <w:jc w:val="both"/>
              <w:rPr>
                <w:i/>
                <w:sz w:val="22"/>
                <w:szCs w:val="22"/>
              </w:rPr>
            </w:pPr>
          </w:p>
          <w:p w14:paraId="201BE04B" w14:textId="77777777" w:rsidR="00A84F79" w:rsidRPr="00C27A60" w:rsidRDefault="00A84F79" w:rsidP="00C533B1">
            <w:pPr>
              <w:ind w:firstLine="240"/>
              <w:jc w:val="both"/>
              <w:rPr>
                <w:i/>
                <w:sz w:val="22"/>
                <w:szCs w:val="22"/>
              </w:rPr>
            </w:pPr>
          </w:p>
          <w:p w14:paraId="6D08007E" w14:textId="77777777" w:rsidR="00A84F79" w:rsidRPr="00C27A60" w:rsidRDefault="00A84F79" w:rsidP="00C533B1">
            <w:pPr>
              <w:ind w:firstLine="240"/>
              <w:jc w:val="both"/>
              <w:rPr>
                <w:i/>
                <w:sz w:val="22"/>
                <w:szCs w:val="22"/>
              </w:rPr>
            </w:pPr>
          </w:p>
          <w:p w14:paraId="34E240A7" w14:textId="77777777" w:rsidR="00A84F79" w:rsidRPr="00C27A60" w:rsidRDefault="00A84F79" w:rsidP="00C533B1">
            <w:pPr>
              <w:ind w:firstLine="240"/>
              <w:jc w:val="both"/>
              <w:rPr>
                <w:i/>
                <w:sz w:val="22"/>
                <w:szCs w:val="22"/>
              </w:rPr>
            </w:pPr>
          </w:p>
          <w:p w14:paraId="66884714" w14:textId="77777777" w:rsidR="00A84F79" w:rsidRPr="00C27A60" w:rsidRDefault="00A84F79" w:rsidP="00C533B1">
            <w:pPr>
              <w:ind w:firstLine="240"/>
              <w:jc w:val="both"/>
              <w:rPr>
                <w:i/>
                <w:sz w:val="22"/>
                <w:szCs w:val="22"/>
              </w:rPr>
            </w:pPr>
          </w:p>
          <w:p w14:paraId="61568743" w14:textId="77777777" w:rsidR="00A84F79" w:rsidRPr="00C27A60" w:rsidRDefault="00A84F79" w:rsidP="00C533B1">
            <w:pPr>
              <w:ind w:firstLine="240"/>
              <w:jc w:val="both"/>
              <w:rPr>
                <w:i/>
                <w:sz w:val="22"/>
                <w:szCs w:val="22"/>
              </w:rPr>
            </w:pPr>
          </w:p>
          <w:p w14:paraId="62BA4825" w14:textId="77777777" w:rsidR="00A84F79" w:rsidRPr="00C27A60" w:rsidRDefault="00A84F79" w:rsidP="00C533B1">
            <w:pPr>
              <w:ind w:firstLine="240"/>
              <w:jc w:val="both"/>
              <w:rPr>
                <w:i/>
                <w:sz w:val="22"/>
                <w:szCs w:val="22"/>
              </w:rPr>
            </w:pPr>
          </w:p>
          <w:p w14:paraId="715F5B9B" w14:textId="77777777" w:rsidR="00A84F79" w:rsidRPr="00C27A60" w:rsidRDefault="00A84F79" w:rsidP="00C533B1">
            <w:pPr>
              <w:ind w:firstLine="240"/>
              <w:jc w:val="both"/>
              <w:rPr>
                <w:i/>
                <w:sz w:val="22"/>
                <w:szCs w:val="22"/>
              </w:rPr>
            </w:pPr>
          </w:p>
          <w:p w14:paraId="272F558C" w14:textId="77777777" w:rsidR="00A84F79" w:rsidRPr="00C27A60" w:rsidRDefault="00A84F79" w:rsidP="00C533B1">
            <w:pPr>
              <w:ind w:firstLine="240"/>
              <w:jc w:val="both"/>
              <w:rPr>
                <w:i/>
                <w:sz w:val="22"/>
                <w:szCs w:val="22"/>
              </w:rPr>
            </w:pPr>
          </w:p>
          <w:p w14:paraId="1B4D774A" w14:textId="77777777" w:rsidR="00A84F79" w:rsidRPr="00C27A60" w:rsidRDefault="00A84F79" w:rsidP="00C533B1">
            <w:pPr>
              <w:ind w:firstLine="240"/>
              <w:jc w:val="both"/>
              <w:rPr>
                <w:i/>
                <w:sz w:val="22"/>
                <w:szCs w:val="22"/>
              </w:rPr>
            </w:pPr>
          </w:p>
          <w:p w14:paraId="67D80485" w14:textId="77777777" w:rsidR="00A84F79" w:rsidRPr="00C27A60" w:rsidRDefault="00A84F79" w:rsidP="00C533B1">
            <w:pPr>
              <w:ind w:firstLine="240"/>
              <w:jc w:val="both"/>
              <w:rPr>
                <w:i/>
                <w:sz w:val="22"/>
                <w:szCs w:val="22"/>
              </w:rPr>
            </w:pPr>
          </w:p>
          <w:p w14:paraId="53E71471" w14:textId="77777777" w:rsidR="00A84F79" w:rsidRPr="00C27A60" w:rsidRDefault="00A84F79" w:rsidP="00C533B1">
            <w:pPr>
              <w:ind w:firstLine="240"/>
              <w:jc w:val="both"/>
              <w:rPr>
                <w:i/>
                <w:sz w:val="22"/>
                <w:szCs w:val="22"/>
              </w:rPr>
            </w:pPr>
          </w:p>
          <w:p w14:paraId="4A02748C" w14:textId="77777777" w:rsidR="00A84F79" w:rsidRPr="00C27A60" w:rsidRDefault="00A84F79" w:rsidP="00C533B1">
            <w:pPr>
              <w:ind w:firstLine="240"/>
              <w:jc w:val="both"/>
              <w:rPr>
                <w:i/>
                <w:sz w:val="22"/>
                <w:szCs w:val="22"/>
              </w:rPr>
            </w:pPr>
          </w:p>
          <w:p w14:paraId="7432B46B" w14:textId="30DA71B7" w:rsidR="00A84F79" w:rsidRPr="00C27A60" w:rsidRDefault="00A84F79" w:rsidP="00C533B1">
            <w:pPr>
              <w:ind w:firstLine="240"/>
              <w:jc w:val="both"/>
              <w:rPr>
                <w:i/>
                <w:sz w:val="22"/>
                <w:szCs w:val="22"/>
              </w:rPr>
            </w:pPr>
          </w:p>
          <w:p w14:paraId="474946A8" w14:textId="77777777" w:rsidR="00E10423" w:rsidRPr="00C27A60" w:rsidRDefault="00E10423" w:rsidP="00C533B1">
            <w:pPr>
              <w:ind w:firstLine="240"/>
              <w:jc w:val="both"/>
              <w:rPr>
                <w:i/>
                <w:sz w:val="22"/>
                <w:szCs w:val="22"/>
              </w:rPr>
            </w:pPr>
          </w:p>
          <w:p w14:paraId="3B4BFC26" w14:textId="77777777" w:rsidR="00A84F79" w:rsidRPr="00C27A60" w:rsidRDefault="00A84F79" w:rsidP="00C533B1">
            <w:pPr>
              <w:ind w:firstLine="240"/>
              <w:jc w:val="both"/>
              <w:rPr>
                <w:i/>
                <w:sz w:val="22"/>
                <w:szCs w:val="22"/>
              </w:rPr>
            </w:pPr>
          </w:p>
          <w:p w14:paraId="37EA415E" w14:textId="77777777" w:rsidR="00E10423" w:rsidRPr="00C27A60" w:rsidRDefault="00E10423" w:rsidP="00E10423">
            <w:pPr>
              <w:jc w:val="both"/>
              <w:rPr>
                <w:b/>
                <w:sz w:val="22"/>
                <w:szCs w:val="22"/>
              </w:rPr>
            </w:pPr>
            <w:r w:rsidRPr="00C27A60">
              <w:rPr>
                <w:b/>
                <w:sz w:val="22"/>
                <w:szCs w:val="22"/>
              </w:rPr>
              <w:t>Пропонується до обговорення</w:t>
            </w:r>
          </w:p>
          <w:p w14:paraId="6773DDB3" w14:textId="77777777" w:rsidR="00BE1E93" w:rsidRPr="00C27A60" w:rsidRDefault="00BE1E93" w:rsidP="00BE1E93">
            <w:pPr>
              <w:rPr>
                <w:b/>
                <w:sz w:val="22"/>
                <w:szCs w:val="22"/>
              </w:rPr>
            </w:pPr>
            <w:r w:rsidRPr="00C27A60">
              <w:rPr>
                <w:b/>
                <w:sz w:val="22"/>
                <w:szCs w:val="22"/>
              </w:rPr>
              <w:t>Пропонується викласти в наступній редакції</w:t>
            </w:r>
          </w:p>
          <w:p w14:paraId="630D15C9" w14:textId="77777777" w:rsidR="00BE1E93" w:rsidRPr="00C27A60" w:rsidRDefault="00BE1E93" w:rsidP="00BE1E93">
            <w:pPr>
              <w:rPr>
                <w:b/>
                <w:sz w:val="22"/>
                <w:szCs w:val="22"/>
              </w:rPr>
            </w:pPr>
            <w:r w:rsidRPr="00C27A60">
              <w:rPr>
                <w:b/>
                <w:sz w:val="22"/>
                <w:szCs w:val="22"/>
              </w:rPr>
              <w:t>….</w:t>
            </w:r>
          </w:p>
          <w:p w14:paraId="0809A03B" w14:textId="16844279" w:rsidR="00BE1E93" w:rsidRPr="00C27A60" w:rsidRDefault="00BE1E93" w:rsidP="00BE1E93">
            <w:pPr>
              <w:jc w:val="both"/>
              <w:rPr>
                <w:b/>
                <w:sz w:val="22"/>
                <w:szCs w:val="22"/>
              </w:rPr>
            </w:pPr>
            <w:r w:rsidRPr="00C27A60">
              <w:rPr>
                <w:sz w:val="22"/>
                <w:szCs w:val="22"/>
              </w:rPr>
              <w:t xml:space="preserve">«(з 2024 року за умови, що величина загального обсягу віддачі електричної енергії (в тис. </w:t>
            </w:r>
            <w:r w:rsidRPr="00C27A60">
              <w:rPr>
                <w:sz w:val="22"/>
                <w:szCs w:val="22"/>
              </w:rPr>
              <w:lastRenderedPageBreak/>
              <w:t>кВт*год), що визначена за фактичними показами розрахункових засобів обліку електроенергії за звітний рік, складає не менше ніж 97% від суми величин загального обсягу віддачі електричної енергії (в тис. кВт*год), що наведені у формі звітності № 5 НКРЕКП-моніторинг-розподіл (місячна) за відповідний звітний рік).»</w:t>
            </w:r>
          </w:p>
          <w:p w14:paraId="7454B399" w14:textId="77777777" w:rsidR="00BE1E93" w:rsidRPr="00C27A60" w:rsidRDefault="00BE1E93" w:rsidP="00BE1E93">
            <w:pPr>
              <w:jc w:val="both"/>
              <w:rPr>
                <w:b/>
                <w:sz w:val="22"/>
                <w:szCs w:val="22"/>
              </w:rPr>
            </w:pPr>
            <w:r w:rsidRPr="00C27A60">
              <w:rPr>
                <w:b/>
                <w:sz w:val="22"/>
                <w:szCs w:val="22"/>
              </w:rPr>
              <w:t>…..</w:t>
            </w:r>
          </w:p>
          <w:p w14:paraId="44D3C368" w14:textId="77777777" w:rsidR="00A84F79" w:rsidRPr="00C27A60" w:rsidRDefault="00A84F79" w:rsidP="00BE1E93">
            <w:pPr>
              <w:ind w:firstLine="240"/>
              <w:jc w:val="both"/>
              <w:rPr>
                <w:i/>
                <w:sz w:val="22"/>
                <w:szCs w:val="22"/>
              </w:rPr>
            </w:pPr>
          </w:p>
          <w:p w14:paraId="0D503ADD" w14:textId="77777777" w:rsidR="00A84F79" w:rsidRPr="00C27A60" w:rsidRDefault="00A84F79" w:rsidP="00C533B1">
            <w:pPr>
              <w:ind w:firstLine="240"/>
              <w:jc w:val="both"/>
              <w:rPr>
                <w:i/>
                <w:sz w:val="22"/>
                <w:szCs w:val="22"/>
              </w:rPr>
            </w:pPr>
          </w:p>
          <w:p w14:paraId="61287851" w14:textId="77777777" w:rsidR="00E10423" w:rsidRPr="00C27A60" w:rsidRDefault="00E10423" w:rsidP="00E10423">
            <w:pPr>
              <w:jc w:val="both"/>
              <w:rPr>
                <w:b/>
                <w:sz w:val="22"/>
                <w:szCs w:val="22"/>
              </w:rPr>
            </w:pPr>
            <w:r w:rsidRPr="00C27A60">
              <w:rPr>
                <w:b/>
                <w:sz w:val="22"/>
                <w:szCs w:val="22"/>
              </w:rPr>
              <w:t>Пропонується до обговорення</w:t>
            </w:r>
          </w:p>
          <w:p w14:paraId="1943B0A7" w14:textId="77777777" w:rsidR="00BE5F6A" w:rsidRPr="00C27A60" w:rsidRDefault="00BE5F6A" w:rsidP="00BE5F6A">
            <w:pPr>
              <w:rPr>
                <w:b/>
                <w:sz w:val="22"/>
                <w:szCs w:val="22"/>
              </w:rPr>
            </w:pPr>
            <w:r w:rsidRPr="00C27A60">
              <w:rPr>
                <w:b/>
                <w:sz w:val="22"/>
                <w:szCs w:val="22"/>
              </w:rPr>
              <w:t>Пропонується викласти в наступній редакції</w:t>
            </w:r>
          </w:p>
          <w:p w14:paraId="54DCA74C" w14:textId="77777777" w:rsidR="00BE5F6A" w:rsidRPr="00C27A60" w:rsidRDefault="00BE5F6A" w:rsidP="00BE5F6A">
            <w:pPr>
              <w:rPr>
                <w:b/>
                <w:sz w:val="22"/>
                <w:szCs w:val="22"/>
              </w:rPr>
            </w:pPr>
            <w:r w:rsidRPr="00C27A60">
              <w:rPr>
                <w:b/>
                <w:sz w:val="22"/>
                <w:szCs w:val="22"/>
              </w:rPr>
              <w:t>….</w:t>
            </w:r>
          </w:p>
          <w:p w14:paraId="300AE407" w14:textId="77777777" w:rsidR="00BE5F6A" w:rsidRPr="00C27A60" w:rsidRDefault="00BE5F6A" w:rsidP="00BE5F6A">
            <w:pPr>
              <w:jc w:val="both"/>
              <w:rPr>
                <w:b/>
                <w:sz w:val="22"/>
                <w:szCs w:val="22"/>
              </w:rPr>
            </w:pPr>
            <w:r w:rsidRPr="00C27A60">
              <w:rPr>
                <w:sz w:val="22"/>
                <w:szCs w:val="22"/>
              </w:rPr>
              <w:t>«(з 2024 року за умови, що величина загального обсягу віддачі електричної енергії (в тис. кВт*год), що визначена за фактичними показами розрахункових засобів обліку електроенергії за звітний рік, складає не менше ніж 97% від суми величин загального обсягу віддачі електричної енергії (в тис. кВт*год), що наведені у формі звітності № 5 НКРЕКП-моніторинг-розподіл (місячна) за відповідний звітний рік).»</w:t>
            </w:r>
          </w:p>
          <w:p w14:paraId="2CDABD15" w14:textId="77777777" w:rsidR="00BE5F6A" w:rsidRPr="00C27A60" w:rsidRDefault="00BE5F6A" w:rsidP="00BE5F6A">
            <w:pPr>
              <w:jc w:val="both"/>
              <w:rPr>
                <w:b/>
                <w:sz w:val="22"/>
                <w:szCs w:val="22"/>
              </w:rPr>
            </w:pPr>
            <w:r w:rsidRPr="00C27A60">
              <w:rPr>
                <w:b/>
                <w:sz w:val="22"/>
                <w:szCs w:val="22"/>
              </w:rPr>
              <w:t>…..</w:t>
            </w:r>
          </w:p>
          <w:p w14:paraId="67BDC26D" w14:textId="77777777" w:rsidR="00A84F79" w:rsidRPr="00C27A60" w:rsidRDefault="00A84F79" w:rsidP="00C533B1">
            <w:pPr>
              <w:ind w:firstLine="240"/>
              <w:jc w:val="both"/>
              <w:rPr>
                <w:i/>
                <w:sz w:val="22"/>
                <w:szCs w:val="22"/>
              </w:rPr>
            </w:pPr>
          </w:p>
          <w:p w14:paraId="168F60D7" w14:textId="77777777" w:rsidR="00A84F79" w:rsidRPr="00C27A60" w:rsidRDefault="00A84F79" w:rsidP="00C533B1">
            <w:pPr>
              <w:ind w:firstLine="240"/>
              <w:jc w:val="both"/>
              <w:rPr>
                <w:i/>
                <w:sz w:val="22"/>
                <w:szCs w:val="22"/>
              </w:rPr>
            </w:pPr>
          </w:p>
          <w:p w14:paraId="5977BA61" w14:textId="77777777" w:rsidR="00A84F79" w:rsidRPr="00C27A60" w:rsidRDefault="00A84F79" w:rsidP="00C533B1">
            <w:pPr>
              <w:ind w:firstLine="240"/>
              <w:jc w:val="both"/>
              <w:rPr>
                <w:i/>
                <w:sz w:val="22"/>
                <w:szCs w:val="22"/>
              </w:rPr>
            </w:pPr>
          </w:p>
          <w:p w14:paraId="725D6004" w14:textId="77777777" w:rsidR="00A84F79" w:rsidRPr="00C27A60" w:rsidRDefault="00A84F79" w:rsidP="00C533B1">
            <w:pPr>
              <w:ind w:firstLine="240"/>
              <w:jc w:val="both"/>
              <w:rPr>
                <w:i/>
                <w:sz w:val="22"/>
                <w:szCs w:val="22"/>
              </w:rPr>
            </w:pPr>
          </w:p>
          <w:p w14:paraId="4C3F9355" w14:textId="77777777" w:rsidR="00A84F79" w:rsidRPr="00C27A60" w:rsidRDefault="00A84F79" w:rsidP="00C533B1">
            <w:pPr>
              <w:ind w:firstLine="240"/>
              <w:jc w:val="both"/>
              <w:rPr>
                <w:i/>
                <w:sz w:val="22"/>
                <w:szCs w:val="22"/>
              </w:rPr>
            </w:pPr>
          </w:p>
          <w:p w14:paraId="3C59EB4D" w14:textId="77777777" w:rsidR="00A84F79" w:rsidRPr="00C27A60" w:rsidRDefault="00A84F79" w:rsidP="00C533B1">
            <w:pPr>
              <w:ind w:firstLine="240"/>
              <w:jc w:val="both"/>
              <w:rPr>
                <w:i/>
                <w:sz w:val="22"/>
                <w:szCs w:val="22"/>
              </w:rPr>
            </w:pPr>
          </w:p>
          <w:p w14:paraId="2AB3042B" w14:textId="77777777" w:rsidR="00A84F79" w:rsidRPr="00C27A60" w:rsidRDefault="00A84F79" w:rsidP="00C533B1">
            <w:pPr>
              <w:ind w:firstLine="240"/>
              <w:jc w:val="both"/>
              <w:rPr>
                <w:i/>
                <w:sz w:val="22"/>
                <w:szCs w:val="22"/>
              </w:rPr>
            </w:pPr>
          </w:p>
          <w:p w14:paraId="79383562" w14:textId="77777777" w:rsidR="00A84F79" w:rsidRPr="00C27A60" w:rsidRDefault="00A84F79" w:rsidP="00C533B1">
            <w:pPr>
              <w:ind w:firstLine="240"/>
              <w:jc w:val="both"/>
              <w:rPr>
                <w:i/>
                <w:sz w:val="22"/>
                <w:szCs w:val="22"/>
              </w:rPr>
            </w:pPr>
          </w:p>
          <w:p w14:paraId="4662ECFF" w14:textId="77777777" w:rsidR="00A84F79" w:rsidRPr="00C27A60" w:rsidRDefault="00A84F79" w:rsidP="00C533B1">
            <w:pPr>
              <w:ind w:firstLine="240"/>
              <w:jc w:val="both"/>
              <w:rPr>
                <w:i/>
                <w:sz w:val="22"/>
                <w:szCs w:val="22"/>
              </w:rPr>
            </w:pPr>
          </w:p>
          <w:p w14:paraId="73BC15EB" w14:textId="77777777" w:rsidR="00A84F79" w:rsidRPr="00C27A60" w:rsidRDefault="00A84F79" w:rsidP="00C533B1">
            <w:pPr>
              <w:ind w:firstLine="240"/>
              <w:jc w:val="both"/>
              <w:rPr>
                <w:i/>
                <w:sz w:val="22"/>
                <w:szCs w:val="22"/>
              </w:rPr>
            </w:pPr>
          </w:p>
          <w:p w14:paraId="053E3C59" w14:textId="77777777" w:rsidR="00A84F79" w:rsidRPr="00C27A60" w:rsidRDefault="00A84F79" w:rsidP="00C533B1">
            <w:pPr>
              <w:ind w:firstLine="240"/>
              <w:jc w:val="both"/>
              <w:rPr>
                <w:i/>
                <w:sz w:val="22"/>
                <w:szCs w:val="22"/>
              </w:rPr>
            </w:pPr>
          </w:p>
          <w:p w14:paraId="256814A4" w14:textId="77777777" w:rsidR="00A84F79" w:rsidRPr="00C27A60" w:rsidRDefault="00A84F79" w:rsidP="00C533B1">
            <w:pPr>
              <w:ind w:firstLine="240"/>
              <w:jc w:val="both"/>
              <w:rPr>
                <w:i/>
                <w:sz w:val="22"/>
                <w:szCs w:val="22"/>
              </w:rPr>
            </w:pPr>
          </w:p>
          <w:p w14:paraId="235CF5B7" w14:textId="77777777" w:rsidR="00A84F79" w:rsidRPr="00C27A60" w:rsidRDefault="00A84F79" w:rsidP="00C533B1">
            <w:pPr>
              <w:ind w:firstLine="240"/>
              <w:jc w:val="both"/>
              <w:rPr>
                <w:i/>
                <w:sz w:val="22"/>
                <w:szCs w:val="22"/>
              </w:rPr>
            </w:pPr>
          </w:p>
          <w:p w14:paraId="1F2D724E" w14:textId="77777777" w:rsidR="00A84F79" w:rsidRPr="00C27A60" w:rsidRDefault="00A84F79" w:rsidP="00C533B1">
            <w:pPr>
              <w:ind w:firstLine="240"/>
              <w:jc w:val="both"/>
              <w:rPr>
                <w:i/>
                <w:sz w:val="22"/>
                <w:szCs w:val="22"/>
              </w:rPr>
            </w:pPr>
          </w:p>
          <w:p w14:paraId="29E57B77" w14:textId="77777777" w:rsidR="00A84F79" w:rsidRPr="00C27A60" w:rsidRDefault="00A84F79" w:rsidP="00C533B1">
            <w:pPr>
              <w:ind w:firstLine="240"/>
              <w:jc w:val="both"/>
              <w:rPr>
                <w:i/>
                <w:sz w:val="22"/>
                <w:szCs w:val="22"/>
              </w:rPr>
            </w:pPr>
          </w:p>
          <w:p w14:paraId="17BE9AA3" w14:textId="77777777" w:rsidR="00A84F79" w:rsidRPr="00C27A60" w:rsidRDefault="00A84F79" w:rsidP="00C533B1">
            <w:pPr>
              <w:ind w:firstLine="240"/>
              <w:jc w:val="both"/>
              <w:rPr>
                <w:i/>
                <w:sz w:val="22"/>
                <w:szCs w:val="22"/>
              </w:rPr>
            </w:pPr>
          </w:p>
          <w:p w14:paraId="405D5833" w14:textId="77777777" w:rsidR="00A84F79" w:rsidRPr="00C27A60" w:rsidRDefault="00A84F79" w:rsidP="00C533B1">
            <w:pPr>
              <w:ind w:firstLine="240"/>
              <w:jc w:val="both"/>
              <w:rPr>
                <w:i/>
                <w:sz w:val="22"/>
                <w:szCs w:val="22"/>
              </w:rPr>
            </w:pPr>
          </w:p>
          <w:p w14:paraId="192F128E" w14:textId="77777777" w:rsidR="00A84F79" w:rsidRPr="00C27A60" w:rsidRDefault="00A84F79" w:rsidP="00C533B1">
            <w:pPr>
              <w:ind w:firstLine="240"/>
              <w:jc w:val="both"/>
              <w:rPr>
                <w:i/>
                <w:sz w:val="22"/>
                <w:szCs w:val="22"/>
              </w:rPr>
            </w:pPr>
          </w:p>
          <w:p w14:paraId="75CEA9A5" w14:textId="77777777" w:rsidR="00A84F79" w:rsidRPr="00C27A60" w:rsidRDefault="00A84F79" w:rsidP="00C533B1">
            <w:pPr>
              <w:ind w:firstLine="240"/>
              <w:jc w:val="both"/>
              <w:rPr>
                <w:i/>
                <w:sz w:val="22"/>
                <w:szCs w:val="22"/>
              </w:rPr>
            </w:pPr>
          </w:p>
          <w:p w14:paraId="3A288317" w14:textId="77777777" w:rsidR="00A84F79" w:rsidRPr="00C27A60" w:rsidRDefault="00A84F79" w:rsidP="00C533B1">
            <w:pPr>
              <w:ind w:firstLine="240"/>
              <w:jc w:val="both"/>
              <w:rPr>
                <w:i/>
                <w:sz w:val="22"/>
                <w:szCs w:val="22"/>
              </w:rPr>
            </w:pPr>
          </w:p>
          <w:p w14:paraId="27B18AA9" w14:textId="77777777" w:rsidR="00A84F79" w:rsidRPr="00C27A60" w:rsidRDefault="00A84F79" w:rsidP="00C533B1">
            <w:pPr>
              <w:ind w:firstLine="240"/>
              <w:jc w:val="both"/>
              <w:rPr>
                <w:i/>
                <w:sz w:val="22"/>
                <w:szCs w:val="22"/>
              </w:rPr>
            </w:pPr>
          </w:p>
          <w:p w14:paraId="5470F369" w14:textId="77777777" w:rsidR="00A84F79" w:rsidRPr="00C27A60" w:rsidRDefault="00A84F79" w:rsidP="00C533B1">
            <w:pPr>
              <w:ind w:firstLine="240"/>
              <w:jc w:val="both"/>
              <w:rPr>
                <w:i/>
                <w:sz w:val="22"/>
                <w:szCs w:val="22"/>
              </w:rPr>
            </w:pPr>
          </w:p>
          <w:p w14:paraId="30219D36" w14:textId="77777777" w:rsidR="00A84F79" w:rsidRPr="00C27A60" w:rsidRDefault="00A84F79" w:rsidP="00C533B1">
            <w:pPr>
              <w:ind w:firstLine="240"/>
              <w:jc w:val="both"/>
              <w:rPr>
                <w:i/>
                <w:sz w:val="22"/>
                <w:szCs w:val="22"/>
              </w:rPr>
            </w:pPr>
          </w:p>
          <w:p w14:paraId="49D622CF" w14:textId="77777777" w:rsidR="00A84F79" w:rsidRPr="00C27A60" w:rsidRDefault="00A84F79" w:rsidP="00C533B1">
            <w:pPr>
              <w:ind w:firstLine="240"/>
              <w:jc w:val="both"/>
              <w:rPr>
                <w:i/>
                <w:sz w:val="22"/>
                <w:szCs w:val="22"/>
              </w:rPr>
            </w:pPr>
          </w:p>
          <w:p w14:paraId="6A19B466" w14:textId="77777777" w:rsidR="00A84F79" w:rsidRPr="00C27A60" w:rsidRDefault="00A84F79" w:rsidP="00C533B1">
            <w:pPr>
              <w:ind w:firstLine="240"/>
              <w:jc w:val="both"/>
              <w:rPr>
                <w:i/>
                <w:sz w:val="22"/>
                <w:szCs w:val="22"/>
              </w:rPr>
            </w:pPr>
          </w:p>
          <w:p w14:paraId="398802B2" w14:textId="77777777" w:rsidR="00A84F79" w:rsidRPr="00C27A60" w:rsidRDefault="00A84F79" w:rsidP="00C533B1">
            <w:pPr>
              <w:ind w:firstLine="240"/>
              <w:jc w:val="both"/>
              <w:rPr>
                <w:i/>
                <w:sz w:val="22"/>
                <w:szCs w:val="22"/>
              </w:rPr>
            </w:pPr>
          </w:p>
          <w:p w14:paraId="67927E54" w14:textId="77777777" w:rsidR="00A84F79" w:rsidRPr="00C27A60" w:rsidRDefault="00A84F79" w:rsidP="00C533B1">
            <w:pPr>
              <w:ind w:firstLine="240"/>
              <w:jc w:val="both"/>
              <w:rPr>
                <w:i/>
                <w:sz w:val="22"/>
                <w:szCs w:val="22"/>
              </w:rPr>
            </w:pPr>
          </w:p>
          <w:p w14:paraId="3958A0D0" w14:textId="77777777" w:rsidR="00A84F79" w:rsidRPr="00C27A60" w:rsidRDefault="00A84F79" w:rsidP="00C533B1">
            <w:pPr>
              <w:ind w:firstLine="240"/>
              <w:jc w:val="both"/>
              <w:rPr>
                <w:i/>
                <w:sz w:val="22"/>
                <w:szCs w:val="22"/>
              </w:rPr>
            </w:pPr>
          </w:p>
          <w:p w14:paraId="54D051A5" w14:textId="77777777" w:rsidR="00A84F79" w:rsidRPr="00C27A60" w:rsidRDefault="00A84F79" w:rsidP="00C533B1">
            <w:pPr>
              <w:ind w:firstLine="240"/>
              <w:jc w:val="both"/>
              <w:rPr>
                <w:i/>
                <w:sz w:val="22"/>
                <w:szCs w:val="22"/>
              </w:rPr>
            </w:pPr>
          </w:p>
          <w:p w14:paraId="5F24FD23" w14:textId="77777777" w:rsidR="00A84F79" w:rsidRPr="00C27A60" w:rsidRDefault="00A84F79" w:rsidP="00C533B1">
            <w:pPr>
              <w:ind w:firstLine="240"/>
              <w:jc w:val="both"/>
              <w:rPr>
                <w:i/>
                <w:sz w:val="22"/>
                <w:szCs w:val="22"/>
              </w:rPr>
            </w:pPr>
          </w:p>
          <w:p w14:paraId="66467430" w14:textId="77777777" w:rsidR="00A84F79" w:rsidRPr="00C27A60" w:rsidRDefault="00A84F79" w:rsidP="00C533B1">
            <w:pPr>
              <w:ind w:firstLine="240"/>
              <w:jc w:val="both"/>
              <w:rPr>
                <w:i/>
                <w:sz w:val="22"/>
                <w:szCs w:val="22"/>
              </w:rPr>
            </w:pPr>
          </w:p>
          <w:p w14:paraId="4983369E" w14:textId="77777777" w:rsidR="00A84F79" w:rsidRPr="00C27A60" w:rsidRDefault="00A84F79" w:rsidP="00C533B1">
            <w:pPr>
              <w:ind w:firstLine="240"/>
              <w:jc w:val="both"/>
              <w:rPr>
                <w:i/>
                <w:sz w:val="22"/>
                <w:szCs w:val="22"/>
              </w:rPr>
            </w:pPr>
          </w:p>
          <w:p w14:paraId="4539DBF8" w14:textId="77777777" w:rsidR="00A84F79" w:rsidRPr="00C27A60" w:rsidRDefault="00A84F79" w:rsidP="00C533B1">
            <w:pPr>
              <w:ind w:firstLine="240"/>
              <w:jc w:val="both"/>
              <w:rPr>
                <w:i/>
                <w:sz w:val="22"/>
                <w:szCs w:val="22"/>
              </w:rPr>
            </w:pPr>
          </w:p>
          <w:p w14:paraId="5EB5EED3" w14:textId="77777777" w:rsidR="00A84F79" w:rsidRPr="00C27A60" w:rsidRDefault="00A84F79" w:rsidP="00C533B1">
            <w:pPr>
              <w:ind w:firstLine="240"/>
              <w:jc w:val="both"/>
              <w:rPr>
                <w:i/>
                <w:sz w:val="22"/>
                <w:szCs w:val="22"/>
              </w:rPr>
            </w:pPr>
          </w:p>
          <w:p w14:paraId="53322E9E" w14:textId="77777777" w:rsidR="00A84F79" w:rsidRPr="00C27A60" w:rsidRDefault="00A84F79" w:rsidP="00C533B1">
            <w:pPr>
              <w:ind w:firstLine="240"/>
              <w:jc w:val="both"/>
              <w:rPr>
                <w:i/>
                <w:sz w:val="22"/>
                <w:szCs w:val="22"/>
              </w:rPr>
            </w:pPr>
          </w:p>
          <w:p w14:paraId="1564CBF4" w14:textId="77777777" w:rsidR="00A84F79" w:rsidRPr="00C27A60" w:rsidRDefault="00A84F79" w:rsidP="00C533B1">
            <w:pPr>
              <w:ind w:firstLine="240"/>
              <w:jc w:val="both"/>
              <w:rPr>
                <w:i/>
                <w:sz w:val="22"/>
                <w:szCs w:val="22"/>
              </w:rPr>
            </w:pPr>
          </w:p>
          <w:p w14:paraId="78D1D364" w14:textId="77777777" w:rsidR="00A84F79" w:rsidRPr="00C27A60" w:rsidRDefault="00A84F79" w:rsidP="00C533B1">
            <w:pPr>
              <w:ind w:firstLine="240"/>
              <w:jc w:val="both"/>
              <w:rPr>
                <w:i/>
                <w:sz w:val="22"/>
                <w:szCs w:val="22"/>
              </w:rPr>
            </w:pPr>
          </w:p>
          <w:p w14:paraId="4F8C9AE4" w14:textId="77777777" w:rsidR="00A84F79" w:rsidRPr="00C27A60" w:rsidRDefault="00A84F79" w:rsidP="00C533B1">
            <w:pPr>
              <w:ind w:firstLine="240"/>
              <w:jc w:val="both"/>
              <w:rPr>
                <w:i/>
                <w:sz w:val="22"/>
                <w:szCs w:val="22"/>
              </w:rPr>
            </w:pPr>
          </w:p>
          <w:p w14:paraId="21C10F13" w14:textId="77777777" w:rsidR="00A84F79" w:rsidRPr="00C27A60" w:rsidRDefault="00A84F79" w:rsidP="00C533B1">
            <w:pPr>
              <w:ind w:firstLine="240"/>
              <w:jc w:val="both"/>
              <w:rPr>
                <w:i/>
                <w:sz w:val="22"/>
                <w:szCs w:val="22"/>
              </w:rPr>
            </w:pPr>
          </w:p>
          <w:p w14:paraId="7CD9E83D" w14:textId="77777777" w:rsidR="00A84F79" w:rsidRPr="00C27A60" w:rsidRDefault="00A84F79" w:rsidP="00C533B1">
            <w:pPr>
              <w:ind w:firstLine="240"/>
              <w:jc w:val="both"/>
              <w:rPr>
                <w:i/>
                <w:sz w:val="22"/>
                <w:szCs w:val="22"/>
              </w:rPr>
            </w:pPr>
          </w:p>
          <w:p w14:paraId="377604A5" w14:textId="77777777" w:rsidR="00A84F79" w:rsidRPr="00C27A60" w:rsidRDefault="00A84F79" w:rsidP="00C533B1">
            <w:pPr>
              <w:ind w:firstLine="240"/>
              <w:jc w:val="both"/>
              <w:rPr>
                <w:i/>
                <w:sz w:val="22"/>
                <w:szCs w:val="22"/>
              </w:rPr>
            </w:pPr>
          </w:p>
          <w:p w14:paraId="319713FB" w14:textId="77777777" w:rsidR="00A84F79" w:rsidRPr="00C27A60" w:rsidRDefault="00A84F79" w:rsidP="00C533B1">
            <w:pPr>
              <w:ind w:firstLine="240"/>
              <w:jc w:val="both"/>
              <w:rPr>
                <w:i/>
                <w:sz w:val="22"/>
                <w:szCs w:val="22"/>
              </w:rPr>
            </w:pPr>
          </w:p>
          <w:p w14:paraId="1C846274" w14:textId="77777777" w:rsidR="00A84F79" w:rsidRPr="00C27A60" w:rsidRDefault="00A84F79" w:rsidP="00C533B1">
            <w:pPr>
              <w:ind w:firstLine="240"/>
              <w:jc w:val="both"/>
              <w:rPr>
                <w:i/>
                <w:sz w:val="22"/>
                <w:szCs w:val="22"/>
              </w:rPr>
            </w:pPr>
          </w:p>
          <w:p w14:paraId="2CB71856" w14:textId="77777777" w:rsidR="00A84F79" w:rsidRPr="00C27A60" w:rsidRDefault="00A84F79" w:rsidP="00C533B1">
            <w:pPr>
              <w:ind w:firstLine="240"/>
              <w:jc w:val="both"/>
              <w:rPr>
                <w:i/>
                <w:sz w:val="22"/>
                <w:szCs w:val="22"/>
              </w:rPr>
            </w:pPr>
          </w:p>
          <w:p w14:paraId="73B57209" w14:textId="77777777" w:rsidR="00A84F79" w:rsidRPr="00C27A60" w:rsidRDefault="00A84F79" w:rsidP="00C533B1">
            <w:pPr>
              <w:ind w:firstLine="240"/>
              <w:jc w:val="both"/>
              <w:rPr>
                <w:i/>
                <w:sz w:val="22"/>
                <w:szCs w:val="22"/>
              </w:rPr>
            </w:pPr>
          </w:p>
          <w:p w14:paraId="698594CF" w14:textId="77777777" w:rsidR="00A84F79" w:rsidRPr="00C27A60" w:rsidRDefault="00A84F79" w:rsidP="00C533B1">
            <w:pPr>
              <w:ind w:firstLine="240"/>
              <w:jc w:val="both"/>
              <w:rPr>
                <w:i/>
                <w:sz w:val="22"/>
                <w:szCs w:val="22"/>
              </w:rPr>
            </w:pPr>
          </w:p>
          <w:p w14:paraId="62C196D8" w14:textId="77777777" w:rsidR="00A84F79" w:rsidRPr="00C27A60" w:rsidRDefault="00A84F79" w:rsidP="00C533B1">
            <w:pPr>
              <w:ind w:firstLine="240"/>
              <w:jc w:val="both"/>
              <w:rPr>
                <w:i/>
                <w:sz w:val="22"/>
                <w:szCs w:val="22"/>
              </w:rPr>
            </w:pPr>
          </w:p>
          <w:p w14:paraId="135E862C" w14:textId="77777777" w:rsidR="00A84F79" w:rsidRPr="00C27A60" w:rsidRDefault="00A84F79" w:rsidP="00C533B1">
            <w:pPr>
              <w:ind w:firstLine="240"/>
              <w:jc w:val="both"/>
              <w:rPr>
                <w:i/>
                <w:sz w:val="22"/>
                <w:szCs w:val="22"/>
              </w:rPr>
            </w:pPr>
          </w:p>
          <w:p w14:paraId="47C985A2" w14:textId="77777777" w:rsidR="00A84F79" w:rsidRPr="00C27A60" w:rsidRDefault="00A84F79" w:rsidP="00C533B1">
            <w:pPr>
              <w:ind w:firstLine="240"/>
              <w:jc w:val="both"/>
              <w:rPr>
                <w:i/>
                <w:sz w:val="22"/>
                <w:szCs w:val="22"/>
              </w:rPr>
            </w:pPr>
          </w:p>
          <w:p w14:paraId="5883D3D8" w14:textId="77777777" w:rsidR="00A84F79" w:rsidRPr="00C27A60" w:rsidRDefault="00A84F79" w:rsidP="00C533B1">
            <w:pPr>
              <w:ind w:firstLine="240"/>
              <w:jc w:val="both"/>
              <w:rPr>
                <w:i/>
                <w:sz w:val="22"/>
                <w:szCs w:val="22"/>
              </w:rPr>
            </w:pPr>
          </w:p>
          <w:p w14:paraId="7214B4BC" w14:textId="77777777" w:rsidR="00A84F79" w:rsidRPr="00C27A60" w:rsidRDefault="00A84F79" w:rsidP="00C533B1">
            <w:pPr>
              <w:ind w:firstLine="240"/>
              <w:jc w:val="both"/>
              <w:rPr>
                <w:i/>
                <w:sz w:val="22"/>
                <w:szCs w:val="22"/>
              </w:rPr>
            </w:pPr>
          </w:p>
          <w:p w14:paraId="3DD923A1" w14:textId="77777777" w:rsidR="00A84F79" w:rsidRPr="00C27A60" w:rsidRDefault="00A84F79" w:rsidP="00C533B1">
            <w:pPr>
              <w:ind w:firstLine="240"/>
              <w:jc w:val="both"/>
              <w:rPr>
                <w:i/>
                <w:sz w:val="22"/>
                <w:szCs w:val="22"/>
              </w:rPr>
            </w:pPr>
          </w:p>
          <w:p w14:paraId="6D7C71C4" w14:textId="77777777" w:rsidR="00A84F79" w:rsidRPr="00C27A60" w:rsidRDefault="00A84F79" w:rsidP="00C533B1">
            <w:pPr>
              <w:ind w:firstLine="240"/>
              <w:jc w:val="both"/>
              <w:rPr>
                <w:i/>
                <w:sz w:val="22"/>
                <w:szCs w:val="22"/>
              </w:rPr>
            </w:pPr>
          </w:p>
          <w:p w14:paraId="672D156D" w14:textId="77777777" w:rsidR="00A84F79" w:rsidRPr="00C27A60" w:rsidRDefault="00A84F79" w:rsidP="00C533B1">
            <w:pPr>
              <w:ind w:firstLine="240"/>
              <w:jc w:val="both"/>
              <w:rPr>
                <w:i/>
                <w:sz w:val="22"/>
                <w:szCs w:val="22"/>
              </w:rPr>
            </w:pPr>
          </w:p>
          <w:p w14:paraId="44E20D72" w14:textId="77777777" w:rsidR="00A84F79" w:rsidRPr="00C27A60" w:rsidRDefault="00A84F79" w:rsidP="00C533B1">
            <w:pPr>
              <w:ind w:firstLine="240"/>
              <w:jc w:val="both"/>
              <w:rPr>
                <w:i/>
                <w:sz w:val="22"/>
                <w:szCs w:val="22"/>
              </w:rPr>
            </w:pPr>
          </w:p>
          <w:p w14:paraId="14C75D4B" w14:textId="77777777" w:rsidR="00A84F79" w:rsidRPr="00C27A60" w:rsidRDefault="00A84F79" w:rsidP="00C533B1">
            <w:pPr>
              <w:ind w:firstLine="240"/>
              <w:jc w:val="both"/>
              <w:rPr>
                <w:i/>
                <w:sz w:val="22"/>
                <w:szCs w:val="22"/>
              </w:rPr>
            </w:pPr>
          </w:p>
          <w:p w14:paraId="65F345A0" w14:textId="77777777" w:rsidR="00A84F79" w:rsidRPr="00C27A60" w:rsidRDefault="00A84F79" w:rsidP="00C533B1">
            <w:pPr>
              <w:ind w:firstLine="240"/>
              <w:jc w:val="both"/>
              <w:rPr>
                <w:i/>
                <w:sz w:val="22"/>
                <w:szCs w:val="22"/>
              </w:rPr>
            </w:pPr>
          </w:p>
          <w:p w14:paraId="10E1FD61" w14:textId="77777777" w:rsidR="00A84F79" w:rsidRPr="00C27A60" w:rsidRDefault="00A84F79" w:rsidP="00C533B1">
            <w:pPr>
              <w:ind w:firstLine="240"/>
              <w:jc w:val="both"/>
              <w:rPr>
                <w:i/>
                <w:sz w:val="22"/>
                <w:szCs w:val="22"/>
              </w:rPr>
            </w:pPr>
          </w:p>
          <w:p w14:paraId="5B2ACF48" w14:textId="77777777" w:rsidR="00A84F79" w:rsidRPr="00C27A60" w:rsidRDefault="00A84F79" w:rsidP="00C533B1">
            <w:pPr>
              <w:ind w:firstLine="240"/>
              <w:jc w:val="both"/>
              <w:rPr>
                <w:i/>
                <w:sz w:val="22"/>
                <w:szCs w:val="22"/>
              </w:rPr>
            </w:pPr>
          </w:p>
          <w:p w14:paraId="15F79FF9" w14:textId="77777777" w:rsidR="00A84F79" w:rsidRPr="00C27A60" w:rsidRDefault="00A84F79" w:rsidP="00C533B1">
            <w:pPr>
              <w:ind w:firstLine="240"/>
              <w:jc w:val="both"/>
              <w:rPr>
                <w:i/>
                <w:sz w:val="22"/>
                <w:szCs w:val="22"/>
              </w:rPr>
            </w:pPr>
          </w:p>
          <w:p w14:paraId="1DC70085" w14:textId="77777777" w:rsidR="00A84F79" w:rsidRPr="00C27A60" w:rsidRDefault="00A84F79" w:rsidP="00C533B1">
            <w:pPr>
              <w:ind w:firstLine="240"/>
              <w:jc w:val="both"/>
              <w:rPr>
                <w:i/>
                <w:sz w:val="22"/>
                <w:szCs w:val="22"/>
              </w:rPr>
            </w:pPr>
          </w:p>
          <w:p w14:paraId="1AF1117F" w14:textId="77777777" w:rsidR="00A84F79" w:rsidRPr="00C27A60" w:rsidRDefault="00A84F79" w:rsidP="00C533B1">
            <w:pPr>
              <w:ind w:firstLine="240"/>
              <w:jc w:val="both"/>
              <w:rPr>
                <w:i/>
                <w:sz w:val="22"/>
                <w:szCs w:val="22"/>
              </w:rPr>
            </w:pPr>
          </w:p>
          <w:p w14:paraId="7E937A6C" w14:textId="77777777" w:rsidR="00A84F79" w:rsidRPr="00C27A60" w:rsidRDefault="00A84F79" w:rsidP="00C533B1">
            <w:pPr>
              <w:ind w:firstLine="240"/>
              <w:jc w:val="both"/>
              <w:rPr>
                <w:i/>
                <w:sz w:val="22"/>
                <w:szCs w:val="22"/>
              </w:rPr>
            </w:pPr>
          </w:p>
          <w:p w14:paraId="13A82AC3" w14:textId="77777777" w:rsidR="00A84F79" w:rsidRPr="00C27A60" w:rsidRDefault="00A84F79" w:rsidP="00C533B1">
            <w:pPr>
              <w:ind w:firstLine="240"/>
              <w:jc w:val="both"/>
              <w:rPr>
                <w:i/>
                <w:sz w:val="22"/>
                <w:szCs w:val="22"/>
              </w:rPr>
            </w:pPr>
          </w:p>
          <w:p w14:paraId="221B406C" w14:textId="77777777" w:rsidR="00A84F79" w:rsidRPr="00C27A60" w:rsidRDefault="00A84F79" w:rsidP="00C533B1">
            <w:pPr>
              <w:ind w:firstLine="240"/>
              <w:jc w:val="both"/>
              <w:rPr>
                <w:i/>
                <w:sz w:val="22"/>
                <w:szCs w:val="22"/>
              </w:rPr>
            </w:pPr>
          </w:p>
          <w:p w14:paraId="66F0CE18" w14:textId="77777777" w:rsidR="00A84F79" w:rsidRPr="00C27A60" w:rsidRDefault="00A84F79" w:rsidP="00C533B1">
            <w:pPr>
              <w:ind w:firstLine="240"/>
              <w:jc w:val="both"/>
              <w:rPr>
                <w:i/>
                <w:sz w:val="22"/>
                <w:szCs w:val="22"/>
              </w:rPr>
            </w:pPr>
          </w:p>
          <w:p w14:paraId="3023911F" w14:textId="77777777" w:rsidR="00A84F79" w:rsidRPr="00C27A60" w:rsidRDefault="00A84F79" w:rsidP="00C533B1">
            <w:pPr>
              <w:ind w:firstLine="240"/>
              <w:jc w:val="both"/>
              <w:rPr>
                <w:i/>
                <w:sz w:val="22"/>
                <w:szCs w:val="22"/>
              </w:rPr>
            </w:pPr>
          </w:p>
          <w:p w14:paraId="4234E1AD" w14:textId="77777777" w:rsidR="00A84F79" w:rsidRPr="00C27A60" w:rsidRDefault="00A84F79" w:rsidP="00C533B1">
            <w:pPr>
              <w:ind w:firstLine="240"/>
              <w:jc w:val="both"/>
              <w:rPr>
                <w:i/>
                <w:sz w:val="22"/>
                <w:szCs w:val="22"/>
              </w:rPr>
            </w:pPr>
          </w:p>
          <w:p w14:paraId="1C4E9F1D" w14:textId="77777777" w:rsidR="00A84F79" w:rsidRPr="00C27A60" w:rsidRDefault="00A84F79" w:rsidP="00C533B1">
            <w:pPr>
              <w:ind w:firstLine="240"/>
              <w:jc w:val="both"/>
              <w:rPr>
                <w:i/>
                <w:sz w:val="22"/>
                <w:szCs w:val="22"/>
              </w:rPr>
            </w:pPr>
          </w:p>
          <w:p w14:paraId="620CE1C2" w14:textId="77777777" w:rsidR="00A84F79" w:rsidRPr="00C27A60" w:rsidRDefault="00A84F79" w:rsidP="00C533B1">
            <w:pPr>
              <w:ind w:firstLine="240"/>
              <w:jc w:val="both"/>
              <w:rPr>
                <w:i/>
                <w:sz w:val="22"/>
                <w:szCs w:val="22"/>
              </w:rPr>
            </w:pPr>
          </w:p>
          <w:p w14:paraId="11B4A1A8" w14:textId="77777777" w:rsidR="00A84F79" w:rsidRPr="00C27A60" w:rsidRDefault="00A84F79" w:rsidP="00C533B1">
            <w:pPr>
              <w:ind w:firstLine="240"/>
              <w:jc w:val="both"/>
              <w:rPr>
                <w:i/>
                <w:sz w:val="22"/>
                <w:szCs w:val="22"/>
              </w:rPr>
            </w:pPr>
          </w:p>
          <w:p w14:paraId="7BC30880" w14:textId="77777777" w:rsidR="00A84F79" w:rsidRPr="00C27A60" w:rsidRDefault="00A84F79" w:rsidP="00C533B1">
            <w:pPr>
              <w:ind w:firstLine="240"/>
              <w:jc w:val="both"/>
              <w:rPr>
                <w:i/>
                <w:sz w:val="22"/>
                <w:szCs w:val="22"/>
              </w:rPr>
            </w:pPr>
          </w:p>
          <w:p w14:paraId="5F56964F" w14:textId="77777777" w:rsidR="00A84F79" w:rsidRPr="00C27A60" w:rsidRDefault="00A84F79" w:rsidP="00C533B1">
            <w:pPr>
              <w:ind w:firstLine="240"/>
              <w:jc w:val="both"/>
              <w:rPr>
                <w:i/>
                <w:sz w:val="22"/>
                <w:szCs w:val="22"/>
              </w:rPr>
            </w:pPr>
          </w:p>
          <w:p w14:paraId="5151BA84" w14:textId="77777777" w:rsidR="00A84F79" w:rsidRPr="00C27A60" w:rsidRDefault="00A84F79" w:rsidP="00C533B1">
            <w:pPr>
              <w:ind w:firstLine="240"/>
              <w:jc w:val="both"/>
              <w:rPr>
                <w:i/>
                <w:sz w:val="22"/>
                <w:szCs w:val="22"/>
              </w:rPr>
            </w:pPr>
          </w:p>
          <w:p w14:paraId="45430F14" w14:textId="77777777" w:rsidR="00A84F79" w:rsidRPr="00C27A60" w:rsidRDefault="00A84F79" w:rsidP="00C533B1">
            <w:pPr>
              <w:ind w:firstLine="240"/>
              <w:jc w:val="both"/>
              <w:rPr>
                <w:i/>
                <w:sz w:val="22"/>
                <w:szCs w:val="22"/>
              </w:rPr>
            </w:pPr>
          </w:p>
          <w:p w14:paraId="60468805" w14:textId="77777777" w:rsidR="00A84F79" w:rsidRPr="00C27A60" w:rsidRDefault="00A84F79" w:rsidP="00C533B1">
            <w:pPr>
              <w:ind w:firstLine="240"/>
              <w:jc w:val="both"/>
              <w:rPr>
                <w:i/>
                <w:sz w:val="22"/>
                <w:szCs w:val="22"/>
              </w:rPr>
            </w:pPr>
          </w:p>
          <w:p w14:paraId="18611B81" w14:textId="77777777" w:rsidR="00A84F79" w:rsidRPr="00C27A60" w:rsidRDefault="00A84F79" w:rsidP="00C533B1">
            <w:pPr>
              <w:ind w:firstLine="240"/>
              <w:jc w:val="both"/>
              <w:rPr>
                <w:i/>
                <w:sz w:val="22"/>
                <w:szCs w:val="22"/>
              </w:rPr>
            </w:pPr>
          </w:p>
          <w:p w14:paraId="327B865F" w14:textId="77777777" w:rsidR="00A84F79" w:rsidRPr="00C27A60" w:rsidRDefault="00A84F79" w:rsidP="00C533B1">
            <w:pPr>
              <w:ind w:firstLine="240"/>
              <w:jc w:val="both"/>
              <w:rPr>
                <w:i/>
                <w:sz w:val="22"/>
                <w:szCs w:val="22"/>
              </w:rPr>
            </w:pPr>
          </w:p>
          <w:p w14:paraId="46D4F13D" w14:textId="77777777" w:rsidR="00A84F79" w:rsidRPr="00C27A60" w:rsidRDefault="00A84F79" w:rsidP="00C533B1">
            <w:pPr>
              <w:ind w:firstLine="240"/>
              <w:jc w:val="both"/>
              <w:rPr>
                <w:i/>
                <w:sz w:val="22"/>
                <w:szCs w:val="22"/>
              </w:rPr>
            </w:pPr>
          </w:p>
          <w:p w14:paraId="59D35A0A" w14:textId="77777777" w:rsidR="00A84F79" w:rsidRPr="00C27A60" w:rsidRDefault="00A84F79" w:rsidP="00C533B1">
            <w:pPr>
              <w:ind w:firstLine="240"/>
              <w:jc w:val="both"/>
              <w:rPr>
                <w:i/>
                <w:sz w:val="22"/>
                <w:szCs w:val="22"/>
              </w:rPr>
            </w:pPr>
          </w:p>
          <w:p w14:paraId="4808A5F4" w14:textId="77777777" w:rsidR="00A84F79" w:rsidRPr="00C27A60" w:rsidRDefault="00A84F79" w:rsidP="00C533B1">
            <w:pPr>
              <w:ind w:firstLine="240"/>
              <w:jc w:val="both"/>
              <w:rPr>
                <w:i/>
                <w:sz w:val="22"/>
                <w:szCs w:val="22"/>
              </w:rPr>
            </w:pPr>
          </w:p>
          <w:p w14:paraId="600FB0D5" w14:textId="77777777" w:rsidR="00A84F79" w:rsidRPr="00C27A60" w:rsidRDefault="00A84F79" w:rsidP="00C533B1">
            <w:pPr>
              <w:ind w:firstLine="240"/>
              <w:jc w:val="both"/>
              <w:rPr>
                <w:i/>
                <w:sz w:val="22"/>
                <w:szCs w:val="22"/>
              </w:rPr>
            </w:pPr>
          </w:p>
          <w:p w14:paraId="74810CDA" w14:textId="77777777" w:rsidR="00A84F79" w:rsidRPr="00C27A60" w:rsidRDefault="00A84F79" w:rsidP="00C533B1">
            <w:pPr>
              <w:ind w:firstLine="240"/>
              <w:jc w:val="both"/>
              <w:rPr>
                <w:i/>
                <w:sz w:val="22"/>
                <w:szCs w:val="22"/>
              </w:rPr>
            </w:pPr>
          </w:p>
          <w:p w14:paraId="7515A7DE" w14:textId="77777777" w:rsidR="00A84F79" w:rsidRPr="00C27A60" w:rsidRDefault="00A84F79" w:rsidP="00C533B1">
            <w:pPr>
              <w:ind w:firstLine="240"/>
              <w:jc w:val="both"/>
              <w:rPr>
                <w:i/>
                <w:sz w:val="22"/>
                <w:szCs w:val="22"/>
              </w:rPr>
            </w:pPr>
          </w:p>
          <w:p w14:paraId="5BBB7763" w14:textId="77777777" w:rsidR="00A84F79" w:rsidRPr="00C27A60" w:rsidRDefault="00A84F79" w:rsidP="00C533B1">
            <w:pPr>
              <w:ind w:firstLine="240"/>
              <w:jc w:val="both"/>
              <w:rPr>
                <w:i/>
                <w:sz w:val="22"/>
                <w:szCs w:val="22"/>
              </w:rPr>
            </w:pPr>
          </w:p>
          <w:p w14:paraId="48FA3315" w14:textId="77777777" w:rsidR="00A84F79" w:rsidRPr="00C27A60" w:rsidRDefault="00A84F79" w:rsidP="00C533B1">
            <w:pPr>
              <w:ind w:firstLine="240"/>
              <w:jc w:val="both"/>
              <w:rPr>
                <w:i/>
                <w:sz w:val="22"/>
                <w:szCs w:val="22"/>
              </w:rPr>
            </w:pPr>
          </w:p>
          <w:p w14:paraId="6037E2E5" w14:textId="77777777" w:rsidR="00A84F79" w:rsidRPr="00C27A60" w:rsidRDefault="00A84F79" w:rsidP="00C533B1">
            <w:pPr>
              <w:ind w:firstLine="240"/>
              <w:jc w:val="both"/>
              <w:rPr>
                <w:i/>
                <w:sz w:val="22"/>
                <w:szCs w:val="22"/>
              </w:rPr>
            </w:pPr>
          </w:p>
          <w:p w14:paraId="692D1FFA" w14:textId="77777777" w:rsidR="00A84F79" w:rsidRPr="00C27A60" w:rsidRDefault="00A84F79" w:rsidP="00C533B1">
            <w:pPr>
              <w:ind w:firstLine="240"/>
              <w:jc w:val="both"/>
              <w:rPr>
                <w:i/>
                <w:sz w:val="22"/>
                <w:szCs w:val="22"/>
              </w:rPr>
            </w:pPr>
          </w:p>
          <w:p w14:paraId="7FA5269D" w14:textId="77777777" w:rsidR="00A84F79" w:rsidRPr="00C27A60" w:rsidRDefault="00A84F79" w:rsidP="00C533B1">
            <w:pPr>
              <w:ind w:firstLine="240"/>
              <w:jc w:val="both"/>
              <w:rPr>
                <w:i/>
                <w:sz w:val="22"/>
                <w:szCs w:val="22"/>
              </w:rPr>
            </w:pPr>
          </w:p>
          <w:p w14:paraId="64DB79DD" w14:textId="77777777" w:rsidR="00A84F79" w:rsidRPr="00C27A60" w:rsidRDefault="00A84F79" w:rsidP="00C533B1">
            <w:pPr>
              <w:ind w:firstLine="240"/>
              <w:jc w:val="both"/>
              <w:rPr>
                <w:i/>
                <w:sz w:val="22"/>
                <w:szCs w:val="22"/>
              </w:rPr>
            </w:pPr>
          </w:p>
          <w:p w14:paraId="4EDF636A" w14:textId="77777777" w:rsidR="00A84F79" w:rsidRPr="00C27A60" w:rsidRDefault="00A84F79" w:rsidP="00C533B1">
            <w:pPr>
              <w:ind w:firstLine="240"/>
              <w:jc w:val="both"/>
              <w:rPr>
                <w:i/>
                <w:sz w:val="22"/>
                <w:szCs w:val="22"/>
              </w:rPr>
            </w:pPr>
          </w:p>
          <w:p w14:paraId="70AE9AD4" w14:textId="77777777" w:rsidR="00A84F79" w:rsidRPr="00C27A60" w:rsidRDefault="00A84F79" w:rsidP="00C533B1">
            <w:pPr>
              <w:ind w:firstLine="240"/>
              <w:jc w:val="both"/>
              <w:rPr>
                <w:i/>
                <w:sz w:val="22"/>
                <w:szCs w:val="22"/>
              </w:rPr>
            </w:pPr>
          </w:p>
          <w:p w14:paraId="61F8E3C9" w14:textId="77777777" w:rsidR="00A84F79" w:rsidRPr="00C27A60" w:rsidRDefault="00A84F79" w:rsidP="00C533B1">
            <w:pPr>
              <w:ind w:firstLine="240"/>
              <w:jc w:val="both"/>
              <w:rPr>
                <w:i/>
                <w:sz w:val="22"/>
                <w:szCs w:val="22"/>
              </w:rPr>
            </w:pPr>
          </w:p>
          <w:p w14:paraId="653909F8" w14:textId="77777777" w:rsidR="00A84F79" w:rsidRPr="00C27A60" w:rsidRDefault="00A84F79" w:rsidP="00C533B1">
            <w:pPr>
              <w:ind w:firstLine="240"/>
              <w:jc w:val="both"/>
              <w:rPr>
                <w:i/>
                <w:sz w:val="22"/>
                <w:szCs w:val="22"/>
              </w:rPr>
            </w:pPr>
          </w:p>
          <w:p w14:paraId="38376819" w14:textId="77777777" w:rsidR="00A84F79" w:rsidRPr="00C27A60" w:rsidRDefault="00A84F79" w:rsidP="00C533B1">
            <w:pPr>
              <w:ind w:firstLine="240"/>
              <w:jc w:val="both"/>
              <w:rPr>
                <w:i/>
                <w:sz w:val="22"/>
                <w:szCs w:val="22"/>
              </w:rPr>
            </w:pPr>
          </w:p>
          <w:p w14:paraId="06B1B635" w14:textId="77777777" w:rsidR="00A84F79" w:rsidRPr="00C27A60" w:rsidRDefault="00A84F79" w:rsidP="00C533B1">
            <w:pPr>
              <w:ind w:firstLine="240"/>
              <w:jc w:val="both"/>
              <w:rPr>
                <w:i/>
                <w:sz w:val="22"/>
                <w:szCs w:val="22"/>
              </w:rPr>
            </w:pPr>
          </w:p>
          <w:p w14:paraId="42228361" w14:textId="77777777" w:rsidR="00A84F79" w:rsidRPr="00C27A60" w:rsidRDefault="00A84F79" w:rsidP="00C533B1">
            <w:pPr>
              <w:ind w:firstLine="240"/>
              <w:jc w:val="both"/>
              <w:rPr>
                <w:i/>
                <w:sz w:val="22"/>
                <w:szCs w:val="22"/>
              </w:rPr>
            </w:pPr>
          </w:p>
          <w:p w14:paraId="2A81978F" w14:textId="77777777" w:rsidR="00A84F79" w:rsidRPr="00C27A60" w:rsidRDefault="00A84F79" w:rsidP="00C533B1">
            <w:pPr>
              <w:ind w:firstLine="240"/>
              <w:jc w:val="both"/>
              <w:rPr>
                <w:i/>
                <w:sz w:val="22"/>
                <w:szCs w:val="22"/>
              </w:rPr>
            </w:pPr>
          </w:p>
          <w:p w14:paraId="3FB74FD6" w14:textId="77777777" w:rsidR="00A84F79" w:rsidRPr="00C27A60" w:rsidRDefault="00A84F79" w:rsidP="00C533B1">
            <w:pPr>
              <w:ind w:firstLine="240"/>
              <w:jc w:val="both"/>
              <w:rPr>
                <w:i/>
                <w:sz w:val="22"/>
                <w:szCs w:val="22"/>
              </w:rPr>
            </w:pPr>
          </w:p>
          <w:p w14:paraId="70072949" w14:textId="77777777" w:rsidR="00A84F79" w:rsidRPr="00C27A60" w:rsidRDefault="00A84F79" w:rsidP="00C533B1">
            <w:pPr>
              <w:ind w:firstLine="240"/>
              <w:jc w:val="both"/>
              <w:rPr>
                <w:i/>
                <w:sz w:val="22"/>
                <w:szCs w:val="22"/>
              </w:rPr>
            </w:pPr>
          </w:p>
          <w:p w14:paraId="53680E18" w14:textId="77777777" w:rsidR="00A84F79" w:rsidRPr="00C27A60" w:rsidRDefault="00A84F79" w:rsidP="00C533B1">
            <w:pPr>
              <w:ind w:firstLine="240"/>
              <w:jc w:val="both"/>
              <w:rPr>
                <w:i/>
                <w:sz w:val="22"/>
                <w:szCs w:val="22"/>
              </w:rPr>
            </w:pPr>
          </w:p>
          <w:p w14:paraId="251BA493" w14:textId="77777777" w:rsidR="00A84F79" w:rsidRPr="00C27A60" w:rsidRDefault="00A84F79" w:rsidP="00C533B1">
            <w:pPr>
              <w:ind w:firstLine="240"/>
              <w:jc w:val="both"/>
              <w:rPr>
                <w:i/>
                <w:sz w:val="22"/>
                <w:szCs w:val="22"/>
              </w:rPr>
            </w:pPr>
          </w:p>
          <w:p w14:paraId="0A3A8559" w14:textId="77777777" w:rsidR="00A84F79" w:rsidRPr="00C27A60" w:rsidRDefault="00A84F79" w:rsidP="00C533B1">
            <w:pPr>
              <w:ind w:firstLine="240"/>
              <w:jc w:val="both"/>
              <w:rPr>
                <w:i/>
                <w:sz w:val="22"/>
                <w:szCs w:val="22"/>
              </w:rPr>
            </w:pPr>
          </w:p>
          <w:p w14:paraId="46B33909" w14:textId="77777777" w:rsidR="00A84F79" w:rsidRPr="00C27A60" w:rsidRDefault="00A84F79" w:rsidP="00C533B1">
            <w:pPr>
              <w:ind w:firstLine="240"/>
              <w:jc w:val="both"/>
              <w:rPr>
                <w:i/>
                <w:sz w:val="22"/>
                <w:szCs w:val="22"/>
              </w:rPr>
            </w:pPr>
          </w:p>
          <w:p w14:paraId="67FCA74C" w14:textId="77777777" w:rsidR="00A84F79" w:rsidRPr="00C27A60" w:rsidRDefault="00A84F79" w:rsidP="00C533B1">
            <w:pPr>
              <w:ind w:firstLine="240"/>
              <w:jc w:val="both"/>
              <w:rPr>
                <w:i/>
                <w:sz w:val="22"/>
                <w:szCs w:val="22"/>
              </w:rPr>
            </w:pPr>
          </w:p>
          <w:p w14:paraId="56A65BC5" w14:textId="77777777" w:rsidR="00A84F79" w:rsidRPr="00C27A60" w:rsidRDefault="00A84F79" w:rsidP="00C533B1">
            <w:pPr>
              <w:ind w:firstLine="240"/>
              <w:jc w:val="both"/>
              <w:rPr>
                <w:i/>
                <w:sz w:val="22"/>
                <w:szCs w:val="22"/>
              </w:rPr>
            </w:pPr>
          </w:p>
          <w:p w14:paraId="02DA5849" w14:textId="77777777" w:rsidR="00A84F79" w:rsidRPr="00C27A60" w:rsidRDefault="00A84F79" w:rsidP="00C533B1">
            <w:pPr>
              <w:ind w:firstLine="240"/>
              <w:jc w:val="both"/>
              <w:rPr>
                <w:i/>
                <w:sz w:val="22"/>
                <w:szCs w:val="22"/>
              </w:rPr>
            </w:pPr>
          </w:p>
          <w:p w14:paraId="0B9C2BBF" w14:textId="77777777" w:rsidR="00A84F79" w:rsidRPr="00C27A60" w:rsidRDefault="00A84F79" w:rsidP="00C533B1">
            <w:pPr>
              <w:ind w:firstLine="240"/>
              <w:jc w:val="both"/>
              <w:rPr>
                <w:i/>
                <w:sz w:val="22"/>
                <w:szCs w:val="22"/>
              </w:rPr>
            </w:pPr>
          </w:p>
          <w:p w14:paraId="1CF277D8" w14:textId="77777777" w:rsidR="00A84F79" w:rsidRPr="00C27A60" w:rsidRDefault="00A84F79" w:rsidP="00C533B1">
            <w:pPr>
              <w:ind w:firstLine="240"/>
              <w:jc w:val="both"/>
              <w:rPr>
                <w:i/>
                <w:sz w:val="22"/>
                <w:szCs w:val="22"/>
              </w:rPr>
            </w:pPr>
          </w:p>
          <w:p w14:paraId="3139929D" w14:textId="77777777" w:rsidR="00A84F79" w:rsidRPr="00C27A60" w:rsidRDefault="00A84F79" w:rsidP="00C533B1">
            <w:pPr>
              <w:ind w:firstLine="240"/>
              <w:jc w:val="both"/>
              <w:rPr>
                <w:i/>
                <w:sz w:val="22"/>
                <w:szCs w:val="22"/>
              </w:rPr>
            </w:pPr>
          </w:p>
          <w:p w14:paraId="70BBAAF7" w14:textId="77777777" w:rsidR="00A84F79" w:rsidRPr="00C27A60" w:rsidRDefault="00A84F79" w:rsidP="00C533B1">
            <w:pPr>
              <w:ind w:firstLine="240"/>
              <w:jc w:val="both"/>
              <w:rPr>
                <w:i/>
                <w:sz w:val="22"/>
                <w:szCs w:val="22"/>
              </w:rPr>
            </w:pPr>
          </w:p>
          <w:p w14:paraId="4CE937A5" w14:textId="77777777" w:rsidR="00A84F79" w:rsidRPr="00C27A60" w:rsidRDefault="00A84F79" w:rsidP="00C533B1">
            <w:pPr>
              <w:ind w:firstLine="240"/>
              <w:jc w:val="both"/>
              <w:rPr>
                <w:i/>
                <w:sz w:val="22"/>
                <w:szCs w:val="22"/>
              </w:rPr>
            </w:pPr>
          </w:p>
          <w:p w14:paraId="241B4EAF" w14:textId="77777777" w:rsidR="00A84F79" w:rsidRPr="00C27A60" w:rsidRDefault="00A84F79" w:rsidP="00C533B1">
            <w:pPr>
              <w:ind w:firstLine="240"/>
              <w:jc w:val="both"/>
              <w:rPr>
                <w:i/>
                <w:sz w:val="22"/>
                <w:szCs w:val="22"/>
              </w:rPr>
            </w:pPr>
          </w:p>
          <w:p w14:paraId="78A57EFF" w14:textId="77777777" w:rsidR="00A84F79" w:rsidRPr="00C27A60" w:rsidRDefault="00A84F79" w:rsidP="00C533B1">
            <w:pPr>
              <w:ind w:firstLine="240"/>
              <w:jc w:val="both"/>
              <w:rPr>
                <w:i/>
                <w:sz w:val="22"/>
                <w:szCs w:val="22"/>
              </w:rPr>
            </w:pPr>
          </w:p>
          <w:p w14:paraId="7FBC018B" w14:textId="77777777" w:rsidR="00A84F79" w:rsidRPr="00C27A60" w:rsidRDefault="00A84F79" w:rsidP="00C533B1">
            <w:pPr>
              <w:ind w:firstLine="240"/>
              <w:jc w:val="both"/>
              <w:rPr>
                <w:i/>
                <w:sz w:val="22"/>
                <w:szCs w:val="22"/>
              </w:rPr>
            </w:pPr>
          </w:p>
          <w:p w14:paraId="50E7AF49" w14:textId="77777777" w:rsidR="00A84F79" w:rsidRPr="00C27A60" w:rsidRDefault="00A84F79" w:rsidP="00C533B1">
            <w:pPr>
              <w:ind w:firstLine="240"/>
              <w:jc w:val="both"/>
              <w:rPr>
                <w:i/>
                <w:sz w:val="22"/>
                <w:szCs w:val="22"/>
              </w:rPr>
            </w:pPr>
          </w:p>
          <w:p w14:paraId="1C86133A" w14:textId="77777777" w:rsidR="00A84F79" w:rsidRPr="00C27A60" w:rsidRDefault="00A84F79" w:rsidP="00C533B1">
            <w:pPr>
              <w:ind w:firstLine="240"/>
              <w:jc w:val="both"/>
              <w:rPr>
                <w:i/>
                <w:sz w:val="22"/>
                <w:szCs w:val="22"/>
              </w:rPr>
            </w:pPr>
          </w:p>
          <w:p w14:paraId="303E46AD" w14:textId="77777777" w:rsidR="00A84F79" w:rsidRPr="00C27A60" w:rsidRDefault="00A84F79" w:rsidP="00C533B1">
            <w:pPr>
              <w:ind w:firstLine="240"/>
              <w:jc w:val="both"/>
              <w:rPr>
                <w:i/>
                <w:sz w:val="22"/>
                <w:szCs w:val="22"/>
              </w:rPr>
            </w:pPr>
          </w:p>
          <w:p w14:paraId="4A995F1F" w14:textId="77777777" w:rsidR="00A84F79" w:rsidRPr="00C27A60" w:rsidRDefault="00A84F79" w:rsidP="00C533B1">
            <w:pPr>
              <w:ind w:firstLine="240"/>
              <w:jc w:val="both"/>
              <w:rPr>
                <w:i/>
                <w:sz w:val="22"/>
                <w:szCs w:val="22"/>
              </w:rPr>
            </w:pPr>
          </w:p>
          <w:p w14:paraId="3A8931F3" w14:textId="77777777" w:rsidR="00A84F79" w:rsidRPr="00C27A60" w:rsidRDefault="00A84F79" w:rsidP="00C533B1">
            <w:pPr>
              <w:ind w:firstLine="240"/>
              <w:jc w:val="both"/>
              <w:rPr>
                <w:i/>
                <w:sz w:val="22"/>
                <w:szCs w:val="22"/>
              </w:rPr>
            </w:pPr>
          </w:p>
          <w:p w14:paraId="1A88F6D9" w14:textId="77777777" w:rsidR="00A84F79" w:rsidRPr="00C27A60" w:rsidRDefault="00A84F79" w:rsidP="00C533B1">
            <w:pPr>
              <w:ind w:firstLine="240"/>
              <w:jc w:val="both"/>
              <w:rPr>
                <w:i/>
                <w:sz w:val="22"/>
                <w:szCs w:val="22"/>
              </w:rPr>
            </w:pPr>
          </w:p>
          <w:p w14:paraId="304D4BBB" w14:textId="77777777" w:rsidR="00A84F79" w:rsidRPr="00C27A60" w:rsidRDefault="00A84F79" w:rsidP="00C533B1">
            <w:pPr>
              <w:ind w:firstLine="240"/>
              <w:jc w:val="both"/>
              <w:rPr>
                <w:i/>
                <w:sz w:val="22"/>
                <w:szCs w:val="22"/>
              </w:rPr>
            </w:pPr>
          </w:p>
          <w:p w14:paraId="7B5D6CE9" w14:textId="77777777" w:rsidR="00A84F79" w:rsidRPr="00C27A60" w:rsidRDefault="00A84F79" w:rsidP="00C533B1">
            <w:pPr>
              <w:ind w:firstLine="240"/>
              <w:jc w:val="both"/>
              <w:rPr>
                <w:i/>
                <w:sz w:val="22"/>
                <w:szCs w:val="22"/>
              </w:rPr>
            </w:pPr>
          </w:p>
          <w:p w14:paraId="7FCEF6F1" w14:textId="77777777" w:rsidR="00A84F79" w:rsidRPr="00C27A60" w:rsidRDefault="00A84F79" w:rsidP="00C533B1">
            <w:pPr>
              <w:ind w:firstLine="240"/>
              <w:jc w:val="both"/>
              <w:rPr>
                <w:i/>
                <w:sz w:val="22"/>
                <w:szCs w:val="22"/>
              </w:rPr>
            </w:pPr>
          </w:p>
          <w:p w14:paraId="721C72EF" w14:textId="77777777" w:rsidR="00A84F79" w:rsidRPr="00C27A60" w:rsidRDefault="00A84F79" w:rsidP="00C533B1">
            <w:pPr>
              <w:ind w:firstLine="240"/>
              <w:jc w:val="both"/>
              <w:rPr>
                <w:i/>
                <w:sz w:val="22"/>
                <w:szCs w:val="22"/>
              </w:rPr>
            </w:pPr>
          </w:p>
          <w:p w14:paraId="5F7502B4" w14:textId="77777777" w:rsidR="00A84F79" w:rsidRPr="00C27A60" w:rsidRDefault="00A84F79" w:rsidP="00C533B1">
            <w:pPr>
              <w:ind w:firstLine="240"/>
              <w:jc w:val="both"/>
              <w:rPr>
                <w:i/>
                <w:sz w:val="22"/>
                <w:szCs w:val="22"/>
              </w:rPr>
            </w:pPr>
          </w:p>
          <w:p w14:paraId="35A7FD10" w14:textId="77777777" w:rsidR="00A84F79" w:rsidRPr="00C27A60" w:rsidRDefault="00A84F79" w:rsidP="00C533B1">
            <w:pPr>
              <w:ind w:firstLine="240"/>
              <w:jc w:val="both"/>
              <w:rPr>
                <w:i/>
                <w:sz w:val="22"/>
                <w:szCs w:val="22"/>
              </w:rPr>
            </w:pPr>
          </w:p>
          <w:p w14:paraId="1B904DAA" w14:textId="77777777" w:rsidR="00A84F79" w:rsidRPr="00C27A60" w:rsidRDefault="00A84F79" w:rsidP="00C533B1">
            <w:pPr>
              <w:ind w:firstLine="240"/>
              <w:jc w:val="both"/>
              <w:rPr>
                <w:i/>
                <w:sz w:val="22"/>
                <w:szCs w:val="22"/>
              </w:rPr>
            </w:pPr>
          </w:p>
          <w:p w14:paraId="431539FA" w14:textId="77777777" w:rsidR="00A84F79" w:rsidRPr="00C27A60" w:rsidRDefault="00A84F79" w:rsidP="00C533B1">
            <w:pPr>
              <w:ind w:firstLine="240"/>
              <w:jc w:val="both"/>
              <w:rPr>
                <w:i/>
                <w:sz w:val="22"/>
                <w:szCs w:val="22"/>
              </w:rPr>
            </w:pPr>
          </w:p>
          <w:p w14:paraId="528D503F" w14:textId="77777777" w:rsidR="00A84F79" w:rsidRPr="00C27A60" w:rsidRDefault="00A84F79" w:rsidP="00C533B1">
            <w:pPr>
              <w:ind w:firstLine="240"/>
              <w:jc w:val="both"/>
              <w:rPr>
                <w:i/>
                <w:sz w:val="22"/>
                <w:szCs w:val="22"/>
              </w:rPr>
            </w:pPr>
          </w:p>
          <w:p w14:paraId="17247907" w14:textId="77777777" w:rsidR="00A84F79" w:rsidRPr="00C27A60" w:rsidRDefault="00A84F79" w:rsidP="00C533B1">
            <w:pPr>
              <w:ind w:firstLine="240"/>
              <w:jc w:val="both"/>
              <w:rPr>
                <w:i/>
                <w:sz w:val="22"/>
                <w:szCs w:val="22"/>
              </w:rPr>
            </w:pPr>
          </w:p>
          <w:p w14:paraId="5C671140" w14:textId="77777777" w:rsidR="00A84F79" w:rsidRPr="00C27A60" w:rsidRDefault="00A84F79" w:rsidP="00C533B1">
            <w:pPr>
              <w:ind w:firstLine="240"/>
              <w:jc w:val="both"/>
              <w:rPr>
                <w:i/>
                <w:sz w:val="22"/>
                <w:szCs w:val="22"/>
              </w:rPr>
            </w:pPr>
          </w:p>
          <w:p w14:paraId="1CAA10AF" w14:textId="77777777" w:rsidR="00A84F79" w:rsidRPr="00C27A60" w:rsidRDefault="00A84F79" w:rsidP="00C533B1">
            <w:pPr>
              <w:ind w:firstLine="240"/>
              <w:jc w:val="both"/>
              <w:rPr>
                <w:i/>
                <w:sz w:val="22"/>
                <w:szCs w:val="22"/>
              </w:rPr>
            </w:pPr>
          </w:p>
          <w:p w14:paraId="3E5B7189" w14:textId="77777777" w:rsidR="00A84F79" w:rsidRPr="00C27A60" w:rsidRDefault="00A84F79" w:rsidP="00C533B1">
            <w:pPr>
              <w:ind w:firstLine="240"/>
              <w:jc w:val="both"/>
              <w:rPr>
                <w:i/>
                <w:sz w:val="22"/>
                <w:szCs w:val="22"/>
              </w:rPr>
            </w:pPr>
          </w:p>
          <w:p w14:paraId="2E960E5E" w14:textId="77777777" w:rsidR="00A84F79" w:rsidRPr="00C27A60" w:rsidRDefault="00A84F79" w:rsidP="00C533B1">
            <w:pPr>
              <w:ind w:firstLine="240"/>
              <w:jc w:val="both"/>
              <w:rPr>
                <w:i/>
                <w:sz w:val="22"/>
                <w:szCs w:val="22"/>
              </w:rPr>
            </w:pPr>
          </w:p>
          <w:p w14:paraId="3F242909" w14:textId="77777777" w:rsidR="00A84F79" w:rsidRPr="00C27A60" w:rsidRDefault="00A84F79" w:rsidP="00C533B1">
            <w:pPr>
              <w:ind w:firstLine="240"/>
              <w:jc w:val="both"/>
              <w:rPr>
                <w:i/>
                <w:sz w:val="22"/>
                <w:szCs w:val="22"/>
              </w:rPr>
            </w:pPr>
          </w:p>
          <w:p w14:paraId="654714EE" w14:textId="77777777" w:rsidR="00A84F79" w:rsidRPr="00C27A60" w:rsidRDefault="00A84F79" w:rsidP="00C533B1">
            <w:pPr>
              <w:ind w:firstLine="240"/>
              <w:jc w:val="both"/>
              <w:rPr>
                <w:i/>
                <w:sz w:val="22"/>
                <w:szCs w:val="22"/>
              </w:rPr>
            </w:pPr>
          </w:p>
          <w:p w14:paraId="1EA5CCD0" w14:textId="77777777" w:rsidR="00A84F79" w:rsidRPr="00C27A60" w:rsidRDefault="00A84F79" w:rsidP="00C533B1">
            <w:pPr>
              <w:ind w:firstLine="240"/>
              <w:jc w:val="both"/>
              <w:rPr>
                <w:i/>
                <w:sz w:val="22"/>
                <w:szCs w:val="22"/>
              </w:rPr>
            </w:pPr>
          </w:p>
          <w:p w14:paraId="2B70E2D2" w14:textId="77777777" w:rsidR="00A84F79" w:rsidRPr="00C27A60" w:rsidRDefault="00A84F79" w:rsidP="00C533B1">
            <w:pPr>
              <w:ind w:firstLine="240"/>
              <w:jc w:val="both"/>
              <w:rPr>
                <w:i/>
                <w:sz w:val="22"/>
                <w:szCs w:val="22"/>
              </w:rPr>
            </w:pPr>
          </w:p>
          <w:p w14:paraId="1BED6107" w14:textId="77777777" w:rsidR="00A84F79" w:rsidRPr="00C27A60" w:rsidRDefault="00A84F79" w:rsidP="00C533B1">
            <w:pPr>
              <w:ind w:firstLine="240"/>
              <w:jc w:val="both"/>
              <w:rPr>
                <w:i/>
                <w:sz w:val="22"/>
                <w:szCs w:val="22"/>
              </w:rPr>
            </w:pPr>
          </w:p>
          <w:p w14:paraId="0A954BEF" w14:textId="77777777" w:rsidR="00A84F79" w:rsidRPr="00C27A60" w:rsidRDefault="00A84F79" w:rsidP="00C533B1">
            <w:pPr>
              <w:ind w:firstLine="240"/>
              <w:jc w:val="both"/>
              <w:rPr>
                <w:i/>
                <w:sz w:val="22"/>
                <w:szCs w:val="22"/>
              </w:rPr>
            </w:pPr>
          </w:p>
          <w:p w14:paraId="2DBE9D70" w14:textId="77777777" w:rsidR="00A84F79" w:rsidRPr="00C27A60" w:rsidRDefault="00A84F79" w:rsidP="00C533B1">
            <w:pPr>
              <w:ind w:firstLine="240"/>
              <w:jc w:val="both"/>
              <w:rPr>
                <w:i/>
                <w:sz w:val="22"/>
                <w:szCs w:val="22"/>
              </w:rPr>
            </w:pPr>
          </w:p>
          <w:p w14:paraId="1EE5955C" w14:textId="77777777" w:rsidR="00A84F79" w:rsidRPr="00C27A60" w:rsidRDefault="00A84F79" w:rsidP="00C533B1">
            <w:pPr>
              <w:ind w:firstLine="240"/>
              <w:jc w:val="both"/>
              <w:rPr>
                <w:i/>
                <w:sz w:val="22"/>
                <w:szCs w:val="22"/>
              </w:rPr>
            </w:pPr>
          </w:p>
          <w:p w14:paraId="51CC2BF2" w14:textId="77777777" w:rsidR="00A84F79" w:rsidRPr="00C27A60" w:rsidRDefault="00A84F79" w:rsidP="00C533B1">
            <w:pPr>
              <w:ind w:firstLine="240"/>
              <w:jc w:val="both"/>
              <w:rPr>
                <w:i/>
                <w:sz w:val="22"/>
                <w:szCs w:val="22"/>
              </w:rPr>
            </w:pPr>
          </w:p>
          <w:p w14:paraId="5175BD1C" w14:textId="77777777" w:rsidR="00A84F79" w:rsidRPr="00C27A60" w:rsidRDefault="00A84F79" w:rsidP="00C533B1">
            <w:pPr>
              <w:ind w:firstLine="240"/>
              <w:jc w:val="both"/>
              <w:rPr>
                <w:i/>
                <w:sz w:val="22"/>
                <w:szCs w:val="22"/>
              </w:rPr>
            </w:pPr>
          </w:p>
          <w:p w14:paraId="5FA7673D" w14:textId="77777777" w:rsidR="00A84F79" w:rsidRPr="00C27A60" w:rsidRDefault="00A84F79" w:rsidP="00C533B1">
            <w:pPr>
              <w:ind w:firstLine="240"/>
              <w:jc w:val="both"/>
              <w:rPr>
                <w:i/>
                <w:sz w:val="22"/>
                <w:szCs w:val="22"/>
              </w:rPr>
            </w:pPr>
          </w:p>
          <w:p w14:paraId="43E20C83" w14:textId="77777777" w:rsidR="00A84F79" w:rsidRPr="00C27A60" w:rsidRDefault="00A84F79" w:rsidP="00C533B1">
            <w:pPr>
              <w:ind w:firstLine="240"/>
              <w:jc w:val="both"/>
              <w:rPr>
                <w:i/>
                <w:sz w:val="22"/>
                <w:szCs w:val="22"/>
              </w:rPr>
            </w:pPr>
          </w:p>
          <w:p w14:paraId="3DE0F6D3" w14:textId="77777777" w:rsidR="00A84F79" w:rsidRPr="00C27A60" w:rsidRDefault="00A84F79" w:rsidP="00C533B1">
            <w:pPr>
              <w:ind w:firstLine="240"/>
              <w:jc w:val="both"/>
              <w:rPr>
                <w:i/>
                <w:sz w:val="22"/>
                <w:szCs w:val="22"/>
              </w:rPr>
            </w:pPr>
          </w:p>
          <w:p w14:paraId="22CAEA2D" w14:textId="77777777" w:rsidR="00A84F79" w:rsidRPr="00C27A60" w:rsidRDefault="00A84F79" w:rsidP="00A84F79">
            <w:pPr>
              <w:jc w:val="both"/>
              <w:rPr>
                <w:i/>
                <w:sz w:val="22"/>
                <w:szCs w:val="22"/>
              </w:rPr>
            </w:pPr>
          </w:p>
          <w:p w14:paraId="5D8696E3" w14:textId="77777777" w:rsidR="00A84F79" w:rsidRPr="00C27A60" w:rsidRDefault="00A84F79" w:rsidP="000940D2">
            <w:pPr>
              <w:pStyle w:val="af5"/>
              <w:spacing w:before="0" w:beforeAutospacing="0" w:after="0" w:afterAutospacing="0"/>
              <w:jc w:val="both"/>
              <w:rPr>
                <w:b/>
                <w:sz w:val="22"/>
                <w:lang w:eastAsia="ru-RU"/>
              </w:rPr>
            </w:pPr>
            <w:r w:rsidRPr="00C27A60">
              <w:rPr>
                <w:b/>
                <w:sz w:val="22"/>
                <w:lang w:eastAsia="ru-RU"/>
              </w:rPr>
              <w:t xml:space="preserve">Не враховується </w:t>
            </w:r>
          </w:p>
          <w:p w14:paraId="0F577ACE" w14:textId="39182CB5" w:rsidR="00A84F79" w:rsidRPr="00C27A60" w:rsidRDefault="00A84F79" w:rsidP="000940D2">
            <w:pPr>
              <w:pStyle w:val="af5"/>
              <w:spacing w:before="0" w:beforeAutospacing="0" w:after="0" w:afterAutospacing="0"/>
              <w:jc w:val="both"/>
              <w:rPr>
                <w:b/>
                <w:sz w:val="22"/>
                <w:lang w:eastAsia="ru-RU"/>
              </w:rPr>
            </w:pPr>
          </w:p>
          <w:p w14:paraId="2A0ED960" w14:textId="77777777" w:rsidR="00A84F79" w:rsidRPr="00C27A60" w:rsidRDefault="00A84F79" w:rsidP="000940D2">
            <w:pPr>
              <w:jc w:val="both"/>
              <w:rPr>
                <w:b/>
                <w:szCs w:val="22"/>
              </w:rPr>
            </w:pPr>
            <w:r w:rsidRPr="00C27A60">
              <w:rPr>
                <w:bCs/>
                <w:sz w:val="22"/>
                <w:szCs w:val="24"/>
              </w:rPr>
              <w:t>Не надано обґрунтованих підтверджень</w:t>
            </w:r>
            <w:r w:rsidRPr="00C27A60">
              <w:rPr>
                <w:sz w:val="18"/>
              </w:rPr>
              <w:t xml:space="preserve">  </w:t>
            </w:r>
            <w:r w:rsidRPr="00C27A60">
              <w:rPr>
                <w:bCs/>
                <w:sz w:val="22"/>
                <w:szCs w:val="24"/>
              </w:rPr>
              <w:t>істотних змін на ринку електричної енергії протягом 2024 року, які суттєво вплинули на необхідність врахування при перевірці ліцензованої діяльності показників К</w:t>
            </w:r>
            <w:r w:rsidRPr="00C27A60">
              <w:rPr>
                <w:bCs/>
                <w:sz w:val="22"/>
                <w:szCs w:val="24"/>
                <w:vertAlign w:val="superscript"/>
              </w:rPr>
              <w:t>БР</w:t>
            </w:r>
            <w:r w:rsidRPr="00C27A60">
              <w:rPr>
                <w:bCs/>
                <w:sz w:val="22"/>
                <w:szCs w:val="24"/>
                <w:vertAlign w:val="subscript"/>
              </w:rPr>
              <w:t>W</w:t>
            </w:r>
            <w:r w:rsidRPr="00C27A60">
              <w:rPr>
                <w:bCs/>
                <w:sz w:val="22"/>
                <w:szCs w:val="24"/>
              </w:rPr>
              <w:t xml:space="preserve"> та</w:t>
            </w:r>
            <w:r w:rsidRPr="00C27A60">
              <w:rPr>
                <w:bCs/>
                <w:sz w:val="22"/>
                <w:szCs w:val="24"/>
                <w:vertAlign w:val="subscript"/>
              </w:rPr>
              <w:t xml:space="preserve"> </w:t>
            </w:r>
            <w:r w:rsidRPr="00C27A60">
              <w:rPr>
                <w:bCs/>
                <w:sz w:val="22"/>
                <w:szCs w:val="24"/>
              </w:rPr>
              <w:t>К</w:t>
            </w:r>
            <w:r w:rsidRPr="00C27A60">
              <w:rPr>
                <w:bCs/>
                <w:sz w:val="22"/>
                <w:szCs w:val="24"/>
                <w:vertAlign w:val="superscript"/>
              </w:rPr>
              <w:t>ДД</w:t>
            </w:r>
            <w:r w:rsidRPr="00C27A60">
              <w:rPr>
                <w:bCs/>
                <w:sz w:val="22"/>
                <w:szCs w:val="24"/>
                <w:vertAlign w:val="subscript"/>
              </w:rPr>
              <w:t>W</w:t>
            </w:r>
            <w:r w:rsidRPr="00C27A60">
              <w:rPr>
                <w:bCs/>
                <w:sz w:val="22"/>
                <w:szCs w:val="24"/>
              </w:rPr>
              <w:t xml:space="preserve"> на запропонованих рівнях</w:t>
            </w:r>
          </w:p>
          <w:p w14:paraId="47FEFCC8" w14:textId="77777777" w:rsidR="00A84F79" w:rsidRPr="00C27A60" w:rsidRDefault="00A84F79" w:rsidP="00A84F79">
            <w:pPr>
              <w:jc w:val="both"/>
              <w:rPr>
                <w:i/>
                <w:sz w:val="22"/>
                <w:szCs w:val="22"/>
              </w:rPr>
            </w:pPr>
          </w:p>
          <w:p w14:paraId="1E6AD336" w14:textId="77777777" w:rsidR="00BE5F6A" w:rsidRPr="00C27A60" w:rsidRDefault="00BE5F6A" w:rsidP="00A84F79">
            <w:pPr>
              <w:jc w:val="both"/>
              <w:rPr>
                <w:i/>
                <w:sz w:val="22"/>
                <w:szCs w:val="22"/>
              </w:rPr>
            </w:pPr>
          </w:p>
          <w:p w14:paraId="34FC4DAB" w14:textId="77777777" w:rsidR="00BE5F6A" w:rsidRPr="00C27A60" w:rsidRDefault="00BE5F6A" w:rsidP="00A84F79">
            <w:pPr>
              <w:jc w:val="both"/>
              <w:rPr>
                <w:i/>
                <w:sz w:val="22"/>
                <w:szCs w:val="22"/>
              </w:rPr>
            </w:pPr>
          </w:p>
          <w:p w14:paraId="7CA3979D" w14:textId="77777777" w:rsidR="00BE5F6A" w:rsidRPr="00C27A60" w:rsidRDefault="00BE5F6A" w:rsidP="00A84F79">
            <w:pPr>
              <w:jc w:val="both"/>
              <w:rPr>
                <w:i/>
                <w:sz w:val="22"/>
                <w:szCs w:val="22"/>
              </w:rPr>
            </w:pPr>
          </w:p>
          <w:p w14:paraId="2D26C8F1" w14:textId="77777777" w:rsidR="00BE5F6A" w:rsidRPr="00C27A60" w:rsidRDefault="00BE5F6A" w:rsidP="00A84F79">
            <w:pPr>
              <w:jc w:val="both"/>
              <w:rPr>
                <w:i/>
                <w:sz w:val="22"/>
                <w:szCs w:val="22"/>
              </w:rPr>
            </w:pPr>
          </w:p>
          <w:p w14:paraId="0E262B71" w14:textId="77777777" w:rsidR="00BE5F6A" w:rsidRPr="00C27A60" w:rsidRDefault="00BE5F6A" w:rsidP="00A84F79">
            <w:pPr>
              <w:jc w:val="both"/>
              <w:rPr>
                <w:i/>
                <w:sz w:val="22"/>
                <w:szCs w:val="22"/>
              </w:rPr>
            </w:pPr>
          </w:p>
          <w:p w14:paraId="3BC6F146" w14:textId="77777777" w:rsidR="00BE5F6A" w:rsidRPr="00C27A60" w:rsidRDefault="00BE5F6A" w:rsidP="00A84F79">
            <w:pPr>
              <w:jc w:val="both"/>
              <w:rPr>
                <w:i/>
                <w:sz w:val="22"/>
                <w:szCs w:val="22"/>
              </w:rPr>
            </w:pPr>
          </w:p>
          <w:p w14:paraId="05CD3190" w14:textId="77777777" w:rsidR="00BE5F6A" w:rsidRPr="00C27A60" w:rsidRDefault="00BE5F6A" w:rsidP="00A84F79">
            <w:pPr>
              <w:jc w:val="both"/>
              <w:rPr>
                <w:i/>
                <w:sz w:val="22"/>
                <w:szCs w:val="22"/>
              </w:rPr>
            </w:pPr>
          </w:p>
          <w:p w14:paraId="2912284E" w14:textId="77777777" w:rsidR="00BE5F6A" w:rsidRPr="00C27A60" w:rsidRDefault="00BE5F6A" w:rsidP="00A84F79">
            <w:pPr>
              <w:jc w:val="both"/>
              <w:rPr>
                <w:i/>
                <w:sz w:val="22"/>
                <w:szCs w:val="22"/>
              </w:rPr>
            </w:pPr>
          </w:p>
          <w:p w14:paraId="12E1E0F3" w14:textId="77777777" w:rsidR="00BE5F6A" w:rsidRPr="00C27A60" w:rsidRDefault="00BE5F6A" w:rsidP="00A84F79">
            <w:pPr>
              <w:jc w:val="both"/>
              <w:rPr>
                <w:i/>
                <w:sz w:val="22"/>
                <w:szCs w:val="22"/>
              </w:rPr>
            </w:pPr>
          </w:p>
          <w:p w14:paraId="7DE27171" w14:textId="77777777" w:rsidR="00BE5F6A" w:rsidRPr="00C27A60" w:rsidRDefault="00BE5F6A" w:rsidP="00A84F79">
            <w:pPr>
              <w:jc w:val="both"/>
              <w:rPr>
                <w:i/>
                <w:sz w:val="22"/>
                <w:szCs w:val="22"/>
              </w:rPr>
            </w:pPr>
          </w:p>
          <w:p w14:paraId="3B2F09C6" w14:textId="77777777" w:rsidR="00BE5F6A" w:rsidRPr="00C27A60" w:rsidRDefault="00BE5F6A" w:rsidP="00A84F79">
            <w:pPr>
              <w:jc w:val="both"/>
              <w:rPr>
                <w:i/>
                <w:sz w:val="22"/>
                <w:szCs w:val="22"/>
              </w:rPr>
            </w:pPr>
          </w:p>
          <w:p w14:paraId="2F69D635" w14:textId="77777777" w:rsidR="00BE5F6A" w:rsidRPr="00C27A60" w:rsidRDefault="00BE5F6A" w:rsidP="00A84F79">
            <w:pPr>
              <w:jc w:val="both"/>
              <w:rPr>
                <w:i/>
                <w:sz w:val="22"/>
                <w:szCs w:val="22"/>
              </w:rPr>
            </w:pPr>
          </w:p>
          <w:p w14:paraId="0F21EC08" w14:textId="77777777" w:rsidR="00BE5F6A" w:rsidRPr="00C27A60" w:rsidRDefault="00BE5F6A" w:rsidP="00A84F79">
            <w:pPr>
              <w:jc w:val="both"/>
              <w:rPr>
                <w:i/>
                <w:sz w:val="22"/>
                <w:szCs w:val="22"/>
              </w:rPr>
            </w:pPr>
          </w:p>
          <w:p w14:paraId="0149CE58" w14:textId="77777777" w:rsidR="00BE5F6A" w:rsidRPr="00C27A60" w:rsidRDefault="00BE5F6A" w:rsidP="00A84F79">
            <w:pPr>
              <w:jc w:val="both"/>
              <w:rPr>
                <w:i/>
                <w:sz w:val="22"/>
                <w:szCs w:val="22"/>
              </w:rPr>
            </w:pPr>
          </w:p>
          <w:p w14:paraId="7EAA4BCA" w14:textId="77777777" w:rsidR="00BE5F6A" w:rsidRPr="00C27A60" w:rsidRDefault="00BE5F6A" w:rsidP="00A84F79">
            <w:pPr>
              <w:jc w:val="both"/>
              <w:rPr>
                <w:i/>
                <w:sz w:val="22"/>
                <w:szCs w:val="22"/>
              </w:rPr>
            </w:pPr>
          </w:p>
          <w:p w14:paraId="06C1A0A4" w14:textId="77777777" w:rsidR="00BE5F6A" w:rsidRPr="00C27A60" w:rsidRDefault="00BE5F6A" w:rsidP="00A84F79">
            <w:pPr>
              <w:jc w:val="both"/>
              <w:rPr>
                <w:i/>
                <w:sz w:val="22"/>
                <w:szCs w:val="22"/>
              </w:rPr>
            </w:pPr>
          </w:p>
          <w:p w14:paraId="206CFFB8" w14:textId="77777777" w:rsidR="00BE5F6A" w:rsidRPr="00C27A60" w:rsidRDefault="00BE5F6A" w:rsidP="00A84F79">
            <w:pPr>
              <w:jc w:val="both"/>
              <w:rPr>
                <w:i/>
                <w:sz w:val="22"/>
                <w:szCs w:val="22"/>
              </w:rPr>
            </w:pPr>
          </w:p>
          <w:p w14:paraId="23740F43" w14:textId="77777777" w:rsidR="00BE5F6A" w:rsidRPr="00C27A60" w:rsidRDefault="00BE5F6A" w:rsidP="00A84F79">
            <w:pPr>
              <w:jc w:val="both"/>
              <w:rPr>
                <w:i/>
                <w:sz w:val="22"/>
                <w:szCs w:val="22"/>
              </w:rPr>
            </w:pPr>
          </w:p>
          <w:p w14:paraId="0CB7852C" w14:textId="77777777" w:rsidR="00BE5F6A" w:rsidRPr="00C27A60" w:rsidRDefault="00BE5F6A" w:rsidP="00A84F79">
            <w:pPr>
              <w:jc w:val="both"/>
              <w:rPr>
                <w:i/>
                <w:sz w:val="22"/>
                <w:szCs w:val="22"/>
              </w:rPr>
            </w:pPr>
          </w:p>
          <w:p w14:paraId="04FAF07B" w14:textId="77777777" w:rsidR="00BE5F6A" w:rsidRPr="00C27A60" w:rsidRDefault="00BE5F6A" w:rsidP="00A84F79">
            <w:pPr>
              <w:jc w:val="both"/>
              <w:rPr>
                <w:i/>
                <w:sz w:val="22"/>
                <w:szCs w:val="22"/>
              </w:rPr>
            </w:pPr>
          </w:p>
          <w:p w14:paraId="4ECD55C6" w14:textId="77777777" w:rsidR="00BE5F6A" w:rsidRPr="00C27A60" w:rsidRDefault="00BE5F6A" w:rsidP="00A84F79">
            <w:pPr>
              <w:jc w:val="both"/>
              <w:rPr>
                <w:i/>
                <w:sz w:val="22"/>
                <w:szCs w:val="22"/>
              </w:rPr>
            </w:pPr>
          </w:p>
          <w:p w14:paraId="2ECE7D26" w14:textId="77777777" w:rsidR="00BE5F6A" w:rsidRPr="00C27A60" w:rsidRDefault="00BE5F6A" w:rsidP="00A84F79">
            <w:pPr>
              <w:jc w:val="both"/>
              <w:rPr>
                <w:i/>
                <w:sz w:val="22"/>
                <w:szCs w:val="22"/>
              </w:rPr>
            </w:pPr>
          </w:p>
          <w:p w14:paraId="2521444F" w14:textId="77777777" w:rsidR="00BE5F6A" w:rsidRPr="00C27A60" w:rsidRDefault="00BE5F6A" w:rsidP="00A84F79">
            <w:pPr>
              <w:jc w:val="both"/>
              <w:rPr>
                <w:i/>
                <w:sz w:val="22"/>
                <w:szCs w:val="22"/>
              </w:rPr>
            </w:pPr>
          </w:p>
          <w:p w14:paraId="0ACECA62" w14:textId="77777777" w:rsidR="00BE5F6A" w:rsidRPr="00C27A60" w:rsidRDefault="00BE5F6A" w:rsidP="00A84F79">
            <w:pPr>
              <w:jc w:val="both"/>
              <w:rPr>
                <w:i/>
                <w:sz w:val="22"/>
                <w:szCs w:val="22"/>
              </w:rPr>
            </w:pPr>
          </w:p>
          <w:p w14:paraId="640ACCBA" w14:textId="77777777" w:rsidR="00BE5F6A" w:rsidRPr="00C27A60" w:rsidRDefault="00BE5F6A" w:rsidP="00A84F79">
            <w:pPr>
              <w:jc w:val="both"/>
              <w:rPr>
                <w:i/>
                <w:sz w:val="22"/>
                <w:szCs w:val="22"/>
              </w:rPr>
            </w:pPr>
          </w:p>
          <w:p w14:paraId="3F96163F" w14:textId="77777777" w:rsidR="00BE5F6A" w:rsidRPr="00C27A60" w:rsidRDefault="00BE5F6A" w:rsidP="00A84F79">
            <w:pPr>
              <w:jc w:val="both"/>
              <w:rPr>
                <w:i/>
                <w:sz w:val="22"/>
                <w:szCs w:val="22"/>
              </w:rPr>
            </w:pPr>
          </w:p>
          <w:p w14:paraId="689C9ABB" w14:textId="77777777" w:rsidR="00E10423" w:rsidRPr="00C27A60" w:rsidRDefault="00E10423" w:rsidP="00E10423">
            <w:pPr>
              <w:jc w:val="both"/>
              <w:rPr>
                <w:b/>
                <w:sz w:val="22"/>
                <w:szCs w:val="22"/>
              </w:rPr>
            </w:pPr>
            <w:r w:rsidRPr="00C27A60">
              <w:rPr>
                <w:b/>
                <w:sz w:val="22"/>
                <w:szCs w:val="22"/>
              </w:rPr>
              <w:t>Пропонується до обговорення</w:t>
            </w:r>
          </w:p>
          <w:p w14:paraId="5A240DD0" w14:textId="77777777" w:rsidR="00BE5F6A" w:rsidRPr="00C27A60" w:rsidRDefault="00BE5F6A" w:rsidP="00BE5F6A">
            <w:pPr>
              <w:rPr>
                <w:b/>
                <w:sz w:val="22"/>
                <w:szCs w:val="22"/>
              </w:rPr>
            </w:pPr>
            <w:r w:rsidRPr="00C27A60">
              <w:rPr>
                <w:b/>
                <w:sz w:val="22"/>
                <w:szCs w:val="22"/>
              </w:rPr>
              <w:t>Пропонується викласти в наступній редакції</w:t>
            </w:r>
          </w:p>
          <w:p w14:paraId="3432CFC9" w14:textId="77777777" w:rsidR="00BE5F6A" w:rsidRPr="00C27A60" w:rsidRDefault="00BE5F6A" w:rsidP="00BE5F6A">
            <w:pPr>
              <w:rPr>
                <w:b/>
                <w:sz w:val="22"/>
                <w:szCs w:val="22"/>
              </w:rPr>
            </w:pPr>
            <w:r w:rsidRPr="00C27A60">
              <w:rPr>
                <w:b/>
                <w:sz w:val="22"/>
                <w:szCs w:val="22"/>
              </w:rPr>
              <w:t>….</w:t>
            </w:r>
          </w:p>
          <w:p w14:paraId="1C5A2917" w14:textId="77777777" w:rsidR="00BE5F6A" w:rsidRPr="00C27A60" w:rsidRDefault="00BE5F6A" w:rsidP="00BE5F6A">
            <w:pPr>
              <w:jc w:val="both"/>
              <w:rPr>
                <w:b/>
                <w:sz w:val="22"/>
                <w:szCs w:val="22"/>
              </w:rPr>
            </w:pPr>
            <w:r w:rsidRPr="00C27A60">
              <w:rPr>
                <w:sz w:val="22"/>
                <w:szCs w:val="22"/>
              </w:rPr>
              <w:t xml:space="preserve">«(з 2024 року за умови, що величина загального обсягу віддачі електричної енергії (в тис. кВт*год), що визначена за фактичними показами розрахункових засобів обліку електроенергії за звітний рік, складає не менше ніж 97% від суми величин загального обсягу віддачі електричної енергії (в тис. </w:t>
            </w:r>
            <w:r w:rsidRPr="00C27A60">
              <w:rPr>
                <w:sz w:val="22"/>
                <w:szCs w:val="22"/>
              </w:rPr>
              <w:lastRenderedPageBreak/>
              <w:t>кВт*год), що наведені у формі звітності № 5 НКРЕКП-моніторинг-розподіл (місячна) за відповідний звітний рік).»</w:t>
            </w:r>
          </w:p>
          <w:p w14:paraId="49E70D61" w14:textId="77777777" w:rsidR="00BE5F6A" w:rsidRPr="00C27A60" w:rsidRDefault="00BE5F6A" w:rsidP="00BE5F6A">
            <w:pPr>
              <w:jc w:val="both"/>
              <w:rPr>
                <w:b/>
                <w:sz w:val="22"/>
                <w:szCs w:val="22"/>
              </w:rPr>
            </w:pPr>
            <w:r w:rsidRPr="00C27A60">
              <w:rPr>
                <w:b/>
                <w:sz w:val="22"/>
                <w:szCs w:val="22"/>
              </w:rPr>
              <w:t>…..</w:t>
            </w:r>
          </w:p>
          <w:p w14:paraId="3FF91AA7" w14:textId="77777777" w:rsidR="00BE5F6A" w:rsidRPr="00C27A60" w:rsidRDefault="00BE5F6A" w:rsidP="00BE5F6A">
            <w:pPr>
              <w:ind w:firstLine="240"/>
              <w:jc w:val="both"/>
              <w:rPr>
                <w:i/>
                <w:sz w:val="22"/>
                <w:szCs w:val="22"/>
              </w:rPr>
            </w:pPr>
          </w:p>
          <w:p w14:paraId="63E30E69" w14:textId="77777777" w:rsidR="00BE5F6A" w:rsidRPr="00C27A60" w:rsidRDefault="00BE5F6A" w:rsidP="00BE5F6A">
            <w:pPr>
              <w:ind w:firstLine="240"/>
              <w:jc w:val="both"/>
              <w:rPr>
                <w:i/>
                <w:sz w:val="22"/>
                <w:szCs w:val="22"/>
              </w:rPr>
            </w:pPr>
          </w:p>
          <w:p w14:paraId="37E09F95" w14:textId="77777777" w:rsidR="00BE5F6A" w:rsidRPr="00C27A60" w:rsidRDefault="00BE5F6A" w:rsidP="00BE5F6A">
            <w:pPr>
              <w:ind w:firstLine="240"/>
              <w:jc w:val="both"/>
              <w:rPr>
                <w:i/>
                <w:sz w:val="22"/>
                <w:szCs w:val="22"/>
              </w:rPr>
            </w:pPr>
          </w:p>
          <w:p w14:paraId="06F0FA0D" w14:textId="77777777" w:rsidR="00BE5F6A" w:rsidRPr="00C27A60" w:rsidRDefault="00BE5F6A" w:rsidP="00BE5F6A">
            <w:pPr>
              <w:ind w:firstLine="240"/>
              <w:jc w:val="both"/>
              <w:rPr>
                <w:i/>
                <w:sz w:val="22"/>
                <w:szCs w:val="22"/>
              </w:rPr>
            </w:pPr>
          </w:p>
          <w:p w14:paraId="7F609C38" w14:textId="77777777" w:rsidR="00BE5F6A" w:rsidRPr="00C27A60" w:rsidRDefault="00BE5F6A" w:rsidP="00BE5F6A">
            <w:pPr>
              <w:ind w:firstLine="240"/>
              <w:jc w:val="both"/>
              <w:rPr>
                <w:i/>
                <w:sz w:val="22"/>
                <w:szCs w:val="22"/>
              </w:rPr>
            </w:pPr>
          </w:p>
          <w:p w14:paraId="5918F8C8" w14:textId="77777777" w:rsidR="00BE5F6A" w:rsidRPr="00C27A60" w:rsidRDefault="00BE5F6A" w:rsidP="00BE5F6A">
            <w:pPr>
              <w:ind w:firstLine="240"/>
              <w:jc w:val="both"/>
              <w:rPr>
                <w:i/>
                <w:sz w:val="22"/>
                <w:szCs w:val="22"/>
              </w:rPr>
            </w:pPr>
          </w:p>
          <w:p w14:paraId="3FD20437" w14:textId="77777777" w:rsidR="00BE5F6A" w:rsidRPr="00C27A60" w:rsidRDefault="00BE5F6A" w:rsidP="00BE5F6A">
            <w:pPr>
              <w:ind w:firstLine="240"/>
              <w:jc w:val="both"/>
              <w:rPr>
                <w:i/>
                <w:sz w:val="22"/>
                <w:szCs w:val="22"/>
              </w:rPr>
            </w:pPr>
          </w:p>
          <w:p w14:paraId="37EDAAE7" w14:textId="77777777" w:rsidR="00BE5F6A" w:rsidRPr="00C27A60" w:rsidRDefault="00BE5F6A" w:rsidP="00BE5F6A">
            <w:pPr>
              <w:ind w:firstLine="240"/>
              <w:jc w:val="both"/>
              <w:rPr>
                <w:i/>
                <w:sz w:val="22"/>
                <w:szCs w:val="22"/>
              </w:rPr>
            </w:pPr>
          </w:p>
          <w:p w14:paraId="3AE43388" w14:textId="77777777" w:rsidR="00BE5F6A" w:rsidRPr="00C27A60" w:rsidRDefault="00BE5F6A" w:rsidP="00BE5F6A">
            <w:pPr>
              <w:ind w:firstLine="240"/>
              <w:jc w:val="both"/>
              <w:rPr>
                <w:i/>
                <w:sz w:val="22"/>
                <w:szCs w:val="22"/>
              </w:rPr>
            </w:pPr>
          </w:p>
          <w:p w14:paraId="282E0307" w14:textId="77777777" w:rsidR="00BE5F6A" w:rsidRPr="00C27A60" w:rsidRDefault="00BE5F6A" w:rsidP="00BE5F6A">
            <w:pPr>
              <w:ind w:firstLine="240"/>
              <w:jc w:val="both"/>
              <w:rPr>
                <w:i/>
                <w:sz w:val="22"/>
                <w:szCs w:val="22"/>
              </w:rPr>
            </w:pPr>
          </w:p>
          <w:p w14:paraId="3CF494B1" w14:textId="77777777" w:rsidR="00BE5F6A" w:rsidRPr="00C27A60" w:rsidRDefault="00BE5F6A" w:rsidP="00BE5F6A">
            <w:pPr>
              <w:ind w:firstLine="240"/>
              <w:jc w:val="both"/>
              <w:rPr>
                <w:i/>
                <w:sz w:val="22"/>
                <w:szCs w:val="22"/>
              </w:rPr>
            </w:pPr>
          </w:p>
          <w:p w14:paraId="2B33FC02" w14:textId="77777777" w:rsidR="00BE5F6A" w:rsidRPr="00C27A60" w:rsidRDefault="00BE5F6A" w:rsidP="00BE5F6A">
            <w:pPr>
              <w:ind w:firstLine="240"/>
              <w:jc w:val="both"/>
              <w:rPr>
                <w:i/>
                <w:sz w:val="22"/>
                <w:szCs w:val="22"/>
              </w:rPr>
            </w:pPr>
          </w:p>
          <w:p w14:paraId="31EEC76B" w14:textId="77777777" w:rsidR="00BE5F6A" w:rsidRPr="00C27A60" w:rsidRDefault="00BE5F6A" w:rsidP="00BE5F6A">
            <w:pPr>
              <w:ind w:firstLine="240"/>
              <w:jc w:val="both"/>
              <w:rPr>
                <w:i/>
                <w:sz w:val="22"/>
                <w:szCs w:val="22"/>
              </w:rPr>
            </w:pPr>
          </w:p>
          <w:p w14:paraId="358EA5AB" w14:textId="77777777" w:rsidR="00BE5F6A" w:rsidRPr="00C27A60" w:rsidRDefault="00BE5F6A" w:rsidP="00BE5F6A">
            <w:pPr>
              <w:ind w:firstLine="240"/>
              <w:jc w:val="both"/>
              <w:rPr>
                <w:i/>
                <w:sz w:val="22"/>
                <w:szCs w:val="22"/>
              </w:rPr>
            </w:pPr>
          </w:p>
          <w:p w14:paraId="24824198" w14:textId="77777777" w:rsidR="00BE5F6A" w:rsidRPr="00C27A60" w:rsidRDefault="00BE5F6A" w:rsidP="00BE5F6A">
            <w:pPr>
              <w:ind w:firstLine="240"/>
              <w:jc w:val="both"/>
              <w:rPr>
                <w:i/>
                <w:sz w:val="22"/>
                <w:szCs w:val="22"/>
              </w:rPr>
            </w:pPr>
          </w:p>
          <w:p w14:paraId="12A76874" w14:textId="77777777" w:rsidR="00BE5F6A" w:rsidRPr="00C27A60" w:rsidRDefault="00BE5F6A" w:rsidP="00BE5F6A">
            <w:pPr>
              <w:ind w:firstLine="240"/>
              <w:jc w:val="both"/>
              <w:rPr>
                <w:i/>
                <w:sz w:val="22"/>
                <w:szCs w:val="22"/>
              </w:rPr>
            </w:pPr>
          </w:p>
          <w:p w14:paraId="439C2EB9" w14:textId="77777777" w:rsidR="00BE5F6A" w:rsidRPr="00C27A60" w:rsidRDefault="00BE5F6A" w:rsidP="00BE5F6A">
            <w:pPr>
              <w:ind w:firstLine="240"/>
              <w:jc w:val="both"/>
              <w:rPr>
                <w:i/>
                <w:sz w:val="22"/>
                <w:szCs w:val="22"/>
              </w:rPr>
            </w:pPr>
          </w:p>
          <w:p w14:paraId="33D2676E" w14:textId="77777777" w:rsidR="00BE5F6A" w:rsidRPr="00C27A60" w:rsidRDefault="00BE5F6A" w:rsidP="00BE5F6A">
            <w:pPr>
              <w:ind w:firstLine="240"/>
              <w:jc w:val="both"/>
              <w:rPr>
                <w:i/>
                <w:sz w:val="22"/>
                <w:szCs w:val="22"/>
              </w:rPr>
            </w:pPr>
          </w:p>
          <w:p w14:paraId="2C9E61F1" w14:textId="77777777" w:rsidR="00BE5F6A" w:rsidRPr="00C27A60" w:rsidRDefault="00BE5F6A" w:rsidP="00BE5F6A">
            <w:pPr>
              <w:ind w:firstLine="240"/>
              <w:jc w:val="both"/>
              <w:rPr>
                <w:i/>
                <w:sz w:val="22"/>
                <w:szCs w:val="22"/>
              </w:rPr>
            </w:pPr>
          </w:p>
          <w:p w14:paraId="141C824C" w14:textId="77777777" w:rsidR="00BE5F6A" w:rsidRPr="00C27A60" w:rsidRDefault="00BE5F6A" w:rsidP="00BE5F6A">
            <w:pPr>
              <w:ind w:firstLine="240"/>
              <w:jc w:val="both"/>
              <w:rPr>
                <w:i/>
                <w:sz w:val="22"/>
                <w:szCs w:val="22"/>
              </w:rPr>
            </w:pPr>
          </w:p>
          <w:p w14:paraId="5D98E801" w14:textId="77777777" w:rsidR="00BE5F6A" w:rsidRPr="00C27A60" w:rsidRDefault="00BE5F6A" w:rsidP="00BE5F6A">
            <w:pPr>
              <w:ind w:firstLine="240"/>
              <w:jc w:val="both"/>
              <w:rPr>
                <w:i/>
                <w:sz w:val="22"/>
                <w:szCs w:val="22"/>
              </w:rPr>
            </w:pPr>
          </w:p>
          <w:p w14:paraId="5648F75F" w14:textId="77777777" w:rsidR="00BE5F6A" w:rsidRPr="00C27A60" w:rsidRDefault="00BE5F6A" w:rsidP="00BE5F6A">
            <w:pPr>
              <w:ind w:firstLine="240"/>
              <w:jc w:val="both"/>
              <w:rPr>
                <w:i/>
                <w:sz w:val="22"/>
                <w:szCs w:val="22"/>
              </w:rPr>
            </w:pPr>
          </w:p>
          <w:p w14:paraId="6008394C" w14:textId="77777777" w:rsidR="00BE5F6A" w:rsidRPr="00C27A60" w:rsidRDefault="00BE5F6A" w:rsidP="00BE5F6A">
            <w:pPr>
              <w:ind w:firstLine="240"/>
              <w:jc w:val="both"/>
              <w:rPr>
                <w:i/>
                <w:sz w:val="22"/>
                <w:szCs w:val="22"/>
              </w:rPr>
            </w:pPr>
          </w:p>
          <w:p w14:paraId="0D10A59B" w14:textId="77777777" w:rsidR="00BE5F6A" w:rsidRPr="00C27A60" w:rsidRDefault="00BE5F6A" w:rsidP="00BE5F6A">
            <w:pPr>
              <w:ind w:firstLine="240"/>
              <w:jc w:val="both"/>
              <w:rPr>
                <w:i/>
                <w:sz w:val="22"/>
                <w:szCs w:val="22"/>
              </w:rPr>
            </w:pPr>
          </w:p>
          <w:p w14:paraId="743A0BD3" w14:textId="77777777" w:rsidR="00BE5F6A" w:rsidRPr="00C27A60" w:rsidRDefault="00BE5F6A" w:rsidP="00BE5F6A">
            <w:pPr>
              <w:ind w:firstLine="240"/>
              <w:jc w:val="both"/>
              <w:rPr>
                <w:i/>
                <w:sz w:val="22"/>
                <w:szCs w:val="22"/>
              </w:rPr>
            </w:pPr>
          </w:p>
          <w:p w14:paraId="6A54EEA2" w14:textId="77777777" w:rsidR="00BE5F6A" w:rsidRPr="00C27A60" w:rsidRDefault="00BE5F6A" w:rsidP="00BE5F6A">
            <w:pPr>
              <w:ind w:firstLine="240"/>
              <w:jc w:val="both"/>
              <w:rPr>
                <w:i/>
                <w:sz w:val="22"/>
                <w:szCs w:val="22"/>
              </w:rPr>
            </w:pPr>
          </w:p>
          <w:p w14:paraId="3D640EFD" w14:textId="77777777" w:rsidR="00BE5F6A" w:rsidRPr="00C27A60" w:rsidRDefault="00BE5F6A" w:rsidP="00BE5F6A">
            <w:pPr>
              <w:ind w:firstLine="240"/>
              <w:jc w:val="both"/>
              <w:rPr>
                <w:i/>
                <w:sz w:val="22"/>
                <w:szCs w:val="22"/>
              </w:rPr>
            </w:pPr>
          </w:p>
          <w:p w14:paraId="0A856003" w14:textId="77777777" w:rsidR="00BE5F6A" w:rsidRPr="00C27A60" w:rsidRDefault="00BE5F6A" w:rsidP="00BE5F6A">
            <w:pPr>
              <w:ind w:firstLine="240"/>
              <w:jc w:val="both"/>
              <w:rPr>
                <w:i/>
                <w:sz w:val="22"/>
                <w:szCs w:val="22"/>
              </w:rPr>
            </w:pPr>
          </w:p>
          <w:p w14:paraId="3B488FD1" w14:textId="77777777" w:rsidR="00BE5F6A" w:rsidRPr="00C27A60" w:rsidRDefault="00BE5F6A" w:rsidP="00BE5F6A">
            <w:pPr>
              <w:ind w:firstLine="240"/>
              <w:jc w:val="both"/>
              <w:rPr>
                <w:i/>
                <w:sz w:val="22"/>
                <w:szCs w:val="22"/>
              </w:rPr>
            </w:pPr>
          </w:p>
          <w:p w14:paraId="561AA2C6" w14:textId="77777777" w:rsidR="00BE5F6A" w:rsidRPr="00C27A60" w:rsidRDefault="00BE5F6A" w:rsidP="00BE5F6A">
            <w:pPr>
              <w:ind w:firstLine="240"/>
              <w:jc w:val="both"/>
              <w:rPr>
                <w:i/>
                <w:sz w:val="22"/>
                <w:szCs w:val="22"/>
              </w:rPr>
            </w:pPr>
          </w:p>
          <w:p w14:paraId="6B2022C5" w14:textId="77777777" w:rsidR="00BE5F6A" w:rsidRPr="00C27A60" w:rsidRDefault="00BE5F6A" w:rsidP="00BE5F6A">
            <w:pPr>
              <w:ind w:firstLine="240"/>
              <w:jc w:val="both"/>
              <w:rPr>
                <w:i/>
                <w:sz w:val="22"/>
                <w:szCs w:val="22"/>
              </w:rPr>
            </w:pPr>
          </w:p>
          <w:p w14:paraId="7D225523" w14:textId="77777777" w:rsidR="00BE5F6A" w:rsidRPr="00C27A60" w:rsidRDefault="00BE5F6A" w:rsidP="00BE5F6A">
            <w:pPr>
              <w:ind w:firstLine="240"/>
              <w:jc w:val="both"/>
              <w:rPr>
                <w:i/>
                <w:sz w:val="22"/>
                <w:szCs w:val="22"/>
              </w:rPr>
            </w:pPr>
          </w:p>
          <w:p w14:paraId="28FF749A" w14:textId="77777777" w:rsidR="00BE5F6A" w:rsidRPr="00C27A60" w:rsidRDefault="00BE5F6A" w:rsidP="00BE5F6A">
            <w:pPr>
              <w:ind w:firstLine="240"/>
              <w:jc w:val="both"/>
              <w:rPr>
                <w:i/>
                <w:sz w:val="22"/>
                <w:szCs w:val="22"/>
              </w:rPr>
            </w:pPr>
          </w:p>
          <w:p w14:paraId="1DC7E9CB" w14:textId="77777777" w:rsidR="00BE5F6A" w:rsidRPr="00C27A60" w:rsidRDefault="00BE5F6A" w:rsidP="00BE5F6A">
            <w:pPr>
              <w:ind w:firstLine="240"/>
              <w:jc w:val="both"/>
              <w:rPr>
                <w:i/>
                <w:sz w:val="22"/>
                <w:szCs w:val="22"/>
              </w:rPr>
            </w:pPr>
          </w:p>
          <w:p w14:paraId="33E6A741" w14:textId="77777777" w:rsidR="00BE5F6A" w:rsidRPr="00C27A60" w:rsidRDefault="00BE5F6A" w:rsidP="00BE5F6A">
            <w:pPr>
              <w:ind w:firstLine="240"/>
              <w:jc w:val="both"/>
              <w:rPr>
                <w:i/>
                <w:sz w:val="22"/>
                <w:szCs w:val="22"/>
              </w:rPr>
            </w:pPr>
          </w:p>
          <w:p w14:paraId="6E243931" w14:textId="77777777" w:rsidR="00BE5F6A" w:rsidRPr="00C27A60" w:rsidRDefault="00BE5F6A" w:rsidP="00BE5F6A">
            <w:pPr>
              <w:ind w:firstLine="240"/>
              <w:jc w:val="both"/>
              <w:rPr>
                <w:i/>
                <w:sz w:val="22"/>
                <w:szCs w:val="22"/>
              </w:rPr>
            </w:pPr>
          </w:p>
          <w:p w14:paraId="32D09619" w14:textId="77777777" w:rsidR="00BE5F6A" w:rsidRPr="00C27A60" w:rsidRDefault="00BE5F6A" w:rsidP="00BE5F6A">
            <w:pPr>
              <w:ind w:firstLine="240"/>
              <w:jc w:val="both"/>
              <w:rPr>
                <w:i/>
                <w:sz w:val="22"/>
                <w:szCs w:val="22"/>
              </w:rPr>
            </w:pPr>
          </w:p>
          <w:p w14:paraId="34AFF464" w14:textId="77777777" w:rsidR="00BE5F6A" w:rsidRPr="00C27A60" w:rsidRDefault="00BE5F6A" w:rsidP="00BE5F6A">
            <w:pPr>
              <w:ind w:firstLine="240"/>
              <w:jc w:val="both"/>
              <w:rPr>
                <w:i/>
                <w:sz w:val="22"/>
                <w:szCs w:val="22"/>
              </w:rPr>
            </w:pPr>
          </w:p>
          <w:p w14:paraId="66082342" w14:textId="77777777" w:rsidR="00BE5F6A" w:rsidRPr="00C27A60" w:rsidRDefault="00BE5F6A" w:rsidP="00BE5F6A">
            <w:pPr>
              <w:ind w:firstLine="240"/>
              <w:jc w:val="both"/>
              <w:rPr>
                <w:i/>
                <w:sz w:val="22"/>
                <w:szCs w:val="22"/>
              </w:rPr>
            </w:pPr>
          </w:p>
          <w:p w14:paraId="111B608B" w14:textId="77777777" w:rsidR="00BE5F6A" w:rsidRPr="00C27A60" w:rsidRDefault="00BE5F6A" w:rsidP="00BE5F6A">
            <w:pPr>
              <w:ind w:firstLine="240"/>
              <w:jc w:val="both"/>
              <w:rPr>
                <w:i/>
                <w:sz w:val="22"/>
                <w:szCs w:val="22"/>
              </w:rPr>
            </w:pPr>
          </w:p>
          <w:p w14:paraId="37ED68EB" w14:textId="77777777" w:rsidR="00BE5F6A" w:rsidRPr="00C27A60" w:rsidRDefault="00BE5F6A" w:rsidP="00BE5F6A">
            <w:pPr>
              <w:ind w:firstLine="240"/>
              <w:jc w:val="both"/>
              <w:rPr>
                <w:i/>
                <w:sz w:val="22"/>
                <w:szCs w:val="22"/>
              </w:rPr>
            </w:pPr>
          </w:p>
          <w:p w14:paraId="64BB843C" w14:textId="77777777" w:rsidR="00BE5F6A" w:rsidRPr="00C27A60" w:rsidRDefault="00BE5F6A" w:rsidP="00BE5F6A">
            <w:pPr>
              <w:ind w:firstLine="240"/>
              <w:jc w:val="both"/>
              <w:rPr>
                <w:i/>
                <w:sz w:val="22"/>
                <w:szCs w:val="22"/>
              </w:rPr>
            </w:pPr>
          </w:p>
          <w:p w14:paraId="39054054" w14:textId="77777777" w:rsidR="00BE5F6A" w:rsidRPr="00C27A60" w:rsidRDefault="00BE5F6A" w:rsidP="00BE5F6A">
            <w:pPr>
              <w:ind w:firstLine="240"/>
              <w:jc w:val="both"/>
              <w:rPr>
                <w:i/>
                <w:sz w:val="22"/>
                <w:szCs w:val="22"/>
              </w:rPr>
            </w:pPr>
          </w:p>
          <w:p w14:paraId="1E82AE4E" w14:textId="77777777" w:rsidR="00BE5F6A" w:rsidRPr="00C27A60" w:rsidRDefault="00BE5F6A" w:rsidP="00BE5F6A">
            <w:pPr>
              <w:ind w:firstLine="240"/>
              <w:jc w:val="both"/>
              <w:rPr>
                <w:i/>
                <w:sz w:val="22"/>
                <w:szCs w:val="22"/>
              </w:rPr>
            </w:pPr>
          </w:p>
          <w:p w14:paraId="526E965F" w14:textId="77777777" w:rsidR="00BE5F6A" w:rsidRPr="00C27A60" w:rsidRDefault="00BE5F6A" w:rsidP="00BE5F6A">
            <w:pPr>
              <w:ind w:firstLine="240"/>
              <w:jc w:val="both"/>
              <w:rPr>
                <w:i/>
                <w:sz w:val="22"/>
                <w:szCs w:val="22"/>
              </w:rPr>
            </w:pPr>
          </w:p>
          <w:p w14:paraId="4339B62D" w14:textId="77777777" w:rsidR="00BE5F6A" w:rsidRPr="00C27A60" w:rsidRDefault="00BE5F6A" w:rsidP="00BE5F6A">
            <w:pPr>
              <w:ind w:firstLine="240"/>
              <w:jc w:val="both"/>
              <w:rPr>
                <w:i/>
                <w:sz w:val="22"/>
                <w:szCs w:val="22"/>
              </w:rPr>
            </w:pPr>
          </w:p>
          <w:p w14:paraId="04F7BD91" w14:textId="77777777" w:rsidR="00BE5F6A" w:rsidRPr="00C27A60" w:rsidRDefault="00BE5F6A" w:rsidP="00BE5F6A">
            <w:pPr>
              <w:ind w:firstLine="240"/>
              <w:jc w:val="both"/>
              <w:rPr>
                <w:i/>
                <w:sz w:val="22"/>
                <w:szCs w:val="22"/>
              </w:rPr>
            </w:pPr>
          </w:p>
          <w:p w14:paraId="60C75DED" w14:textId="77777777" w:rsidR="00BE5F6A" w:rsidRPr="00C27A60" w:rsidRDefault="00BE5F6A" w:rsidP="00BE5F6A">
            <w:pPr>
              <w:ind w:firstLine="240"/>
              <w:jc w:val="both"/>
              <w:rPr>
                <w:i/>
                <w:sz w:val="22"/>
                <w:szCs w:val="22"/>
              </w:rPr>
            </w:pPr>
          </w:p>
          <w:p w14:paraId="3D846007" w14:textId="77777777" w:rsidR="00BE5F6A" w:rsidRPr="00C27A60" w:rsidRDefault="00BE5F6A" w:rsidP="00BE5F6A">
            <w:pPr>
              <w:ind w:firstLine="240"/>
              <w:jc w:val="both"/>
              <w:rPr>
                <w:i/>
                <w:sz w:val="22"/>
                <w:szCs w:val="22"/>
              </w:rPr>
            </w:pPr>
          </w:p>
          <w:p w14:paraId="23E55443" w14:textId="77777777" w:rsidR="00BE5F6A" w:rsidRPr="00C27A60" w:rsidRDefault="00BE5F6A" w:rsidP="00BE5F6A">
            <w:pPr>
              <w:ind w:firstLine="240"/>
              <w:jc w:val="both"/>
              <w:rPr>
                <w:i/>
                <w:sz w:val="22"/>
                <w:szCs w:val="22"/>
              </w:rPr>
            </w:pPr>
          </w:p>
          <w:p w14:paraId="00A61187" w14:textId="77777777" w:rsidR="00BE5F6A" w:rsidRPr="00C27A60" w:rsidRDefault="00BE5F6A" w:rsidP="00BE5F6A">
            <w:pPr>
              <w:ind w:firstLine="240"/>
              <w:jc w:val="both"/>
              <w:rPr>
                <w:i/>
                <w:sz w:val="22"/>
                <w:szCs w:val="22"/>
              </w:rPr>
            </w:pPr>
          </w:p>
          <w:p w14:paraId="24B4D67E" w14:textId="77777777" w:rsidR="00BE5F6A" w:rsidRPr="00C27A60" w:rsidRDefault="00BE5F6A" w:rsidP="00BE5F6A">
            <w:pPr>
              <w:ind w:firstLine="240"/>
              <w:jc w:val="both"/>
              <w:rPr>
                <w:i/>
                <w:sz w:val="22"/>
                <w:szCs w:val="22"/>
              </w:rPr>
            </w:pPr>
          </w:p>
          <w:p w14:paraId="26A42D86" w14:textId="77777777" w:rsidR="00BE5F6A" w:rsidRPr="00C27A60" w:rsidRDefault="00BE5F6A" w:rsidP="00BE5F6A">
            <w:pPr>
              <w:ind w:firstLine="240"/>
              <w:jc w:val="both"/>
              <w:rPr>
                <w:i/>
                <w:sz w:val="22"/>
                <w:szCs w:val="22"/>
              </w:rPr>
            </w:pPr>
          </w:p>
          <w:p w14:paraId="752D31C8" w14:textId="77777777" w:rsidR="00BE5F6A" w:rsidRPr="00C27A60" w:rsidRDefault="00BE5F6A" w:rsidP="00BE5F6A">
            <w:pPr>
              <w:ind w:firstLine="240"/>
              <w:jc w:val="both"/>
              <w:rPr>
                <w:i/>
                <w:sz w:val="22"/>
                <w:szCs w:val="22"/>
              </w:rPr>
            </w:pPr>
          </w:p>
          <w:p w14:paraId="487E8C71" w14:textId="77777777" w:rsidR="00BE5F6A" w:rsidRPr="00C27A60" w:rsidRDefault="00BE5F6A" w:rsidP="00BE5F6A">
            <w:pPr>
              <w:ind w:firstLine="240"/>
              <w:jc w:val="both"/>
              <w:rPr>
                <w:i/>
                <w:sz w:val="22"/>
                <w:szCs w:val="22"/>
              </w:rPr>
            </w:pPr>
          </w:p>
          <w:p w14:paraId="2F70D918" w14:textId="77777777" w:rsidR="00BE5F6A" w:rsidRPr="00C27A60" w:rsidRDefault="00BE5F6A" w:rsidP="00BE5F6A">
            <w:pPr>
              <w:ind w:firstLine="240"/>
              <w:jc w:val="both"/>
              <w:rPr>
                <w:i/>
                <w:sz w:val="22"/>
                <w:szCs w:val="22"/>
              </w:rPr>
            </w:pPr>
          </w:p>
          <w:p w14:paraId="553948C1" w14:textId="77777777" w:rsidR="00BE5F6A" w:rsidRPr="00C27A60" w:rsidRDefault="00BE5F6A" w:rsidP="00BE5F6A">
            <w:pPr>
              <w:ind w:firstLine="240"/>
              <w:jc w:val="both"/>
              <w:rPr>
                <w:i/>
                <w:sz w:val="22"/>
                <w:szCs w:val="22"/>
              </w:rPr>
            </w:pPr>
          </w:p>
          <w:p w14:paraId="18D75A27" w14:textId="77777777" w:rsidR="00BE5F6A" w:rsidRPr="00C27A60" w:rsidRDefault="00BE5F6A" w:rsidP="00BE5F6A">
            <w:pPr>
              <w:ind w:firstLine="240"/>
              <w:jc w:val="both"/>
              <w:rPr>
                <w:i/>
                <w:sz w:val="22"/>
                <w:szCs w:val="22"/>
              </w:rPr>
            </w:pPr>
          </w:p>
          <w:p w14:paraId="562B5331" w14:textId="77777777" w:rsidR="00BE5F6A" w:rsidRPr="00C27A60" w:rsidRDefault="00BE5F6A" w:rsidP="00BE5F6A">
            <w:pPr>
              <w:ind w:firstLine="240"/>
              <w:jc w:val="both"/>
              <w:rPr>
                <w:i/>
                <w:sz w:val="22"/>
                <w:szCs w:val="22"/>
              </w:rPr>
            </w:pPr>
          </w:p>
          <w:p w14:paraId="00EFCA0F" w14:textId="77777777" w:rsidR="00BE5F6A" w:rsidRPr="00C27A60" w:rsidRDefault="00BE5F6A" w:rsidP="00BE5F6A">
            <w:pPr>
              <w:ind w:firstLine="240"/>
              <w:jc w:val="both"/>
              <w:rPr>
                <w:i/>
                <w:sz w:val="22"/>
                <w:szCs w:val="22"/>
              </w:rPr>
            </w:pPr>
          </w:p>
          <w:p w14:paraId="1FC712BC" w14:textId="77777777" w:rsidR="00BE5F6A" w:rsidRPr="00C27A60" w:rsidRDefault="00BE5F6A" w:rsidP="00BE5F6A">
            <w:pPr>
              <w:ind w:firstLine="240"/>
              <w:jc w:val="both"/>
              <w:rPr>
                <w:i/>
                <w:sz w:val="22"/>
                <w:szCs w:val="22"/>
              </w:rPr>
            </w:pPr>
          </w:p>
          <w:p w14:paraId="63D2D13E" w14:textId="77777777" w:rsidR="00BE5F6A" w:rsidRPr="00C27A60" w:rsidRDefault="00BE5F6A" w:rsidP="00BE5F6A">
            <w:pPr>
              <w:ind w:firstLine="240"/>
              <w:jc w:val="both"/>
              <w:rPr>
                <w:i/>
                <w:sz w:val="22"/>
                <w:szCs w:val="22"/>
              </w:rPr>
            </w:pPr>
          </w:p>
          <w:p w14:paraId="3163468F" w14:textId="77777777" w:rsidR="00BE5F6A" w:rsidRPr="00C27A60" w:rsidRDefault="00BE5F6A" w:rsidP="00BE5F6A">
            <w:pPr>
              <w:ind w:firstLine="240"/>
              <w:jc w:val="both"/>
              <w:rPr>
                <w:i/>
                <w:sz w:val="22"/>
                <w:szCs w:val="22"/>
              </w:rPr>
            </w:pPr>
          </w:p>
          <w:p w14:paraId="593BD2E1" w14:textId="77777777" w:rsidR="00BE5F6A" w:rsidRPr="00C27A60" w:rsidRDefault="00BE5F6A" w:rsidP="00BE5F6A">
            <w:pPr>
              <w:ind w:firstLine="240"/>
              <w:jc w:val="both"/>
              <w:rPr>
                <w:i/>
                <w:sz w:val="22"/>
                <w:szCs w:val="22"/>
              </w:rPr>
            </w:pPr>
          </w:p>
          <w:p w14:paraId="508F20A8" w14:textId="77777777" w:rsidR="00BE5F6A" w:rsidRPr="00C27A60" w:rsidRDefault="00BE5F6A" w:rsidP="00BE5F6A">
            <w:pPr>
              <w:ind w:firstLine="240"/>
              <w:jc w:val="both"/>
              <w:rPr>
                <w:i/>
                <w:sz w:val="22"/>
                <w:szCs w:val="22"/>
              </w:rPr>
            </w:pPr>
          </w:p>
          <w:p w14:paraId="67A90D45" w14:textId="77777777" w:rsidR="00BE5F6A" w:rsidRPr="00C27A60" w:rsidRDefault="00BE5F6A" w:rsidP="00BE5F6A">
            <w:pPr>
              <w:ind w:firstLine="240"/>
              <w:jc w:val="both"/>
              <w:rPr>
                <w:i/>
                <w:sz w:val="22"/>
                <w:szCs w:val="22"/>
              </w:rPr>
            </w:pPr>
          </w:p>
          <w:p w14:paraId="49D971E6" w14:textId="77777777" w:rsidR="00BE5F6A" w:rsidRPr="00C27A60" w:rsidRDefault="00BE5F6A" w:rsidP="00BE5F6A">
            <w:pPr>
              <w:ind w:firstLine="240"/>
              <w:jc w:val="both"/>
              <w:rPr>
                <w:i/>
                <w:sz w:val="22"/>
                <w:szCs w:val="22"/>
              </w:rPr>
            </w:pPr>
          </w:p>
          <w:p w14:paraId="572AFB53" w14:textId="77777777" w:rsidR="00BE5F6A" w:rsidRPr="00C27A60" w:rsidRDefault="00BE5F6A" w:rsidP="00BE5F6A">
            <w:pPr>
              <w:ind w:firstLine="240"/>
              <w:jc w:val="both"/>
              <w:rPr>
                <w:i/>
                <w:sz w:val="22"/>
                <w:szCs w:val="22"/>
              </w:rPr>
            </w:pPr>
          </w:p>
          <w:p w14:paraId="26772C3D" w14:textId="77777777" w:rsidR="00BE5F6A" w:rsidRPr="00C27A60" w:rsidRDefault="00BE5F6A" w:rsidP="00BE5F6A">
            <w:pPr>
              <w:ind w:firstLine="240"/>
              <w:jc w:val="both"/>
              <w:rPr>
                <w:i/>
                <w:sz w:val="22"/>
                <w:szCs w:val="22"/>
              </w:rPr>
            </w:pPr>
          </w:p>
          <w:p w14:paraId="36813E0E" w14:textId="77777777" w:rsidR="00BE5F6A" w:rsidRPr="00C27A60" w:rsidRDefault="00BE5F6A" w:rsidP="00BE5F6A">
            <w:pPr>
              <w:ind w:firstLine="240"/>
              <w:jc w:val="both"/>
              <w:rPr>
                <w:i/>
                <w:sz w:val="22"/>
                <w:szCs w:val="22"/>
              </w:rPr>
            </w:pPr>
          </w:p>
          <w:p w14:paraId="1F3A343D" w14:textId="77777777" w:rsidR="00BE5F6A" w:rsidRPr="00C27A60" w:rsidRDefault="00BE5F6A" w:rsidP="00BE5F6A">
            <w:pPr>
              <w:ind w:firstLine="240"/>
              <w:jc w:val="both"/>
              <w:rPr>
                <w:i/>
                <w:sz w:val="22"/>
                <w:szCs w:val="22"/>
              </w:rPr>
            </w:pPr>
          </w:p>
          <w:p w14:paraId="7B261616" w14:textId="77777777" w:rsidR="00BE5F6A" w:rsidRPr="00C27A60" w:rsidRDefault="00BE5F6A" w:rsidP="00BE5F6A">
            <w:pPr>
              <w:ind w:firstLine="240"/>
              <w:jc w:val="both"/>
              <w:rPr>
                <w:i/>
                <w:sz w:val="22"/>
                <w:szCs w:val="22"/>
              </w:rPr>
            </w:pPr>
          </w:p>
          <w:p w14:paraId="15B4E32C" w14:textId="77777777" w:rsidR="00BE5F6A" w:rsidRPr="00C27A60" w:rsidRDefault="00BE5F6A" w:rsidP="00BE5F6A">
            <w:pPr>
              <w:ind w:firstLine="240"/>
              <w:jc w:val="both"/>
              <w:rPr>
                <w:i/>
                <w:sz w:val="22"/>
                <w:szCs w:val="22"/>
              </w:rPr>
            </w:pPr>
          </w:p>
          <w:p w14:paraId="4172BF74" w14:textId="77777777" w:rsidR="00BE5F6A" w:rsidRPr="00C27A60" w:rsidRDefault="00BE5F6A" w:rsidP="00BE5F6A">
            <w:pPr>
              <w:ind w:firstLine="240"/>
              <w:jc w:val="both"/>
              <w:rPr>
                <w:i/>
                <w:sz w:val="22"/>
                <w:szCs w:val="22"/>
              </w:rPr>
            </w:pPr>
          </w:p>
          <w:p w14:paraId="0D725034" w14:textId="77777777" w:rsidR="00BE5F6A" w:rsidRPr="00C27A60" w:rsidRDefault="00BE5F6A" w:rsidP="00BE5F6A">
            <w:pPr>
              <w:ind w:firstLine="240"/>
              <w:jc w:val="both"/>
              <w:rPr>
                <w:i/>
                <w:sz w:val="22"/>
                <w:szCs w:val="22"/>
              </w:rPr>
            </w:pPr>
          </w:p>
          <w:p w14:paraId="20C3B5CE" w14:textId="77777777" w:rsidR="00BE5F6A" w:rsidRPr="00C27A60" w:rsidRDefault="00BE5F6A" w:rsidP="00BE5F6A">
            <w:pPr>
              <w:ind w:firstLine="240"/>
              <w:jc w:val="both"/>
              <w:rPr>
                <w:i/>
                <w:sz w:val="22"/>
                <w:szCs w:val="22"/>
              </w:rPr>
            </w:pPr>
          </w:p>
          <w:p w14:paraId="34C5E002" w14:textId="77777777" w:rsidR="00BE5F6A" w:rsidRPr="00C27A60" w:rsidRDefault="00BE5F6A" w:rsidP="00BE5F6A">
            <w:pPr>
              <w:ind w:firstLine="240"/>
              <w:jc w:val="both"/>
              <w:rPr>
                <w:i/>
                <w:sz w:val="22"/>
                <w:szCs w:val="22"/>
              </w:rPr>
            </w:pPr>
          </w:p>
          <w:p w14:paraId="07F3FE3B" w14:textId="77777777" w:rsidR="00BE5F6A" w:rsidRPr="00C27A60" w:rsidRDefault="00BE5F6A" w:rsidP="00BE5F6A">
            <w:pPr>
              <w:ind w:firstLine="240"/>
              <w:jc w:val="both"/>
              <w:rPr>
                <w:i/>
                <w:sz w:val="22"/>
                <w:szCs w:val="22"/>
              </w:rPr>
            </w:pPr>
          </w:p>
          <w:p w14:paraId="08CDBE5A" w14:textId="77777777" w:rsidR="00BE5F6A" w:rsidRPr="00C27A60" w:rsidRDefault="00BE5F6A" w:rsidP="00BE5F6A">
            <w:pPr>
              <w:ind w:firstLine="240"/>
              <w:jc w:val="both"/>
              <w:rPr>
                <w:i/>
                <w:sz w:val="22"/>
                <w:szCs w:val="22"/>
              </w:rPr>
            </w:pPr>
          </w:p>
          <w:p w14:paraId="69C02E0C" w14:textId="77777777" w:rsidR="00BE5F6A" w:rsidRPr="00C27A60" w:rsidRDefault="00BE5F6A" w:rsidP="00BE5F6A">
            <w:pPr>
              <w:ind w:firstLine="240"/>
              <w:jc w:val="both"/>
              <w:rPr>
                <w:i/>
                <w:sz w:val="22"/>
                <w:szCs w:val="22"/>
              </w:rPr>
            </w:pPr>
          </w:p>
          <w:p w14:paraId="5C06B29B" w14:textId="77777777" w:rsidR="00BE5F6A" w:rsidRPr="00C27A60" w:rsidRDefault="00BE5F6A" w:rsidP="00BE5F6A">
            <w:pPr>
              <w:ind w:firstLine="240"/>
              <w:jc w:val="both"/>
              <w:rPr>
                <w:i/>
                <w:sz w:val="22"/>
                <w:szCs w:val="22"/>
              </w:rPr>
            </w:pPr>
          </w:p>
          <w:p w14:paraId="55722B37" w14:textId="77777777" w:rsidR="00BE5F6A" w:rsidRPr="00C27A60" w:rsidRDefault="00BE5F6A" w:rsidP="00BE5F6A">
            <w:pPr>
              <w:ind w:firstLine="240"/>
              <w:jc w:val="both"/>
              <w:rPr>
                <w:i/>
                <w:sz w:val="22"/>
                <w:szCs w:val="22"/>
              </w:rPr>
            </w:pPr>
          </w:p>
          <w:p w14:paraId="07C7F1CB" w14:textId="77777777" w:rsidR="00BE5F6A" w:rsidRPr="00C27A60" w:rsidRDefault="00BE5F6A" w:rsidP="00BE5F6A">
            <w:pPr>
              <w:ind w:firstLine="240"/>
              <w:jc w:val="both"/>
              <w:rPr>
                <w:i/>
                <w:sz w:val="22"/>
                <w:szCs w:val="22"/>
              </w:rPr>
            </w:pPr>
          </w:p>
          <w:p w14:paraId="69230E4A" w14:textId="77777777" w:rsidR="00BE5F6A" w:rsidRPr="00C27A60" w:rsidRDefault="00BE5F6A" w:rsidP="00BE5F6A">
            <w:pPr>
              <w:ind w:firstLine="240"/>
              <w:jc w:val="both"/>
              <w:rPr>
                <w:i/>
                <w:sz w:val="22"/>
                <w:szCs w:val="22"/>
              </w:rPr>
            </w:pPr>
          </w:p>
          <w:p w14:paraId="63D79087" w14:textId="77777777" w:rsidR="00BE5F6A" w:rsidRPr="00C27A60" w:rsidRDefault="00BE5F6A" w:rsidP="00BE5F6A">
            <w:pPr>
              <w:ind w:firstLine="240"/>
              <w:jc w:val="both"/>
              <w:rPr>
                <w:i/>
                <w:sz w:val="22"/>
                <w:szCs w:val="22"/>
              </w:rPr>
            </w:pPr>
          </w:p>
          <w:p w14:paraId="5B72AFF0" w14:textId="77777777" w:rsidR="00BE5F6A" w:rsidRPr="00C27A60" w:rsidRDefault="00BE5F6A" w:rsidP="00BE5F6A">
            <w:pPr>
              <w:ind w:firstLine="240"/>
              <w:jc w:val="both"/>
              <w:rPr>
                <w:i/>
                <w:sz w:val="22"/>
                <w:szCs w:val="22"/>
              </w:rPr>
            </w:pPr>
          </w:p>
          <w:p w14:paraId="488EDE5B" w14:textId="77777777" w:rsidR="00BE5F6A" w:rsidRPr="00C27A60" w:rsidRDefault="00BE5F6A" w:rsidP="00BE5F6A">
            <w:pPr>
              <w:ind w:firstLine="240"/>
              <w:jc w:val="both"/>
              <w:rPr>
                <w:i/>
                <w:sz w:val="22"/>
                <w:szCs w:val="22"/>
              </w:rPr>
            </w:pPr>
          </w:p>
          <w:p w14:paraId="75C7490B" w14:textId="77777777" w:rsidR="00BE5F6A" w:rsidRPr="00C27A60" w:rsidRDefault="00BE5F6A" w:rsidP="00BE5F6A">
            <w:pPr>
              <w:ind w:firstLine="240"/>
              <w:jc w:val="both"/>
              <w:rPr>
                <w:i/>
                <w:sz w:val="22"/>
                <w:szCs w:val="22"/>
              </w:rPr>
            </w:pPr>
          </w:p>
          <w:p w14:paraId="2C6280F8" w14:textId="77777777" w:rsidR="00BE5F6A" w:rsidRPr="00C27A60" w:rsidRDefault="00BE5F6A" w:rsidP="00BE5F6A">
            <w:pPr>
              <w:ind w:firstLine="240"/>
              <w:jc w:val="both"/>
              <w:rPr>
                <w:i/>
                <w:sz w:val="22"/>
                <w:szCs w:val="22"/>
              </w:rPr>
            </w:pPr>
          </w:p>
          <w:p w14:paraId="794B4903" w14:textId="77777777" w:rsidR="00BE5F6A" w:rsidRPr="00C27A60" w:rsidRDefault="00BE5F6A" w:rsidP="00BE5F6A">
            <w:pPr>
              <w:ind w:firstLine="240"/>
              <w:jc w:val="both"/>
              <w:rPr>
                <w:i/>
                <w:sz w:val="22"/>
                <w:szCs w:val="22"/>
              </w:rPr>
            </w:pPr>
          </w:p>
          <w:p w14:paraId="355BEF03" w14:textId="77777777" w:rsidR="00BE5F6A" w:rsidRPr="00C27A60" w:rsidRDefault="00BE5F6A" w:rsidP="00BE5F6A">
            <w:pPr>
              <w:ind w:firstLine="240"/>
              <w:jc w:val="both"/>
              <w:rPr>
                <w:i/>
                <w:sz w:val="22"/>
                <w:szCs w:val="22"/>
              </w:rPr>
            </w:pPr>
          </w:p>
          <w:p w14:paraId="7CF4AA61" w14:textId="77777777" w:rsidR="00BE5F6A" w:rsidRPr="00C27A60" w:rsidRDefault="00BE5F6A" w:rsidP="00BE5F6A">
            <w:pPr>
              <w:ind w:firstLine="240"/>
              <w:jc w:val="both"/>
              <w:rPr>
                <w:i/>
                <w:sz w:val="22"/>
                <w:szCs w:val="22"/>
              </w:rPr>
            </w:pPr>
          </w:p>
          <w:p w14:paraId="1FFB89C3" w14:textId="77777777" w:rsidR="00BE5F6A" w:rsidRPr="00C27A60" w:rsidRDefault="00BE5F6A" w:rsidP="00BE5F6A">
            <w:pPr>
              <w:ind w:firstLine="240"/>
              <w:jc w:val="both"/>
              <w:rPr>
                <w:i/>
                <w:sz w:val="22"/>
                <w:szCs w:val="22"/>
              </w:rPr>
            </w:pPr>
          </w:p>
          <w:p w14:paraId="39E56343" w14:textId="77777777" w:rsidR="00BE5F6A" w:rsidRPr="00C27A60" w:rsidRDefault="00BE5F6A" w:rsidP="00BE5F6A">
            <w:pPr>
              <w:ind w:firstLine="240"/>
              <w:jc w:val="both"/>
              <w:rPr>
                <w:i/>
                <w:sz w:val="22"/>
                <w:szCs w:val="22"/>
              </w:rPr>
            </w:pPr>
          </w:p>
          <w:p w14:paraId="042C285C" w14:textId="77777777" w:rsidR="00BE5F6A" w:rsidRPr="00C27A60" w:rsidRDefault="00BE5F6A" w:rsidP="00BE5F6A">
            <w:pPr>
              <w:ind w:firstLine="240"/>
              <w:jc w:val="both"/>
              <w:rPr>
                <w:i/>
                <w:sz w:val="22"/>
                <w:szCs w:val="22"/>
              </w:rPr>
            </w:pPr>
          </w:p>
          <w:p w14:paraId="1D0D3ED6" w14:textId="77777777" w:rsidR="00BE5F6A" w:rsidRPr="00C27A60" w:rsidRDefault="00BE5F6A" w:rsidP="00BE5F6A">
            <w:pPr>
              <w:ind w:firstLine="240"/>
              <w:jc w:val="both"/>
              <w:rPr>
                <w:i/>
                <w:sz w:val="22"/>
                <w:szCs w:val="22"/>
              </w:rPr>
            </w:pPr>
          </w:p>
          <w:p w14:paraId="7C09A3BD" w14:textId="77777777" w:rsidR="00BE5F6A" w:rsidRPr="00C27A60" w:rsidRDefault="00BE5F6A" w:rsidP="00BE5F6A">
            <w:pPr>
              <w:ind w:firstLine="240"/>
              <w:jc w:val="both"/>
              <w:rPr>
                <w:i/>
                <w:sz w:val="22"/>
                <w:szCs w:val="22"/>
              </w:rPr>
            </w:pPr>
          </w:p>
          <w:p w14:paraId="399DD119" w14:textId="77777777" w:rsidR="00BE5F6A" w:rsidRPr="00C27A60" w:rsidRDefault="00BE5F6A" w:rsidP="00BE5F6A">
            <w:pPr>
              <w:ind w:firstLine="240"/>
              <w:jc w:val="both"/>
              <w:rPr>
                <w:i/>
                <w:sz w:val="22"/>
                <w:szCs w:val="22"/>
              </w:rPr>
            </w:pPr>
          </w:p>
          <w:p w14:paraId="161D1EFD" w14:textId="77777777" w:rsidR="00BE5F6A" w:rsidRPr="00C27A60" w:rsidRDefault="00BE5F6A" w:rsidP="00BE5F6A">
            <w:pPr>
              <w:ind w:firstLine="240"/>
              <w:jc w:val="both"/>
              <w:rPr>
                <w:i/>
                <w:sz w:val="22"/>
                <w:szCs w:val="22"/>
              </w:rPr>
            </w:pPr>
          </w:p>
          <w:p w14:paraId="3CB58B50" w14:textId="77777777" w:rsidR="00BE5F6A" w:rsidRPr="00C27A60" w:rsidRDefault="00BE5F6A" w:rsidP="00BE5F6A">
            <w:pPr>
              <w:ind w:firstLine="240"/>
              <w:jc w:val="both"/>
              <w:rPr>
                <w:i/>
                <w:sz w:val="22"/>
                <w:szCs w:val="22"/>
              </w:rPr>
            </w:pPr>
          </w:p>
          <w:p w14:paraId="075970AB" w14:textId="77777777" w:rsidR="00BE5F6A" w:rsidRPr="00C27A60" w:rsidRDefault="00BE5F6A" w:rsidP="00BE5F6A">
            <w:pPr>
              <w:ind w:firstLine="240"/>
              <w:jc w:val="both"/>
              <w:rPr>
                <w:i/>
                <w:sz w:val="22"/>
                <w:szCs w:val="22"/>
              </w:rPr>
            </w:pPr>
          </w:p>
          <w:p w14:paraId="0328AED4" w14:textId="77777777" w:rsidR="00BE5F6A" w:rsidRPr="00C27A60" w:rsidRDefault="00BE5F6A" w:rsidP="00BE5F6A">
            <w:pPr>
              <w:ind w:firstLine="240"/>
              <w:jc w:val="both"/>
              <w:rPr>
                <w:i/>
                <w:sz w:val="22"/>
                <w:szCs w:val="22"/>
              </w:rPr>
            </w:pPr>
          </w:p>
          <w:p w14:paraId="6BC84F10" w14:textId="77777777" w:rsidR="00BE5F6A" w:rsidRPr="00C27A60" w:rsidRDefault="00BE5F6A" w:rsidP="00BE5F6A">
            <w:pPr>
              <w:ind w:firstLine="240"/>
              <w:jc w:val="both"/>
              <w:rPr>
                <w:i/>
                <w:sz w:val="22"/>
                <w:szCs w:val="22"/>
              </w:rPr>
            </w:pPr>
          </w:p>
          <w:p w14:paraId="2A8275B9" w14:textId="77777777" w:rsidR="00BE5F6A" w:rsidRPr="00C27A60" w:rsidRDefault="00BE5F6A" w:rsidP="00BE5F6A">
            <w:pPr>
              <w:ind w:firstLine="240"/>
              <w:jc w:val="both"/>
              <w:rPr>
                <w:i/>
                <w:sz w:val="22"/>
                <w:szCs w:val="22"/>
              </w:rPr>
            </w:pPr>
          </w:p>
          <w:p w14:paraId="7A0566AF" w14:textId="77777777" w:rsidR="00BE5F6A" w:rsidRPr="00C27A60" w:rsidRDefault="00BE5F6A" w:rsidP="00BE5F6A">
            <w:pPr>
              <w:ind w:firstLine="240"/>
              <w:jc w:val="both"/>
              <w:rPr>
                <w:i/>
                <w:sz w:val="22"/>
                <w:szCs w:val="22"/>
              </w:rPr>
            </w:pPr>
          </w:p>
          <w:p w14:paraId="2E96B89C" w14:textId="77777777" w:rsidR="00BE5F6A" w:rsidRPr="00C27A60" w:rsidRDefault="00BE5F6A" w:rsidP="00BE5F6A">
            <w:pPr>
              <w:ind w:firstLine="240"/>
              <w:jc w:val="both"/>
              <w:rPr>
                <w:i/>
                <w:sz w:val="22"/>
                <w:szCs w:val="22"/>
              </w:rPr>
            </w:pPr>
          </w:p>
          <w:p w14:paraId="7AC3555F" w14:textId="77777777" w:rsidR="00BE5F6A" w:rsidRPr="00C27A60" w:rsidRDefault="00BE5F6A" w:rsidP="00BE5F6A">
            <w:pPr>
              <w:ind w:firstLine="240"/>
              <w:jc w:val="both"/>
              <w:rPr>
                <w:i/>
                <w:sz w:val="22"/>
                <w:szCs w:val="22"/>
              </w:rPr>
            </w:pPr>
          </w:p>
          <w:p w14:paraId="7FD50CAC" w14:textId="77777777" w:rsidR="00BE5F6A" w:rsidRPr="00C27A60" w:rsidRDefault="00BE5F6A" w:rsidP="00BE5F6A">
            <w:pPr>
              <w:ind w:firstLine="240"/>
              <w:jc w:val="both"/>
              <w:rPr>
                <w:i/>
                <w:sz w:val="22"/>
                <w:szCs w:val="22"/>
              </w:rPr>
            </w:pPr>
          </w:p>
          <w:p w14:paraId="580B1181" w14:textId="77777777" w:rsidR="00BE5F6A" w:rsidRPr="00C27A60" w:rsidRDefault="00BE5F6A" w:rsidP="00BE5F6A">
            <w:pPr>
              <w:ind w:firstLine="240"/>
              <w:jc w:val="both"/>
              <w:rPr>
                <w:i/>
                <w:sz w:val="22"/>
                <w:szCs w:val="22"/>
              </w:rPr>
            </w:pPr>
          </w:p>
          <w:p w14:paraId="3B0BD5FB" w14:textId="77777777" w:rsidR="00BE5F6A" w:rsidRPr="00C27A60" w:rsidRDefault="00BE5F6A" w:rsidP="00BE5F6A">
            <w:pPr>
              <w:ind w:firstLine="240"/>
              <w:jc w:val="both"/>
              <w:rPr>
                <w:i/>
                <w:sz w:val="22"/>
                <w:szCs w:val="22"/>
              </w:rPr>
            </w:pPr>
          </w:p>
          <w:p w14:paraId="7DB20EAF" w14:textId="77777777" w:rsidR="00BE5F6A" w:rsidRPr="00C27A60" w:rsidRDefault="00BE5F6A" w:rsidP="00BE5F6A">
            <w:pPr>
              <w:ind w:firstLine="240"/>
              <w:jc w:val="both"/>
              <w:rPr>
                <w:i/>
                <w:sz w:val="22"/>
                <w:szCs w:val="22"/>
              </w:rPr>
            </w:pPr>
          </w:p>
          <w:p w14:paraId="6222F5B1" w14:textId="77777777" w:rsidR="00BE5F6A" w:rsidRPr="00C27A60" w:rsidRDefault="00BE5F6A" w:rsidP="00BE5F6A">
            <w:pPr>
              <w:ind w:firstLine="240"/>
              <w:jc w:val="both"/>
              <w:rPr>
                <w:i/>
                <w:sz w:val="22"/>
                <w:szCs w:val="22"/>
              </w:rPr>
            </w:pPr>
          </w:p>
          <w:p w14:paraId="78ED887F" w14:textId="77777777" w:rsidR="00BE5F6A" w:rsidRPr="00C27A60" w:rsidRDefault="00BE5F6A" w:rsidP="00BE5F6A">
            <w:pPr>
              <w:ind w:firstLine="240"/>
              <w:jc w:val="both"/>
              <w:rPr>
                <w:i/>
                <w:sz w:val="22"/>
                <w:szCs w:val="22"/>
              </w:rPr>
            </w:pPr>
          </w:p>
          <w:p w14:paraId="7CC962E3" w14:textId="77777777" w:rsidR="00BE5F6A" w:rsidRPr="00C27A60" w:rsidRDefault="00BE5F6A" w:rsidP="00BE5F6A">
            <w:pPr>
              <w:ind w:firstLine="240"/>
              <w:jc w:val="both"/>
              <w:rPr>
                <w:i/>
                <w:sz w:val="22"/>
                <w:szCs w:val="22"/>
              </w:rPr>
            </w:pPr>
          </w:p>
          <w:p w14:paraId="39AFCA4A" w14:textId="77777777" w:rsidR="00BE5F6A" w:rsidRPr="00C27A60" w:rsidRDefault="00BE5F6A" w:rsidP="00BE5F6A">
            <w:pPr>
              <w:ind w:firstLine="240"/>
              <w:jc w:val="both"/>
              <w:rPr>
                <w:i/>
                <w:sz w:val="22"/>
                <w:szCs w:val="22"/>
              </w:rPr>
            </w:pPr>
          </w:p>
          <w:p w14:paraId="45E51FF2" w14:textId="77777777" w:rsidR="00BE5F6A" w:rsidRPr="00C27A60" w:rsidRDefault="00BE5F6A" w:rsidP="00BE5F6A">
            <w:pPr>
              <w:ind w:firstLine="240"/>
              <w:jc w:val="both"/>
              <w:rPr>
                <w:i/>
                <w:sz w:val="22"/>
                <w:szCs w:val="22"/>
              </w:rPr>
            </w:pPr>
          </w:p>
          <w:p w14:paraId="6EB60DB1" w14:textId="77777777" w:rsidR="00BE5F6A" w:rsidRPr="00C27A60" w:rsidRDefault="00BE5F6A" w:rsidP="00BE5F6A">
            <w:pPr>
              <w:ind w:firstLine="240"/>
              <w:jc w:val="both"/>
              <w:rPr>
                <w:i/>
                <w:sz w:val="22"/>
                <w:szCs w:val="22"/>
              </w:rPr>
            </w:pPr>
          </w:p>
          <w:p w14:paraId="59517582" w14:textId="77777777" w:rsidR="00BE5F6A" w:rsidRPr="00C27A60" w:rsidRDefault="00BE5F6A" w:rsidP="00BE5F6A">
            <w:pPr>
              <w:ind w:firstLine="240"/>
              <w:jc w:val="both"/>
              <w:rPr>
                <w:i/>
                <w:sz w:val="22"/>
                <w:szCs w:val="22"/>
              </w:rPr>
            </w:pPr>
          </w:p>
          <w:p w14:paraId="51018483" w14:textId="77777777" w:rsidR="00BE5F6A" w:rsidRPr="00C27A60" w:rsidRDefault="00BE5F6A" w:rsidP="00BE5F6A">
            <w:pPr>
              <w:ind w:firstLine="240"/>
              <w:jc w:val="both"/>
              <w:rPr>
                <w:i/>
                <w:sz w:val="22"/>
                <w:szCs w:val="22"/>
              </w:rPr>
            </w:pPr>
          </w:p>
          <w:p w14:paraId="7DE1B458" w14:textId="77777777" w:rsidR="00BE5F6A" w:rsidRPr="00C27A60" w:rsidRDefault="00BE5F6A" w:rsidP="00BE5F6A">
            <w:pPr>
              <w:ind w:firstLine="240"/>
              <w:jc w:val="both"/>
              <w:rPr>
                <w:i/>
                <w:sz w:val="22"/>
                <w:szCs w:val="22"/>
              </w:rPr>
            </w:pPr>
          </w:p>
          <w:p w14:paraId="19921C04" w14:textId="77777777" w:rsidR="00BE5F6A" w:rsidRPr="00C27A60" w:rsidRDefault="00BE5F6A" w:rsidP="00BE5F6A">
            <w:pPr>
              <w:ind w:firstLine="240"/>
              <w:jc w:val="both"/>
              <w:rPr>
                <w:i/>
                <w:sz w:val="22"/>
                <w:szCs w:val="22"/>
              </w:rPr>
            </w:pPr>
          </w:p>
          <w:p w14:paraId="3E2FB9F4" w14:textId="77777777" w:rsidR="00BE5F6A" w:rsidRPr="00C27A60" w:rsidRDefault="00BE5F6A" w:rsidP="00BE5F6A">
            <w:pPr>
              <w:ind w:firstLine="240"/>
              <w:jc w:val="both"/>
              <w:rPr>
                <w:i/>
                <w:sz w:val="22"/>
                <w:szCs w:val="22"/>
              </w:rPr>
            </w:pPr>
          </w:p>
          <w:p w14:paraId="66D66F1F" w14:textId="77777777" w:rsidR="00BE5F6A" w:rsidRPr="00C27A60" w:rsidRDefault="00BE5F6A" w:rsidP="00BE5F6A">
            <w:pPr>
              <w:ind w:firstLine="240"/>
              <w:jc w:val="both"/>
              <w:rPr>
                <w:i/>
                <w:sz w:val="22"/>
                <w:szCs w:val="22"/>
              </w:rPr>
            </w:pPr>
          </w:p>
          <w:p w14:paraId="6CF9EE8C" w14:textId="77777777" w:rsidR="00BE5F6A" w:rsidRPr="00C27A60" w:rsidRDefault="00BE5F6A" w:rsidP="00BE5F6A">
            <w:pPr>
              <w:ind w:firstLine="240"/>
              <w:jc w:val="both"/>
              <w:rPr>
                <w:i/>
                <w:sz w:val="22"/>
                <w:szCs w:val="22"/>
              </w:rPr>
            </w:pPr>
          </w:p>
          <w:p w14:paraId="28872564" w14:textId="77777777" w:rsidR="00BE5F6A" w:rsidRPr="00C27A60" w:rsidRDefault="00BE5F6A" w:rsidP="00BE5F6A">
            <w:pPr>
              <w:ind w:firstLine="240"/>
              <w:jc w:val="both"/>
              <w:rPr>
                <w:i/>
                <w:sz w:val="22"/>
                <w:szCs w:val="22"/>
              </w:rPr>
            </w:pPr>
          </w:p>
          <w:p w14:paraId="47E2BF7E" w14:textId="77777777" w:rsidR="00BE5F6A" w:rsidRPr="00C27A60" w:rsidRDefault="00BE5F6A" w:rsidP="00BE5F6A">
            <w:pPr>
              <w:ind w:firstLine="240"/>
              <w:jc w:val="both"/>
              <w:rPr>
                <w:i/>
                <w:sz w:val="22"/>
                <w:szCs w:val="22"/>
              </w:rPr>
            </w:pPr>
          </w:p>
          <w:p w14:paraId="060D8C7A" w14:textId="77777777" w:rsidR="00BE5F6A" w:rsidRPr="00C27A60" w:rsidRDefault="00BE5F6A" w:rsidP="00BE5F6A">
            <w:pPr>
              <w:ind w:firstLine="240"/>
              <w:jc w:val="both"/>
              <w:rPr>
                <w:i/>
                <w:sz w:val="22"/>
                <w:szCs w:val="22"/>
              </w:rPr>
            </w:pPr>
          </w:p>
          <w:p w14:paraId="42C4A942" w14:textId="77777777" w:rsidR="00BE5F6A" w:rsidRPr="00C27A60" w:rsidRDefault="00BE5F6A" w:rsidP="00BE5F6A">
            <w:pPr>
              <w:ind w:firstLine="240"/>
              <w:jc w:val="both"/>
              <w:rPr>
                <w:i/>
                <w:sz w:val="22"/>
                <w:szCs w:val="22"/>
              </w:rPr>
            </w:pPr>
          </w:p>
          <w:p w14:paraId="04E1722A" w14:textId="77777777" w:rsidR="00BE5F6A" w:rsidRPr="00C27A60" w:rsidRDefault="00BE5F6A" w:rsidP="00BE5F6A">
            <w:pPr>
              <w:ind w:firstLine="240"/>
              <w:jc w:val="both"/>
              <w:rPr>
                <w:i/>
                <w:sz w:val="22"/>
                <w:szCs w:val="22"/>
              </w:rPr>
            </w:pPr>
          </w:p>
          <w:p w14:paraId="17546172" w14:textId="77777777" w:rsidR="00BE5F6A" w:rsidRPr="00C27A60" w:rsidRDefault="00BE5F6A" w:rsidP="00BE5F6A">
            <w:pPr>
              <w:ind w:firstLine="240"/>
              <w:jc w:val="both"/>
              <w:rPr>
                <w:i/>
                <w:sz w:val="22"/>
                <w:szCs w:val="22"/>
              </w:rPr>
            </w:pPr>
          </w:p>
          <w:p w14:paraId="5DDE1E5E" w14:textId="77777777" w:rsidR="00BE5F6A" w:rsidRPr="00C27A60" w:rsidRDefault="00BE5F6A" w:rsidP="00BE5F6A">
            <w:pPr>
              <w:ind w:firstLine="240"/>
              <w:jc w:val="both"/>
              <w:rPr>
                <w:i/>
                <w:sz w:val="22"/>
                <w:szCs w:val="22"/>
              </w:rPr>
            </w:pPr>
          </w:p>
          <w:p w14:paraId="076B20C8" w14:textId="77777777" w:rsidR="00BE5F6A" w:rsidRPr="00C27A60" w:rsidRDefault="00BE5F6A" w:rsidP="00BE5F6A">
            <w:pPr>
              <w:ind w:firstLine="240"/>
              <w:jc w:val="both"/>
              <w:rPr>
                <w:i/>
                <w:sz w:val="22"/>
                <w:szCs w:val="22"/>
              </w:rPr>
            </w:pPr>
          </w:p>
          <w:p w14:paraId="18386D24" w14:textId="77777777" w:rsidR="00BE5F6A" w:rsidRPr="00C27A60" w:rsidRDefault="00BE5F6A" w:rsidP="00BE5F6A">
            <w:pPr>
              <w:ind w:firstLine="240"/>
              <w:jc w:val="both"/>
              <w:rPr>
                <w:i/>
                <w:sz w:val="22"/>
                <w:szCs w:val="22"/>
              </w:rPr>
            </w:pPr>
          </w:p>
          <w:p w14:paraId="1F730D1D" w14:textId="77777777" w:rsidR="00BE5F6A" w:rsidRPr="00C27A60" w:rsidRDefault="00BE5F6A" w:rsidP="00BE5F6A">
            <w:pPr>
              <w:ind w:firstLine="240"/>
              <w:jc w:val="both"/>
              <w:rPr>
                <w:i/>
                <w:sz w:val="22"/>
                <w:szCs w:val="22"/>
              </w:rPr>
            </w:pPr>
          </w:p>
          <w:p w14:paraId="50E008A0" w14:textId="77777777" w:rsidR="00BE5F6A" w:rsidRPr="00C27A60" w:rsidRDefault="00BE5F6A" w:rsidP="00BE5F6A">
            <w:pPr>
              <w:ind w:firstLine="240"/>
              <w:jc w:val="both"/>
              <w:rPr>
                <w:i/>
                <w:sz w:val="22"/>
                <w:szCs w:val="22"/>
              </w:rPr>
            </w:pPr>
          </w:p>
          <w:p w14:paraId="4F8FC36C" w14:textId="77777777" w:rsidR="00BE5F6A" w:rsidRPr="00C27A60" w:rsidRDefault="00BE5F6A" w:rsidP="00BE5F6A">
            <w:pPr>
              <w:ind w:firstLine="240"/>
              <w:jc w:val="both"/>
              <w:rPr>
                <w:i/>
                <w:sz w:val="22"/>
                <w:szCs w:val="22"/>
              </w:rPr>
            </w:pPr>
          </w:p>
          <w:p w14:paraId="5F35C321" w14:textId="77777777" w:rsidR="00BE5F6A" w:rsidRPr="00C27A60" w:rsidRDefault="00BE5F6A" w:rsidP="00BE5F6A">
            <w:pPr>
              <w:ind w:firstLine="240"/>
              <w:jc w:val="both"/>
              <w:rPr>
                <w:i/>
                <w:sz w:val="22"/>
                <w:szCs w:val="22"/>
              </w:rPr>
            </w:pPr>
          </w:p>
          <w:p w14:paraId="053D01D2" w14:textId="77777777" w:rsidR="00BE5F6A" w:rsidRPr="00C27A60" w:rsidRDefault="00BE5F6A" w:rsidP="00BE5F6A">
            <w:pPr>
              <w:ind w:firstLine="240"/>
              <w:jc w:val="both"/>
              <w:rPr>
                <w:i/>
                <w:sz w:val="22"/>
                <w:szCs w:val="22"/>
              </w:rPr>
            </w:pPr>
          </w:p>
          <w:p w14:paraId="6C21110E" w14:textId="77777777" w:rsidR="00BE5F6A" w:rsidRPr="00C27A60" w:rsidRDefault="00BE5F6A" w:rsidP="00BE5F6A">
            <w:pPr>
              <w:ind w:firstLine="240"/>
              <w:jc w:val="both"/>
              <w:rPr>
                <w:i/>
                <w:sz w:val="22"/>
                <w:szCs w:val="22"/>
              </w:rPr>
            </w:pPr>
          </w:p>
          <w:p w14:paraId="2C3D71AA" w14:textId="77777777" w:rsidR="00BE5F6A" w:rsidRPr="00C27A60" w:rsidRDefault="00BE5F6A" w:rsidP="00BE5F6A">
            <w:pPr>
              <w:ind w:firstLine="240"/>
              <w:jc w:val="both"/>
              <w:rPr>
                <w:i/>
                <w:sz w:val="22"/>
                <w:szCs w:val="22"/>
              </w:rPr>
            </w:pPr>
          </w:p>
          <w:p w14:paraId="0B3B76BD" w14:textId="77777777" w:rsidR="00BE5F6A" w:rsidRPr="00C27A60" w:rsidRDefault="00BE5F6A" w:rsidP="00BE5F6A">
            <w:pPr>
              <w:ind w:firstLine="240"/>
              <w:jc w:val="both"/>
              <w:rPr>
                <w:i/>
                <w:sz w:val="22"/>
                <w:szCs w:val="22"/>
              </w:rPr>
            </w:pPr>
          </w:p>
          <w:p w14:paraId="52153F9A" w14:textId="77777777" w:rsidR="00BE5F6A" w:rsidRPr="00C27A60" w:rsidRDefault="00BE5F6A" w:rsidP="00BE5F6A">
            <w:pPr>
              <w:ind w:firstLine="240"/>
              <w:jc w:val="both"/>
              <w:rPr>
                <w:i/>
                <w:sz w:val="22"/>
                <w:szCs w:val="22"/>
              </w:rPr>
            </w:pPr>
          </w:p>
          <w:p w14:paraId="6FABB6C9" w14:textId="77777777" w:rsidR="00BE5F6A" w:rsidRPr="00C27A60" w:rsidRDefault="00BE5F6A" w:rsidP="00BE5F6A">
            <w:pPr>
              <w:ind w:firstLine="240"/>
              <w:jc w:val="both"/>
              <w:rPr>
                <w:i/>
                <w:sz w:val="22"/>
                <w:szCs w:val="22"/>
              </w:rPr>
            </w:pPr>
          </w:p>
          <w:p w14:paraId="1D898575" w14:textId="77777777" w:rsidR="00BE5F6A" w:rsidRPr="00C27A60" w:rsidRDefault="00BE5F6A" w:rsidP="00BE5F6A">
            <w:pPr>
              <w:ind w:firstLine="240"/>
              <w:jc w:val="both"/>
              <w:rPr>
                <w:i/>
                <w:sz w:val="22"/>
                <w:szCs w:val="22"/>
              </w:rPr>
            </w:pPr>
          </w:p>
          <w:p w14:paraId="66145F9A" w14:textId="77777777" w:rsidR="00BE5F6A" w:rsidRPr="00C27A60" w:rsidRDefault="00BE5F6A" w:rsidP="00BE5F6A">
            <w:pPr>
              <w:ind w:firstLine="240"/>
              <w:jc w:val="both"/>
              <w:rPr>
                <w:i/>
                <w:sz w:val="22"/>
                <w:szCs w:val="22"/>
              </w:rPr>
            </w:pPr>
          </w:p>
          <w:p w14:paraId="61395624" w14:textId="77777777" w:rsidR="00BE5F6A" w:rsidRPr="00C27A60" w:rsidRDefault="00BE5F6A" w:rsidP="00BE5F6A">
            <w:pPr>
              <w:ind w:firstLine="240"/>
              <w:jc w:val="both"/>
              <w:rPr>
                <w:i/>
                <w:sz w:val="22"/>
                <w:szCs w:val="22"/>
              </w:rPr>
            </w:pPr>
          </w:p>
          <w:p w14:paraId="7E3E8A3C" w14:textId="77777777" w:rsidR="00BE5F6A" w:rsidRPr="00C27A60" w:rsidRDefault="00BE5F6A" w:rsidP="00BE5F6A">
            <w:pPr>
              <w:ind w:firstLine="240"/>
              <w:jc w:val="both"/>
              <w:rPr>
                <w:i/>
                <w:sz w:val="22"/>
                <w:szCs w:val="22"/>
              </w:rPr>
            </w:pPr>
          </w:p>
          <w:p w14:paraId="7378D740" w14:textId="77777777" w:rsidR="00BE5F6A" w:rsidRPr="00C27A60" w:rsidRDefault="00BE5F6A" w:rsidP="00BE5F6A">
            <w:pPr>
              <w:ind w:firstLine="240"/>
              <w:jc w:val="both"/>
              <w:rPr>
                <w:i/>
                <w:sz w:val="22"/>
                <w:szCs w:val="22"/>
              </w:rPr>
            </w:pPr>
          </w:p>
          <w:p w14:paraId="12736AB1" w14:textId="77777777" w:rsidR="00BE5F6A" w:rsidRPr="00C27A60" w:rsidRDefault="00BE5F6A" w:rsidP="00BE5F6A">
            <w:pPr>
              <w:ind w:firstLine="240"/>
              <w:jc w:val="both"/>
              <w:rPr>
                <w:i/>
                <w:sz w:val="22"/>
                <w:szCs w:val="22"/>
              </w:rPr>
            </w:pPr>
          </w:p>
          <w:p w14:paraId="14478161" w14:textId="77777777" w:rsidR="00BE5F6A" w:rsidRPr="00C27A60" w:rsidRDefault="00BE5F6A" w:rsidP="00BE5F6A">
            <w:pPr>
              <w:ind w:firstLine="240"/>
              <w:jc w:val="both"/>
              <w:rPr>
                <w:i/>
                <w:sz w:val="22"/>
                <w:szCs w:val="22"/>
              </w:rPr>
            </w:pPr>
          </w:p>
          <w:p w14:paraId="7689B9CD" w14:textId="77777777" w:rsidR="00BE5F6A" w:rsidRPr="00C27A60" w:rsidRDefault="00BE5F6A" w:rsidP="00BE5F6A">
            <w:pPr>
              <w:ind w:firstLine="240"/>
              <w:jc w:val="both"/>
              <w:rPr>
                <w:i/>
                <w:sz w:val="22"/>
                <w:szCs w:val="22"/>
              </w:rPr>
            </w:pPr>
          </w:p>
          <w:p w14:paraId="3DAE1BFE" w14:textId="77777777" w:rsidR="00BE5F6A" w:rsidRPr="00C27A60" w:rsidRDefault="00BE5F6A" w:rsidP="00BE5F6A">
            <w:pPr>
              <w:ind w:firstLine="240"/>
              <w:jc w:val="both"/>
              <w:rPr>
                <w:i/>
                <w:sz w:val="22"/>
                <w:szCs w:val="22"/>
              </w:rPr>
            </w:pPr>
          </w:p>
          <w:p w14:paraId="26E8CAFA" w14:textId="77777777" w:rsidR="00BE5F6A" w:rsidRPr="00C27A60" w:rsidRDefault="00BE5F6A" w:rsidP="00BE5F6A">
            <w:pPr>
              <w:ind w:firstLine="240"/>
              <w:jc w:val="both"/>
              <w:rPr>
                <w:i/>
                <w:sz w:val="22"/>
                <w:szCs w:val="22"/>
              </w:rPr>
            </w:pPr>
          </w:p>
          <w:p w14:paraId="12D9FEB8" w14:textId="77777777" w:rsidR="00BE5F6A" w:rsidRPr="00C27A60" w:rsidRDefault="00BE5F6A" w:rsidP="00BE5F6A">
            <w:pPr>
              <w:ind w:firstLine="240"/>
              <w:jc w:val="both"/>
              <w:rPr>
                <w:i/>
                <w:sz w:val="22"/>
                <w:szCs w:val="22"/>
              </w:rPr>
            </w:pPr>
          </w:p>
          <w:p w14:paraId="32B8D85E" w14:textId="77777777" w:rsidR="00BE5F6A" w:rsidRPr="00C27A60" w:rsidRDefault="00BE5F6A" w:rsidP="00BE5F6A">
            <w:pPr>
              <w:ind w:firstLine="240"/>
              <w:jc w:val="both"/>
              <w:rPr>
                <w:i/>
                <w:sz w:val="22"/>
                <w:szCs w:val="22"/>
              </w:rPr>
            </w:pPr>
          </w:p>
          <w:p w14:paraId="6490D7C8" w14:textId="77777777" w:rsidR="00BE5F6A" w:rsidRPr="00C27A60" w:rsidRDefault="00BE5F6A" w:rsidP="00BE5F6A">
            <w:pPr>
              <w:ind w:firstLine="240"/>
              <w:jc w:val="both"/>
              <w:rPr>
                <w:i/>
                <w:sz w:val="22"/>
                <w:szCs w:val="22"/>
              </w:rPr>
            </w:pPr>
          </w:p>
          <w:p w14:paraId="23E62072" w14:textId="77777777" w:rsidR="00BE5F6A" w:rsidRPr="00C27A60" w:rsidRDefault="00BE5F6A" w:rsidP="00BE5F6A">
            <w:pPr>
              <w:ind w:firstLine="240"/>
              <w:jc w:val="both"/>
              <w:rPr>
                <w:i/>
                <w:sz w:val="22"/>
                <w:szCs w:val="22"/>
              </w:rPr>
            </w:pPr>
          </w:p>
          <w:p w14:paraId="5A3893DF" w14:textId="77777777" w:rsidR="00BE5F6A" w:rsidRPr="00C27A60" w:rsidRDefault="00BE5F6A" w:rsidP="00BE5F6A">
            <w:pPr>
              <w:ind w:firstLine="240"/>
              <w:jc w:val="both"/>
              <w:rPr>
                <w:i/>
                <w:sz w:val="22"/>
                <w:szCs w:val="22"/>
              </w:rPr>
            </w:pPr>
          </w:p>
          <w:p w14:paraId="2476344C" w14:textId="77777777" w:rsidR="00BE5F6A" w:rsidRPr="00C27A60" w:rsidRDefault="00BE5F6A" w:rsidP="00BE5F6A">
            <w:pPr>
              <w:ind w:firstLine="240"/>
              <w:jc w:val="both"/>
              <w:rPr>
                <w:i/>
                <w:sz w:val="22"/>
                <w:szCs w:val="22"/>
              </w:rPr>
            </w:pPr>
          </w:p>
          <w:p w14:paraId="3819C4E8" w14:textId="77777777" w:rsidR="00BE5F6A" w:rsidRPr="00C27A60" w:rsidRDefault="00BE5F6A" w:rsidP="00BE5F6A">
            <w:pPr>
              <w:ind w:firstLine="240"/>
              <w:jc w:val="both"/>
              <w:rPr>
                <w:i/>
                <w:sz w:val="22"/>
                <w:szCs w:val="22"/>
              </w:rPr>
            </w:pPr>
          </w:p>
          <w:p w14:paraId="58201F32" w14:textId="77777777" w:rsidR="00BE5F6A" w:rsidRPr="00C27A60" w:rsidRDefault="00BE5F6A" w:rsidP="00BE5F6A">
            <w:pPr>
              <w:ind w:firstLine="240"/>
              <w:jc w:val="both"/>
              <w:rPr>
                <w:i/>
                <w:sz w:val="22"/>
                <w:szCs w:val="22"/>
              </w:rPr>
            </w:pPr>
          </w:p>
          <w:p w14:paraId="00543EC3" w14:textId="77777777" w:rsidR="00BE5F6A" w:rsidRPr="00C27A60" w:rsidRDefault="00BE5F6A" w:rsidP="00BE5F6A">
            <w:pPr>
              <w:ind w:firstLine="240"/>
              <w:jc w:val="both"/>
              <w:rPr>
                <w:i/>
                <w:sz w:val="22"/>
                <w:szCs w:val="22"/>
              </w:rPr>
            </w:pPr>
          </w:p>
          <w:p w14:paraId="68ED1799" w14:textId="77777777" w:rsidR="00BE5F6A" w:rsidRPr="00C27A60" w:rsidRDefault="00BE5F6A" w:rsidP="00BE5F6A">
            <w:pPr>
              <w:ind w:firstLine="240"/>
              <w:jc w:val="both"/>
              <w:rPr>
                <w:i/>
                <w:sz w:val="22"/>
                <w:szCs w:val="22"/>
              </w:rPr>
            </w:pPr>
          </w:p>
          <w:p w14:paraId="5C8BD21C" w14:textId="77777777" w:rsidR="00BE5F6A" w:rsidRPr="00C27A60" w:rsidRDefault="00BE5F6A" w:rsidP="00BE5F6A">
            <w:pPr>
              <w:ind w:firstLine="240"/>
              <w:jc w:val="both"/>
              <w:rPr>
                <w:i/>
                <w:sz w:val="22"/>
                <w:szCs w:val="22"/>
              </w:rPr>
            </w:pPr>
          </w:p>
          <w:p w14:paraId="0DC69580" w14:textId="77777777" w:rsidR="00BE5F6A" w:rsidRPr="00C27A60" w:rsidRDefault="00BE5F6A" w:rsidP="00BE5F6A">
            <w:pPr>
              <w:ind w:firstLine="240"/>
              <w:jc w:val="both"/>
              <w:rPr>
                <w:i/>
                <w:sz w:val="22"/>
                <w:szCs w:val="22"/>
              </w:rPr>
            </w:pPr>
          </w:p>
          <w:p w14:paraId="4B57E8A0" w14:textId="77777777" w:rsidR="00BE5F6A" w:rsidRPr="00C27A60" w:rsidRDefault="00BE5F6A" w:rsidP="00BE5F6A">
            <w:pPr>
              <w:ind w:firstLine="240"/>
              <w:jc w:val="both"/>
              <w:rPr>
                <w:i/>
                <w:sz w:val="22"/>
                <w:szCs w:val="22"/>
              </w:rPr>
            </w:pPr>
          </w:p>
          <w:p w14:paraId="1817430A" w14:textId="77777777" w:rsidR="00BE5F6A" w:rsidRPr="00C27A60" w:rsidRDefault="00BE5F6A" w:rsidP="00BE5F6A">
            <w:pPr>
              <w:ind w:firstLine="240"/>
              <w:jc w:val="both"/>
              <w:rPr>
                <w:i/>
                <w:sz w:val="22"/>
                <w:szCs w:val="22"/>
              </w:rPr>
            </w:pPr>
          </w:p>
          <w:p w14:paraId="201893BE" w14:textId="77777777" w:rsidR="00BE5F6A" w:rsidRPr="00C27A60" w:rsidRDefault="00BE5F6A" w:rsidP="00BE5F6A">
            <w:pPr>
              <w:ind w:firstLine="240"/>
              <w:jc w:val="both"/>
              <w:rPr>
                <w:i/>
                <w:sz w:val="22"/>
                <w:szCs w:val="22"/>
              </w:rPr>
            </w:pPr>
          </w:p>
          <w:p w14:paraId="1A24AA89" w14:textId="77777777" w:rsidR="00BE5F6A" w:rsidRPr="00C27A60" w:rsidRDefault="00BE5F6A" w:rsidP="00BE5F6A">
            <w:pPr>
              <w:ind w:firstLine="240"/>
              <w:jc w:val="both"/>
              <w:rPr>
                <w:i/>
                <w:sz w:val="22"/>
                <w:szCs w:val="22"/>
              </w:rPr>
            </w:pPr>
          </w:p>
          <w:p w14:paraId="57B3F7D4" w14:textId="77777777" w:rsidR="00BE5F6A" w:rsidRPr="00C27A60" w:rsidRDefault="00BE5F6A" w:rsidP="00BE5F6A">
            <w:pPr>
              <w:ind w:firstLine="240"/>
              <w:jc w:val="both"/>
              <w:rPr>
                <w:i/>
                <w:sz w:val="22"/>
                <w:szCs w:val="22"/>
              </w:rPr>
            </w:pPr>
          </w:p>
          <w:p w14:paraId="1C9BB6F1" w14:textId="77777777" w:rsidR="00BE5F6A" w:rsidRPr="00C27A60" w:rsidRDefault="00BE5F6A" w:rsidP="00BE5F6A">
            <w:pPr>
              <w:ind w:firstLine="240"/>
              <w:jc w:val="both"/>
              <w:rPr>
                <w:i/>
                <w:sz w:val="22"/>
                <w:szCs w:val="22"/>
              </w:rPr>
            </w:pPr>
          </w:p>
          <w:p w14:paraId="6FF136E7" w14:textId="77777777" w:rsidR="00BE5F6A" w:rsidRPr="00C27A60" w:rsidRDefault="00BE5F6A" w:rsidP="00BE5F6A">
            <w:pPr>
              <w:ind w:firstLine="240"/>
              <w:jc w:val="both"/>
              <w:rPr>
                <w:i/>
                <w:sz w:val="22"/>
                <w:szCs w:val="22"/>
              </w:rPr>
            </w:pPr>
          </w:p>
          <w:p w14:paraId="4E6F95E4" w14:textId="77777777" w:rsidR="00BE5F6A" w:rsidRPr="00C27A60" w:rsidRDefault="00BE5F6A" w:rsidP="00BE5F6A">
            <w:pPr>
              <w:ind w:firstLine="240"/>
              <w:jc w:val="both"/>
              <w:rPr>
                <w:i/>
                <w:sz w:val="22"/>
                <w:szCs w:val="22"/>
              </w:rPr>
            </w:pPr>
          </w:p>
          <w:p w14:paraId="16984C7F" w14:textId="77777777" w:rsidR="00BE5F6A" w:rsidRPr="00C27A60" w:rsidRDefault="00BE5F6A" w:rsidP="00BE5F6A">
            <w:pPr>
              <w:ind w:firstLine="240"/>
              <w:jc w:val="both"/>
              <w:rPr>
                <w:i/>
                <w:sz w:val="22"/>
                <w:szCs w:val="22"/>
              </w:rPr>
            </w:pPr>
          </w:p>
          <w:p w14:paraId="0D5F10BC" w14:textId="77777777" w:rsidR="00BE5F6A" w:rsidRPr="00C27A60" w:rsidRDefault="00BE5F6A" w:rsidP="00BE5F6A">
            <w:pPr>
              <w:ind w:firstLine="240"/>
              <w:jc w:val="both"/>
              <w:rPr>
                <w:i/>
                <w:sz w:val="22"/>
                <w:szCs w:val="22"/>
              </w:rPr>
            </w:pPr>
          </w:p>
          <w:p w14:paraId="2B8DAE34" w14:textId="77777777" w:rsidR="00BE5F6A" w:rsidRPr="00C27A60" w:rsidRDefault="00BE5F6A" w:rsidP="00BE5F6A">
            <w:pPr>
              <w:ind w:firstLine="240"/>
              <w:jc w:val="both"/>
              <w:rPr>
                <w:i/>
                <w:sz w:val="22"/>
                <w:szCs w:val="22"/>
              </w:rPr>
            </w:pPr>
          </w:p>
          <w:p w14:paraId="1C55B068" w14:textId="77777777" w:rsidR="00BE5F6A" w:rsidRPr="00C27A60" w:rsidRDefault="00BE5F6A" w:rsidP="00BE5F6A">
            <w:pPr>
              <w:ind w:firstLine="240"/>
              <w:jc w:val="both"/>
              <w:rPr>
                <w:i/>
                <w:sz w:val="22"/>
                <w:szCs w:val="22"/>
              </w:rPr>
            </w:pPr>
          </w:p>
          <w:p w14:paraId="7AAC5C29" w14:textId="77777777" w:rsidR="00BE5F6A" w:rsidRPr="00C27A60" w:rsidRDefault="00BE5F6A" w:rsidP="00BE5F6A">
            <w:pPr>
              <w:ind w:firstLine="240"/>
              <w:jc w:val="both"/>
              <w:rPr>
                <w:i/>
                <w:sz w:val="22"/>
                <w:szCs w:val="22"/>
              </w:rPr>
            </w:pPr>
          </w:p>
          <w:p w14:paraId="7D8400AC" w14:textId="77777777" w:rsidR="00BE5F6A" w:rsidRPr="00C27A60" w:rsidRDefault="00BE5F6A" w:rsidP="00BE5F6A">
            <w:pPr>
              <w:ind w:firstLine="240"/>
              <w:jc w:val="both"/>
              <w:rPr>
                <w:i/>
                <w:sz w:val="22"/>
                <w:szCs w:val="22"/>
              </w:rPr>
            </w:pPr>
          </w:p>
          <w:p w14:paraId="37961E85" w14:textId="77777777" w:rsidR="00BE5F6A" w:rsidRPr="00C27A60" w:rsidRDefault="00BE5F6A" w:rsidP="00BE5F6A">
            <w:pPr>
              <w:ind w:firstLine="240"/>
              <w:jc w:val="both"/>
              <w:rPr>
                <w:i/>
                <w:sz w:val="22"/>
                <w:szCs w:val="22"/>
              </w:rPr>
            </w:pPr>
          </w:p>
          <w:p w14:paraId="2CBDBC94" w14:textId="77777777" w:rsidR="00BE5F6A" w:rsidRPr="00C27A60" w:rsidRDefault="00BE5F6A" w:rsidP="00BE5F6A">
            <w:pPr>
              <w:ind w:firstLine="240"/>
              <w:jc w:val="both"/>
              <w:rPr>
                <w:i/>
                <w:sz w:val="22"/>
                <w:szCs w:val="22"/>
              </w:rPr>
            </w:pPr>
          </w:p>
          <w:p w14:paraId="2036AF4E" w14:textId="77777777" w:rsidR="00BE5F6A" w:rsidRPr="00C27A60" w:rsidRDefault="00BE5F6A" w:rsidP="00BE5F6A">
            <w:pPr>
              <w:ind w:firstLine="240"/>
              <w:jc w:val="both"/>
              <w:rPr>
                <w:i/>
                <w:sz w:val="22"/>
                <w:szCs w:val="22"/>
              </w:rPr>
            </w:pPr>
          </w:p>
          <w:p w14:paraId="4FD05939" w14:textId="77777777" w:rsidR="00BE5F6A" w:rsidRPr="00C27A60" w:rsidRDefault="00BE5F6A" w:rsidP="00BE5F6A">
            <w:pPr>
              <w:ind w:firstLine="240"/>
              <w:jc w:val="both"/>
              <w:rPr>
                <w:i/>
                <w:sz w:val="22"/>
                <w:szCs w:val="22"/>
              </w:rPr>
            </w:pPr>
          </w:p>
          <w:p w14:paraId="0088D2DD" w14:textId="77777777" w:rsidR="00BE5F6A" w:rsidRPr="00C27A60" w:rsidRDefault="00BE5F6A" w:rsidP="00BE5F6A">
            <w:pPr>
              <w:ind w:firstLine="240"/>
              <w:jc w:val="both"/>
              <w:rPr>
                <w:i/>
                <w:sz w:val="22"/>
                <w:szCs w:val="22"/>
              </w:rPr>
            </w:pPr>
          </w:p>
          <w:p w14:paraId="667F402A" w14:textId="77777777" w:rsidR="00BE5F6A" w:rsidRPr="00C27A60" w:rsidRDefault="00BE5F6A" w:rsidP="00BE5F6A">
            <w:pPr>
              <w:ind w:firstLine="240"/>
              <w:jc w:val="both"/>
              <w:rPr>
                <w:i/>
                <w:sz w:val="22"/>
                <w:szCs w:val="22"/>
              </w:rPr>
            </w:pPr>
          </w:p>
          <w:p w14:paraId="5AE8F9EF" w14:textId="77777777" w:rsidR="00E10423" w:rsidRPr="00C27A60" w:rsidRDefault="00E10423" w:rsidP="00E10423">
            <w:pPr>
              <w:jc w:val="both"/>
              <w:rPr>
                <w:b/>
                <w:sz w:val="22"/>
                <w:szCs w:val="22"/>
              </w:rPr>
            </w:pPr>
            <w:r w:rsidRPr="00C27A60">
              <w:rPr>
                <w:b/>
                <w:sz w:val="22"/>
                <w:szCs w:val="22"/>
              </w:rPr>
              <w:t>Пропонується до обговорення</w:t>
            </w:r>
          </w:p>
          <w:p w14:paraId="7CE2FC8D" w14:textId="77777777" w:rsidR="00BE5F6A" w:rsidRPr="00C27A60" w:rsidRDefault="00BE5F6A" w:rsidP="00BE5F6A">
            <w:pPr>
              <w:rPr>
                <w:b/>
                <w:sz w:val="22"/>
                <w:szCs w:val="22"/>
              </w:rPr>
            </w:pPr>
            <w:r w:rsidRPr="00C27A60">
              <w:rPr>
                <w:b/>
                <w:sz w:val="22"/>
                <w:szCs w:val="22"/>
              </w:rPr>
              <w:t>Пропонується викласти в наступній редакції</w:t>
            </w:r>
          </w:p>
          <w:p w14:paraId="2AFFA4A9" w14:textId="77777777" w:rsidR="00BE5F6A" w:rsidRPr="00C27A60" w:rsidRDefault="00BE5F6A" w:rsidP="00BE5F6A">
            <w:pPr>
              <w:rPr>
                <w:b/>
                <w:sz w:val="22"/>
                <w:szCs w:val="22"/>
              </w:rPr>
            </w:pPr>
            <w:r w:rsidRPr="00C27A60">
              <w:rPr>
                <w:b/>
                <w:sz w:val="22"/>
                <w:szCs w:val="22"/>
              </w:rPr>
              <w:t>….</w:t>
            </w:r>
          </w:p>
          <w:p w14:paraId="2C5CAF8D" w14:textId="77777777" w:rsidR="00BE5F6A" w:rsidRPr="00C27A60" w:rsidRDefault="00BE5F6A" w:rsidP="00BE5F6A">
            <w:pPr>
              <w:jc w:val="both"/>
              <w:rPr>
                <w:b/>
                <w:sz w:val="22"/>
                <w:szCs w:val="22"/>
              </w:rPr>
            </w:pPr>
            <w:r w:rsidRPr="00C27A60">
              <w:rPr>
                <w:sz w:val="22"/>
                <w:szCs w:val="22"/>
              </w:rPr>
              <w:lastRenderedPageBreak/>
              <w:t>«(з 2024 року за умови, що величина загального обсягу віддачі електричної енергії (в тис. кВт*год), що визначена за фактичними показами розрахункових засобів обліку електроенергії за звітний рік, складає не менше ніж 97% від суми величин загального обсягу віддачі електричної енергії (в тис. кВт*год), що наведені у формі звітності № 5 НКРЕКП-моніторинг-розподіл (місячна) за відповідний звітний рік).»</w:t>
            </w:r>
          </w:p>
          <w:p w14:paraId="7AC78AFD" w14:textId="77777777" w:rsidR="00BE5F6A" w:rsidRPr="00C27A60" w:rsidRDefault="00BE5F6A" w:rsidP="00BE5F6A">
            <w:pPr>
              <w:jc w:val="both"/>
              <w:rPr>
                <w:b/>
                <w:sz w:val="22"/>
                <w:szCs w:val="22"/>
              </w:rPr>
            </w:pPr>
            <w:r w:rsidRPr="00C27A60">
              <w:rPr>
                <w:b/>
                <w:sz w:val="22"/>
                <w:szCs w:val="22"/>
              </w:rPr>
              <w:t>…..</w:t>
            </w:r>
          </w:p>
          <w:p w14:paraId="542BF2C9" w14:textId="77777777" w:rsidR="00BE5F6A" w:rsidRPr="00C27A60" w:rsidRDefault="00BE5F6A" w:rsidP="00BE5F6A">
            <w:pPr>
              <w:ind w:firstLine="240"/>
              <w:jc w:val="both"/>
              <w:rPr>
                <w:i/>
                <w:sz w:val="22"/>
                <w:szCs w:val="22"/>
              </w:rPr>
            </w:pPr>
          </w:p>
          <w:p w14:paraId="026E3245" w14:textId="77777777" w:rsidR="00BE5F6A" w:rsidRPr="00C27A60" w:rsidRDefault="00BE5F6A" w:rsidP="00BE5F6A">
            <w:pPr>
              <w:ind w:firstLine="240"/>
              <w:jc w:val="both"/>
              <w:rPr>
                <w:i/>
                <w:sz w:val="22"/>
                <w:szCs w:val="22"/>
              </w:rPr>
            </w:pPr>
          </w:p>
          <w:p w14:paraId="718DB198" w14:textId="77777777" w:rsidR="00BE5F6A" w:rsidRPr="00C27A60" w:rsidRDefault="00BE5F6A" w:rsidP="00BE5F6A">
            <w:pPr>
              <w:ind w:firstLine="240"/>
              <w:jc w:val="both"/>
              <w:rPr>
                <w:i/>
                <w:sz w:val="22"/>
                <w:szCs w:val="22"/>
              </w:rPr>
            </w:pPr>
          </w:p>
          <w:p w14:paraId="1A98D94A" w14:textId="77777777" w:rsidR="00BE5F6A" w:rsidRPr="00C27A60" w:rsidRDefault="00BE5F6A" w:rsidP="00BE5F6A">
            <w:pPr>
              <w:ind w:firstLine="240"/>
              <w:jc w:val="both"/>
              <w:rPr>
                <w:i/>
                <w:sz w:val="22"/>
                <w:szCs w:val="22"/>
              </w:rPr>
            </w:pPr>
          </w:p>
          <w:p w14:paraId="1F4257F2" w14:textId="77777777" w:rsidR="00BE5F6A" w:rsidRPr="00C27A60" w:rsidRDefault="00BE5F6A" w:rsidP="00BE5F6A">
            <w:pPr>
              <w:ind w:firstLine="240"/>
              <w:jc w:val="both"/>
              <w:rPr>
                <w:i/>
                <w:sz w:val="22"/>
                <w:szCs w:val="22"/>
              </w:rPr>
            </w:pPr>
          </w:p>
          <w:p w14:paraId="309B8416" w14:textId="77777777" w:rsidR="00BE5F6A" w:rsidRPr="00C27A60" w:rsidRDefault="00BE5F6A" w:rsidP="00BE5F6A">
            <w:pPr>
              <w:ind w:firstLine="240"/>
              <w:jc w:val="both"/>
              <w:rPr>
                <w:i/>
                <w:sz w:val="22"/>
                <w:szCs w:val="22"/>
              </w:rPr>
            </w:pPr>
          </w:p>
          <w:p w14:paraId="48E676C7" w14:textId="77777777" w:rsidR="00BE5F6A" w:rsidRPr="00C27A60" w:rsidRDefault="00BE5F6A" w:rsidP="00BE5F6A">
            <w:pPr>
              <w:ind w:firstLine="240"/>
              <w:jc w:val="both"/>
              <w:rPr>
                <w:i/>
                <w:sz w:val="22"/>
                <w:szCs w:val="22"/>
              </w:rPr>
            </w:pPr>
          </w:p>
          <w:p w14:paraId="1C28BD1E" w14:textId="77777777" w:rsidR="00BE5F6A" w:rsidRPr="00C27A60" w:rsidRDefault="00BE5F6A" w:rsidP="00BE5F6A">
            <w:pPr>
              <w:ind w:firstLine="240"/>
              <w:jc w:val="both"/>
              <w:rPr>
                <w:i/>
                <w:sz w:val="22"/>
                <w:szCs w:val="22"/>
              </w:rPr>
            </w:pPr>
          </w:p>
          <w:p w14:paraId="2F79ECFD" w14:textId="77777777" w:rsidR="00BE5F6A" w:rsidRPr="00C27A60" w:rsidRDefault="00BE5F6A" w:rsidP="00BE5F6A">
            <w:pPr>
              <w:ind w:firstLine="240"/>
              <w:jc w:val="both"/>
              <w:rPr>
                <w:i/>
                <w:sz w:val="22"/>
                <w:szCs w:val="22"/>
              </w:rPr>
            </w:pPr>
          </w:p>
          <w:p w14:paraId="6288A5AC" w14:textId="77777777" w:rsidR="00BE5F6A" w:rsidRPr="00C27A60" w:rsidRDefault="00BE5F6A" w:rsidP="00BE5F6A">
            <w:pPr>
              <w:ind w:firstLine="240"/>
              <w:jc w:val="both"/>
              <w:rPr>
                <w:i/>
                <w:sz w:val="22"/>
                <w:szCs w:val="22"/>
              </w:rPr>
            </w:pPr>
          </w:p>
          <w:p w14:paraId="0FEA5895" w14:textId="77777777" w:rsidR="00BE5F6A" w:rsidRPr="00C27A60" w:rsidRDefault="00BE5F6A" w:rsidP="00BE5F6A">
            <w:pPr>
              <w:ind w:firstLine="240"/>
              <w:jc w:val="both"/>
              <w:rPr>
                <w:i/>
                <w:sz w:val="22"/>
                <w:szCs w:val="22"/>
              </w:rPr>
            </w:pPr>
          </w:p>
          <w:p w14:paraId="56CFCD19" w14:textId="77777777" w:rsidR="00BE5F6A" w:rsidRPr="00C27A60" w:rsidRDefault="00BE5F6A" w:rsidP="00BE5F6A">
            <w:pPr>
              <w:ind w:firstLine="240"/>
              <w:jc w:val="both"/>
              <w:rPr>
                <w:i/>
                <w:sz w:val="22"/>
                <w:szCs w:val="22"/>
              </w:rPr>
            </w:pPr>
          </w:p>
          <w:p w14:paraId="6C6266C0" w14:textId="77777777" w:rsidR="00BE5F6A" w:rsidRPr="00C27A60" w:rsidRDefault="00BE5F6A" w:rsidP="00BE5F6A">
            <w:pPr>
              <w:ind w:firstLine="240"/>
              <w:jc w:val="both"/>
              <w:rPr>
                <w:i/>
                <w:sz w:val="22"/>
                <w:szCs w:val="22"/>
              </w:rPr>
            </w:pPr>
          </w:p>
          <w:p w14:paraId="02CAA4CF" w14:textId="77777777" w:rsidR="00BE5F6A" w:rsidRPr="00C27A60" w:rsidRDefault="00BE5F6A" w:rsidP="00BE5F6A">
            <w:pPr>
              <w:ind w:firstLine="240"/>
              <w:jc w:val="both"/>
              <w:rPr>
                <w:i/>
                <w:sz w:val="22"/>
                <w:szCs w:val="22"/>
              </w:rPr>
            </w:pPr>
          </w:p>
          <w:p w14:paraId="1F33FE46" w14:textId="77777777" w:rsidR="00BE5F6A" w:rsidRPr="00C27A60" w:rsidRDefault="00BE5F6A" w:rsidP="00BE5F6A">
            <w:pPr>
              <w:ind w:firstLine="240"/>
              <w:jc w:val="both"/>
              <w:rPr>
                <w:i/>
                <w:sz w:val="22"/>
                <w:szCs w:val="22"/>
              </w:rPr>
            </w:pPr>
          </w:p>
          <w:p w14:paraId="4C1F4565" w14:textId="77777777" w:rsidR="00BE5F6A" w:rsidRPr="00C27A60" w:rsidRDefault="00BE5F6A" w:rsidP="00BE5F6A">
            <w:pPr>
              <w:ind w:firstLine="240"/>
              <w:jc w:val="both"/>
              <w:rPr>
                <w:i/>
                <w:sz w:val="22"/>
                <w:szCs w:val="22"/>
              </w:rPr>
            </w:pPr>
          </w:p>
          <w:p w14:paraId="73039720" w14:textId="77777777" w:rsidR="00BE5F6A" w:rsidRPr="00C27A60" w:rsidRDefault="00BE5F6A" w:rsidP="00BE5F6A">
            <w:pPr>
              <w:ind w:firstLine="240"/>
              <w:jc w:val="both"/>
              <w:rPr>
                <w:i/>
                <w:sz w:val="22"/>
                <w:szCs w:val="22"/>
              </w:rPr>
            </w:pPr>
          </w:p>
          <w:p w14:paraId="2FB0802E" w14:textId="77777777" w:rsidR="00BE5F6A" w:rsidRPr="00C27A60" w:rsidRDefault="00BE5F6A" w:rsidP="00BE5F6A">
            <w:pPr>
              <w:ind w:firstLine="240"/>
              <w:jc w:val="both"/>
              <w:rPr>
                <w:i/>
                <w:sz w:val="22"/>
                <w:szCs w:val="22"/>
              </w:rPr>
            </w:pPr>
          </w:p>
          <w:p w14:paraId="1F45FC85" w14:textId="77777777" w:rsidR="00BE5F6A" w:rsidRPr="00C27A60" w:rsidRDefault="00BE5F6A" w:rsidP="00BE5F6A">
            <w:pPr>
              <w:ind w:firstLine="240"/>
              <w:jc w:val="both"/>
              <w:rPr>
                <w:i/>
                <w:sz w:val="22"/>
                <w:szCs w:val="22"/>
              </w:rPr>
            </w:pPr>
          </w:p>
          <w:p w14:paraId="0AE4D6AE" w14:textId="77777777" w:rsidR="00BE5F6A" w:rsidRPr="00C27A60" w:rsidRDefault="00BE5F6A" w:rsidP="00BE5F6A">
            <w:pPr>
              <w:ind w:firstLine="240"/>
              <w:jc w:val="both"/>
              <w:rPr>
                <w:i/>
                <w:sz w:val="22"/>
                <w:szCs w:val="22"/>
              </w:rPr>
            </w:pPr>
          </w:p>
          <w:p w14:paraId="64761828" w14:textId="77777777" w:rsidR="00BE5F6A" w:rsidRPr="00C27A60" w:rsidRDefault="00BE5F6A" w:rsidP="00BE5F6A">
            <w:pPr>
              <w:ind w:firstLine="240"/>
              <w:jc w:val="both"/>
              <w:rPr>
                <w:i/>
                <w:sz w:val="22"/>
                <w:szCs w:val="22"/>
              </w:rPr>
            </w:pPr>
          </w:p>
          <w:p w14:paraId="3A25E820" w14:textId="77777777" w:rsidR="00BE5F6A" w:rsidRPr="00C27A60" w:rsidRDefault="00BE5F6A" w:rsidP="00BE5F6A">
            <w:pPr>
              <w:ind w:firstLine="240"/>
              <w:jc w:val="both"/>
              <w:rPr>
                <w:i/>
                <w:sz w:val="22"/>
                <w:szCs w:val="22"/>
              </w:rPr>
            </w:pPr>
          </w:p>
          <w:p w14:paraId="4B8F3A36" w14:textId="77777777" w:rsidR="00BE5F6A" w:rsidRPr="00C27A60" w:rsidRDefault="00BE5F6A" w:rsidP="00BE5F6A">
            <w:pPr>
              <w:ind w:firstLine="240"/>
              <w:jc w:val="both"/>
              <w:rPr>
                <w:i/>
                <w:sz w:val="22"/>
                <w:szCs w:val="22"/>
              </w:rPr>
            </w:pPr>
          </w:p>
          <w:p w14:paraId="66479FD8" w14:textId="77777777" w:rsidR="00BE5F6A" w:rsidRPr="00C27A60" w:rsidRDefault="00BE5F6A" w:rsidP="00BE5F6A">
            <w:pPr>
              <w:ind w:firstLine="240"/>
              <w:jc w:val="both"/>
              <w:rPr>
                <w:i/>
                <w:sz w:val="22"/>
                <w:szCs w:val="22"/>
              </w:rPr>
            </w:pPr>
          </w:p>
          <w:p w14:paraId="03DEB00F" w14:textId="77777777" w:rsidR="00BE5F6A" w:rsidRPr="00C27A60" w:rsidRDefault="00BE5F6A" w:rsidP="00BE5F6A">
            <w:pPr>
              <w:ind w:firstLine="240"/>
              <w:jc w:val="both"/>
              <w:rPr>
                <w:i/>
                <w:sz w:val="22"/>
                <w:szCs w:val="22"/>
              </w:rPr>
            </w:pPr>
          </w:p>
          <w:p w14:paraId="6B3B19C8" w14:textId="77777777" w:rsidR="00BE5F6A" w:rsidRPr="00C27A60" w:rsidRDefault="00BE5F6A" w:rsidP="00BE5F6A">
            <w:pPr>
              <w:ind w:firstLine="240"/>
              <w:jc w:val="both"/>
              <w:rPr>
                <w:i/>
                <w:sz w:val="22"/>
                <w:szCs w:val="22"/>
              </w:rPr>
            </w:pPr>
          </w:p>
          <w:p w14:paraId="52E314C6" w14:textId="77777777" w:rsidR="00BE5F6A" w:rsidRPr="00C27A60" w:rsidRDefault="00BE5F6A" w:rsidP="00BE5F6A">
            <w:pPr>
              <w:ind w:firstLine="240"/>
              <w:jc w:val="both"/>
              <w:rPr>
                <w:i/>
                <w:sz w:val="22"/>
                <w:szCs w:val="22"/>
              </w:rPr>
            </w:pPr>
          </w:p>
          <w:p w14:paraId="709CEE66" w14:textId="77777777" w:rsidR="00BE5F6A" w:rsidRPr="00C27A60" w:rsidRDefault="00BE5F6A" w:rsidP="00BE5F6A">
            <w:pPr>
              <w:ind w:firstLine="240"/>
              <w:jc w:val="both"/>
              <w:rPr>
                <w:i/>
                <w:sz w:val="22"/>
                <w:szCs w:val="22"/>
              </w:rPr>
            </w:pPr>
          </w:p>
          <w:p w14:paraId="7D3A7A16" w14:textId="77777777" w:rsidR="00BE5F6A" w:rsidRPr="00C27A60" w:rsidRDefault="00BE5F6A" w:rsidP="00BE5F6A">
            <w:pPr>
              <w:ind w:firstLine="240"/>
              <w:jc w:val="both"/>
              <w:rPr>
                <w:i/>
                <w:sz w:val="22"/>
                <w:szCs w:val="22"/>
              </w:rPr>
            </w:pPr>
          </w:p>
          <w:p w14:paraId="5F9A1D77" w14:textId="77777777" w:rsidR="00BE5F6A" w:rsidRPr="00C27A60" w:rsidRDefault="00BE5F6A" w:rsidP="00BE5F6A">
            <w:pPr>
              <w:ind w:firstLine="240"/>
              <w:jc w:val="both"/>
              <w:rPr>
                <w:i/>
                <w:sz w:val="22"/>
                <w:szCs w:val="22"/>
              </w:rPr>
            </w:pPr>
          </w:p>
          <w:p w14:paraId="7F78E69C" w14:textId="77777777" w:rsidR="00BE5F6A" w:rsidRPr="00C27A60" w:rsidRDefault="00BE5F6A" w:rsidP="00BE5F6A">
            <w:pPr>
              <w:ind w:firstLine="240"/>
              <w:jc w:val="both"/>
              <w:rPr>
                <w:i/>
                <w:sz w:val="22"/>
                <w:szCs w:val="22"/>
              </w:rPr>
            </w:pPr>
          </w:p>
          <w:p w14:paraId="4FA7B5D0" w14:textId="77777777" w:rsidR="00BE5F6A" w:rsidRPr="00C27A60" w:rsidRDefault="00BE5F6A" w:rsidP="00BE5F6A">
            <w:pPr>
              <w:ind w:firstLine="240"/>
              <w:jc w:val="both"/>
              <w:rPr>
                <w:i/>
                <w:sz w:val="22"/>
                <w:szCs w:val="22"/>
              </w:rPr>
            </w:pPr>
          </w:p>
          <w:p w14:paraId="6AE3BB0B" w14:textId="77777777" w:rsidR="00BE5F6A" w:rsidRPr="00C27A60" w:rsidRDefault="00BE5F6A" w:rsidP="00BE5F6A">
            <w:pPr>
              <w:ind w:firstLine="240"/>
              <w:jc w:val="both"/>
              <w:rPr>
                <w:i/>
                <w:sz w:val="22"/>
                <w:szCs w:val="22"/>
              </w:rPr>
            </w:pPr>
          </w:p>
          <w:p w14:paraId="2B1C02FD" w14:textId="77777777" w:rsidR="00BE5F6A" w:rsidRPr="00C27A60" w:rsidRDefault="00BE5F6A" w:rsidP="00BE5F6A">
            <w:pPr>
              <w:ind w:firstLine="240"/>
              <w:jc w:val="both"/>
              <w:rPr>
                <w:i/>
                <w:sz w:val="22"/>
                <w:szCs w:val="22"/>
              </w:rPr>
            </w:pPr>
          </w:p>
          <w:p w14:paraId="070482F5" w14:textId="77777777" w:rsidR="00BE5F6A" w:rsidRPr="00C27A60" w:rsidRDefault="00BE5F6A" w:rsidP="00BE5F6A">
            <w:pPr>
              <w:ind w:firstLine="240"/>
              <w:jc w:val="both"/>
              <w:rPr>
                <w:i/>
                <w:sz w:val="22"/>
                <w:szCs w:val="22"/>
              </w:rPr>
            </w:pPr>
          </w:p>
          <w:p w14:paraId="246FEA16" w14:textId="77777777" w:rsidR="00BE5F6A" w:rsidRPr="00C27A60" w:rsidRDefault="00BE5F6A" w:rsidP="00BE5F6A">
            <w:pPr>
              <w:ind w:firstLine="240"/>
              <w:jc w:val="both"/>
              <w:rPr>
                <w:i/>
                <w:sz w:val="22"/>
                <w:szCs w:val="22"/>
              </w:rPr>
            </w:pPr>
          </w:p>
          <w:p w14:paraId="219CE7F1" w14:textId="77777777" w:rsidR="00BE5F6A" w:rsidRPr="00C27A60" w:rsidRDefault="00BE5F6A" w:rsidP="00BE5F6A">
            <w:pPr>
              <w:ind w:firstLine="240"/>
              <w:jc w:val="both"/>
              <w:rPr>
                <w:i/>
                <w:sz w:val="22"/>
                <w:szCs w:val="22"/>
              </w:rPr>
            </w:pPr>
          </w:p>
          <w:p w14:paraId="4EDCA698" w14:textId="77777777" w:rsidR="00BE5F6A" w:rsidRPr="00C27A60" w:rsidRDefault="00BE5F6A" w:rsidP="00BE5F6A">
            <w:pPr>
              <w:ind w:firstLine="240"/>
              <w:jc w:val="both"/>
              <w:rPr>
                <w:i/>
                <w:sz w:val="22"/>
                <w:szCs w:val="22"/>
              </w:rPr>
            </w:pPr>
          </w:p>
          <w:p w14:paraId="6C962569" w14:textId="77777777" w:rsidR="00BE5F6A" w:rsidRPr="00C27A60" w:rsidRDefault="00BE5F6A" w:rsidP="00BE5F6A">
            <w:pPr>
              <w:ind w:firstLine="240"/>
              <w:jc w:val="both"/>
              <w:rPr>
                <w:i/>
                <w:sz w:val="22"/>
                <w:szCs w:val="22"/>
              </w:rPr>
            </w:pPr>
          </w:p>
          <w:p w14:paraId="6F0293DE" w14:textId="77777777" w:rsidR="00BE5F6A" w:rsidRPr="00C27A60" w:rsidRDefault="00BE5F6A" w:rsidP="00BE5F6A">
            <w:pPr>
              <w:ind w:firstLine="240"/>
              <w:jc w:val="both"/>
              <w:rPr>
                <w:i/>
                <w:sz w:val="22"/>
                <w:szCs w:val="22"/>
              </w:rPr>
            </w:pPr>
          </w:p>
          <w:p w14:paraId="11AFA944" w14:textId="77777777" w:rsidR="00BE5F6A" w:rsidRPr="00C27A60" w:rsidRDefault="00BE5F6A" w:rsidP="00BE5F6A">
            <w:pPr>
              <w:ind w:firstLine="240"/>
              <w:jc w:val="both"/>
              <w:rPr>
                <w:i/>
                <w:sz w:val="22"/>
                <w:szCs w:val="22"/>
              </w:rPr>
            </w:pPr>
          </w:p>
          <w:p w14:paraId="0029EFB1" w14:textId="77777777" w:rsidR="00BE5F6A" w:rsidRPr="00C27A60" w:rsidRDefault="00BE5F6A" w:rsidP="00BE5F6A">
            <w:pPr>
              <w:ind w:firstLine="240"/>
              <w:jc w:val="both"/>
              <w:rPr>
                <w:i/>
                <w:sz w:val="22"/>
                <w:szCs w:val="22"/>
              </w:rPr>
            </w:pPr>
          </w:p>
          <w:p w14:paraId="316869AB" w14:textId="77777777" w:rsidR="00BE5F6A" w:rsidRPr="00C27A60" w:rsidRDefault="00BE5F6A" w:rsidP="00BE5F6A">
            <w:pPr>
              <w:ind w:firstLine="240"/>
              <w:jc w:val="both"/>
              <w:rPr>
                <w:i/>
                <w:sz w:val="22"/>
                <w:szCs w:val="22"/>
              </w:rPr>
            </w:pPr>
          </w:p>
          <w:p w14:paraId="624B5B72" w14:textId="77777777" w:rsidR="00BE5F6A" w:rsidRPr="00C27A60" w:rsidRDefault="00BE5F6A" w:rsidP="00BE5F6A">
            <w:pPr>
              <w:ind w:firstLine="240"/>
              <w:jc w:val="both"/>
              <w:rPr>
                <w:i/>
                <w:sz w:val="22"/>
                <w:szCs w:val="22"/>
              </w:rPr>
            </w:pPr>
          </w:p>
          <w:p w14:paraId="1FEB7A2F" w14:textId="77777777" w:rsidR="00BE5F6A" w:rsidRPr="00C27A60" w:rsidRDefault="00BE5F6A" w:rsidP="00BE5F6A">
            <w:pPr>
              <w:ind w:firstLine="240"/>
              <w:jc w:val="both"/>
              <w:rPr>
                <w:i/>
                <w:sz w:val="22"/>
                <w:szCs w:val="22"/>
              </w:rPr>
            </w:pPr>
          </w:p>
          <w:p w14:paraId="539E3552" w14:textId="77777777" w:rsidR="00BE5F6A" w:rsidRPr="00C27A60" w:rsidRDefault="00BE5F6A" w:rsidP="00BE5F6A">
            <w:pPr>
              <w:ind w:firstLine="240"/>
              <w:jc w:val="both"/>
              <w:rPr>
                <w:i/>
                <w:sz w:val="22"/>
                <w:szCs w:val="22"/>
              </w:rPr>
            </w:pPr>
          </w:p>
          <w:p w14:paraId="2E699F4F" w14:textId="77777777" w:rsidR="00BE5F6A" w:rsidRPr="00C27A60" w:rsidRDefault="00BE5F6A" w:rsidP="00BE5F6A">
            <w:pPr>
              <w:ind w:firstLine="240"/>
              <w:jc w:val="both"/>
              <w:rPr>
                <w:i/>
                <w:sz w:val="22"/>
                <w:szCs w:val="22"/>
              </w:rPr>
            </w:pPr>
          </w:p>
          <w:p w14:paraId="257F755D" w14:textId="77777777" w:rsidR="00BE5F6A" w:rsidRPr="00C27A60" w:rsidRDefault="00BE5F6A" w:rsidP="00BE5F6A">
            <w:pPr>
              <w:ind w:firstLine="240"/>
              <w:jc w:val="both"/>
              <w:rPr>
                <w:i/>
                <w:sz w:val="22"/>
                <w:szCs w:val="22"/>
              </w:rPr>
            </w:pPr>
          </w:p>
          <w:p w14:paraId="4135844D" w14:textId="77777777" w:rsidR="00BE5F6A" w:rsidRPr="00C27A60" w:rsidRDefault="00BE5F6A" w:rsidP="00BE5F6A">
            <w:pPr>
              <w:ind w:firstLine="240"/>
              <w:jc w:val="both"/>
              <w:rPr>
                <w:i/>
                <w:sz w:val="22"/>
                <w:szCs w:val="22"/>
              </w:rPr>
            </w:pPr>
          </w:p>
          <w:p w14:paraId="415B2D72" w14:textId="77777777" w:rsidR="00BE5F6A" w:rsidRPr="00C27A60" w:rsidRDefault="00BE5F6A" w:rsidP="00BE5F6A">
            <w:pPr>
              <w:ind w:firstLine="240"/>
              <w:jc w:val="both"/>
              <w:rPr>
                <w:i/>
                <w:sz w:val="22"/>
                <w:szCs w:val="22"/>
              </w:rPr>
            </w:pPr>
          </w:p>
          <w:p w14:paraId="17FB1169" w14:textId="77777777" w:rsidR="00BE5F6A" w:rsidRPr="00C27A60" w:rsidRDefault="00BE5F6A" w:rsidP="00BE5F6A">
            <w:pPr>
              <w:ind w:firstLine="240"/>
              <w:jc w:val="both"/>
              <w:rPr>
                <w:i/>
                <w:sz w:val="22"/>
                <w:szCs w:val="22"/>
              </w:rPr>
            </w:pPr>
          </w:p>
          <w:p w14:paraId="0F9423EA" w14:textId="77777777" w:rsidR="00BE5F6A" w:rsidRPr="00C27A60" w:rsidRDefault="00BE5F6A" w:rsidP="00BE5F6A">
            <w:pPr>
              <w:ind w:firstLine="240"/>
              <w:jc w:val="both"/>
              <w:rPr>
                <w:i/>
                <w:sz w:val="22"/>
                <w:szCs w:val="22"/>
              </w:rPr>
            </w:pPr>
          </w:p>
          <w:p w14:paraId="49BACA14" w14:textId="77777777" w:rsidR="00BE5F6A" w:rsidRPr="00C27A60" w:rsidRDefault="00BE5F6A" w:rsidP="00BE5F6A">
            <w:pPr>
              <w:ind w:firstLine="240"/>
              <w:jc w:val="both"/>
              <w:rPr>
                <w:i/>
                <w:sz w:val="22"/>
                <w:szCs w:val="22"/>
              </w:rPr>
            </w:pPr>
          </w:p>
          <w:p w14:paraId="4CAAB745" w14:textId="77777777" w:rsidR="00BE5F6A" w:rsidRPr="00C27A60" w:rsidRDefault="00BE5F6A" w:rsidP="00BE5F6A">
            <w:pPr>
              <w:ind w:firstLine="240"/>
              <w:jc w:val="both"/>
              <w:rPr>
                <w:i/>
                <w:sz w:val="22"/>
                <w:szCs w:val="22"/>
              </w:rPr>
            </w:pPr>
          </w:p>
          <w:p w14:paraId="2A02DC62" w14:textId="77777777" w:rsidR="00BE5F6A" w:rsidRPr="00C27A60" w:rsidRDefault="00BE5F6A" w:rsidP="00BE5F6A">
            <w:pPr>
              <w:ind w:firstLine="240"/>
              <w:jc w:val="both"/>
              <w:rPr>
                <w:i/>
                <w:sz w:val="22"/>
                <w:szCs w:val="22"/>
              </w:rPr>
            </w:pPr>
          </w:p>
          <w:p w14:paraId="44B25DA8" w14:textId="77777777" w:rsidR="00BE5F6A" w:rsidRPr="00C27A60" w:rsidRDefault="00BE5F6A" w:rsidP="00BE5F6A">
            <w:pPr>
              <w:ind w:firstLine="240"/>
              <w:jc w:val="both"/>
              <w:rPr>
                <w:i/>
                <w:sz w:val="22"/>
                <w:szCs w:val="22"/>
              </w:rPr>
            </w:pPr>
          </w:p>
          <w:p w14:paraId="1FB02303" w14:textId="77777777" w:rsidR="00BE5F6A" w:rsidRPr="00C27A60" w:rsidRDefault="00BE5F6A" w:rsidP="00BE5F6A">
            <w:pPr>
              <w:ind w:firstLine="240"/>
              <w:jc w:val="both"/>
              <w:rPr>
                <w:i/>
                <w:sz w:val="22"/>
                <w:szCs w:val="22"/>
              </w:rPr>
            </w:pPr>
          </w:p>
          <w:p w14:paraId="6D5636D3" w14:textId="77777777" w:rsidR="00BE5F6A" w:rsidRPr="00C27A60" w:rsidRDefault="00BE5F6A" w:rsidP="00BE5F6A">
            <w:pPr>
              <w:ind w:firstLine="240"/>
              <w:jc w:val="both"/>
              <w:rPr>
                <w:i/>
                <w:sz w:val="22"/>
                <w:szCs w:val="22"/>
              </w:rPr>
            </w:pPr>
          </w:p>
          <w:p w14:paraId="604EC75C" w14:textId="77777777" w:rsidR="00BE5F6A" w:rsidRPr="00C27A60" w:rsidRDefault="00BE5F6A" w:rsidP="00BE5F6A">
            <w:pPr>
              <w:ind w:firstLine="240"/>
              <w:jc w:val="both"/>
              <w:rPr>
                <w:i/>
                <w:sz w:val="22"/>
                <w:szCs w:val="22"/>
              </w:rPr>
            </w:pPr>
          </w:p>
          <w:p w14:paraId="2898A80E" w14:textId="77777777" w:rsidR="00BE5F6A" w:rsidRPr="00C27A60" w:rsidRDefault="00BE5F6A" w:rsidP="00BE5F6A">
            <w:pPr>
              <w:ind w:firstLine="240"/>
              <w:jc w:val="both"/>
              <w:rPr>
                <w:i/>
                <w:sz w:val="22"/>
                <w:szCs w:val="22"/>
              </w:rPr>
            </w:pPr>
          </w:p>
          <w:p w14:paraId="11CD5A86" w14:textId="77777777" w:rsidR="00BE5F6A" w:rsidRPr="00C27A60" w:rsidRDefault="00BE5F6A" w:rsidP="00BE5F6A">
            <w:pPr>
              <w:ind w:firstLine="240"/>
              <w:jc w:val="both"/>
              <w:rPr>
                <w:i/>
                <w:sz w:val="22"/>
                <w:szCs w:val="22"/>
              </w:rPr>
            </w:pPr>
          </w:p>
          <w:p w14:paraId="1297DCD5" w14:textId="77777777" w:rsidR="00BE5F6A" w:rsidRPr="00C27A60" w:rsidRDefault="00BE5F6A" w:rsidP="00BE5F6A">
            <w:pPr>
              <w:ind w:firstLine="240"/>
              <w:jc w:val="both"/>
              <w:rPr>
                <w:i/>
                <w:sz w:val="22"/>
                <w:szCs w:val="22"/>
              </w:rPr>
            </w:pPr>
          </w:p>
          <w:p w14:paraId="742B68FA" w14:textId="77777777" w:rsidR="00BE5F6A" w:rsidRPr="00C27A60" w:rsidRDefault="00BE5F6A" w:rsidP="00BE5F6A">
            <w:pPr>
              <w:ind w:firstLine="240"/>
              <w:jc w:val="both"/>
              <w:rPr>
                <w:i/>
                <w:sz w:val="22"/>
                <w:szCs w:val="22"/>
              </w:rPr>
            </w:pPr>
          </w:p>
          <w:p w14:paraId="5481F3FF" w14:textId="77777777" w:rsidR="00BE5F6A" w:rsidRPr="00C27A60" w:rsidRDefault="00BE5F6A" w:rsidP="00BE5F6A">
            <w:pPr>
              <w:ind w:firstLine="240"/>
              <w:jc w:val="both"/>
              <w:rPr>
                <w:i/>
                <w:sz w:val="22"/>
                <w:szCs w:val="22"/>
              </w:rPr>
            </w:pPr>
          </w:p>
          <w:p w14:paraId="2A2CC177" w14:textId="77777777" w:rsidR="00BE5F6A" w:rsidRPr="00C27A60" w:rsidRDefault="00BE5F6A" w:rsidP="00BE5F6A">
            <w:pPr>
              <w:ind w:firstLine="240"/>
              <w:jc w:val="both"/>
              <w:rPr>
                <w:i/>
                <w:sz w:val="22"/>
                <w:szCs w:val="22"/>
              </w:rPr>
            </w:pPr>
          </w:p>
          <w:p w14:paraId="28798F9A" w14:textId="77777777" w:rsidR="00BE5F6A" w:rsidRPr="00C27A60" w:rsidRDefault="00BE5F6A" w:rsidP="00BE5F6A">
            <w:pPr>
              <w:ind w:firstLine="240"/>
              <w:jc w:val="both"/>
              <w:rPr>
                <w:i/>
                <w:sz w:val="22"/>
                <w:szCs w:val="22"/>
              </w:rPr>
            </w:pPr>
          </w:p>
          <w:p w14:paraId="0219FFD4" w14:textId="77777777" w:rsidR="00BE5F6A" w:rsidRPr="00C27A60" w:rsidRDefault="00BE5F6A" w:rsidP="00BE5F6A">
            <w:pPr>
              <w:ind w:firstLine="240"/>
              <w:jc w:val="both"/>
              <w:rPr>
                <w:i/>
                <w:sz w:val="22"/>
                <w:szCs w:val="22"/>
              </w:rPr>
            </w:pPr>
          </w:p>
          <w:p w14:paraId="2A36FFCE" w14:textId="77777777" w:rsidR="00BE5F6A" w:rsidRPr="00C27A60" w:rsidRDefault="00BE5F6A" w:rsidP="00BE5F6A">
            <w:pPr>
              <w:ind w:firstLine="240"/>
              <w:jc w:val="both"/>
              <w:rPr>
                <w:i/>
                <w:sz w:val="22"/>
                <w:szCs w:val="22"/>
              </w:rPr>
            </w:pPr>
          </w:p>
          <w:p w14:paraId="77A18F54" w14:textId="77777777" w:rsidR="00BE5F6A" w:rsidRPr="00C27A60" w:rsidRDefault="00BE5F6A" w:rsidP="00BE5F6A">
            <w:pPr>
              <w:ind w:firstLine="240"/>
              <w:jc w:val="both"/>
              <w:rPr>
                <w:i/>
                <w:sz w:val="22"/>
                <w:szCs w:val="22"/>
              </w:rPr>
            </w:pPr>
          </w:p>
          <w:p w14:paraId="2238CB38" w14:textId="77777777" w:rsidR="00BE5F6A" w:rsidRPr="00C27A60" w:rsidRDefault="00BE5F6A" w:rsidP="00BE5F6A">
            <w:pPr>
              <w:ind w:firstLine="240"/>
              <w:jc w:val="both"/>
              <w:rPr>
                <w:i/>
                <w:sz w:val="22"/>
                <w:szCs w:val="22"/>
              </w:rPr>
            </w:pPr>
          </w:p>
          <w:p w14:paraId="5548A15D" w14:textId="77777777" w:rsidR="00BE5F6A" w:rsidRPr="00C27A60" w:rsidRDefault="00BE5F6A" w:rsidP="00BE5F6A">
            <w:pPr>
              <w:ind w:firstLine="240"/>
              <w:jc w:val="both"/>
              <w:rPr>
                <w:i/>
                <w:sz w:val="22"/>
                <w:szCs w:val="22"/>
              </w:rPr>
            </w:pPr>
          </w:p>
          <w:p w14:paraId="248A57EA" w14:textId="77777777" w:rsidR="00BE5F6A" w:rsidRPr="00C27A60" w:rsidRDefault="00BE5F6A" w:rsidP="00BE5F6A">
            <w:pPr>
              <w:ind w:firstLine="240"/>
              <w:jc w:val="both"/>
              <w:rPr>
                <w:i/>
                <w:sz w:val="22"/>
                <w:szCs w:val="22"/>
              </w:rPr>
            </w:pPr>
          </w:p>
          <w:p w14:paraId="5344B1D9" w14:textId="77777777" w:rsidR="00BE5F6A" w:rsidRPr="00C27A60" w:rsidRDefault="00BE5F6A" w:rsidP="00BE5F6A">
            <w:pPr>
              <w:ind w:firstLine="240"/>
              <w:jc w:val="both"/>
              <w:rPr>
                <w:i/>
                <w:sz w:val="22"/>
                <w:szCs w:val="22"/>
              </w:rPr>
            </w:pPr>
          </w:p>
          <w:p w14:paraId="608A509E" w14:textId="77777777" w:rsidR="00BE5F6A" w:rsidRPr="00C27A60" w:rsidRDefault="00BE5F6A" w:rsidP="00BE5F6A">
            <w:pPr>
              <w:ind w:firstLine="240"/>
              <w:jc w:val="both"/>
              <w:rPr>
                <w:i/>
                <w:sz w:val="22"/>
                <w:szCs w:val="22"/>
              </w:rPr>
            </w:pPr>
          </w:p>
          <w:p w14:paraId="7CEB5261" w14:textId="77777777" w:rsidR="00BE5F6A" w:rsidRPr="00C27A60" w:rsidRDefault="00BE5F6A" w:rsidP="00BE5F6A">
            <w:pPr>
              <w:ind w:firstLine="240"/>
              <w:jc w:val="both"/>
              <w:rPr>
                <w:i/>
                <w:sz w:val="22"/>
                <w:szCs w:val="22"/>
              </w:rPr>
            </w:pPr>
          </w:p>
          <w:p w14:paraId="0A5A1570" w14:textId="77777777" w:rsidR="00BE5F6A" w:rsidRPr="00C27A60" w:rsidRDefault="00BE5F6A" w:rsidP="00BE5F6A">
            <w:pPr>
              <w:ind w:firstLine="240"/>
              <w:jc w:val="both"/>
              <w:rPr>
                <w:i/>
                <w:sz w:val="22"/>
                <w:szCs w:val="22"/>
              </w:rPr>
            </w:pPr>
          </w:p>
          <w:p w14:paraId="21F3EB5D" w14:textId="77777777" w:rsidR="00BE5F6A" w:rsidRPr="00C27A60" w:rsidRDefault="00BE5F6A" w:rsidP="00BE5F6A">
            <w:pPr>
              <w:ind w:firstLine="240"/>
              <w:jc w:val="both"/>
              <w:rPr>
                <w:i/>
                <w:sz w:val="22"/>
                <w:szCs w:val="22"/>
              </w:rPr>
            </w:pPr>
          </w:p>
          <w:p w14:paraId="7CD874E7" w14:textId="77777777" w:rsidR="00BE5F6A" w:rsidRPr="00C27A60" w:rsidRDefault="00BE5F6A" w:rsidP="00BE5F6A">
            <w:pPr>
              <w:ind w:firstLine="240"/>
              <w:jc w:val="both"/>
              <w:rPr>
                <w:i/>
                <w:sz w:val="22"/>
                <w:szCs w:val="22"/>
              </w:rPr>
            </w:pPr>
          </w:p>
          <w:p w14:paraId="6977D2E4" w14:textId="77777777" w:rsidR="00BE5F6A" w:rsidRPr="00C27A60" w:rsidRDefault="00BE5F6A" w:rsidP="00BE5F6A">
            <w:pPr>
              <w:ind w:firstLine="240"/>
              <w:jc w:val="both"/>
              <w:rPr>
                <w:i/>
                <w:sz w:val="22"/>
                <w:szCs w:val="22"/>
              </w:rPr>
            </w:pPr>
          </w:p>
          <w:p w14:paraId="6ABF92F8" w14:textId="77777777" w:rsidR="00BE5F6A" w:rsidRPr="00C27A60" w:rsidRDefault="00BE5F6A" w:rsidP="00BE5F6A">
            <w:pPr>
              <w:ind w:firstLine="240"/>
              <w:jc w:val="both"/>
              <w:rPr>
                <w:i/>
                <w:sz w:val="22"/>
                <w:szCs w:val="22"/>
              </w:rPr>
            </w:pPr>
          </w:p>
          <w:p w14:paraId="19FDCD97" w14:textId="77777777" w:rsidR="00BE5F6A" w:rsidRPr="00C27A60" w:rsidRDefault="00BE5F6A" w:rsidP="00BE5F6A">
            <w:pPr>
              <w:ind w:firstLine="240"/>
              <w:jc w:val="both"/>
              <w:rPr>
                <w:i/>
                <w:sz w:val="22"/>
                <w:szCs w:val="22"/>
              </w:rPr>
            </w:pPr>
          </w:p>
          <w:p w14:paraId="702E713F" w14:textId="77777777" w:rsidR="00BE5F6A" w:rsidRPr="00C27A60" w:rsidRDefault="00BE5F6A" w:rsidP="00BE5F6A">
            <w:pPr>
              <w:ind w:firstLine="240"/>
              <w:jc w:val="both"/>
              <w:rPr>
                <w:i/>
                <w:sz w:val="22"/>
                <w:szCs w:val="22"/>
              </w:rPr>
            </w:pPr>
          </w:p>
          <w:p w14:paraId="74232733" w14:textId="77777777" w:rsidR="00BE5F6A" w:rsidRPr="00C27A60" w:rsidRDefault="00BE5F6A" w:rsidP="00BE5F6A">
            <w:pPr>
              <w:ind w:firstLine="240"/>
              <w:jc w:val="both"/>
              <w:rPr>
                <w:i/>
                <w:sz w:val="22"/>
                <w:szCs w:val="22"/>
              </w:rPr>
            </w:pPr>
          </w:p>
          <w:p w14:paraId="3DB5B2A5" w14:textId="77777777" w:rsidR="00BE5F6A" w:rsidRPr="00C27A60" w:rsidRDefault="00BE5F6A" w:rsidP="00BE5F6A">
            <w:pPr>
              <w:ind w:firstLine="240"/>
              <w:jc w:val="both"/>
              <w:rPr>
                <w:i/>
                <w:sz w:val="22"/>
                <w:szCs w:val="22"/>
              </w:rPr>
            </w:pPr>
          </w:p>
          <w:p w14:paraId="712919AA" w14:textId="77777777" w:rsidR="00BE5F6A" w:rsidRPr="00C27A60" w:rsidRDefault="00BE5F6A" w:rsidP="00BE5F6A">
            <w:pPr>
              <w:ind w:firstLine="240"/>
              <w:jc w:val="both"/>
              <w:rPr>
                <w:i/>
                <w:sz w:val="22"/>
                <w:szCs w:val="22"/>
              </w:rPr>
            </w:pPr>
          </w:p>
          <w:p w14:paraId="01913685" w14:textId="77777777" w:rsidR="00BE5F6A" w:rsidRPr="00C27A60" w:rsidRDefault="00BE5F6A" w:rsidP="00BE5F6A">
            <w:pPr>
              <w:ind w:firstLine="240"/>
              <w:jc w:val="both"/>
              <w:rPr>
                <w:i/>
                <w:sz w:val="22"/>
                <w:szCs w:val="22"/>
              </w:rPr>
            </w:pPr>
          </w:p>
          <w:p w14:paraId="08FAF2D8" w14:textId="77777777" w:rsidR="00BE5F6A" w:rsidRPr="00C27A60" w:rsidRDefault="00BE5F6A" w:rsidP="00BE5F6A">
            <w:pPr>
              <w:ind w:firstLine="240"/>
              <w:jc w:val="both"/>
              <w:rPr>
                <w:i/>
                <w:sz w:val="22"/>
                <w:szCs w:val="22"/>
              </w:rPr>
            </w:pPr>
          </w:p>
          <w:p w14:paraId="0AD3C412" w14:textId="77777777" w:rsidR="00BE5F6A" w:rsidRPr="00C27A60" w:rsidRDefault="00BE5F6A" w:rsidP="00BE5F6A">
            <w:pPr>
              <w:ind w:firstLine="240"/>
              <w:jc w:val="both"/>
              <w:rPr>
                <w:i/>
                <w:sz w:val="22"/>
                <w:szCs w:val="22"/>
              </w:rPr>
            </w:pPr>
          </w:p>
          <w:p w14:paraId="4FF87823" w14:textId="77777777" w:rsidR="00BE5F6A" w:rsidRPr="00C27A60" w:rsidRDefault="00BE5F6A" w:rsidP="00BE5F6A">
            <w:pPr>
              <w:ind w:firstLine="240"/>
              <w:jc w:val="both"/>
              <w:rPr>
                <w:i/>
                <w:sz w:val="22"/>
                <w:szCs w:val="22"/>
              </w:rPr>
            </w:pPr>
          </w:p>
          <w:p w14:paraId="6479F7AB" w14:textId="77777777" w:rsidR="00BE5F6A" w:rsidRPr="00C27A60" w:rsidRDefault="00BE5F6A" w:rsidP="00BE5F6A">
            <w:pPr>
              <w:ind w:firstLine="240"/>
              <w:jc w:val="both"/>
              <w:rPr>
                <w:i/>
                <w:sz w:val="22"/>
                <w:szCs w:val="22"/>
              </w:rPr>
            </w:pPr>
          </w:p>
          <w:p w14:paraId="686D39F3" w14:textId="77777777" w:rsidR="00BE5F6A" w:rsidRPr="00C27A60" w:rsidRDefault="00BE5F6A" w:rsidP="00BE5F6A">
            <w:pPr>
              <w:ind w:firstLine="240"/>
              <w:jc w:val="both"/>
              <w:rPr>
                <w:i/>
                <w:sz w:val="22"/>
                <w:szCs w:val="22"/>
              </w:rPr>
            </w:pPr>
          </w:p>
          <w:p w14:paraId="74C03BBD" w14:textId="77777777" w:rsidR="00BE5F6A" w:rsidRPr="00C27A60" w:rsidRDefault="00BE5F6A" w:rsidP="00BE5F6A">
            <w:pPr>
              <w:ind w:firstLine="240"/>
              <w:jc w:val="both"/>
              <w:rPr>
                <w:i/>
                <w:sz w:val="22"/>
                <w:szCs w:val="22"/>
              </w:rPr>
            </w:pPr>
          </w:p>
          <w:p w14:paraId="35D758AC" w14:textId="77777777" w:rsidR="00BE5F6A" w:rsidRPr="00C27A60" w:rsidRDefault="00BE5F6A" w:rsidP="00BE5F6A">
            <w:pPr>
              <w:ind w:firstLine="240"/>
              <w:jc w:val="both"/>
              <w:rPr>
                <w:i/>
                <w:sz w:val="22"/>
                <w:szCs w:val="22"/>
              </w:rPr>
            </w:pPr>
          </w:p>
          <w:p w14:paraId="1CFEE490" w14:textId="77777777" w:rsidR="00BE5F6A" w:rsidRPr="00C27A60" w:rsidRDefault="00BE5F6A" w:rsidP="00BE5F6A">
            <w:pPr>
              <w:ind w:firstLine="240"/>
              <w:jc w:val="both"/>
              <w:rPr>
                <w:i/>
                <w:sz w:val="22"/>
                <w:szCs w:val="22"/>
              </w:rPr>
            </w:pPr>
          </w:p>
          <w:p w14:paraId="1B110C65" w14:textId="77777777" w:rsidR="00BE5F6A" w:rsidRPr="00C27A60" w:rsidRDefault="00BE5F6A" w:rsidP="00BE5F6A">
            <w:pPr>
              <w:ind w:firstLine="240"/>
              <w:jc w:val="both"/>
              <w:rPr>
                <w:i/>
                <w:sz w:val="22"/>
                <w:szCs w:val="22"/>
              </w:rPr>
            </w:pPr>
          </w:p>
          <w:p w14:paraId="61A81C7B" w14:textId="77777777" w:rsidR="00BE5F6A" w:rsidRPr="00C27A60" w:rsidRDefault="00BE5F6A" w:rsidP="00BE5F6A">
            <w:pPr>
              <w:ind w:firstLine="240"/>
              <w:jc w:val="both"/>
              <w:rPr>
                <w:i/>
                <w:sz w:val="22"/>
                <w:szCs w:val="22"/>
              </w:rPr>
            </w:pPr>
          </w:p>
          <w:p w14:paraId="47FA88CD" w14:textId="77777777" w:rsidR="00BE5F6A" w:rsidRPr="00C27A60" w:rsidRDefault="00BE5F6A" w:rsidP="00BE5F6A">
            <w:pPr>
              <w:ind w:firstLine="240"/>
              <w:jc w:val="both"/>
              <w:rPr>
                <w:i/>
                <w:sz w:val="22"/>
                <w:szCs w:val="22"/>
              </w:rPr>
            </w:pPr>
          </w:p>
          <w:p w14:paraId="61FAF4A6" w14:textId="77777777" w:rsidR="00BE5F6A" w:rsidRPr="00C27A60" w:rsidRDefault="00BE5F6A" w:rsidP="00BE5F6A">
            <w:pPr>
              <w:ind w:firstLine="240"/>
              <w:jc w:val="both"/>
              <w:rPr>
                <w:i/>
                <w:sz w:val="22"/>
                <w:szCs w:val="22"/>
              </w:rPr>
            </w:pPr>
          </w:p>
          <w:p w14:paraId="549E5FF0" w14:textId="77777777" w:rsidR="00BE5F6A" w:rsidRPr="00C27A60" w:rsidRDefault="00BE5F6A" w:rsidP="00BE5F6A">
            <w:pPr>
              <w:ind w:firstLine="240"/>
              <w:jc w:val="both"/>
              <w:rPr>
                <w:i/>
                <w:sz w:val="22"/>
                <w:szCs w:val="22"/>
              </w:rPr>
            </w:pPr>
          </w:p>
          <w:p w14:paraId="76FDF137" w14:textId="77777777" w:rsidR="00BE5F6A" w:rsidRPr="00C27A60" w:rsidRDefault="00BE5F6A" w:rsidP="00BE5F6A">
            <w:pPr>
              <w:ind w:firstLine="240"/>
              <w:jc w:val="both"/>
              <w:rPr>
                <w:i/>
                <w:sz w:val="22"/>
                <w:szCs w:val="22"/>
              </w:rPr>
            </w:pPr>
          </w:p>
          <w:p w14:paraId="4D24004A" w14:textId="77777777" w:rsidR="00BE5F6A" w:rsidRPr="00C27A60" w:rsidRDefault="00BE5F6A" w:rsidP="00BE5F6A">
            <w:pPr>
              <w:ind w:firstLine="240"/>
              <w:jc w:val="both"/>
              <w:rPr>
                <w:i/>
                <w:sz w:val="22"/>
                <w:szCs w:val="22"/>
              </w:rPr>
            </w:pPr>
          </w:p>
          <w:p w14:paraId="2867FC3B" w14:textId="77777777" w:rsidR="00BE5F6A" w:rsidRPr="00C27A60" w:rsidRDefault="00BE5F6A" w:rsidP="00BE5F6A">
            <w:pPr>
              <w:ind w:firstLine="240"/>
              <w:jc w:val="both"/>
              <w:rPr>
                <w:i/>
                <w:sz w:val="22"/>
                <w:szCs w:val="22"/>
              </w:rPr>
            </w:pPr>
          </w:p>
          <w:p w14:paraId="2A3D9724" w14:textId="77777777" w:rsidR="00BE5F6A" w:rsidRPr="00C27A60" w:rsidRDefault="00BE5F6A" w:rsidP="00BE5F6A">
            <w:pPr>
              <w:ind w:firstLine="240"/>
              <w:jc w:val="both"/>
              <w:rPr>
                <w:i/>
                <w:sz w:val="22"/>
                <w:szCs w:val="22"/>
              </w:rPr>
            </w:pPr>
          </w:p>
          <w:p w14:paraId="7087ED4D" w14:textId="77777777" w:rsidR="00BE5F6A" w:rsidRPr="00C27A60" w:rsidRDefault="00BE5F6A" w:rsidP="00BE5F6A">
            <w:pPr>
              <w:ind w:firstLine="240"/>
              <w:jc w:val="both"/>
              <w:rPr>
                <w:i/>
                <w:sz w:val="22"/>
                <w:szCs w:val="22"/>
              </w:rPr>
            </w:pPr>
          </w:p>
          <w:p w14:paraId="1D3D5D57" w14:textId="77777777" w:rsidR="00BE5F6A" w:rsidRPr="00C27A60" w:rsidRDefault="00BE5F6A" w:rsidP="00BE5F6A">
            <w:pPr>
              <w:ind w:firstLine="240"/>
              <w:jc w:val="both"/>
              <w:rPr>
                <w:i/>
                <w:sz w:val="22"/>
                <w:szCs w:val="22"/>
              </w:rPr>
            </w:pPr>
          </w:p>
          <w:p w14:paraId="6F061A7E" w14:textId="77777777" w:rsidR="00BE5F6A" w:rsidRPr="00C27A60" w:rsidRDefault="00BE5F6A" w:rsidP="00BE5F6A">
            <w:pPr>
              <w:ind w:firstLine="240"/>
              <w:jc w:val="both"/>
              <w:rPr>
                <w:i/>
                <w:sz w:val="22"/>
                <w:szCs w:val="22"/>
              </w:rPr>
            </w:pPr>
          </w:p>
          <w:p w14:paraId="40E4F520" w14:textId="77777777" w:rsidR="00BE5F6A" w:rsidRPr="00C27A60" w:rsidRDefault="00BE5F6A" w:rsidP="00BE5F6A">
            <w:pPr>
              <w:ind w:firstLine="240"/>
              <w:jc w:val="both"/>
              <w:rPr>
                <w:i/>
                <w:sz w:val="22"/>
                <w:szCs w:val="22"/>
              </w:rPr>
            </w:pPr>
          </w:p>
          <w:p w14:paraId="5818047A" w14:textId="77777777" w:rsidR="00BE5F6A" w:rsidRPr="00C27A60" w:rsidRDefault="00BE5F6A" w:rsidP="00BE5F6A">
            <w:pPr>
              <w:ind w:firstLine="240"/>
              <w:jc w:val="both"/>
              <w:rPr>
                <w:i/>
                <w:sz w:val="22"/>
                <w:szCs w:val="22"/>
              </w:rPr>
            </w:pPr>
          </w:p>
          <w:p w14:paraId="783A3DAC" w14:textId="77777777" w:rsidR="00BE5F6A" w:rsidRPr="00C27A60" w:rsidRDefault="00BE5F6A" w:rsidP="00BE5F6A">
            <w:pPr>
              <w:ind w:firstLine="240"/>
              <w:jc w:val="both"/>
              <w:rPr>
                <w:i/>
                <w:sz w:val="22"/>
                <w:szCs w:val="22"/>
              </w:rPr>
            </w:pPr>
          </w:p>
          <w:p w14:paraId="213EA671" w14:textId="77777777" w:rsidR="00BE5F6A" w:rsidRPr="00C27A60" w:rsidRDefault="00BE5F6A" w:rsidP="00BE5F6A">
            <w:pPr>
              <w:ind w:firstLine="240"/>
              <w:jc w:val="both"/>
              <w:rPr>
                <w:i/>
                <w:sz w:val="22"/>
                <w:szCs w:val="22"/>
              </w:rPr>
            </w:pPr>
          </w:p>
          <w:p w14:paraId="13FF0B0F" w14:textId="77777777" w:rsidR="00BE5F6A" w:rsidRPr="00C27A60" w:rsidRDefault="00BE5F6A" w:rsidP="00BE5F6A">
            <w:pPr>
              <w:ind w:firstLine="240"/>
              <w:jc w:val="both"/>
              <w:rPr>
                <w:i/>
                <w:sz w:val="22"/>
                <w:szCs w:val="22"/>
              </w:rPr>
            </w:pPr>
          </w:p>
          <w:p w14:paraId="596D73D7" w14:textId="77777777" w:rsidR="00BE5F6A" w:rsidRPr="00C27A60" w:rsidRDefault="00BE5F6A" w:rsidP="00BE5F6A">
            <w:pPr>
              <w:ind w:firstLine="240"/>
              <w:jc w:val="both"/>
              <w:rPr>
                <w:i/>
                <w:sz w:val="22"/>
                <w:szCs w:val="22"/>
              </w:rPr>
            </w:pPr>
          </w:p>
          <w:p w14:paraId="7DE3C276" w14:textId="77777777" w:rsidR="00BE5F6A" w:rsidRPr="00C27A60" w:rsidRDefault="00BE5F6A" w:rsidP="00BE5F6A">
            <w:pPr>
              <w:ind w:firstLine="240"/>
              <w:jc w:val="both"/>
              <w:rPr>
                <w:i/>
                <w:sz w:val="22"/>
                <w:szCs w:val="22"/>
              </w:rPr>
            </w:pPr>
          </w:p>
          <w:p w14:paraId="3DCC79D7" w14:textId="77777777" w:rsidR="00BE5F6A" w:rsidRPr="00C27A60" w:rsidRDefault="00BE5F6A" w:rsidP="00BE5F6A">
            <w:pPr>
              <w:ind w:firstLine="240"/>
              <w:jc w:val="both"/>
              <w:rPr>
                <w:i/>
                <w:sz w:val="22"/>
                <w:szCs w:val="22"/>
              </w:rPr>
            </w:pPr>
          </w:p>
          <w:p w14:paraId="6C8068E3" w14:textId="77777777" w:rsidR="00BE5F6A" w:rsidRPr="00C27A60" w:rsidRDefault="00BE5F6A" w:rsidP="00BE5F6A">
            <w:pPr>
              <w:ind w:firstLine="240"/>
              <w:jc w:val="both"/>
              <w:rPr>
                <w:i/>
                <w:sz w:val="22"/>
                <w:szCs w:val="22"/>
              </w:rPr>
            </w:pPr>
          </w:p>
          <w:p w14:paraId="07EE9604" w14:textId="77777777" w:rsidR="00BE5F6A" w:rsidRPr="00C27A60" w:rsidRDefault="00BE5F6A" w:rsidP="00BE5F6A">
            <w:pPr>
              <w:ind w:firstLine="240"/>
              <w:jc w:val="both"/>
              <w:rPr>
                <w:i/>
                <w:sz w:val="22"/>
                <w:szCs w:val="22"/>
              </w:rPr>
            </w:pPr>
          </w:p>
          <w:p w14:paraId="33A663E1" w14:textId="77777777" w:rsidR="00BE5F6A" w:rsidRPr="00C27A60" w:rsidRDefault="00BE5F6A" w:rsidP="00BE5F6A">
            <w:pPr>
              <w:ind w:firstLine="240"/>
              <w:jc w:val="both"/>
              <w:rPr>
                <w:i/>
                <w:sz w:val="22"/>
                <w:szCs w:val="22"/>
              </w:rPr>
            </w:pPr>
          </w:p>
          <w:p w14:paraId="2759BB69" w14:textId="77777777" w:rsidR="00BE5F6A" w:rsidRPr="00C27A60" w:rsidRDefault="00BE5F6A" w:rsidP="00BE5F6A">
            <w:pPr>
              <w:ind w:firstLine="240"/>
              <w:jc w:val="both"/>
              <w:rPr>
                <w:i/>
                <w:sz w:val="22"/>
                <w:szCs w:val="22"/>
              </w:rPr>
            </w:pPr>
          </w:p>
          <w:p w14:paraId="5C32A959" w14:textId="77777777" w:rsidR="00BE5F6A" w:rsidRPr="00C27A60" w:rsidRDefault="00BE5F6A" w:rsidP="00BE5F6A">
            <w:pPr>
              <w:ind w:firstLine="240"/>
              <w:jc w:val="both"/>
              <w:rPr>
                <w:i/>
                <w:sz w:val="22"/>
                <w:szCs w:val="22"/>
              </w:rPr>
            </w:pPr>
          </w:p>
          <w:p w14:paraId="38CF6452" w14:textId="77777777" w:rsidR="00BE5F6A" w:rsidRPr="00C27A60" w:rsidRDefault="00BE5F6A" w:rsidP="00BE5F6A">
            <w:pPr>
              <w:ind w:firstLine="240"/>
              <w:jc w:val="both"/>
              <w:rPr>
                <w:i/>
                <w:sz w:val="22"/>
                <w:szCs w:val="22"/>
              </w:rPr>
            </w:pPr>
          </w:p>
          <w:p w14:paraId="008CDF66" w14:textId="77777777" w:rsidR="00BE5F6A" w:rsidRPr="00C27A60" w:rsidRDefault="00BE5F6A" w:rsidP="00BE5F6A">
            <w:pPr>
              <w:ind w:firstLine="240"/>
              <w:jc w:val="both"/>
              <w:rPr>
                <w:i/>
                <w:sz w:val="22"/>
                <w:szCs w:val="22"/>
              </w:rPr>
            </w:pPr>
          </w:p>
          <w:p w14:paraId="6CB82D27" w14:textId="77777777" w:rsidR="00BE5F6A" w:rsidRPr="00C27A60" w:rsidRDefault="00BE5F6A" w:rsidP="00BE5F6A">
            <w:pPr>
              <w:ind w:firstLine="240"/>
              <w:jc w:val="both"/>
              <w:rPr>
                <w:i/>
                <w:sz w:val="22"/>
                <w:szCs w:val="22"/>
              </w:rPr>
            </w:pPr>
          </w:p>
          <w:p w14:paraId="251FE38A" w14:textId="77777777" w:rsidR="00BE5F6A" w:rsidRPr="00C27A60" w:rsidRDefault="00BE5F6A" w:rsidP="00BE5F6A">
            <w:pPr>
              <w:ind w:firstLine="240"/>
              <w:jc w:val="both"/>
              <w:rPr>
                <w:i/>
                <w:sz w:val="22"/>
                <w:szCs w:val="22"/>
              </w:rPr>
            </w:pPr>
          </w:p>
          <w:p w14:paraId="788FA73D" w14:textId="77777777" w:rsidR="00BE5F6A" w:rsidRPr="00C27A60" w:rsidRDefault="00BE5F6A" w:rsidP="00BE5F6A">
            <w:pPr>
              <w:ind w:firstLine="240"/>
              <w:jc w:val="both"/>
              <w:rPr>
                <w:i/>
                <w:sz w:val="22"/>
                <w:szCs w:val="22"/>
              </w:rPr>
            </w:pPr>
          </w:p>
          <w:p w14:paraId="082EDB98" w14:textId="77777777" w:rsidR="00BE5F6A" w:rsidRPr="00C27A60" w:rsidRDefault="00BE5F6A" w:rsidP="00BE5F6A">
            <w:pPr>
              <w:ind w:firstLine="240"/>
              <w:jc w:val="both"/>
              <w:rPr>
                <w:i/>
                <w:sz w:val="22"/>
                <w:szCs w:val="22"/>
              </w:rPr>
            </w:pPr>
          </w:p>
          <w:p w14:paraId="2263BD13" w14:textId="77777777" w:rsidR="00BE5F6A" w:rsidRPr="00C27A60" w:rsidRDefault="00BE5F6A" w:rsidP="00BE5F6A">
            <w:pPr>
              <w:ind w:firstLine="240"/>
              <w:jc w:val="both"/>
              <w:rPr>
                <w:i/>
                <w:sz w:val="22"/>
                <w:szCs w:val="22"/>
              </w:rPr>
            </w:pPr>
          </w:p>
          <w:p w14:paraId="667B23B9" w14:textId="77777777" w:rsidR="00BE5F6A" w:rsidRPr="00C27A60" w:rsidRDefault="00BE5F6A" w:rsidP="00BE5F6A">
            <w:pPr>
              <w:ind w:firstLine="240"/>
              <w:jc w:val="both"/>
              <w:rPr>
                <w:i/>
                <w:sz w:val="22"/>
                <w:szCs w:val="22"/>
              </w:rPr>
            </w:pPr>
          </w:p>
          <w:p w14:paraId="0050A46B" w14:textId="77777777" w:rsidR="00BE5F6A" w:rsidRPr="00C27A60" w:rsidRDefault="00BE5F6A" w:rsidP="00BE5F6A">
            <w:pPr>
              <w:ind w:firstLine="240"/>
              <w:jc w:val="both"/>
              <w:rPr>
                <w:i/>
                <w:sz w:val="22"/>
                <w:szCs w:val="22"/>
              </w:rPr>
            </w:pPr>
          </w:p>
          <w:p w14:paraId="59C67B4F" w14:textId="77777777" w:rsidR="00BE5F6A" w:rsidRPr="00C27A60" w:rsidRDefault="00BE5F6A" w:rsidP="00BE5F6A">
            <w:pPr>
              <w:ind w:firstLine="240"/>
              <w:jc w:val="both"/>
              <w:rPr>
                <w:i/>
                <w:sz w:val="22"/>
                <w:szCs w:val="22"/>
              </w:rPr>
            </w:pPr>
          </w:p>
          <w:p w14:paraId="6BD5B526" w14:textId="77777777" w:rsidR="00BE5F6A" w:rsidRPr="00C27A60" w:rsidRDefault="00BE5F6A" w:rsidP="00BE5F6A">
            <w:pPr>
              <w:ind w:firstLine="240"/>
              <w:jc w:val="both"/>
              <w:rPr>
                <w:i/>
                <w:sz w:val="22"/>
                <w:szCs w:val="22"/>
              </w:rPr>
            </w:pPr>
          </w:p>
          <w:p w14:paraId="34148106" w14:textId="77777777" w:rsidR="00BE5F6A" w:rsidRPr="00C27A60" w:rsidRDefault="00BE5F6A" w:rsidP="00BE5F6A">
            <w:pPr>
              <w:ind w:firstLine="240"/>
              <w:jc w:val="both"/>
              <w:rPr>
                <w:i/>
                <w:sz w:val="22"/>
                <w:szCs w:val="22"/>
              </w:rPr>
            </w:pPr>
          </w:p>
          <w:p w14:paraId="3D89E105" w14:textId="77777777" w:rsidR="00BE5F6A" w:rsidRPr="00C27A60" w:rsidRDefault="00BE5F6A" w:rsidP="00BE5F6A">
            <w:pPr>
              <w:ind w:firstLine="240"/>
              <w:jc w:val="both"/>
              <w:rPr>
                <w:i/>
                <w:sz w:val="22"/>
                <w:szCs w:val="22"/>
              </w:rPr>
            </w:pPr>
          </w:p>
          <w:p w14:paraId="6E24387F" w14:textId="77777777" w:rsidR="00BE5F6A" w:rsidRPr="00C27A60" w:rsidRDefault="00BE5F6A" w:rsidP="00BE5F6A">
            <w:pPr>
              <w:ind w:firstLine="240"/>
              <w:jc w:val="both"/>
              <w:rPr>
                <w:i/>
                <w:sz w:val="22"/>
                <w:szCs w:val="22"/>
              </w:rPr>
            </w:pPr>
          </w:p>
          <w:p w14:paraId="35224D75" w14:textId="77777777" w:rsidR="00BE5F6A" w:rsidRPr="00C27A60" w:rsidRDefault="00BE5F6A" w:rsidP="00BE5F6A">
            <w:pPr>
              <w:ind w:firstLine="240"/>
              <w:jc w:val="both"/>
              <w:rPr>
                <w:i/>
                <w:sz w:val="22"/>
                <w:szCs w:val="22"/>
              </w:rPr>
            </w:pPr>
          </w:p>
          <w:p w14:paraId="76AD82AC" w14:textId="77777777" w:rsidR="00BE5F6A" w:rsidRPr="00C27A60" w:rsidRDefault="00BE5F6A" w:rsidP="00BE5F6A">
            <w:pPr>
              <w:ind w:firstLine="240"/>
              <w:jc w:val="both"/>
              <w:rPr>
                <w:i/>
                <w:sz w:val="22"/>
                <w:szCs w:val="22"/>
              </w:rPr>
            </w:pPr>
          </w:p>
          <w:p w14:paraId="7B4FA813" w14:textId="77777777" w:rsidR="00BE5F6A" w:rsidRPr="00C27A60" w:rsidRDefault="00BE5F6A" w:rsidP="00BE5F6A">
            <w:pPr>
              <w:ind w:firstLine="240"/>
              <w:jc w:val="both"/>
              <w:rPr>
                <w:i/>
                <w:sz w:val="22"/>
                <w:szCs w:val="22"/>
              </w:rPr>
            </w:pPr>
          </w:p>
          <w:p w14:paraId="4478C516" w14:textId="77777777" w:rsidR="00BE5F6A" w:rsidRPr="00C27A60" w:rsidRDefault="00BE5F6A" w:rsidP="00BE5F6A">
            <w:pPr>
              <w:ind w:firstLine="240"/>
              <w:jc w:val="both"/>
              <w:rPr>
                <w:i/>
                <w:sz w:val="22"/>
                <w:szCs w:val="22"/>
              </w:rPr>
            </w:pPr>
          </w:p>
          <w:p w14:paraId="3EBD24AE" w14:textId="77777777" w:rsidR="00BE5F6A" w:rsidRPr="00C27A60" w:rsidRDefault="00BE5F6A" w:rsidP="00BE5F6A">
            <w:pPr>
              <w:ind w:firstLine="240"/>
              <w:jc w:val="both"/>
              <w:rPr>
                <w:i/>
                <w:sz w:val="22"/>
                <w:szCs w:val="22"/>
              </w:rPr>
            </w:pPr>
          </w:p>
          <w:p w14:paraId="7E0968D6" w14:textId="77777777" w:rsidR="00BE5F6A" w:rsidRPr="00C27A60" w:rsidRDefault="00BE5F6A" w:rsidP="00BE5F6A">
            <w:pPr>
              <w:ind w:firstLine="240"/>
              <w:jc w:val="both"/>
              <w:rPr>
                <w:i/>
                <w:sz w:val="22"/>
                <w:szCs w:val="22"/>
              </w:rPr>
            </w:pPr>
          </w:p>
          <w:p w14:paraId="28D6BAF5" w14:textId="77777777" w:rsidR="00BE5F6A" w:rsidRPr="00C27A60" w:rsidRDefault="00BE5F6A" w:rsidP="00BE5F6A">
            <w:pPr>
              <w:ind w:firstLine="240"/>
              <w:jc w:val="both"/>
              <w:rPr>
                <w:i/>
                <w:sz w:val="22"/>
                <w:szCs w:val="22"/>
              </w:rPr>
            </w:pPr>
          </w:p>
          <w:p w14:paraId="33C67DAB" w14:textId="77777777" w:rsidR="00BE5F6A" w:rsidRPr="00C27A60" w:rsidRDefault="00BE5F6A" w:rsidP="00BE5F6A">
            <w:pPr>
              <w:ind w:firstLine="240"/>
              <w:jc w:val="both"/>
              <w:rPr>
                <w:i/>
                <w:sz w:val="22"/>
                <w:szCs w:val="22"/>
              </w:rPr>
            </w:pPr>
          </w:p>
          <w:p w14:paraId="23765B34" w14:textId="77777777" w:rsidR="00BE5F6A" w:rsidRPr="00C27A60" w:rsidRDefault="00BE5F6A" w:rsidP="00BE5F6A">
            <w:pPr>
              <w:ind w:firstLine="240"/>
              <w:jc w:val="both"/>
              <w:rPr>
                <w:i/>
                <w:sz w:val="22"/>
                <w:szCs w:val="22"/>
              </w:rPr>
            </w:pPr>
          </w:p>
          <w:p w14:paraId="36C92549" w14:textId="77777777" w:rsidR="00E10423" w:rsidRPr="00C27A60" w:rsidRDefault="00E10423" w:rsidP="00E10423">
            <w:pPr>
              <w:jc w:val="both"/>
              <w:rPr>
                <w:b/>
                <w:sz w:val="22"/>
                <w:szCs w:val="22"/>
              </w:rPr>
            </w:pPr>
            <w:r w:rsidRPr="00C27A60">
              <w:rPr>
                <w:b/>
                <w:sz w:val="22"/>
                <w:szCs w:val="22"/>
              </w:rPr>
              <w:t>Пропонується до обговорення</w:t>
            </w:r>
          </w:p>
          <w:p w14:paraId="6EAC7099" w14:textId="77777777" w:rsidR="00BE5F6A" w:rsidRPr="00C27A60" w:rsidRDefault="00BE5F6A" w:rsidP="00BE5F6A">
            <w:pPr>
              <w:rPr>
                <w:b/>
                <w:sz w:val="22"/>
                <w:szCs w:val="22"/>
              </w:rPr>
            </w:pPr>
            <w:r w:rsidRPr="00C27A60">
              <w:rPr>
                <w:b/>
                <w:sz w:val="22"/>
                <w:szCs w:val="22"/>
              </w:rPr>
              <w:t>Пропонується викласти в наступній редакції</w:t>
            </w:r>
          </w:p>
          <w:p w14:paraId="6868A07B" w14:textId="77777777" w:rsidR="00BE5F6A" w:rsidRPr="00C27A60" w:rsidRDefault="00BE5F6A" w:rsidP="00BE5F6A">
            <w:pPr>
              <w:rPr>
                <w:b/>
                <w:sz w:val="22"/>
                <w:szCs w:val="22"/>
              </w:rPr>
            </w:pPr>
            <w:r w:rsidRPr="00C27A60">
              <w:rPr>
                <w:b/>
                <w:sz w:val="22"/>
                <w:szCs w:val="22"/>
              </w:rPr>
              <w:t>….</w:t>
            </w:r>
          </w:p>
          <w:p w14:paraId="10E1751D" w14:textId="77777777" w:rsidR="00BE5F6A" w:rsidRPr="00C27A60" w:rsidRDefault="00BE5F6A" w:rsidP="00BE5F6A">
            <w:pPr>
              <w:jc w:val="both"/>
              <w:rPr>
                <w:b/>
                <w:sz w:val="22"/>
                <w:szCs w:val="22"/>
              </w:rPr>
            </w:pPr>
            <w:r w:rsidRPr="00C27A60">
              <w:rPr>
                <w:sz w:val="22"/>
                <w:szCs w:val="22"/>
              </w:rPr>
              <w:t>«(з 2024 року за умови, що величина загального обсягу віддачі електричної енергії (в тис. кВт*год), що визначена за фактичними показами розрахункових засобів обліку електроенергії за звітний рік, складає не менше ніж 97% від суми величин загального обсягу віддачі електричної енергії (в тис. кВт*год), що наведені у формі звітності № 5 НКРЕКП-моніторинг-розподіл (місячна) за відповідний звітний рік).»</w:t>
            </w:r>
          </w:p>
          <w:p w14:paraId="345698A0" w14:textId="77777777" w:rsidR="00BE5F6A" w:rsidRPr="00C27A60" w:rsidRDefault="00BE5F6A" w:rsidP="00BE5F6A">
            <w:pPr>
              <w:jc w:val="both"/>
              <w:rPr>
                <w:b/>
                <w:sz w:val="22"/>
                <w:szCs w:val="22"/>
              </w:rPr>
            </w:pPr>
            <w:r w:rsidRPr="00C27A60">
              <w:rPr>
                <w:b/>
                <w:sz w:val="22"/>
                <w:szCs w:val="22"/>
              </w:rPr>
              <w:t>…..</w:t>
            </w:r>
          </w:p>
          <w:p w14:paraId="792A09B7" w14:textId="77777777" w:rsidR="00BE5F6A" w:rsidRPr="00C27A60" w:rsidRDefault="00BE5F6A" w:rsidP="00BE5F6A">
            <w:pPr>
              <w:ind w:firstLine="240"/>
              <w:jc w:val="both"/>
              <w:rPr>
                <w:i/>
                <w:sz w:val="22"/>
                <w:szCs w:val="22"/>
              </w:rPr>
            </w:pPr>
          </w:p>
          <w:p w14:paraId="246FB1BD" w14:textId="77777777" w:rsidR="00BE5F6A" w:rsidRPr="00C27A60" w:rsidRDefault="00BE5F6A" w:rsidP="00BE5F6A">
            <w:pPr>
              <w:ind w:firstLine="240"/>
              <w:jc w:val="both"/>
              <w:rPr>
                <w:i/>
                <w:sz w:val="22"/>
                <w:szCs w:val="22"/>
              </w:rPr>
            </w:pPr>
          </w:p>
          <w:p w14:paraId="3297DC3B" w14:textId="77777777" w:rsidR="00BE5F6A" w:rsidRPr="00C27A60" w:rsidRDefault="00BE5F6A" w:rsidP="00BE5F6A">
            <w:pPr>
              <w:ind w:firstLine="240"/>
              <w:jc w:val="both"/>
              <w:rPr>
                <w:i/>
                <w:sz w:val="22"/>
                <w:szCs w:val="22"/>
              </w:rPr>
            </w:pPr>
          </w:p>
          <w:p w14:paraId="219EFDDE" w14:textId="77777777" w:rsidR="00BE5F6A" w:rsidRPr="00C27A60" w:rsidRDefault="00BE5F6A" w:rsidP="00BE5F6A">
            <w:pPr>
              <w:ind w:firstLine="240"/>
              <w:jc w:val="both"/>
              <w:rPr>
                <w:i/>
                <w:sz w:val="22"/>
                <w:szCs w:val="22"/>
              </w:rPr>
            </w:pPr>
          </w:p>
          <w:p w14:paraId="593D82C2" w14:textId="77777777" w:rsidR="00BE5F6A" w:rsidRPr="00C27A60" w:rsidRDefault="00BE5F6A" w:rsidP="00BE5F6A">
            <w:pPr>
              <w:ind w:firstLine="240"/>
              <w:jc w:val="both"/>
              <w:rPr>
                <w:i/>
                <w:sz w:val="22"/>
                <w:szCs w:val="22"/>
              </w:rPr>
            </w:pPr>
          </w:p>
          <w:p w14:paraId="2D24A621" w14:textId="77777777" w:rsidR="00BE5F6A" w:rsidRPr="00C27A60" w:rsidRDefault="00BE5F6A" w:rsidP="00BE5F6A">
            <w:pPr>
              <w:ind w:firstLine="240"/>
              <w:jc w:val="both"/>
              <w:rPr>
                <w:i/>
                <w:sz w:val="22"/>
                <w:szCs w:val="22"/>
              </w:rPr>
            </w:pPr>
          </w:p>
          <w:p w14:paraId="3E052B2D" w14:textId="77777777" w:rsidR="00BE5F6A" w:rsidRPr="00C27A60" w:rsidRDefault="00BE5F6A" w:rsidP="00BE5F6A">
            <w:pPr>
              <w:ind w:firstLine="240"/>
              <w:jc w:val="both"/>
              <w:rPr>
                <w:i/>
                <w:sz w:val="22"/>
                <w:szCs w:val="22"/>
              </w:rPr>
            </w:pPr>
          </w:p>
          <w:p w14:paraId="6FDB11C4" w14:textId="77777777" w:rsidR="00BE5F6A" w:rsidRPr="00C27A60" w:rsidRDefault="00BE5F6A" w:rsidP="00BE5F6A">
            <w:pPr>
              <w:ind w:firstLine="240"/>
              <w:jc w:val="both"/>
              <w:rPr>
                <w:i/>
                <w:sz w:val="22"/>
                <w:szCs w:val="22"/>
              </w:rPr>
            </w:pPr>
          </w:p>
          <w:p w14:paraId="7D3A30CA" w14:textId="77777777" w:rsidR="00BE5F6A" w:rsidRPr="00C27A60" w:rsidRDefault="00BE5F6A" w:rsidP="00BE5F6A">
            <w:pPr>
              <w:ind w:firstLine="240"/>
              <w:jc w:val="both"/>
              <w:rPr>
                <w:i/>
                <w:sz w:val="22"/>
                <w:szCs w:val="22"/>
              </w:rPr>
            </w:pPr>
          </w:p>
          <w:p w14:paraId="5B500B2D" w14:textId="77777777" w:rsidR="00BE5F6A" w:rsidRPr="00C27A60" w:rsidRDefault="00BE5F6A" w:rsidP="00A84F79">
            <w:pPr>
              <w:jc w:val="both"/>
              <w:rPr>
                <w:i/>
                <w:sz w:val="22"/>
                <w:szCs w:val="22"/>
              </w:rPr>
            </w:pPr>
          </w:p>
          <w:p w14:paraId="10907BD8" w14:textId="283C0CFC" w:rsidR="00BE5F6A" w:rsidRPr="00C27A60" w:rsidRDefault="00BE5F6A" w:rsidP="00A84F79">
            <w:pPr>
              <w:jc w:val="both"/>
              <w:rPr>
                <w:i/>
                <w:sz w:val="22"/>
                <w:szCs w:val="22"/>
              </w:rPr>
            </w:pPr>
          </w:p>
        </w:tc>
      </w:tr>
      <w:tr w:rsidR="00C27A60" w:rsidRPr="00C27A60" w14:paraId="4608D3D0" w14:textId="77777777" w:rsidTr="008D1DC5">
        <w:trPr>
          <w:trHeight w:val="595"/>
        </w:trPr>
        <w:tc>
          <w:tcPr>
            <w:tcW w:w="5839" w:type="dxa"/>
          </w:tcPr>
          <w:p w14:paraId="1529882F"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lastRenderedPageBreak/>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755A1ED4" w14:textId="77777777" w:rsidR="00C533B1" w:rsidRPr="00C27A60" w:rsidRDefault="00C533B1" w:rsidP="00C533B1">
            <w:pPr>
              <w:ind w:firstLine="308"/>
              <w:jc w:val="both"/>
              <w:rPr>
                <w:sz w:val="22"/>
                <w:szCs w:val="22"/>
                <w:shd w:val="clear" w:color="auto" w:fill="FFFFFF"/>
              </w:rPr>
            </w:pPr>
          </w:p>
          <w:p w14:paraId="1D5DAE38"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&lt;…&gt;</w:t>
            </w:r>
          </w:p>
          <w:p w14:paraId="2DF14FEB" w14:textId="77777777" w:rsidR="00C533B1" w:rsidRPr="00C27A60" w:rsidRDefault="00C533B1" w:rsidP="00C533B1">
            <w:pPr>
              <w:ind w:firstLine="308"/>
              <w:jc w:val="both"/>
              <w:rPr>
                <w:sz w:val="22"/>
                <w:szCs w:val="22"/>
              </w:rPr>
            </w:pPr>
          </w:p>
          <w:p w14:paraId="3A66990D" w14:textId="77777777" w:rsidR="00C533B1" w:rsidRPr="00C27A60" w:rsidRDefault="00C533B1" w:rsidP="00C533B1">
            <w:pPr>
              <w:spacing w:after="160" w:line="259" w:lineRule="auto"/>
              <w:ind w:firstLine="308"/>
              <w:jc w:val="both"/>
              <w:rPr>
                <w:rFonts w:eastAsia="Calibri"/>
                <w:b/>
                <w:sz w:val="22"/>
                <w:szCs w:val="22"/>
                <w:shd w:val="clear" w:color="auto" w:fill="FFFFFF"/>
                <w:lang w:eastAsia="en-US"/>
              </w:rPr>
            </w:pPr>
            <w:r w:rsidRPr="00C27A60">
              <w:rPr>
                <w:rFonts w:eastAsia="Calibri"/>
                <w:b/>
                <w:sz w:val="22"/>
                <w:szCs w:val="22"/>
                <w:shd w:val="clear" w:color="auto" w:fill="FFFFFF"/>
                <w:lang w:eastAsia="en-US"/>
              </w:rPr>
              <w:t>13) надлишково отриманий / недоотриманий дохід за статтями «прибуток на регуляторну базу активів, яка створена після переходу на стимулююче регулювання» та «прибуток на регуляторну базу активів, яка створена до переходу на стимулююче регулювання» унаслідок некоректного формування баз активів, які створено до/після переходу до стимулюючого регулювання.</w:t>
            </w:r>
          </w:p>
          <w:p w14:paraId="0D0A48B0" w14:textId="77777777" w:rsidR="00C533B1" w:rsidRPr="00C27A60" w:rsidRDefault="00C533B1" w:rsidP="00C533B1">
            <w:pPr>
              <w:spacing w:after="160" w:line="259" w:lineRule="auto"/>
              <w:ind w:firstLine="308"/>
              <w:jc w:val="both"/>
              <w:rPr>
                <w:rFonts w:eastAsia="Calibri"/>
                <w:b/>
                <w:sz w:val="22"/>
                <w:szCs w:val="22"/>
                <w:shd w:val="clear" w:color="auto" w:fill="FFFFFF"/>
                <w:lang w:eastAsia="en-US"/>
              </w:rPr>
            </w:pPr>
            <w:r w:rsidRPr="00C27A60">
              <w:rPr>
                <w:rFonts w:eastAsia="Calibri"/>
                <w:b/>
                <w:sz w:val="22"/>
                <w:szCs w:val="22"/>
                <w:shd w:val="clear" w:color="auto" w:fill="FFFFFF"/>
                <w:lang w:eastAsia="en-US"/>
              </w:rPr>
              <w:t>Недоотриманий дохід ураховується зі знаком «–».</w:t>
            </w:r>
          </w:p>
          <w:p w14:paraId="5E934DEB" w14:textId="77777777" w:rsidR="00C533B1" w:rsidRPr="00C27A60" w:rsidRDefault="00C533B1" w:rsidP="00C533B1">
            <w:pPr>
              <w:spacing w:after="160" w:line="259" w:lineRule="auto"/>
              <w:ind w:firstLine="308"/>
              <w:jc w:val="both"/>
              <w:rPr>
                <w:rFonts w:eastAsia="Calibri"/>
                <w:b/>
                <w:sz w:val="22"/>
                <w:szCs w:val="22"/>
                <w:shd w:val="clear" w:color="auto" w:fill="FFFFFF"/>
                <w:lang w:eastAsia="en-US"/>
              </w:rPr>
            </w:pPr>
            <w:r w:rsidRPr="00C27A60">
              <w:rPr>
                <w:rFonts w:eastAsia="Calibri"/>
                <w:b/>
                <w:sz w:val="22"/>
                <w:szCs w:val="22"/>
                <w:shd w:val="clear" w:color="auto" w:fill="FFFFFF"/>
                <w:lang w:eastAsia="en-US"/>
              </w:rPr>
              <w:t>Надлишково отриманий дохід ураховується зі знаком «+» за 2021 – 2023 роки в однократному, а починаючи з 2024 року:</w:t>
            </w:r>
          </w:p>
          <w:p w14:paraId="5421233C" w14:textId="77777777" w:rsidR="00C533B1" w:rsidRPr="00C27A60" w:rsidRDefault="00C533B1" w:rsidP="00C533B1">
            <w:pPr>
              <w:spacing w:after="160" w:line="259" w:lineRule="auto"/>
              <w:ind w:firstLine="308"/>
              <w:jc w:val="both"/>
              <w:rPr>
                <w:rFonts w:eastAsia="Calibri"/>
                <w:b/>
                <w:sz w:val="22"/>
                <w:szCs w:val="22"/>
                <w:shd w:val="clear" w:color="auto" w:fill="FFFFFF"/>
                <w:lang w:eastAsia="en-US"/>
              </w:rPr>
            </w:pPr>
            <w:r w:rsidRPr="00C27A60">
              <w:rPr>
                <w:rFonts w:eastAsia="Calibri"/>
                <w:b/>
                <w:sz w:val="22"/>
                <w:szCs w:val="22"/>
                <w:shd w:val="clear" w:color="auto" w:fill="FFFFFF"/>
                <w:lang w:eastAsia="en-US"/>
              </w:rPr>
              <w:lastRenderedPageBreak/>
              <w:t>у частині регуляторної бази активів, яка створена після переходу на стимулююче регулювання – у п’ятикратному розмірі;</w:t>
            </w:r>
          </w:p>
          <w:p w14:paraId="1651A019" w14:textId="77777777" w:rsidR="00C533B1" w:rsidRPr="00C27A60" w:rsidRDefault="00C533B1" w:rsidP="00C533B1">
            <w:pPr>
              <w:spacing w:after="160" w:line="259" w:lineRule="auto"/>
              <w:ind w:firstLine="308"/>
              <w:jc w:val="both"/>
              <w:rPr>
                <w:rFonts w:eastAsia="Calibri"/>
                <w:b/>
                <w:sz w:val="22"/>
                <w:szCs w:val="22"/>
                <w:shd w:val="clear" w:color="auto" w:fill="FFFFFF"/>
                <w:lang w:eastAsia="en-US"/>
              </w:rPr>
            </w:pPr>
            <w:r w:rsidRPr="00C27A60">
              <w:rPr>
                <w:rFonts w:eastAsia="Calibri"/>
                <w:b/>
                <w:sz w:val="22"/>
                <w:szCs w:val="22"/>
                <w:shd w:val="clear" w:color="auto" w:fill="FFFFFF"/>
                <w:lang w:eastAsia="en-US"/>
              </w:rPr>
              <w:t>у частині регуляторної бази активів, яка створена до переходу на стимулююче регулювання – у п’ятикратному розмірі;</w:t>
            </w:r>
          </w:p>
          <w:p w14:paraId="41183B3E" w14:textId="77777777" w:rsidR="00C533B1" w:rsidRPr="00C27A60" w:rsidRDefault="00C533B1" w:rsidP="00C533B1">
            <w:pPr>
              <w:spacing w:after="160" w:line="259" w:lineRule="auto"/>
              <w:ind w:firstLine="308"/>
              <w:jc w:val="both"/>
              <w:rPr>
                <w:sz w:val="22"/>
                <w:szCs w:val="22"/>
              </w:rPr>
            </w:pPr>
          </w:p>
        </w:tc>
        <w:tc>
          <w:tcPr>
            <w:tcW w:w="5812" w:type="dxa"/>
          </w:tcPr>
          <w:p w14:paraId="5CB390CC" w14:textId="77777777" w:rsidR="00C533B1" w:rsidRPr="00C27A60" w:rsidRDefault="00C533B1" w:rsidP="00C533B1">
            <w:pPr>
              <w:ind w:firstLine="308"/>
              <w:jc w:val="both"/>
              <w:rPr>
                <w:i/>
                <w:sz w:val="22"/>
                <w:szCs w:val="22"/>
                <w:shd w:val="clear" w:color="auto" w:fill="FFFFFF"/>
              </w:rPr>
            </w:pPr>
            <w:r w:rsidRPr="00C27A60">
              <w:rPr>
                <w:i/>
                <w:sz w:val="22"/>
                <w:szCs w:val="22"/>
              </w:rPr>
              <w:lastRenderedPageBreak/>
              <w:t>АТ «ПРИКАРПАТТЯОБЛЕНЕРГО»</w:t>
            </w:r>
          </w:p>
          <w:p w14:paraId="6FC6D62C" w14:textId="77777777" w:rsidR="00C533B1" w:rsidRPr="00C27A60" w:rsidRDefault="00C533B1" w:rsidP="00C533B1">
            <w:pPr>
              <w:ind w:firstLine="308"/>
              <w:jc w:val="both"/>
              <w:rPr>
                <w:sz w:val="22"/>
                <w:szCs w:val="22"/>
                <w:shd w:val="clear" w:color="auto" w:fill="FFFFFF"/>
              </w:rPr>
            </w:pPr>
          </w:p>
          <w:p w14:paraId="37F2F02D"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13) надлишково отриманий/недоотриманий дохід за статтею "прибуток на регуляторну базу активів, яка створена після переходу на стимулююче регулювання" унаслідок некоректного формування бази активів, яка створена після переходу до стимулюючого регулювання.</w:t>
            </w:r>
          </w:p>
          <w:p w14:paraId="7DF4C7F5"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Недоотриманий дохід ураховується зі знаком "-".</w:t>
            </w:r>
          </w:p>
          <w:p w14:paraId="32A80B80"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 xml:space="preserve">Надлишково отриманий дохід ураховується зі знаком "+" за 2021 - </w:t>
            </w:r>
            <w:r w:rsidRPr="00C27A60">
              <w:rPr>
                <w:b/>
                <w:bCs/>
                <w:sz w:val="22"/>
                <w:szCs w:val="22"/>
                <w:shd w:val="clear" w:color="auto" w:fill="FFFFFF"/>
              </w:rPr>
              <w:t>2025</w:t>
            </w:r>
            <w:r w:rsidRPr="00C27A60">
              <w:rPr>
                <w:sz w:val="22"/>
                <w:szCs w:val="22"/>
                <w:shd w:val="clear" w:color="auto" w:fill="FFFFFF"/>
              </w:rPr>
              <w:t xml:space="preserve"> роки в однократному розмірі.</w:t>
            </w:r>
          </w:p>
          <w:p w14:paraId="6A1AF1D1" w14:textId="77777777" w:rsidR="00C533B1" w:rsidRPr="00C27A60" w:rsidRDefault="00C533B1" w:rsidP="00C533B1">
            <w:pPr>
              <w:rPr>
                <w:sz w:val="22"/>
                <w:szCs w:val="22"/>
                <w:shd w:val="clear" w:color="auto" w:fill="FFFFFF"/>
              </w:rPr>
            </w:pPr>
          </w:p>
          <w:p w14:paraId="5D2C006D" w14:textId="3E0893CD" w:rsidR="00C533B1" w:rsidRPr="00C27A60" w:rsidRDefault="00C533B1" w:rsidP="00C533B1">
            <w:pPr>
              <w:rPr>
                <w:i/>
                <w:sz w:val="22"/>
                <w:szCs w:val="22"/>
              </w:rPr>
            </w:pPr>
            <w:r w:rsidRPr="00C27A60">
              <w:rPr>
                <w:i/>
                <w:sz w:val="22"/>
                <w:szCs w:val="22"/>
              </w:rPr>
              <w:t>ОБРГРУНТУВАННЯ:</w:t>
            </w:r>
          </w:p>
          <w:p w14:paraId="7C192D7C" w14:textId="77777777" w:rsidR="00C533B1" w:rsidRPr="00C27A60" w:rsidRDefault="00C533B1" w:rsidP="00C533B1">
            <w:pPr>
              <w:rPr>
                <w:i/>
                <w:sz w:val="22"/>
                <w:szCs w:val="22"/>
              </w:rPr>
            </w:pPr>
          </w:p>
          <w:p w14:paraId="7C363333" w14:textId="5C498840" w:rsidR="00C533B1" w:rsidRPr="00C27A60" w:rsidRDefault="00C533B1" w:rsidP="00592CEB">
            <w:pPr>
              <w:jc w:val="both"/>
              <w:rPr>
                <w:sz w:val="22"/>
                <w:szCs w:val="22"/>
              </w:rPr>
            </w:pPr>
            <w:r w:rsidRPr="00C27A60">
              <w:rPr>
                <w:sz w:val="22"/>
                <w:szCs w:val="22"/>
              </w:rPr>
              <w:t xml:space="preserve">Компанія вважає недоцільним застосовувати коригування </w:t>
            </w:r>
            <w:r w:rsidRPr="00C27A60">
              <w:rPr>
                <w:bCs/>
                <w:sz w:val="22"/>
                <w:szCs w:val="22"/>
                <w:shd w:val="clear" w:color="auto" w:fill="FFFFFF"/>
              </w:rPr>
              <w:t xml:space="preserve">у п’ятикратному </w:t>
            </w:r>
            <w:r w:rsidRPr="00C27A60">
              <w:rPr>
                <w:sz w:val="22"/>
                <w:szCs w:val="22"/>
              </w:rPr>
              <w:t xml:space="preserve">розмірі у зв’язку із дією в країні воєнного стану та дії пункту 5.12 постанови НКРЕКП від 5 жовтня 2018 року N 1175 «Про затвердження Порядку встановлення (формування) тарифів на послуги з розподілу електричної енергії» (застосування обмеження при </w:t>
            </w:r>
            <w:r w:rsidRPr="00C27A60">
              <w:rPr>
                <w:sz w:val="22"/>
                <w:szCs w:val="22"/>
              </w:rPr>
              <w:lastRenderedPageBreak/>
              <w:t>розрахунку амортизації на активи, які створені на дату переходу на стимулююче регулювання)</w:t>
            </w:r>
          </w:p>
          <w:p w14:paraId="18F63987" w14:textId="77777777" w:rsidR="00C533B1" w:rsidRPr="00C27A60" w:rsidRDefault="00C533B1" w:rsidP="00C533B1">
            <w:pPr>
              <w:rPr>
                <w:i/>
                <w:sz w:val="22"/>
                <w:szCs w:val="22"/>
              </w:rPr>
            </w:pPr>
          </w:p>
          <w:p w14:paraId="44E3B3AF" w14:textId="77777777" w:rsidR="00C533B1" w:rsidRPr="00C27A60" w:rsidRDefault="00C533B1" w:rsidP="00C533B1">
            <w:pPr>
              <w:ind w:firstLine="30"/>
              <w:jc w:val="both"/>
              <w:rPr>
                <w:i/>
                <w:sz w:val="22"/>
                <w:szCs w:val="22"/>
                <w:shd w:val="clear" w:color="auto" w:fill="FFFFFF"/>
              </w:rPr>
            </w:pPr>
            <w:r w:rsidRPr="00C27A60">
              <w:rPr>
                <w:i/>
                <w:sz w:val="22"/>
                <w:szCs w:val="22"/>
                <w:shd w:val="clear" w:color="auto" w:fill="FFFFFF"/>
              </w:rPr>
              <w:t>ГС «РЕУ»</w:t>
            </w:r>
          </w:p>
          <w:p w14:paraId="59C4E076" w14:textId="77777777" w:rsidR="00C533B1" w:rsidRPr="00C27A60" w:rsidRDefault="00C533B1" w:rsidP="00C533B1">
            <w:pPr>
              <w:jc w:val="both"/>
              <w:rPr>
                <w:i/>
                <w:sz w:val="22"/>
                <w:szCs w:val="22"/>
                <w:shd w:val="clear" w:color="auto" w:fill="FFFFFF"/>
              </w:rPr>
            </w:pPr>
            <w:r w:rsidRPr="00C27A60">
              <w:rPr>
                <w:i/>
                <w:sz w:val="22"/>
                <w:szCs w:val="22"/>
                <w:shd w:val="clear" w:color="auto" w:fill="FFFFFF"/>
              </w:rPr>
              <w:t>АТ ДТЕК «ДОНЕЦЬКІ ЕЛЕКТРОМЕРЕЖІ»</w:t>
            </w:r>
          </w:p>
          <w:p w14:paraId="6E710D73" w14:textId="4A82CEF7" w:rsidR="00C533B1" w:rsidRPr="00C27A60" w:rsidRDefault="00C533B1" w:rsidP="00C533B1">
            <w:pPr>
              <w:jc w:val="both"/>
              <w:rPr>
                <w:i/>
                <w:sz w:val="22"/>
                <w:szCs w:val="22"/>
                <w:shd w:val="clear" w:color="auto" w:fill="FFFFFF"/>
              </w:rPr>
            </w:pPr>
            <w:r w:rsidRPr="00C27A60">
              <w:rPr>
                <w:i/>
                <w:sz w:val="22"/>
                <w:szCs w:val="22"/>
                <w:shd w:val="clear" w:color="auto" w:fill="FFFFFF"/>
              </w:rPr>
              <w:t>АТ «ДТЕК ДНІПРОВСЬКІ ЕЛЕКТРОМЕРЕЖІ»</w:t>
            </w:r>
          </w:p>
          <w:p w14:paraId="313DE564" w14:textId="77777777" w:rsidR="00C533B1" w:rsidRPr="00C27A60" w:rsidRDefault="00C533B1" w:rsidP="00C533B1">
            <w:pPr>
              <w:shd w:val="clear" w:color="auto" w:fill="FFFFFF"/>
              <w:jc w:val="both"/>
              <w:rPr>
                <w:sz w:val="22"/>
                <w:szCs w:val="22"/>
                <w:lang w:eastAsia="uk-UA"/>
              </w:rPr>
            </w:pPr>
          </w:p>
          <w:p w14:paraId="2E960479" w14:textId="77777777" w:rsidR="00C533B1" w:rsidRPr="00C27A60" w:rsidRDefault="00C533B1" w:rsidP="00C533B1">
            <w:pPr>
              <w:spacing w:after="160" w:line="256" w:lineRule="auto"/>
              <w:ind w:firstLine="308"/>
              <w:jc w:val="both"/>
              <w:rPr>
                <w:rFonts w:eastAsia="Calibri"/>
                <w:bCs/>
                <w:kern w:val="2"/>
                <w:sz w:val="22"/>
                <w:szCs w:val="22"/>
                <w:shd w:val="clear" w:color="auto" w:fill="FFFFFF"/>
                <w:lang w:eastAsia="en-US"/>
                <w14:ligatures w14:val="standardContextual"/>
              </w:rPr>
            </w:pPr>
            <w:r w:rsidRPr="00C27A60">
              <w:rPr>
                <w:rFonts w:eastAsia="Calibri"/>
                <w:bCs/>
                <w:kern w:val="2"/>
                <w:sz w:val="22"/>
                <w:szCs w:val="22"/>
                <w:shd w:val="clear" w:color="auto" w:fill="FFFFFF"/>
                <w:lang w:eastAsia="en-US"/>
                <w14:ligatures w14:val="standardContextual"/>
              </w:rPr>
              <w:t>13) надлишково отриманий / недоотриманий дохід за статтями «прибуток на регуляторну базу активів, яка створена після переходу на стимулююче регулювання» та «прибуток на регуляторну базу активів, яка створена до переходу на стимулююче регулювання» унаслідок некоректного формування баз активів, які створено до/після переходу до стимулюючого регулювання.</w:t>
            </w:r>
          </w:p>
          <w:p w14:paraId="4C3652F3" w14:textId="77777777" w:rsidR="00C533B1" w:rsidRPr="00C27A60" w:rsidRDefault="00C533B1" w:rsidP="00C533B1">
            <w:pPr>
              <w:shd w:val="clear" w:color="auto" w:fill="FFFFFF"/>
              <w:jc w:val="both"/>
              <w:rPr>
                <w:sz w:val="22"/>
                <w:szCs w:val="22"/>
                <w:lang w:eastAsia="uk-UA"/>
              </w:rPr>
            </w:pPr>
            <w:r w:rsidRPr="00C27A60">
              <w:rPr>
                <w:sz w:val="22"/>
                <w:szCs w:val="22"/>
                <w:lang w:eastAsia="uk-UA"/>
              </w:rPr>
              <w:t>Недоотриманий дохід ураховується зі знаком "-".</w:t>
            </w:r>
          </w:p>
          <w:p w14:paraId="50EF55F5" w14:textId="77777777" w:rsidR="00C533B1" w:rsidRPr="00C27A60" w:rsidRDefault="00C533B1" w:rsidP="00C533B1">
            <w:pPr>
              <w:rPr>
                <w:rFonts w:eastAsia="Calibri"/>
                <w:b/>
                <w:bCs/>
                <w:sz w:val="22"/>
                <w:szCs w:val="22"/>
                <w:lang w:eastAsia="en-US"/>
              </w:rPr>
            </w:pPr>
            <w:r w:rsidRPr="00C27A60">
              <w:rPr>
                <w:rFonts w:eastAsia="Calibri"/>
                <w:sz w:val="22"/>
                <w:szCs w:val="22"/>
                <w:lang w:eastAsia="en-US"/>
              </w:rPr>
              <w:t xml:space="preserve">Надлишково отриманий дохід ураховується зі знаком "+" за </w:t>
            </w:r>
            <w:r w:rsidRPr="00C27A60">
              <w:rPr>
                <w:rFonts w:eastAsia="Calibri"/>
                <w:b/>
                <w:bCs/>
                <w:sz w:val="22"/>
                <w:szCs w:val="22"/>
                <w:lang w:eastAsia="en-US"/>
              </w:rPr>
              <w:t>2021 - 2024</w:t>
            </w:r>
            <w:r w:rsidRPr="00C27A60">
              <w:rPr>
                <w:rFonts w:eastAsia="Calibri"/>
                <w:sz w:val="22"/>
                <w:szCs w:val="22"/>
                <w:lang w:eastAsia="en-US"/>
              </w:rPr>
              <w:t xml:space="preserve"> роки в однократному, а починаючи </w:t>
            </w:r>
            <w:r w:rsidRPr="00C27A60">
              <w:rPr>
                <w:rFonts w:eastAsia="Calibri"/>
                <w:b/>
                <w:bCs/>
                <w:sz w:val="22"/>
                <w:szCs w:val="22"/>
                <w:lang w:eastAsia="en-US"/>
              </w:rPr>
              <w:t>з 2025 року - у п'ятикратному розмірі.</w:t>
            </w:r>
          </w:p>
          <w:p w14:paraId="7EBAEE56" w14:textId="77777777" w:rsidR="00C533B1" w:rsidRPr="00C27A60" w:rsidRDefault="00C533B1" w:rsidP="00C533B1">
            <w:pPr>
              <w:rPr>
                <w:i/>
                <w:sz w:val="22"/>
                <w:szCs w:val="22"/>
              </w:rPr>
            </w:pPr>
          </w:p>
          <w:p w14:paraId="3B963A28" w14:textId="77777777" w:rsidR="00C533B1" w:rsidRPr="00C27A60" w:rsidRDefault="00C533B1" w:rsidP="00C533B1">
            <w:pPr>
              <w:rPr>
                <w:i/>
                <w:sz w:val="22"/>
                <w:szCs w:val="22"/>
              </w:rPr>
            </w:pPr>
            <w:r w:rsidRPr="00C27A60">
              <w:rPr>
                <w:i/>
                <w:sz w:val="22"/>
                <w:szCs w:val="22"/>
              </w:rPr>
              <w:t>ОБРГРУНТУВАННЯ:</w:t>
            </w:r>
          </w:p>
          <w:p w14:paraId="359DC69D" w14:textId="77777777" w:rsidR="00C533B1" w:rsidRPr="00C27A60" w:rsidRDefault="00C533B1" w:rsidP="00C533B1">
            <w:pPr>
              <w:rPr>
                <w:i/>
                <w:sz w:val="22"/>
                <w:szCs w:val="22"/>
              </w:rPr>
            </w:pPr>
          </w:p>
          <w:p w14:paraId="4894BB5F" w14:textId="14F4FBDD" w:rsidR="00C533B1" w:rsidRPr="00C27A60" w:rsidRDefault="00C533B1" w:rsidP="00592CEB">
            <w:pPr>
              <w:jc w:val="both"/>
              <w:rPr>
                <w:sz w:val="22"/>
                <w:szCs w:val="22"/>
                <w:lang w:eastAsia="uk-UA"/>
              </w:rPr>
            </w:pPr>
            <w:r w:rsidRPr="00C27A60">
              <w:rPr>
                <w:sz w:val="22"/>
                <w:szCs w:val="22"/>
              </w:rPr>
              <w:t>Протягом 2024 року вносилися зміни в законодавство щодо обліку РБА. Товариством  впроваджується система ефективного управління РБА з урахуванням змін та уточнень в нормативну базу. Товариство зацікавлено в коректному та прозорому веденні баз РБА, водночас в адаптаційний період мають місце помилки, які виправляються через певний період. Просимо не застосовувати санкцію щодо врахування штрафу в п’ятикратному розмірі чер</w:t>
            </w:r>
            <w:r w:rsidRPr="00C27A60">
              <w:rPr>
                <w:sz w:val="22"/>
                <w:szCs w:val="22"/>
                <w:lang w:eastAsia="uk-UA"/>
              </w:rPr>
              <w:t>ез потребу в часі для налагодження коректного ведення баз РБА з урахуванням змін та уточнень в нормативну базу.</w:t>
            </w:r>
          </w:p>
          <w:p w14:paraId="4789F0B2" w14:textId="77777777" w:rsidR="00C533B1" w:rsidRPr="00C27A60" w:rsidRDefault="00C533B1" w:rsidP="00C533B1">
            <w:pPr>
              <w:rPr>
                <w:i/>
                <w:sz w:val="22"/>
                <w:szCs w:val="22"/>
              </w:rPr>
            </w:pPr>
          </w:p>
          <w:p w14:paraId="6A10AB2F" w14:textId="77777777" w:rsidR="00C533B1" w:rsidRPr="00C27A60" w:rsidRDefault="00C533B1" w:rsidP="00C533B1">
            <w:pPr>
              <w:rPr>
                <w:i/>
                <w:sz w:val="22"/>
                <w:szCs w:val="22"/>
              </w:rPr>
            </w:pPr>
            <w:r w:rsidRPr="00C27A60">
              <w:rPr>
                <w:i/>
                <w:sz w:val="22"/>
                <w:szCs w:val="22"/>
              </w:rPr>
              <w:t>АТ «ЖИТОМИРОБЛЕНЕРГО»</w:t>
            </w:r>
          </w:p>
          <w:p w14:paraId="1C8427BB" w14:textId="77777777" w:rsidR="00C533B1" w:rsidRPr="00C27A60" w:rsidRDefault="00C533B1" w:rsidP="00C533B1">
            <w:pPr>
              <w:rPr>
                <w:i/>
                <w:sz w:val="22"/>
                <w:szCs w:val="22"/>
              </w:rPr>
            </w:pPr>
          </w:p>
          <w:p w14:paraId="708EC6A0" w14:textId="77777777" w:rsidR="00C533B1" w:rsidRPr="00C27A60" w:rsidRDefault="00C533B1" w:rsidP="00C533B1">
            <w:pPr>
              <w:suppressAutoHyphens/>
              <w:ind w:firstLine="308"/>
              <w:jc w:val="both"/>
              <w:rPr>
                <w:sz w:val="22"/>
                <w:szCs w:val="22"/>
                <w:shd w:val="clear" w:color="auto" w:fill="FFFFFF"/>
                <w:lang w:eastAsia="ar-SA"/>
              </w:rPr>
            </w:pPr>
            <w:r w:rsidRPr="00C27A60">
              <w:rPr>
                <w:sz w:val="22"/>
                <w:szCs w:val="22"/>
                <w:shd w:val="clear" w:color="auto" w:fill="FFFFFF"/>
                <w:lang w:eastAsia="ar-SA"/>
              </w:rPr>
              <w:t xml:space="preserve">13) надлишково отриманий/недоотриманий дохід за статтею "прибуток на регуляторну базу активів, яка створена після переходу на стимулююче регулювання" </w:t>
            </w:r>
            <w:r w:rsidRPr="00C27A60">
              <w:rPr>
                <w:sz w:val="22"/>
                <w:szCs w:val="22"/>
                <w:shd w:val="clear" w:color="auto" w:fill="FFFFFF"/>
                <w:lang w:eastAsia="ar-SA"/>
              </w:rPr>
              <w:lastRenderedPageBreak/>
              <w:t>унаслідок некоректного формування бази активів, яка створена після переходу до стимулюючого регулювання.</w:t>
            </w:r>
          </w:p>
          <w:p w14:paraId="3066DA3E" w14:textId="77777777" w:rsidR="00C533B1" w:rsidRPr="00C27A60" w:rsidRDefault="00C533B1" w:rsidP="00C533B1">
            <w:pPr>
              <w:suppressAutoHyphens/>
              <w:ind w:firstLine="308"/>
              <w:jc w:val="both"/>
              <w:rPr>
                <w:sz w:val="22"/>
                <w:szCs w:val="22"/>
                <w:shd w:val="clear" w:color="auto" w:fill="FFFFFF"/>
                <w:lang w:eastAsia="ar-SA"/>
              </w:rPr>
            </w:pPr>
            <w:r w:rsidRPr="00C27A60">
              <w:rPr>
                <w:sz w:val="22"/>
                <w:szCs w:val="22"/>
                <w:shd w:val="clear" w:color="auto" w:fill="FFFFFF"/>
                <w:lang w:eastAsia="ar-SA"/>
              </w:rPr>
              <w:t>Недоотриманий дохід ураховується зі знаком "-".</w:t>
            </w:r>
          </w:p>
          <w:p w14:paraId="74CF4893" w14:textId="77777777" w:rsidR="00C533B1" w:rsidRPr="00C27A60" w:rsidRDefault="00C533B1" w:rsidP="00C533B1">
            <w:pPr>
              <w:suppressAutoHyphens/>
              <w:ind w:firstLine="308"/>
              <w:jc w:val="both"/>
              <w:rPr>
                <w:sz w:val="22"/>
                <w:szCs w:val="22"/>
                <w:shd w:val="clear" w:color="auto" w:fill="FFFFFF"/>
                <w:lang w:eastAsia="ar-SA"/>
              </w:rPr>
            </w:pPr>
            <w:r w:rsidRPr="00C27A60">
              <w:rPr>
                <w:sz w:val="22"/>
                <w:szCs w:val="22"/>
                <w:shd w:val="clear" w:color="auto" w:fill="FFFFFF"/>
                <w:lang w:eastAsia="ar-SA"/>
              </w:rPr>
              <w:t>Надлишково отриманий дохід ураховується зі знаком "+" за 2021 - 2023 роки в однократному, а починаючи з 2024 року - у п'ятикратному розмірі.</w:t>
            </w:r>
          </w:p>
          <w:p w14:paraId="1D28E92A" w14:textId="77777777" w:rsidR="00C533B1" w:rsidRPr="00C27A60" w:rsidRDefault="00C533B1" w:rsidP="00C533B1">
            <w:pPr>
              <w:rPr>
                <w:i/>
                <w:sz w:val="22"/>
                <w:szCs w:val="22"/>
              </w:rPr>
            </w:pPr>
          </w:p>
          <w:p w14:paraId="1BA13200" w14:textId="77777777" w:rsidR="00C533B1" w:rsidRPr="00C27A60" w:rsidRDefault="00C533B1" w:rsidP="00C533B1">
            <w:pPr>
              <w:rPr>
                <w:i/>
                <w:sz w:val="22"/>
                <w:szCs w:val="22"/>
              </w:rPr>
            </w:pPr>
            <w:r w:rsidRPr="00C27A60">
              <w:rPr>
                <w:i/>
                <w:sz w:val="22"/>
                <w:szCs w:val="22"/>
              </w:rPr>
              <w:t>ОБРГРУНТУВАННЯ:</w:t>
            </w:r>
          </w:p>
          <w:p w14:paraId="1207E26D" w14:textId="77777777" w:rsidR="00C533B1" w:rsidRPr="00C27A60" w:rsidRDefault="00C533B1" w:rsidP="00C533B1">
            <w:pPr>
              <w:rPr>
                <w:i/>
                <w:iCs/>
                <w:sz w:val="22"/>
                <w:szCs w:val="22"/>
              </w:rPr>
            </w:pPr>
          </w:p>
          <w:p w14:paraId="6E71438E" w14:textId="77777777" w:rsidR="00C533B1" w:rsidRPr="00C27A60" w:rsidRDefault="00C533B1" w:rsidP="00C533B1">
            <w:pPr>
              <w:suppressAutoHyphens/>
              <w:ind w:firstLine="567"/>
              <w:jc w:val="both"/>
              <w:rPr>
                <w:i/>
                <w:iCs/>
                <w:sz w:val="22"/>
                <w:szCs w:val="22"/>
              </w:rPr>
            </w:pPr>
            <w:r w:rsidRPr="00C27A60">
              <w:rPr>
                <w:i/>
                <w:iCs/>
                <w:sz w:val="22"/>
                <w:szCs w:val="22"/>
              </w:rPr>
              <w:t>Порядок врахування дельти за статтею «прибуток на регуляторну базу активів, яка створена до дати переходу до стимулюючого регулювання» вже передбачений чинною редакцією Методики, а саме:</w:t>
            </w:r>
          </w:p>
          <w:p w14:paraId="0A399114" w14:textId="77777777" w:rsidR="00C533B1" w:rsidRPr="00C27A60" w:rsidRDefault="00C533B1" w:rsidP="00C533B1">
            <w:pPr>
              <w:suppressAutoHyphens/>
              <w:ind w:firstLine="567"/>
              <w:jc w:val="both"/>
              <w:rPr>
                <w:i/>
                <w:iCs/>
                <w:sz w:val="22"/>
                <w:szCs w:val="22"/>
              </w:rPr>
            </w:pPr>
          </w:p>
          <w:p w14:paraId="5D7F74B8" w14:textId="77777777" w:rsidR="00C533B1" w:rsidRPr="00C27A60" w:rsidRDefault="00C533B1" w:rsidP="00C533B1">
            <w:pPr>
              <w:suppressAutoHyphens/>
              <w:ind w:firstLine="567"/>
              <w:jc w:val="both"/>
              <w:rPr>
                <w:i/>
                <w:iCs/>
                <w:sz w:val="22"/>
                <w:szCs w:val="22"/>
              </w:rPr>
            </w:pPr>
            <w:r w:rsidRPr="00C27A60">
              <w:rPr>
                <w:i/>
                <w:iCs/>
                <w:sz w:val="22"/>
                <w:szCs w:val="22"/>
              </w:rPr>
              <w:t xml:space="preserve">1. Абзацом 8 підпункту 9 пункту 5 Методики передбачено: </w:t>
            </w:r>
          </w:p>
          <w:p w14:paraId="7DADA97B" w14:textId="77777777" w:rsidR="00C533B1" w:rsidRPr="00C27A60" w:rsidRDefault="00C533B1" w:rsidP="00C533B1">
            <w:pPr>
              <w:suppressAutoHyphens/>
              <w:ind w:firstLine="567"/>
              <w:jc w:val="both"/>
              <w:rPr>
                <w:i/>
                <w:iCs/>
                <w:sz w:val="22"/>
                <w:szCs w:val="22"/>
              </w:rPr>
            </w:pPr>
            <w:r w:rsidRPr="00C27A60">
              <w:rPr>
                <w:i/>
                <w:iCs/>
                <w:sz w:val="22"/>
                <w:szCs w:val="22"/>
              </w:rPr>
              <w:t>«Позитивна сума дельти за статтею "прибуток на регуляторну базу активів, яка створена до дати переходу до стимулюючого регулювання" враховується в обсязі 50 %. Негативна сума дельти за статтею "прибуток на регуляторну базу активів, яка створена до дати переходу до стимулюючого регулювання" враховується в обсязі 100 %;»</w:t>
            </w:r>
          </w:p>
          <w:p w14:paraId="0A4BD071" w14:textId="77777777" w:rsidR="00C533B1" w:rsidRPr="00C27A60" w:rsidRDefault="00C533B1" w:rsidP="00C533B1">
            <w:pPr>
              <w:suppressAutoHyphens/>
              <w:ind w:firstLine="567"/>
              <w:jc w:val="both"/>
              <w:rPr>
                <w:i/>
                <w:iCs/>
                <w:sz w:val="22"/>
                <w:szCs w:val="22"/>
              </w:rPr>
            </w:pPr>
          </w:p>
          <w:p w14:paraId="1988432A" w14:textId="77777777" w:rsidR="00C533B1" w:rsidRPr="00C27A60" w:rsidRDefault="00C533B1" w:rsidP="00C533B1">
            <w:pPr>
              <w:suppressAutoHyphens/>
              <w:ind w:firstLine="567"/>
              <w:jc w:val="both"/>
              <w:rPr>
                <w:i/>
                <w:iCs/>
                <w:sz w:val="22"/>
                <w:szCs w:val="22"/>
              </w:rPr>
            </w:pPr>
            <w:r w:rsidRPr="00C27A60">
              <w:rPr>
                <w:i/>
                <w:iCs/>
                <w:sz w:val="22"/>
                <w:szCs w:val="22"/>
              </w:rPr>
              <w:t>2. Пунктом 13 Методики передбачено:</w:t>
            </w:r>
          </w:p>
          <w:p w14:paraId="1B855A02" w14:textId="77777777" w:rsidR="00C533B1" w:rsidRPr="00C27A60" w:rsidRDefault="00C533B1" w:rsidP="00C533B1">
            <w:pPr>
              <w:suppressAutoHyphens/>
              <w:ind w:firstLine="567"/>
              <w:jc w:val="both"/>
              <w:rPr>
                <w:i/>
                <w:iCs/>
                <w:sz w:val="22"/>
                <w:szCs w:val="22"/>
              </w:rPr>
            </w:pPr>
            <w:r w:rsidRPr="00C27A60">
              <w:rPr>
                <w:i/>
                <w:iCs/>
                <w:sz w:val="22"/>
                <w:szCs w:val="22"/>
              </w:rPr>
              <w:t>«</w:t>
            </w:r>
            <w:hyperlink r:id="rId22" w:tgtFrame="_blank" w:history="1">
              <w:r w:rsidRPr="00C27A60">
                <w:rPr>
                  <w:i/>
                  <w:iCs/>
                  <w:sz w:val="22"/>
                  <w:szCs w:val="22"/>
                </w:rPr>
                <w:t>13.</w:t>
              </w:r>
            </w:hyperlink>
            <w:r w:rsidRPr="00C27A60">
              <w:rPr>
                <w:i/>
                <w:iCs/>
                <w:sz w:val="22"/>
                <w:szCs w:val="22"/>
              </w:rPr>
              <w:t> Обсяг фінансування інвестиційної програми на рік, що є наступним за звітним роком, збільшується в такому порядку:</w:t>
            </w:r>
          </w:p>
          <w:p w14:paraId="65DAB798" w14:textId="77777777" w:rsidR="00C533B1" w:rsidRPr="00C27A60" w:rsidRDefault="00C533B1" w:rsidP="00C533B1">
            <w:pPr>
              <w:suppressAutoHyphens/>
              <w:ind w:firstLine="567"/>
              <w:jc w:val="both"/>
              <w:rPr>
                <w:i/>
                <w:iCs/>
                <w:sz w:val="22"/>
                <w:szCs w:val="22"/>
              </w:rPr>
            </w:pPr>
            <w:r w:rsidRPr="00C27A60">
              <w:rPr>
                <w:i/>
                <w:iCs/>
                <w:sz w:val="22"/>
                <w:szCs w:val="22"/>
              </w:rPr>
              <w:t>на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діяльності ліцензіата;</w:t>
            </w:r>
          </w:p>
          <w:p w14:paraId="12C23D41" w14:textId="77777777" w:rsidR="00C533B1" w:rsidRPr="00C27A60" w:rsidRDefault="00C533B1" w:rsidP="00C533B1">
            <w:pPr>
              <w:suppressAutoHyphens/>
              <w:ind w:firstLine="567"/>
              <w:jc w:val="both"/>
              <w:rPr>
                <w:i/>
                <w:iCs/>
                <w:sz w:val="22"/>
                <w:szCs w:val="22"/>
              </w:rPr>
            </w:pPr>
            <w:r w:rsidRPr="00C27A60">
              <w:rPr>
                <w:i/>
                <w:iCs/>
                <w:sz w:val="22"/>
                <w:szCs w:val="22"/>
              </w:rPr>
              <w:t>на 50 % суми додатково отриманого доходу, отриманого у звітному році від плати за доступ до елементів інфраструктури об'єктів електроенергетики;</w:t>
            </w:r>
          </w:p>
          <w:p w14:paraId="40B4A3D4" w14:textId="77777777" w:rsidR="00C533B1" w:rsidRPr="00C27A60" w:rsidRDefault="00C533B1" w:rsidP="00C533B1">
            <w:pPr>
              <w:suppressAutoHyphens/>
              <w:ind w:firstLine="567"/>
              <w:jc w:val="both"/>
              <w:rPr>
                <w:i/>
                <w:iCs/>
                <w:sz w:val="22"/>
                <w:szCs w:val="22"/>
              </w:rPr>
            </w:pPr>
            <w:r w:rsidRPr="00C27A60">
              <w:rPr>
                <w:i/>
                <w:iCs/>
                <w:sz w:val="22"/>
                <w:szCs w:val="22"/>
              </w:rPr>
              <w:t>на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w:t>
            </w:r>
          </w:p>
          <w:p w14:paraId="6CFDE536" w14:textId="77777777" w:rsidR="00C533B1" w:rsidRPr="00C27A60" w:rsidRDefault="00C533B1" w:rsidP="00C533B1">
            <w:pPr>
              <w:suppressAutoHyphens/>
              <w:ind w:firstLine="567"/>
              <w:jc w:val="both"/>
              <w:rPr>
                <w:i/>
                <w:iCs/>
                <w:sz w:val="22"/>
                <w:szCs w:val="22"/>
              </w:rPr>
            </w:pPr>
            <w:r w:rsidRPr="00C27A60">
              <w:rPr>
                <w:i/>
                <w:iCs/>
                <w:sz w:val="22"/>
                <w:szCs w:val="22"/>
              </w:rPr>
              <w:lastRenderedPageBreak/>
              <w:t>на 50 % від негативної (від'ємної) суми дельти за статтею "прибуток на регуляторну базу активів, яка створена на дату переходу до стимулюючого регулювання" (</w:t>
            </w:r>
            <w:proofErr w:type="spellStart"/>
            <w:r w:rsidRPr="00C27A60">
              <w:rPr>
                <w:i/>
                <w:iCs/>
                <w:sz w:val="22"/>
                <w:szCs w:val="22"/>
              </w:rPr>
              <w:t>DПст</w:t>
            </w:r>
            <w:proofErr w:type="spellEnd"/>
            <w:r w:rsidRPr="00C27A60">
              <w:rPr>
                <w:i/>
                <w:iCs/>
                <w:sz w:val="22"/>
                <w:szCs w:val="22"/>
              </w:rPr>
              <w:t>).».</w:t>
            </w:r>
          </w:p>
          <w:p w14:paraId="73CBF07B" w14:textId="77777777" w:rsidR="00C533B1" w:rsidRPr="00C27A60" w:rsidRDefault="00C533B1" w:rsidP="00C533B1">
            <w:pPr>
              <w:suppressAutoHyphens/>
              <w:spacing w:before="120" w:after="120"/>
              <w:ind w:firstLine="567"/>
              <w:jc w:val="both"/>
              <w:rPr>
                <w:i/>
                <w:iCs/>
                <w:sz w:val="22"/>
                <w:szCs w:val="22"/>
              </w:rPr>
            </w:pPr>
            <w:r w:rsidRPr="00C27A60">
              <w:rPr>
                <w:i/>
                <w:iCs/>
                <w:sz w:val="22"/>
                <w:szCs w:val="22"/>
              </w:rPr>
              <w:t>Оцінюючи обґрунтованість запропонованих змін варто обов’язково звернути увагу на те, що за умовами Постанови НКРЕКП від 23.07.2013 року №1009 «Про встановлення параметрів регулювання, що мають довгостроковий строк дії, для цілей стимулюючого регулювання», регуляторна норма доходу на регуляторну базу активів, яка створена на дату переходу до стимулюючого регулювання визначена на рівні 0,03 відносних одиниць, в той час, коли регуляторна норма доходу на регуляторну базу активів, яка створена після переходу на стимулююче регулювання, - 0,1674 відносних одиниць.</w:t>
            </w:r>
          </w:p>
          <w:p w14:paraId="71D59A50" w14:textId="77777777" w:rsidR="00C533B1" w:rsidRPr="00C27A60" w:rsidRDefault="00C533B1" w:rsidP="00C533B1">
            <w:pPr>
              <w:suppressAutoHyphens/>
              <w:spacing w:before="120" w:after="120"/>
              <w:ind w:firstLine="567"/>
              <w:jc w:val="both"/>
              <w:rPr>
                <w:i/>
                <w:iCs/>
                <w:sz w:val="22"/>
                <w:szCs w:val="22"/>
              </w:rPr>
            </w:pPr>
            <w:r w:rsidRPr="00C27A60">
              <w:rPr>
                <w:i/>
                <w:iCs/>
                <w:sz w:val="22"/>
                <w:szCs w:val="22"/>
              </w:rPr>
              <w:t>Товариство переконане у тому, що відповідальність за отримання надлишкового доходу по активам, прибутковість по яким відрізняється майже у 6 разів, не може бути однаковою.</w:t>
            </w:r>
          </w:p>
          <w:p w14:paraId="2A8DE42D" w14:textId="77777777" w:rsidR="00C533B1" w:rsidRPr="00C27A60" w:rsidRDefault="00C533B1" w:rsidP="00C533B1">
            <w:pPr>
              <w:suppressAutoHyphens/>
              <w:spacing w:before="120" w:after="120"/>
              <w:ind w:firstLine="567"/>
              <w:jc w:val="both"/>
              <w:rPr>
                <w:i/>
                <w:iCs/>
                <w:sz w:val="22"/>
                <w:szCs w:val="22"/>
              </w:rPr>
            </w:pPr>
            <w:r w:rsidRPr="00C27A60">
              <w:rPr>
                <w:i/>
                <w:iCs/>
                <w:sz w:val="22"/>
                <w:szCs w:val="22"/>
              </w:rPr>
              <w:t>До того ж, наявність у Методиці зазначеного вище порядку урахування дельти за статтею "прибуток на регуляторну базу активів, яка створена до дати переходу до стимулюючого регулювання" призводитиме до подвійної відповідальності ліцензіата, що суперечить статті 61 Конституції України.</w:t>
            </w:r>
          </w:p>
          <w:p w14:paraId="20776898" w14:textId="77777777" w:rsidR="00C533B1" w:rsidRPr="00C27A60" w:rsidRDefault="00C533B1" w:rsidP="00C533B1">
            <w:pPr>
              <w:suppressAutoHyphens/>
              <w:spacing w:before="120" w:after="120"/>
              <w:ind w:firstLine="567"/>
              <w:jc w:val="both"/>
              <w:rPr>
                <w:sz w:val="22"/>
                <w:szCs w:val="22"/>
              </w:rPr>
            </w:pPr>
            <w:r w:rsidRPr="00C27A60">
              <w:rPr>
                <w:sz w:val="22"/>
                <w:szCs w:val="22"/>
              </w:rPr>
              <w:t>З огляду на зазначене, пропонуємо не вносити запропоновані зміни до підпункту 13 пункту 5 Методики.</w:t>
            </w:r>
          </w:p>
          <w:p w14:paraId="59A58B32" w14:textId="4F201741" w:rsidR="00C533B1" w:rsidRPr="00C27A60" w:rsidRDefault="00C533B1" w:rsidP="00C533B1">
            <w:pPr>
              <w:rPr>
                <w:i/>
                <w:sz w:val="22"/>
                <w:szCs w:val="22"/>
              </w:rPr>
            </w:pPr>
          </w:p>
        </w:tc>
        <w:tc>
          <w:tcPr>
            <w:tcW w:w="3546" w:type="dxa"/>
          </w:tcPr>
          <w:p w14:paraId="59814CF1" w14:textId="77777777" w:rsidR="003E1E4D" w:rsidRDefault="003E1E4D" w:rsidP="004A0738">
            <w:pPr>
              <w:shd w:val="clear" w:color="auto" w:fill="FFFFFF"/>
              <w:jc w:val="both"/>
              <w:rPr>
                <w:b/>
                <w:bCs/>
                <w:iCs/>
                <w:sz w:val="22"/>
                <w:szCs w:val="22"/>
              </w:rPr>
            </w:pPr>
          </w:p>
          <w:p w14:paraId="016C912D" w14:textId="7122A783" w:rsidR="00D01312" w:rsidRPr="00C27A60" w:rsidRDefault="004A0738" w:rsidP="004A0738">
            <w:pPr>
              <w:shd w:val="clear" w:color="auto" w:fill="FFFFFF"/>
              <w:jc w:val="both"/>
              <w:rPr>
                <w:b/>
                <w:bCs/>
                <w:iCs/>
                <w:sz w:val="22"/>
                <w:szCs w:val="22"/>
              </w:rPr>
            </w:pPr>
            <w:r w:rsidRPr="00C27A60">
              <w:rPr>
                <w:b/>
                <w:bCs/>
                <w:iCs/>
                <w:sz w:val="22"/>
                <w:szCs w:val="22"/>
              </w:rPr>
              <w:t>Не враховано</w:t>
            </w:r>
          </w:p>
          <w:p w14:paraId="1A0CF879" w14:textId="6F77EBED" w:rsidR="004A0738" w:rsidRPr="00C27A60" w:rsidRDefault="004A0738" w:rsidP="004A0738">
            <w:pPr>
              <w:shd w:val="clear" w:color="auto" w:fill="FFFFFF"/>
              <w:jc w:val="both"/>
              <w:rPr>
                <w:b/>
                <w:bCs/>
                <w:iCs/>
                <w:sz w:val="24"/>
                <w:szCs w:val="24"/>
                <w:lang w:eastAsia="uk-UA"/>
              </w:rPr>
            </w:pPr>
          </w:p>
          <w:p w14:paraId="3ED9D68E" w14:textId="0350900A" w:rsidR="00B43111" w:rsidRPr="00C27A60" w:rsidRDefault="00B43111" w:rsidP="004A0738">
            <w:pPr>
              <w:jc w:val="both"/>
              <w:rPr>
                <w:sz w:val="22"/>
                <w:szCs w:val="22"/>
              </w:rPr>
            </w:pPr>
          </w:p>
        </w:tc>
      </w:tr>
      <w:tr w:rsidR="00C27A60" w:rsidRPr="00C27A60" w14:paraId="5F9B028E" w14:textId="77777777" w:rsidTr="008D1DC5">
        <w:trPr>
          <w:trHeight w:val="595"/>
        </w:trPr>
        <w:tc>
          <w:tcPr>
            <w:tcW w:w="5839" w:type="dxa"/>
          </w:tcPr>
          <w:p w14:paraId="5F342DFB"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lastRenderedPageBreak/>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6FD4DA96" w14:textId="77777777" w:rsidR="00C533B1" w:rsidRPr="00C27A60" w:rsidRDefault="00C533B1" w:rsidP="00C533B1">
            <w:pPr>
              <w:ind w:firstLine="308"/>
              <w:jc w:val="both"/>
              <w:rPr>
                <w:sz w:val="22"/>
                <w:szCs w:val="22"/>
                <w:shd w:val="clear" w:color="auto" w:fill="FFFFFF"/>
              </w:rPr>
            </w:pPr>
          </w:p>
          <w:p w14:paraId="53D2959E" w14:textId="77777777" w:rsidR="00C533B1" w:rsidRPr="00C27A60" w:rsidRDefault="00C533B1" w:rsidP="00C533B1">
            <w:pPr>
              <w:ind w:firstLine="308"/>
              <w:jc w:val="both"/>
              <w:rPr>
                <w:sz w:val="22"/>
                <w:szCs w:val="22"/>
                <w:shd w:val="clear" w:color="auto" w:fill="FFFFFF"/>
              </w:rPr>
            </w:pPr>
            <w:r w:rsidRPr="00C27A60">
              <w:rPr>
                <w:sz w:val="22"/>
                <w:szCs w:val="22"/>
                <w:shd w:val="clear" w:color="auto" w:fill="FFFFFF"/>
              </w:rPr>
              <w:t>&lt;…&gt;</w:t>
            </w:r>
          </w:p>
          <w:p w14:paraId="50C2A23E" w14:textId="3CE38B2A" w:rsidR="00C533B1" w:rsidRPr="00C27A60" w:rsidRDefault="00C533B1" w:rsidP="00C533B1">
            <w:pPr>
              <w:ind w:firstLine="308"/>
              <w:jc w:val="both"/>
              <w:rPr>
                <w:sz w:val="22"/>
                <w:szCs w:val="22"/>
              </w:rPr>
            </w:pPr>
          </w:p>
          <w:p w14:paraId="49BEA545" w14:textId="77777777" w:rsidR="00C533B1" w:rsidRPr="00C27A60" w:rsidRDefault="00C533B1" w:rsidP="00C533B1">
            <w:pPr>
              <w:ind w:firstLine="308"/>
              <w:jc w:val="both"/>
              <w:rPr>
                <w:b/>
                <w:sz w:val="22"/>
                <w:szCs w:val="22"/>
                <w:shd w:val="clear" w:color="auto" w:fill="FFFFFF"/>
              </w:rPr>
            </w:pPr>
            <w:r w:rsidRPr="00C27A60">
              <w:rPr>
                <w:b/>
                <w:sz w:val="22"/>
                <w:szCs w:val="22"/>
                <w:shd w:val="clear" w:color="auto" w:fill="FFFFFF"/>
              </w:rPr>
              <w:t xml:space="preserve">14) фактична сума перевищення максимального розміру заробітної плати, яка фінансується за рахунок </w:t>
            </w:r>
            <w:r w:rsidRPr="00C27A60">
              <w:rPr>
                <w:b/>
                <w:sz w:val="22"/>
                <w:szCs w:val="22"/>
                <w:shd w:val="clear" w:color="auto" w:fill="FFFFFF"/>
              </w:rPr>
              <w:lastRenderedPageBreak/>
              <w:t>тарифів на послуги з розподілу електричної енергії із застосуванням стимулюючого регулювання, що перевищує десятикратний розмір середньої заробітної плати, урахованої у структурі тарифів на послуги з розподілу електричної енергії із застосуванням стимулюючого регулювання, з урахуванням приведення до середньорічного розміру заробітної плати у звітному році, що підлягає вилученню.</w:t>
            </w:r>
          </w:p>
          <w:p w14:paraId="005EA3CD" w14:textId="77777777" w:rsidR="00C533B1" w:rsidRPr="00C27A60" w:rsidRDefault="00C533B1" w:rsidP="00C533B1">
            <w:pPr>
              <w:ind w:firstLine="308"/>
              <w:jc w:val="both"/>
              <w:rPr>
                <w:sz w:val="22"/>
                <w:szCs w:val="22"/>
              </w:rPr>
            </w:pPr>
          </w:p>
          <w:p w14:paraId="009BC7B1" w14:textId="77777777" w:rsidR="00C533B1" w:rsidRPr="00C27A60" w:rsidRDefault="00C533B1" w:rsidP="00C533B1">
            <w:pPr>
              <w:ind w:firstLine="308"/>
              <w:jc w:val="both"/>
              <w:rPr>
                <w:sz w:val="22"/>
                <w:szCs w:val="22"/>
                <w:shd w:val="clear" w:color="auto" w:fill="FFFFFF"/>
              </w:rPr>
            </w:pPr>
          </w:p>
        </w:tc>
        <w:tc>
          <w:tcPr>
            <w:tcW w:w="5812" w:type="dxa"/>
          </w:tcPr>
          <w:p w14:paraId="2CCCE5FB" w14:textId="77777777" w:rsidR="00C533B1" w:rsidRPr="00C27A60" w:rsidRDefault="00C533B1" w:rsidP="00C533B1">
            <w:pPr>
              <w:jc w:val="both"/>
              <w:rPr>
                <w:sz w:val="22"/>
                <w:szCs w:val="22"/>
              </w:rPr>
            </w:pPr>
          </w:p>
          <w:p w14:paraId="4B9F9909" w14:textId="77777777" w:rsidR="00C533B1" w:rsidRPr="00C27A60" w:rsidRDefault="00C533B1" w:rsidP="00C533B1">
            <w:pPr>
              <w:ind w:firstLine="30"/>
              <w:jc w:val="both"/>
              <w:rPr>
                <w:i/>
                <w:sz w:val="22"/>
                <w:szCs w:val="22"/>
                <w:shd w:val="clear" w:color="auto" w:fill="FFFFFF"/>
              </w:rPr>
            </w:pPr>
            <w:r w:rsidRPr="00C27A60">
              <w:rPr>
                <w:i/>
                <w:sz w:val="22"/>
                <w:szCs w:val="22"/>
                <w:shd w:val="clear" w:color="auto" w:fill="FFFFFF"/>
              </w:rPr>
              <w:t>ГС «РЕУ»</w:t>
            </w:r>
          </w:p>
          <w:p w14:paraId="39C6E23F" w14:textId="62A233FA" w:rsidR="00C533B1" w:rsidRPr="00C27A60" w:rsidRDefault="00C533B1" w:rsidP="00C533B1">
            <w:pPr>
              <w:jc w:val="both"/>
              <w:rPr>
                <w:i/>
                <w:sz w:val="22"/>
                <w:szCs w:val="22"/>
                <w:shd w:val="clear" w:color="auto" w:fill="FFFFFF"/>
              </w:rPr>
            </w:pPr>
            <w:r w:rsidRPr="00C27A60">
              <w:rPr>
                <w:i/>
                <w:sz w:val="22"/>
                <w:szCs w:val="22"/>
                <w:shd w:val="clear" w:color="auto" w:fill="FFFFFF"/>
              </w:rPr>
              <w:t>АТ ДТЕК «ДОНЕЦЬКІ ЕЛЕКТРОМЕРЕЖІ»</w:t>
            </w:r>
          </w:p>
          <w:p w14:paraId="03B0F9AE" w14:textId="1BB985ED" w:rsidR="00C533B1" w:rsidRPr="00C27A60" w:rsidRDefault="00C533B1" w:rsidP="00C533B1">
            <w:pPr>
              <w:jc w:val="both"/>
              <w:rPr>
                <w:i/>
                <w:sz w:val="22"/>
                <w:szCs w:val="22"/>
                <w:shd w:val="clear" w:color="auto" w:fill="FFFFFF"/>
              </w:rPr>
            </w:pPr>
            <w:r w:rsidRPr="00C27A60">
              <w:rPr>
                <w:i/>
                <w:sz w:val="22"/>
                <w:szCs w:val="22"/>
                <w:shd w:val="clear" w:color="auto" w:fill="FFFFFF"/>
              </w:rPr>
              <w:t>АТ «ДТЕК ДНІПРОВСЬКІ ЕЛЕКТРОМЕРЕЖІ»</w:t>
            </w:r>
          </w:p>
          <w:p w14:paraId="44BED9B7" w14:textId="77777777" w:rsidR="00C533B1" w:rsidRPr="00C27A60" w:rsidRDefault="00C533B1" w:rsidP="00C533B1">
            <w:pPr>
              <w:ind w:firstLine="308"/>
              <w:jc w:val="both"/>
              <w:rPr>
                <w:sz w:val="22"/>
                <w:szCs w:val="22"/>
                <w:shd w:val="clear" w:color="auto" w:fill="FFFFFF"/>
              </w:rPr>
            </w:pPr>
          </w:p>
          <w:p w14:paraId="7EB738B5" w14:textId="77777777" w:rsidR="00C533B1" w:rsidRPr="00C27A60" w:rsidRDefault="00C533B1" w:rsidP="00C533B1">
            <w:pPr>
              <w:ind w:firstLine="308"/>
              <w:jc w:val="both"/>
              <w:rPr>
                <w:b/>
                <w:sz w:val="22"/>
                <w:szCs w:val="22"/>
                <w:shd w:val="clear" w:color="auto" w:fill="FFFFFF"/>
              </w:rPr>
            </w:pPr>
            <w:r w:rsidRPr="00C27A60">
              <w:rPr>
                <w:b/>
                <w:sz w:val="22"/>
                <w:szCs w:val="22"/>
                <w:shd w:val="clear" w:color="auto" w:fill="FFFFFF"/>
              </w:rPr>
              <w:t xml:space="preserve">14) фактична сума перевищення максимального розміру середньорічної заробітної плати, яка фінансується за рахунок тарифів на послуги з розподілу </w:t>
            </w:r>
            <w:r w:rsidRPr="00C27A60">
              <w:rPr>
                <w:b/>
                <w:sz w:val="22"/>
                <w:szCs w:val="22"/>
                <w:shd w:val="clear" w:color="auto" w:fill="FFFFFF"/>
              </w:rPr>
              <w:lastRenderedPageBreak/>
              <w:t>електричної енергії із застосуванням стимулюючого регулювання, що перевищує десятикратний розмір середньорічної заробітної плати, урахованої у структурі тарифів на послуги з розподілу електричної енергії із застосуванням стимулюючого регулювання.</w:t>
            </w:r>
          </w:p>
          <w:p w14:paraId="78F36AD8" w14:textId="77777777" w:rsidR="00C533B1" w:rsidRPr="00C27A60" w:rsidRDefault="00C533B1" w:rsidP="00C533B1">
            <w:pPr>
              <w:ind w:firstLine="308"/>
              <w:jc w:val="both"/>
              <w:rPr>
                <w:i/>
                <w:sz w:val="22"/>
                <w:szCs w:val="22"/>
              </w:rPr>
            </w:pPr>
          </w:p>
          <w:p w14:paraId="75E8C98E" w14:textId="77777777" w:rsidR="00C533B1" w:rsidRPr="00C27A60" w:rsidRDefault="00C533B1" w:rsidP="00C533B1">
            <w:pPr>
              <w:rPr>
                <w:i/>
                <w:sz w:val="22"/>
                <w:szCs w:val="22"/>
              </w:rPr>
            </w:pPr>
            <w:r w:rsidRPr="00C27A60">
              <w:rPr>
                <w:i/>
                <w:sz w:val="22"/>
                <w:szCs w:val="22"/>
              </w:rPr>
              <w:t>ОБРГРУНТУВАННЯ:</w:t>
            </w:r>
          </w:p>
          <w:p w14:paraId="7054612B" w14:textId="77777777" w:rsidR="00C533B1" w:rsidRPr="00C27A60" w:rsidRDefault="00C533B1" w:rsidP="00C533B1">
            <w:pPr>
              <w:ind w:firstLine="308"/>
              <w:jc w:val="both"/>
              <w:rPr>
                <w:i/>
                <w:sz w:val="22"/>
                <w:szCs w:val="22"/>
              </w:rPr>
            </w:pPr>
          </w:p>
          <w:p w14:paraId="448181FC" w14:textId="77777777" w:rsidR="00C533B1" w:rsidRPr="00C27A60" w:rsidRDefault="00C533B1" w:rsidP="00C533B1">
            <w:pPr>
              <w:jc w:val="both"/>
              <w:rPr>
                <w:sz w:val="22"/>
                <w:szCs w:val="22"/>
              </w:rPr>
            </w:pPr>
            <w:r w:rsidRPr="00C27A60">
              <w:rPr>
                <w:sz w:val="22"/>
                <w:szCs w:val="22"/>
              </w:rPr>
              <w:t xml:space="preserve">З метою однозначного трактування пропонується </w:t>
            </w:r>
            <w:proofErr w:type="spellStart"/>
            <w:r w:rsidRPr="00C27A60">
              <w:rPr>
                <w:sz w:val="22"/>
                <w:szCs w:val="22"/>
              </w:rPr>
              <w:t>внести</w:t>
            </w:r>
            <w:proofErr w:type="spellEnd"/>
            <w:r w:rsidRPr="00C27A60">
              <w:rPr>
                <w:sz w:val="22"/>
                <w:szCs w:val="22"/>
              </w:rPr>
              <w:t xml:space="preserve"> уточнення.</w:t>
            </w:r>
          </w:p>
          <w:p w14:paraId="73487257" w14:textId="7E89321C" w:rsidR="00C533B1" w:rsidRPr="00C27A60" w:rsidRDefault="00C533B1" w:rsidP="00C533B1">
            <w:pPr>
              <w:ind w:firstLine="308"/>
              <w:jc w:val="both"/>
              <w:rPr>
                <w:i/>
                <w:sz w:val="22"/>
                <w:szCs w:val="22"/>
              </w:rPr>
            </w:pPr>
          </w:p>
        </w:tc>
        <w:tc>
          <w:tcPr>
            <w:tcW w:w="3546" w:type="dxa"/>
          </w:tcPr>
          <w:p w14:paraId="362049FF" w14:textId="77777777" w:rsidR="00B43111" w:rsidRPr="00C27A60" w:rsidRDefault="00B43111" w:rsidP="00B43111">
            <w:pPr>
              <w:rPr>
                <w:b/>
                <w:i/>
                <w:sz w:val="22"/>
                <w:szCs w:val="22"/>
              </w:rPr>
            </w:pPr>
          </w:p>
          <w:p w14:paraId="59116B9E" w14:textId="77777777" w:rsidR="00B43111" w:rsidRPr="00C27A60" w:rsidRDefault="00B43111" w:rsidP="00B43111">
            <w:pPr>
              <w:rPr>
                <w:b/>
                <w:i/>
                <w:sz w:val="22"/>
                <w:szCs w:val="22"/>
              </w:rPr>
            </w:pPr>
          </w:p>
          <w:p w14:paraId="053EAABF" w14:textId="5071993C" w:rsidR="00B43111" w:rsidRDefault="00B43111" w:rsidP="00B43111">
            <w:pPr>
              <w:rPr>
                <w:b/>
                <w:i/>
                <w:sz w:val="22"/>
                <w:szCs w:val="22"/>
              </w:rPr>
            </w:pPr>
          </w:p>
          <w:p w14:paraId="31106AEA" w14:textId="77777777" w:rsidR="003E1E4D" w:rsidRPr="00C27A60" w:rsidRDefault="003E1E4D" w:rsidP="00B43111">
            <w:pPr>
              <w:rPr>
                <w:b/>
                <w:i/>
                <w:sz w:val="22"/>
                <w:szCs w:val="22"/>
              </w:rPr>
            </w:pPr>
          </w:p>
          <w:p w14:paraId="787B73E7" w14:textId="77777777" w:rsidR="00592CEB" w:rsidRPr="00C27A60" w:rsidRDefault="00592CEB" w:rsidP="00592CEB">
            <w:pPr>
              <w:rPr>
                <w:b/>
                <w:sz w:val="16"/>
                <w:szCs w:val="22"/>
              </w:rPr>
            </w:pPr>
          </w:p>
          <w:p w14:paraId="331A5C6E" w14:textId="77777777" w:rsidR="00592CEB" w:rsidRPr="00C27A60" w:rsidRDefault="00592CEB" w:rsidP="00592CEB">
            <w:pPr>
              <w:jc w:val="both"/>
              <w:rPr>
                <w:b/>
                <w:sz w:val="22"/>
                <w:szCs w:val="22"/>
              </w:rPr>
            </w:pPr>
            <w:r w:rsidRPr="00C27A60">
              <w:rPr>
                <w:b/>
                <w:sz w:val="22"/>
                <w:szCs w:val="22"/>
              </w:rPr>
              <w:t xml:space="preserve">Не враховується </w:t>
            </w:r>
          </w:p>
          <w:p w14:paraId="1558B703" w14:textId="66A2CA92" w:rsidR="00592CEB" w:rsidRPr="00C27A60" w:rsidRDefault="00592CEB" w:rsidP="00592CEB">
            <w:pPr>
              <w:pStyle w:val="af5"/>
              <w:spacing w:before="0" w:beforeAutospacing="0" w:after="0" w:afterAutospacing="0"/>
              <w:jc w:val="both"/>
              <w:rPr>
                <w:b/>
                <w:sz w:val="22"/>
                <w:szCs w:val="22"/>
                <w:lang w:eastAsia="ru-RU"/>
              </w:rPr>
            </w:pPr>
          </w:p>
          <w:p w14:paraId="3D5777C8" w14:textId="0771B9C5" w:rsidR="00C533B1" w:rsidRPr="00C27A60" w:rsidRDefault="00592CEB" w:rsidP="00592CEB">
            <w:pPr>
              <w:ind w:firstLine="240"/>
              <w:jc w:val="both"/>
              <w:rPr>
                <w:i/>
                <w:sz w:val="22"/>
                <w:szCs w:val="22"/>
              </w:rPr>
            </w:pPr>
            <w:r w:rsidRPr="00C27A60">
              <w:rPr>
                <w:sz w:val="22"/>
                <w:szCs w:val="22"/>
              </w:rPr>
              <w:lastRenderedPageBreak/>
              <w:t>Запропонована редакція не змінює та не удосконалює трактування норми порівняно зі схваленою редакцією (аналіз здійснюється помісячно, а кінцевий результат приймається за результатом середньорічних показників).</w:t>
            </w:r>
          </w:p>
        </w:tc>
      </w:tr>
      <w:tr w:rsidR="00C27A60" w:rsidRPr="00C27A60" w14:paraId="48DD2283" w14:textId="77777777" w:rsidTr="008D1DC5">
        <w:trPr>
          <w:trHeight w:val="595"/>
        </w:trPr>
        <w:tc>
          <w:tcPr>
            <w:tcW w:w="5839" w:type="dxa"/>
          </w:tcPr>
          <w:p w14:paraId="6A0342B7" w14:textId="77777777" w:rsidR="00C533B1" w:rsidRPr="00C27A60" w:rsidRDefault="00C533B1" w:rsidP="00C533B1">
            <w:pPr>
              <w:ind w:firstLine="308"/>
              <w:jc w:val="both"/>
              <w:rPr>
                <w:sz w:val="22"/>
                <w:szCs w:val="22"/>
                <w:shd w:val="clear" w:color="auto" w:fill="FFFFFF"/>
              </w:rPr>
            </w:pPr>
          </w:p>
          <w:p w14:paraId="644AF879" w14:textId="14CCDFA4" w:rsidR="00C533B1" w:rsidRPr="00C27A60" w:rsidRDefault="00C533B1" w:rsidP="00C533B1">
            <w:pPr>
              <w:ind w:firstLine="308"/>
              <w:jc w:val="both"/>
              <w:rPr>
                <w:b/>
                <w:sz w:val="22"/>
                <w:szCs w:val="22"/>
                <w:shd w:val="clear" w:color="auto" w:fill="FFFFFF"/>
              </w:rPr>
            </w:pPr>
            <w:r w:rsidRPr="00C27A60">
              <w:rPr>
                <w:b/>
                <w:sz w:val="22"/>
                <w:szCs w:val="22"/>
                <w:shd w:val="clear" w:color="auto" w:fill="FFFFFF"/>
              </w:rPr>
              <w:t>ЗМІНИ НЕ ПРОПОНУВАЛИСЬ</w:t>
            </w:r>
          </w:p>
        </w:tc>
        <w:tc>
          <w:tcPr>
            <w:tcW w:w="5812" w:type="dxa"/>
          </w:tcPr>
          <w:p w14:paraId="3ADBC15D" w14:textId="77777777" w:rsidR="00C533B1" w:rsidRPr="00C27A60" w:rsidRDefault="00C533B1" w:rsidP="00C533B1">
            <w:pPr>
              <w:jc w:val="both"/>
              <w:rPr>
                <w:sz w:val="22"/>
                <w:szCs w:val="22"/>
              </w:rPr>
            </w:pPr>
          </w:p>
          <w:p w14:paraId="1B95DC5D" w14:textId="77777777" w:rsidR="00C533B1" w:rsidRPr="00C27A60" w:rsidRDefault="00C533B1" w:rsidP="00C533B1">
            <w:pPr>
              <w:ind w:firstLine="30"/>
              <w:jc w:val="both"/>
              <w:rPr>
                <w:i/>
                <w:sz w:val="22"/>
                <w:szCs w:val="22"/>
                <w:shd w:val="clear" w:color="auto" w:fill="FFFFFF"/>
              </w:rPr>
            </w:pPr>
            <w:r w:rsidRPr="00C27A60">
              <w:rPr>
                <w:i/>
                <w:sz w:val="22"/>
                <w:szCs w:val="22"/>
                <w:shd w:val="clear" w:color="auto" w:fill="FFFFFF"/>
              </w:rPr>
              <w:t>ГС «РЕУ»</w:t>
            </w:r>
          </w:p>
          <w:p w14:paraId="0936CBAA" w14:textId="4CD95F56" w:rsidR="00C533B1" w:rsidRPr="00C27A60" w:rsidRDefault="00C533B1" w:rsidP="00C533B1">
            <w:pPr>
              <w:jc w:val="both"/>
              <w:rPr>
                <w:i/>
                <w:sz w:val="22"/>
                <w:szCs w:val="22"/>
                <w:shd w:val="clear" w:color="auto" w:fill="FFFFFF"/>
              </w:rPr>
            </w:pPr>
            <w:r w:rsidRPr="00C27A60">
              <w:rPr>
                <w:i/>
                <w:sz w:val="22"/>
                <w:szCs w:val="22"/>
                <w:shd w:val="clear" w:color="auto" w:fill="FFFFFF"/>
              </w:rPr>
              <w:t>АТ ДТЕК «ДОНЕЦЬКІ ЕЛЕКТРОМЕРЕЖІ»</w:t>
            </w:r>
          </w:p>
          <w:p w14:paraId="4A2B390A" w14:textId="39E6AB8B" w:rsidR="00C533B1" w:rsidRPr="00C27A60" w:rsidRDefault="00C533B1" w:rsidP="00C533B1">
            <w:pPr>
              <w:jc w:val="both"/>
              <w:rPr>
                <w:i/>
                <w:sz w:val="22"/>
                <w:szCs w:val="22"/>
                <w:shd w:val="clear" w:color="auto" w:fill="FFFFFF"/>
              </w:rPr>
            </w:pPr>
            <w:r w:rsidRPr="00C27A60">
              <w:rPr>
                <w:i/>
                <w:sz w:val="22"/>
                <w:szCs w:val="22"/>
                <w:shd w:val="clear" w:color="auto" w:fill="FFFFFF"/>
              </w:rPr>
              <w:t>АТ «ДТЕК ДНІПРОВСЬКІ ЕЛЕКТРОМЕРЕЖІ»</w:t>
            </w:r>
          </w:p>
          <w:p w14:paraId="5F338B83" w14:textId="77777777" w:rsidR="00C533B1" w:rsidRPr="00C27A60" w:rsidRDefault="00C533B1" w:rsidP="00C533B1">
            <w:pPr>
              <w:ind w:firstLine="308"/>
              <w:jc w:val="both"/>
              <w:rPr>
                <w:sz w:val="22"/>
                <w:szCs w:val="22"/>
                <w:shd w:val="clear" w:color="auto" w:fill="FFFFFF"/>
              </w:rPr>
            </w:pPr>
          </w:p>
          <w:p w14:paraId="566FDB40" w14:textId="77777777" w:rsidR="00C533B1" w:rsidRPr="00C27A60" w:rsidRDefault="00C533B1" w:rsidP="00C533B1">
            <w:pPr>
              <w:widowControl w:val="0"/>
              <w:autoSpaceDE w:val="0"/>
              <w:autoSpaceDN w:val="0"/>
              <w:ind w:left="110" w:right="199"/>
              <w:jc w:val="both"/>
              <w:rPr>
                <w:sz w:val="22"/>
                <w:szCs w:val="22"/>
                <w:lang w:eastAsia="en-US"/>
              </w:rPr>
            </w:pPr>
            <w:r w:rsidRPr="00C27A60">
              <w:rPr>
                <w:sz w:val="22"/>
                <w:szCs w:val="22"/>
                <w:lang w:eastAsia="en-US"/>
              </w:rPr>
              <w:t>Пропонується доповнення</w:t>
            </w:r>
          </w:p>
          <w:p w14:paraId="1C3AF959" w14:textId="77777777" w:rsidR="00C533B1" w:rsidRPr="00C27A60" w:rsidRDefault="00C533B1" w:rsidP="00C533B1">
            <w:pPr>
              <w:widowControl w:val="0"/>
              <w:autoSpaceDE w:val="0"/>
              <w:autoSpaceDN w:val="0"/>
              <w:ind w:left="110" w:right="199"/>
              <w:jc w:val="both"/>
              <w:rPr>
                <w:sz w:val="22"/>
                <w:szCs w:val="22"/>
                <w:lang w:eastAsia="en-US"/>
              </w:rPr>
            </w:pPr>
            <w:r w:rsidRPr="00C27A60">
              <w:rPr>
                <w:sz w:val="22"/>
                <w:szCs w:val="22"/>
                <w:lang w:eastAsia="en-US"/>
              </w:rPr>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1D7C8FAB" w14:textId="77777777" w:rsidR="00C533B1" w:rsidRPr="00C27A60" w:rsidRDefault="00C533B1" w:rsidP="00C533B1">
            <w:pPr>
              <w:widowControl w:val="0"/>
              <w:autoSpaceDE w:val="0"/>
              <w:autoSpaceDN w:val="0"/>
              <w:ind w:left="110" w:right="199"/>
              <w:jc w:val="both"/>
              <w:rPr>
                <w:sz w:val="22"/>
                <w:szCs w:val="22"/>
                <w:lang w:eastAsia="en-US"/>
              </w:rPr>
            </w:pPr>
            <w:r w:rsidRPr="00C27A60">
              <w:rPr>
                <w:sz w:val="22"/>
                <w:szCs w:val="22"/>
                <w:lang w:eastAsia="en-US"/>
              </w:rPr>
              <w:t>…</w:t>
            </w:r>
          </w:p>
          <w:p w14:paraId="4EA05FC6" w14:textId="77777777" w:rsidR="00C533B1" w:rsidRPr="00C27A60" w:rsidRDefault="00C533B1" w:rsidP="00C533B1">
            <w:pPr>
              <w:widowControl w:val="0"/>
              <w:autoSpaceDE w:val="0"/>
              <w:autoSpaceDN w:val="0"/>
              <w:ind w:left="110" w:right="199"/>
              <w:jc w:val="both"/>
              <w:rPr>
                <w:sz w:val="22"/>
                <w:szCs w:val="22"/>
                <w:lang w:eastAsia="en-US"/>
              </w:rPr>
            </w:pPr>
          </w:p>
          <w:p w14:paraId="6A66FD86" w14:textId="77777777" w:rsidR="00C533B1" w:rsidRPr="00C27A60" w:rsidRDefault="00C533B1" w:rsidP="00C533B1">
            <w:pPr>
              <w:jc w:val="both"/>
              <w:rPr>
                <w:rFonts w:eastAsia="Calibri"/>
                <w:b/>
                <w:bCs/>
                <w:sz w:val="22"/>
                <w:szCs w:val="22"/>
                <w:lang w:eastAsia="en-US"/>
              </w:rPr>
            </w:pPr>
            <w:r w:rsidRPr="00C27A60">
              <w:rPr>
                <w:rFonts w:eastAsia="Calibri"/>
                <w:b/>
                <w:bCs/>
                <w:sz w:val="22"/>
                <w:szCs w:val="22"/>
                <w:lang w:eastAsia="en-US"/>
              </w:rPr>
              <w:t>4) фактичні витрати, понесені у звітному році, на сплату банківських відсотків по кредитних коштах, залучених у банківських установах, для покриття різниці між вартістю заходів з приєднань, виконаних у звітному році, та сумою, отриманою від замовників послуги з приєднання.</w:t>
            </w:r>
          </w:p>
          <w:p w14:paraId="34F90279" w14:textId="77777777" w:rsidR="00C533B1" w:rsidRPr="00C27A60" w:rsidRDefault="00C533B1" w:rsidP="00C533B1">
            <w:pPr>
              <w:jc w:val="both"/>
              <w:rPr>
                <w:sz w:val="22"/>
                <w:szCs w:val="22"/>
              </w:rPr>
            </w:pPr>
          </w:p>
          <w:p w14:paraId="4FE0B785" w14:textId="77777777" w:rsidR="00C533B1" w:rsidRPr="00C27A60" w:rsidRDefault="00C533B1" w:rsidP="00C533B1">
            <w:pPr>
              <w:rPr>
                <w:i/>
                <w:sz w:val="22"/>
                <w:szCs w:val="22"/>
              </w:rPr>
            </w:pPr>
            <w:r w:rsidRPr="00C27A60">
              <w:rPr>
                <w:i/>
                <w:sz w:val="22"/>
                <w:szCs w:val="22"/>
              </w:rPr>
              <w:t>ОБРГРУНТУВАННЯ:</w:t>
            </w:r>
          </w:p>
          <w:p w14:paraId="7B026987" w14:textId="77777777" w:rsidR="00C533B1" w:rsidRPr="00C27A60" w:rsidRDefault="00C533B1" w:rsidP="00C533B1">
            <w:pPr>
              <w:jc w:val="both"/>
              <w:rPr>
                <w:sz w:val="22"/>
                <w:szCs w:val="22"/>
              </w:rPr>
            </w:pPr>
          </w:p>
          <w:p w14:paraId="70B9D177" w14:textId="77777777" w:rsidR="00C533B1" w:rsidRPr="00C27A60" w:rsidRDefault="00C533B1" w:rsidP="00C533B1">
            <w:pPr>
              <w:jc w:val="both"/>
              <w:rPr>
                <w:sz w:val="22"/>
                <w:szCs w:val="22"/>
              </w:rPr>
            </w:pPr>
            <w:r w:rsidRPr="00C27A60">
              <w:rPr>
                <w:sz w:val="22"/>
                <w:szCs w:val="22"/>
              </w:rPr>
              <w:t>Норма пропонується у зв’язку з досі не вирішеним питанням щодо дефіциту коштів ОСР на реалізацію приєднань споживачів.</w:t>
            </w:r>
          </w:p>
          <w:p w14:paraId="26860C14" w14:textId="77777777" w:rsidR="00C533B1" w:rsidRPr="00C27A60" w:rsidRDefault="00C533B1" w:rsidP="00C533B1">
            <w:pPr>
              <w:jc w:val="both"/>
              <w:rPr>
                <w:sz w:val="22"/>
                <w:szCs w:val="22"/>
              </w:rPr>
            </w:pPr>
          </w:p>
          <w:p w14:paraId="2B2B2C26" w14:textId="7F8A1242" w:rsidR="00C533B1" w:rsidRPr="00C27A60" w:rsidRDefault="00C533B1" w:rsidP="00C533B1">
            <w:pPr>
              <w:jc w:val="both"/>
              <w:rPr>
                <w:sz w:val="22"/>
                <w:szCs w:val="22"/>
              </w:rPr>
            </w:pPr>
            <w:r w:rsidRPr="00C27A60">
              <w:rPr>
                <w:sz w:val="22"/>
                <w:szCs w:val="22"/>
              </w:rPr>
              <w:t xml:space="preserve">ОСР надають послуги з приєднання електроустановок замовників до електричних мереж, більшість з них в умовах дефіциту коштів, який до цього часу залишається не </w:t>
            </w:r>
            <w:r w:rsidRPr="00C27A60">
              <w:rPr>
                <w:sz w:val="22"/>
                <w:szCs w:val="22"/>
              </w:rPr>
              <w:lastRenderedPageBreak/>
              <w:t>відшкодованим. З урахуванням підходу НКРЕКП, яким на 2025 рік не враховано в тарифах компенсатор по дефіциту від реалізації приєднань пропонується застосувати норму щодо врахування витрат на сплату банківських відсотків по кредитних коштах, залучених у банківських установах, для покриття різниці між вартістю заходів з приєднань, виконаних у звітному році, та сумою, отриманою від замовників послуги з приєднання.</w:t>
            </w:r>
          </w:p>
        </w:tc>
        <w:tc>
          <w:tcPr>
            <w:tcW w:w="3546" w:type="dxa"/>
          </w:tcPr>
          <w:p w14:paraId="30F07F94" w14:textId="77777777" w:rsidR="00592CEB" w:rsidRPr="00C27A60" w:rsidRDefault="00592CEB" w:rsidP="00592CEB">
            <w:pPr>
              <w:rPr>
                <w:b/>
                <w:sz w:val="16"/>
                <w:szCs w:val="22"/>
              </w:rPr>
            </w:pPr>
          </w:p>
          <w:p w14:paraId="155B0F69" w14:textId="77777777" w:rsidR="00592CEB" w:rsidRPr="00C27A60" w:rsidRDefault="00592CEB" w:rsidP="00592CEB">
            <w:pPr>
              <w:jc w:val="both"/>
              <w:rPr>
                <w:b/>
                <w:sz w:val="22"/>
                <w:szCs w:val="22"/>
              </w:rPr>
            </w:pPr>
            <w:r w:rsidRPr="00C27A60">
              <w:rPr>
                <w:b/>
                <w:sz w:val="22"/>
                <w:szCs w:val="22"/>
              </w:rPr>
              <w:t xml:space="preserve">Не враховується </w:t>
            </w:r>
          </w:p>
          <w:p w14:paraId="616ADCED" w14:textId="0E423D66" w:rsidR="00592CEB" w:rsidRPr="00C27A60" w:rsidRDefault="00592CEB" w:rsidP="00592CEB">
            <w:pPr>
              <w:pStyle w:val="af5"/>
              <w:spacing w:before="0" w:beforeAutospacing="0" w:after="0" w:afterAutospacing="0"/>
              <w:jc w:val="both"/>
              <w:rPr>
                <w:b/>
                <w:sz w:val="22"/>
                <w:szCs w:val="22"/>
                <w:lang w:eastAsia="ru-RU"/>
              </w:rPr>
            </w:pPr>
          </w:p>
          <w:p w14:paraId="324980C0" w14:textId="2EC96F06" w:rsidR="00C533B1" w:rsidRPr="00C27A60" w:rsidRDefault="00C533B1" w:rsidP="00592CEB">
            <w:pPr>
              <w:ind w:firstLine="240"/>
              <w:jc w:val="both"/>
              <w:rPr>
                <w:i/>
                <w:sz w:val="22"/>
                <w:szCs w:val="22"/>
              </w:rPr>
            </w:pPr>
          </w:p>
        </w:tc>
      </w:tr>
      <w:tr w:rsidR="00C27A60" w:rsidRPr="00C27A60" w14:paraId="4A1FBFA8" w14:textId="77777777" w:rsidTr="008D1DC5">
        <w:trPr>
          <w:trHeight w:val="595"/>
        </w:trPr>
        <w:tc>
          <w:tcPr>
            <w:tcW w:w="5839" w:type="dxa"/>
          </w:tcPr>
          <w:p w14:paraId="472F9C28" w14:textId="77777777" w:rsidR="00C533B1" w:rsidRPr="00C27A60" w:rsidRDefault="00C533B1" w:rsidP="00C533B1">
            <w:pPr>
              <w:spacing w:after="160" w:line="259" w:lineRule="auto"/>
              <w:ind w:firstLine="308"/>
              <w:jc w:val="both"/>
              <w:rPr>
                <w:rFonts w:eastAsia="Calibri"/>
                <w:sz w:val="22"/>
                <w:szCs w:val="22"/>
                <w:shd w:val="clear" w:color="auto" w:fill="FFFFFF"/>
                <w:lang w:eastAsia="en-US"/>
              </w:rPr>
            </w:pPr>
            <w:r w:rsidRPr="00C27A60">
              <w:rPr>
                <w:rFonts w:eastAsia="Calibri"/>
                <w:sz w:val="22"/>
                <w:szCs w:val="22"/>
                <w:shd w:val="clear" w:color="auto" w:fill="FFFFFF"/>
                <w:lang w:eastAsia="en-US"/>
              </w:rPr>
              <w:t>&lt;…&gt;</w:t>
            </w:r>
          </w:p>
          <w:p w14:paraId="6A8F0369" w14:textId="77777777" w:rsidR="00C533B1" w:rsidRPr="00C27A60" w:rsidRDefault="00C533B1" w:rsidP="00C533B1">
            <w:pPr>
              <w:ind w:firstLine="240"/>
              <w:jc w:val="both"/>
              <w:rPr>
                <w:rFonts w:eastAsia="Calibri"/>
                <w:sz w:val="22"/>
                <w:szCs w:val="22"/>
                <w:shd w:val="clear" w:color="auto" w:fill="FFFFFF"/>
                <w:lang w:eastAsia="en-US"/>
              </w:rPr>
            </w:pPr>
          </w:p>
          <w:p w14:paraId="71DB298F" w14:textId="4666A32E" w:rsidR="00C533B1" w:rsidRPr="00C27A60" w:rsidRDefault="00C533B1" w:rsidP="00C533B1">
            <w:pPr>
              <w:ind w:firstLine="240"/>
              <w:jc w:val="both"/>
              <w:rPr>
                <w:sz w:val="22"/>
                <w:szCs w:val="22"/>
              </w:rPr>
            </w:pPr>
            <w:r w:rsidRPr="00C27A60">
              <w:rPr>
                <w:rFonts w:eastAsia="Calibri"/>
                <w:sz w:val="22"/>
                <w:szCs w:val="22"/>
                <w:shd w:val="clear" w:color="auto" w:fill="FFFFFF"/>
                <w:lang w:eastAsia="en-US"/>
              </w:rPr>
              <w:t xml:space="preserve">10. При здійсненні заходів контролю за результатами діяльності з розподілу електричної енергії у 2022 - </w:t>
            </w:r>
            <w:r w:rsidRPr="00C27A60">
              <w:rPr>
                <w:rFonts w:eastAsia="Calibri"/>
                <w:b/>
                <w:sz w:val="22"/>
                <w:szCs w:val="22"/>
                <w:shd w:val="clear" w:color="auto" w:fill="FFFFFF"/>
                <w:lang w:eastAsia="en-US"/>
              </w:rPr>
              <w:t>2024</w:t>
            </w:r>
            <w:r w:rsidRPr="00C27A60">
              <w:rPr>
                <w:rFonts w:eastAsia="Calibri"/>
                <w:sz w:val="22"/>
                <w:szCs w:val="22"/>
                <w:shd w:val="clear" w:color="auto" w:fill="FFFFFF"/>
                <w:lang w:eastAsia="en-US"/>
              </w:rPr>
              <w:t xml:space="preserve">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tc>
        <w:tc>
          <w:tcPr>
            <w:tcW w:w="5812" w:type="dxa"/>
          </w:tcPr>
          <w:p w14:paraId="12A107D6" w14:textId="77777777" w:rsidR="00C533B1" w:rsidRPr="00C27A60" w:rsidRDefault="00C533B1" w:rsidP="00C533B1">
            <w:pPr>
              <w:ind w:firstLine="308"/>
              <w:jc w:val="both"/>
              <w:rPr>
                <w:i/>
                <w:sz w:val="22"/>
                <w:szCs w:val="22"/>
                <w:shd w:val="clear" w:color="auto" w:fill="FFFFFF"/>
              </w:rPr>
            </w:pPr>
            <w:r w:rsidRPr="00C27A60">
              <w:rPr>
                <w:i/>
                <w:sz w:val="22"/>
                <w:szCs w:val="22"/>
              </w:rPr>
              <w:t>АТ «ПРИКАРПАТТЯОБЛЕНЕРГО»</w:t>
            </w:r>
          </w:p>
          <w:p w14:paraId="46B66187" w14:textId="0B82BBF9" w:rsidR="00C533B1" w:rsidRPr="00C27A60" w:rsidRDefault="00C533B1" w:rsidP="00C533B1">
            <w:pPr>
              <w:ind w:firstLine="308"/>
              <w:jc w:val="both"/>
              <w:rPr>
                <w:sz w:val="22"/>
                <w:szCs w:val="22"/>
                <w:shd w:val="clear" w:color="auto" w:fill="FFFFFF"/>
              </w:rPr>
            </w:pPr>
          </w:p>
          <w:p w14:paraId="3171F75B" w14:textId="77777777" w:rsidR="00C533B1" w:rsidRPr="00C27A60" w:rsidRDefault="00C533B1" w:rsidP="00592CEB">
            <w:pPr>
              <w:ind w:firstLine="308"/>
              <w:jc w:val="both"/>
              <w:rPr>
                <w:sz w:val="22"/>
                <w:szCs w:val="22"/>
                <w:shd w:val="clear" w:color="auto" w:fill="FFFFFF"/>
              </w:rPr>
            </w:pPr>
          </w:p>
          <w:p w14:paraId="191E9662" w14:textId="77777777" w:rsidR="00C533B1" w:rsidRPr="00C27A60" w:rsidRDefault="00C533B1" w:rsidP="00592CEB">
            <w:pPr>
              <w:ind w:firstLine="308"/>
              <w:jc w:val="both"/>
              <w:rPr>
                <w:sz w:val="22"/>
                <w:szCs w:val="22"/>
              </w:rPr>
            </w:pPr>
            <w:r w:rsidRPr="00C27A60">
              <w:rPr>
                <w:sz w:val="22"/>
                <w:szCs w:val="22"/>
              </w:rPr>
              <w:t>10. При здійсненні заходів контролю за результатами діяльності з розподілу електричної енергії у 2022 - 2024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1394AAA8" w14:textId="648241D6" w:rsidR="00C533B1" w:rsidRPr="00C27A60" w:rsidRDefault="00C533B1" w:rsidP="00592CEB">
            <w:pPr>
              <w:jc w:val="both"/>
              <w:rPr>
                <w:sz w:val="22"/>
                <w:szCs w:val="22"/>
                <w:shd w:val="clear" w:color="auto" w:fill="FFFFFF"/>
              </w:rPr>
            </w:pPr>
            <w:r w:rsidRPr="00C27A60">
              <w:rPr>
                <w:b/>
                <w:bCs/>
                <w:sz w:val="22"/>
                <w:szCs w:val="22"/>
              </w:rPr>
              <w:t>Якщо, недоотриманий дохід від здійснення ліцензованої діяльності не затверджено в структурі тарифів ліцензіата на наступний календарний рік, тоді сума недоотриманого доходу від здійснення ліцензованої діяльності за кожен рік який перевірявся, коригується на щорічні індекси споживчих цін на товари та послуги із наростаючим підсумком до часу прийняття  постанови про встановлення структури тарифів на послуги з розподілу електричної енергії із застосуванням стимулюючого регулювання.</w:t>
            </w:r>
          </w:p>
          <w:p w14:paraId="7424AA39" w14:textId="77777777" w:rsidR="00C533B1" w:rsidRPr="00C27A60" w:rsidRDefault="00C533B1" w:rsidP="00C533B1">
            <w:pPr>
              <w:rPr>
                <w:sz w:val="22"/>
                <w:szCs w:val="22"/>
                <w:shd w:val="clear" w:color="auto" w:fill="FFFFFF"/>
              </w:rPr>
            </w:pPr>
          </w:p>
          <w:p w14:paraId="4963B83C" w14:textId="77777777" w:rsidR="00C533B1" w:rsidRPr="00C27A60" w:rsidRDefault="00C533B1" w:rsidP="00C533B1">
            <w:pPr>
              <w:rPr>
                <w:i/>
                <w:sz w:val="22"/>
                <w:szCs w:val="22"/>
              </w:rPr>
            </w:pPr>
            <w:r w:rsidRPr="00C27A60">
              <w:rPr>
                <w:i/>
                <w:sz w:val="22"/>
                <w:szCs w:val="22"/>
              </w:rPr>
              <w:t>ОБРГРУНТУВАННЯ:</w:t>
            </w:r>
          </w:p>
          <w:p w14:paraId="119FC166" w14:textId="77777777" w:rsidR="00C533B1" w:rsidRPr="00C27A60" w:rsidRDefault="00C533B1" w:rsidP="00C533B1">
            <w:pPr>
              <w:rPr>
                <w:i/>
                <w:sz w:val="22"/>
                <w:szCs w:val="22"/>
              </w:rPr>
            </w:pPr>
          </w:p>
          <w:p w14:paraId="60697C37" w14:textId="77777777" w:rsidR="00C533B1" w:rsidRPr="00C27A60" w:rsidRDefault="00C533B1" w:rsidP="00C533B1">
            <w:pPr>
              <w:jc w:val="both"/>
              <w:rPr>
                <w:sz w:val="22"/>
                <w:szCs w:val="22"/>
              </w:rPr>
            </w:pPr>
            <w:r w:rsidRPr="00C27A60">
              <w:rPr>
                <w:sz w:val="22"/>
                <w:szCs w:val="22"/>
              </w:rPr>
              <w:t xml:space="preserve">За результатами перевірки ОСР  не отримують вчасно недоотриманий дохід за попередній рік. Для прикладу, по нашій компанії, мали включити: </w:t>
            </w:r>
          </w:p>
          <w:p w14:paraId="49CF2B63" w14:textId="77777777" w:rsidR="00C533B1" w:rsidRPr="00C27A60" w:rsidRDefault="00C533B1" w:rsidP="00C533B1">
            <w:pPr>
              <w:jc w:val="both"/>
              <w:rPr>
                <w:sz w:val="22"/>
                <w:szCs w:val="22"/>
              </w:rPr>
            </w:pPr>
            <w:r w:rsidRPr="00C27A60">
              <w:rPr>
                <w:sz w:val="22"/>
                <w:szCs w:val="22"/>
              </w:rPr>
              <w:t xml:space="preserve">-недоотриманий дохід за результатами діяльності 2021-2022 років в сумі 306,9 млн грн. до структури втрат тарифів на послуги з розподілу е/е за статтями «дефіцит або профіцит коштів у частині надходження та витрат, пов’язаних з наданням послуг з приєднання </w:t>
            </w:r>
            <w:r w:rsidRPr="00C27A60">
              <w:rPr>
                <w:sz w:val="22"/>
                <w:szCs w:val="22"/>
              </w:rPr>
              <w:lastRenderedPageBreak/>
              <w:t>електроустановок замовників до електричних мереж» й «коригування доходу (витрат)» відповідно до першої редакції постанови на 2024 рік. Однак, внесено зміни до постанови. Було включено 50% недоотриманого доходу до структури на 2024 рік, а інші 50 %  недоотриманого доходу розтерміновано спочатку на 2024-2025 роки, а згодом на 2026 - 2027 роки.</w:t>
            </w:r>
          </w:p>
          <w:p w14:paraId="2BC053E7" w14:textId="77777777" w:rsidR="00C533B1" w:rsidRPr="00C27A60" w:rsidRDefault="00C533B1" w:rsidP="00C533B1">
            <w:pPr>
              <w:jc w:val="both"/>
              <w:rPr>
                <w:sz w:val="22"/>
                <w:szCs w:val="22"/>
              </w:rPr>
            </w:pPr>
            <w:r w:rsidRPr="00C27A60">
              <w:rPr>
                <w:sz w:val="22"/>
                <w:szCs w:val="22"/>
              </w:rPr>
              <w:t xml:space="preserve">-недоотриманий дохід за результатами діяльності 2023 року в сумі 209,2 млн грн. до структури втрат тарифів на послуги з розподілу е/е за статтями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 й «коригування доходу (витрат)» відповідно до першої редакції постанови на 2025 рік. Однак, внесено зміни до постанови, і ці суми розтерміновано на 2026 - 2027 роки. </w:t>
            </w:r>
          </w:p>
          <w:p w14:paraId="7FD63780" w14:textId="0C5F7DB8" w:rsidR="00C533B1" w:rsidRPr="00C27A60" w:rsidRDefault="00C533B1" w:rsidP="00C533B1">
            <w:pPr>
              <w:rPr>
                <w:i/>
                <w:sz w:val="22"/>
                <w:szCs w:val="22"/>
              </w:rPr>
            </w:pPr>
            <w:r w:rsidRPr="00C27A60">
              <w:rPr>
                <w:sz w:val="22"/>
                <w:szCs w:val="22"/>
              </w:rPr>
              <w:t xml:space="preserve">Як наслідок, за пропозицією компанії, підлягає індексації сума 50 % недоотриманого доходу за 2022 рік із врахуванням індексів (2022 -126,6%, 2023 - 105,1%, 2024 - 112,0%), що становитиме  228,7 млн грн при включенні цієї суми до структури витрат тарифів на 2026 рік, а також недоотриманий дохід за 2023 рік із врахуванням індексів (2023 - 105,1%, 2024 - 112,0%), що становитиме 246,2 млн грн при включенні цієї суми у повному розмірі до структури витрат тарифів на 2026 рік. Якщо все ж суми будуть перенесені повністю чи частково на 2027 рік, то застосувати до перенесених сум індекс споживчих цін на товари та послуги за 2025 рік і </w:t>
            </w:r>
            <w:proofErr w:type="spellStart"/>
            <w:r w:rsidRPr="00C27A60">
              <w:rPr>
                <w:sz w:val="22"/>
                <w:szCs w:val="22"/>
              </w:rPr>
              <w:t>т.д</w:t>
            </w:r>
            <w:proofErr w:type="spellEnd"/>
            <w:r w:rsidRPr="00C27A60">
              <w:rPr>
                <w:sz w:val="22"/>
                <w:szCs w:val="22"/>
              </w:rPr>
              <w:t>.</w:t>
            </w:r>
          </w:p>
        </w:tc>
        <w:tc>
          <w:tcPr>
            <w:tcW w:w="3546" w:type="dxa"/>
          </w:tcPr>
          <w:p w14:paraId="423C4997" w14:textId="77777777" w:rsidR="006D44D6" w:rsidRPr="00C27A60" w:rsidRDefault="006D44D6" w:rsidP="006D44D6">
            <w:pPr>
              <w:tabs>
                <w:tab w:val="left" w:pos="0"/>
              </w:tabs>
              <w:jc w:val="both"/>
              <w:rPr>
                <w:b/>
                <w:bCs/>
                <w:sz w:val="24"/>
                <w:szCs w:val="24"/>
              </w:rPr>
            </w:pPr>
          </w:p>
          <w:p w14:paraId="33787753" w14:textId="77777777" w:rsidR="006D44D6" w:rsidRPr="00C27A60" w:rsidRDefault="006D44D6" w:rsidP="006D44D6">
            <w:pPr>
              <w:tabs>
                <w:tab w:val="left" w:pos="0"/>
              </w:tabs>
              <w:jc w:val="both"/>
              <w:rPr>
                <w:b/>
                <w:bCs/>
                <w:sz w:val="24"/>
                <w:szCs w:val="24"/>
              </w:rPr>
            </w:pPr>
          </w:p>
          <w:p w14:paraId="5259079B" w14:textId="77777777" w:rsidR="006D44D6" w:rsidRPr="00C27A60" w:rsidRDefault="006D44D6" w:rsidP="006D44D6">
            <w:pPr>
              <w:tabs>
                <w:tab w:val="left" w:pos="0"/>
              </w:tabs>
              <w:jc w:val="both"/>
              <w:rPr>
                <w:b/>
                <w:bCs/>
                <w:sz w:val="24"/>
                <w:szCs w:val="24"/>
              </w:rPr>
            </w:pPr>
          </w:p>
          <w:p w14:paraId="6E95F6B2" w14:textId="77777777" w:rsidR="006D44D6" w:rsidRPr="00C27A60" w:rsidRDefault="006D44D6" w:rsidP="006D44D6">
            <w:pPr>
              <w:tabs>
                <w:tab w:val="left" w:pos="0"/>
              </w:tabs>
              <w:jc w:val="both"/>
              <w:rPr>
                <w:b/>
                <w:bCs/>
                <w:sz w:val="24"/>
                <w:szCs w:val="24"/>
              </w:rPr>
            </w:pPr>
          </w:p>
          <w:p w14:paraId="6FCF4027" w14:textId="77777777" w:rsidR="006D44D6" w:rsidRPr="00C27A60" w:rsidRDefault="006D44D6" w:rsidP="006D44D6">
            <w:pPr>
              <w:tabs>
                <w:tab w:val="left" w:pos="0"/>
              </w:tabs>
              <w:jc w:val="both"/>
              <w:rPr>
                <w:b/>
                <w:bCs/>
                <w:sz w:val="24"/>
                <w:szCs w:val="24"/>
              </w:rPr>
            </w:pPr>
          </w:p>
          <w:p w14:paraId="46C67FCF" w14:textId="77777777" w:rsidR="006D44D6" w:rsidRPr="00C27A60" w:rsidRDefault="006D44D6" w:rsidP="006D44D6">
            <w:pPr>
              <w:tabs>
                <w:tab w:val="left" w:pos="0"/>
              </w:tabs>
              <w:jc w:val="both"/>
              <w:rPr>
                <w:b/>
                <w:bCs/>
                <w:sz w:val="24"/>
                <w:szCs w:val="24"/>
              </w:rPr>
            </w:pPr>
          </w:p>
          <w:p w14:paraId="5EABE929" w14:textId="77777777" w:rsidR="006D44D6" w:rsidRPr="00C27A60" w:rsidRDefault="006D44D6" w:rsidP="006D44D6">
            <w:pPr>
              <w:tabs>
                <w:tab w:val="left" w:pos="0"/>
              </w:tabs>
              <w:jc w:val="both"/>
              <w:rPr>
                <w:b/>
                <w:bCs/>
                <w:sz w:val="24"/>
                <w:szCs w:val="24"/>
              </w:rPr>
            </w:pPr>
          </w:p>
          <w:p w14:paraId="5D5FCB53" w14:textId="77777777" w:rsidR="006D44D6" w:rsidRPr="00C27A60" w:rsidRDefault="006D44D6" w:rsidP="006D44D6">
            <w:pPr>
              <w:tabs>
                <w:tab w:val="left" w:pos="0"/>
              </w:tabs>
              <w:jc w:val="both"/>
              <w:rPr>
                <w:b/>
                <w:bCs/>
                <w:sz w:val="24"/>
                <w:szCs w:val="24"/>
              </w:rPr>
            </w:pPr>
          </w:p>
          <w:p w14:paraId="34982F90" w14:textId="77777777" w:rsidR="006D44D6" w:rsidRPr="00C27A60" w:rsidRDefault="006D44D6" w:rsidP="006D44D6">
            <w:pPr>
              <w:tabs>
                <w:tab w:val="left" w:pos="0"/>
              </w:tabs>
              <w:jc w:val="both"/>
              <w:rPr>
                <w:b/>
                <w:bCs/>
                <w:sz w:val="24"/>
                <w:szCs w:val="24"/>
              </w:rPr>
            </w:pPr>
          </w:p>
          <w:p w14:paraId="3BFDD5B8" w14:textId="3F081847" w:rsidR="006D44D6" w:rsidRPr="00C27A60" w:rsidRDefault="006D44D6" w:rsidP="006D44D6">
            <w:pPr>
              <w:tabs>
                <w:tab w:val="left" w:pos="0"/>
              </w:tabs>
              <w:jc w:val="both"/>
              <w:rPr>
                <w:b/>
                <w:bCs/>
                <w:sz w:val="22"/>
                <w:szCs w:val="24"/>
              </w:rPr>
            </w:pPr>
            <w:r w:rsidRPr="00C27A60">
              <w:rPr>
                <w:b/>
                <w:bCs/>
                <w:sz w:val="22"/>
                <w:szCs w:val="24"/>
              </w:rPr>
              <w:t>Не враховується</w:t>
            </w:r>
          </w:p>
          <w:p w14:paraId="62BF3784" w14:textId="7D35E223" w:rsidR="006D44D6" w:rsidRPr="00C27A60" w:rsidRDefault="006D44D6" w:rsidP="006D44D6">
            <w:pPr>
              <w:tabs>
                <w:tab w:val="left" w:pos="0"/>
              </w:tabs>
              <w:jc w:val="both"/>
              <w:rPr>
                <w:sz w:val="22"/>
                <w:szCs w:val="24"/>
              </w:rPr>
            </w:pPr>
            <w:r w:rsidRPr="00C27A60">
              <w:rPr>
                <w:rFonts w:eastAsia="SimSun"/>
                <w:sz w:val="22"/>
                <w:szCs w:val="24"/>
                <w:lang w:bidi="ta-IN"/>
              </w:rPr>
              <w:t xml:space="preserve">Наведена пропозиція має розглядатися </w:t>
            </w:r>
            <w:r w:rsidRPr="00C27A60">
              <w:rPr>
                <w:sz w:val="22"/>
                <w:szCs w:val="24"/>
              </w:rPr>
              <w:t>з урахуванням балансу інтересів учасників ринку та споживачів, особливо в умовах воєнного часу.</w:t>
            </w:r>
          </w:p>
          <w:p w14:paraId="581C20B6" w14:textId="77777777" w:rsidR="00C533B1" w:rsidRPr="00C27A60" w:rsidRDefault="00C533B1" w:rsidP="00C533B1">
            <w:pPr>
              <w:ind w:firstLine="240"/>
              <w:jc w:val="both"/>
              <w:rPr>
                <w:i/>
                <w:sz w:val="22"/>
                <w:szCs w:val="22"/>
              </w:rPr>
            </w:pPr>
          </w:p>
        </w:tc>
      </w:tr>
    </w:tbl>
    <w:p w14:paraId="4CFEBD11" w14:textId="77777777" w:rsidR="00A456FF" w:rsidRPr="00C27A60" w:rsidRDefault="00A456FF" w:rsidP="005D0529">
      <w:pPr>
        <w:pStyle w:val="pf0"/>
        <w:jc w:val="both"/>
        <w:rPr>
          <w:sz w:val="22"/>
          <w:szCs w:val="22"/>
          <w:lang w:val="uk-UA"/>
        </w:rPr>
      </w:pPr>
      <w:bookmarkStart w:id="2" w:name="n5489"/>
      <w:bookmarkEnd w:id="2"/>
    </w:p>
    <w:sectPr w:rsidR="00A456FF" w:rsidRPr="00C27A60" w:rsidSect="00CF133B">
      <w:headerReference w:type="default" r:id="rId23"/>
      <w:pgSz w:w="16840" w:h="11907" w:orient="landscape" w:code="9"/>
      <w:pgMar w:top="709" w:right="851" w:bottom="709" w:left="851" w:header="720" w:footer="53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A3695" w14:textId="77777777" w:rsidR="006A42E0" w:rsidRDefault="006A42E0">
      <w:r>
        <w:separator/>
      </w:r>
    </w:p>
  </w:endnote>
  <w:endnote w:type="continuationSeparator" w:id="0">
    <w:p w14:paraId="5E97CD80" w14:textId="77777777" w:rsidR="006A42E0" w:rsidRDefault="006A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14E22" w14:textId="77777777" w:rsidR="006A42E0" w:rsidRDefault="006A42E0">
      <w:r>
        <w:separator/>
      </w:r>
    </w:p>
  </w:footnote>
  <w:footnote w:type="continuationSeparator" w:id="0">
    <w:p w14:paraId="3CB420CA" w14:textId="77777777" w:rsidR="006A42E0" w:rsidRDefault="006A4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3982487"/>
      <w:docPartObj>
        <w:docPartGallery w:val="Page Numbers (Top of Page)"/>
        <w:docPartUnique/>
      </w:docPartObj>
    </w:sdtPr>
    <w:sdtEndPr/>
    <w:sdtContent>
      <w:p w14:paraId="682F07F2" w14:textId="77777777" w:rsidR="00495B7A" w:rsidRDefault="00495B7A">
        <w:pPr>
          <w:pStyle w:val="a4"/>
          <w:jc w:val="center"/>
        </w:pPr>
        <w:r>
          <w:fldChar w:fldCharType="begin"/>
        </w:r>
        <w:r>
          <w:instrText>PAGE   \* MERGEFORMAT</w:instrText>
        </w:r>
        <w:r>
          <w:fldChar w:fldCharType="separate"/>
        </w:r>
        <w:r>
          <w:rPr>
            <w:noProof/>
          </w:rPr>
          <w:t>21</w:t>
        </w:r>
        <w:r>
          <w:fldChar w:fldCharType="end"/>
        </w:r>
      </w:p>
    </w:sdtContent>
  </w:sdt>
  <w:p w14:paraId="6F50CC91" w14:textId="77777777" w:rsidR="00495B7A" w:rsidRDefault="00495B7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8DA8B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8E43C74"/>
    <w:multiLevelType w:val="hybridMultilevel"/>
    <w:tmpl w:val="49BE52CA"/>
    <w:lvl w:ilvl="0" w:tplc="BACA71FC">
      <w:start w:val="19"/>
      <w:numFmt w:val="decimal"/>
      <w:lvlText w:val="%1)"/>
      <w:lvlJc w:val="left"/>
      <w:pPr>
        <w:ind w:left="457" w:hanging="360"/>
      </w:pPr>
      <w:rPr>
        <w:rFonts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2" w15:restartNumberingAfterBreak="0">
    <w:nsid w:val="0A4115E1"/>
    <w:multiLevelType w:val="hybridMultilevel"/>
    <w:tmpl w:val="F4C6EA42"/>
    <w:lvl w:ilvl="0" w:tplc="04190001">
      <w:start w:val="1"/>
      <w:numFmt w:val="bullet"/>
      <w:lvlText w:val=""/>
      <w:lvlJc w:val="left"/>
      <w:pPr>
        <w:ind w:left="1090" w:hanging="360"/>
      </w:pPr>
      <w:rPr>
        <w:rFonts w:ascii="Symbol" w:hAnsi="Symbo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3" w15:restartNumberingAfterBreak="0">
    <w:nsid w:val="10AF48E8"/>
    <w:multiLevelType w:val="hybridMultilevel"/>
    <w:tmpl w:val="F54AA1E8"/>
    <w:lvl w:ilvl="0" w:tplc="18D4C584">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B40FE"/>
    <w:multiLevelType w:val="hybridMultilevel"/>
    <w:tmpl w:val="A3E4EB0A"/>
    <w:lvl w:ilvl="0" w:tplc="BE729690">
      <w:start w:val="1"/>
      <w:numFmt w:val="decimal"/>
      <w:lvlText w:val="%1."/>
      <w:lvlJc w:val="left"/>
      <w:pPr>
        <w:ind w:left="396" w:hanging="360"/>
      </w:pPr>
      <w:rPr>
        <w:rFonts w:hint="default"/>
      </w:rPr>
    </w:lvl>
    <w:lvl w:ilvl="1" w:tplc="04220019" w:tentative="1">
      <w:start w:val="1"/>
      <w:numFmt w:val="lowerLetter"/>
      <w:lvlText w:val="%2."/>
      <w:lvlJc w:val="left"/>
      <w:pPr>
        <w:ind w:left="1116" w:hanging="360"/>
      </w:pPr>
    </w:lvl>
    <w:lvl w:ilvl="2" w:tplc="0422001B" w:tentative="1">
      <w:start w:val="1"/>
      <w:numFmt w:val="lowerRoman"/>
      <w:lvlText w:val="%3."/>
      <w:lvlJc w:val="right"/>
      <w:pPr>
        <w:ind w:left="1836" w:hanging="180"/>
      </w:pPr>
    </w:lvl>
    <w:lvl w:ilvl="3" w:tplc="0422000F" w:tentative="1">
      <w:start w:val="1"/>
      <w:numFmt w:val="decimal"/>
      <w:lvlText w:val="%4."/>
      <w:lvlJc w:val="left"/>
      <w:pPr>
        <w:ind w:left="2556" w:hanging="360"/>
      </w:pPr>
    </w:lvl>
    <w:lvl w:ilvl="4" w:tplc="04220019" w:tentative="1">
      <w:start w:val="1"/>
      <w:numFmt w:val="lowerLetter"/>
      <w:lvlText w:val="%5."/>
      <w:lvlJc w:val="left"/>
      <w:pPr>
        <w:ind w:left="3276" w:hanging="360"/>
      </w:pPr>
    </w:lvl>
    <w:lvl w:ilvl="5" w:tplc="0422001B" w:tentative="1">
      <w:start w:val="1"/>
      <w:numFmt w:val="lowerRoman"/>
      <w:lvlText w:val="%6."/>
      <w:lvlJc w:val="right"/>
      <w:pPr>
        <w:ind w:left="3996" w:hanging="180"/>
      </w:pPr>
    </w:lvl>
    <w:lvl w:ilvl="6" w:tplc="0422000F" w:tentative="1">
      <w:start w:val="1"/>
      <w:numFmt w:val="decimal"/>
      <w:lvlText w:val="%7."/>
      <w:lvlJc w:val="left"/>
      <w:pPr>
        <w:ind w:left="4716" w:hanging="360"/>
      </w:pPr>
    </w:lvl>
    <w:lvl w:ilvl="7" w:tplc="04220019" w:tentative="1">
      <w:start w:val="1"/>
      <w:numFmt w:val="lowerLetter"/>
      <w:lvlText w:val="%8."/>
      <w:lvlJc w:val="left"/>
      <w:pPr>
        <w:ind w:left="5436" w:hanging="360"/>
      </w:pPr>
    </w:lvl>
    <w:lvl w:ilvl="8" w:tplc="0422001B" w:tentative="1">
      <w:start w:val="1"/>
      <w:numFmt w:val="lowerRoman"/>
      <w:lvlText w:val="%9."/>
      <w:lvlJc w:val="right"/>
      <w:pPr>
        <w:ind w:left="6156" w:hanging="180"/>
      </w:pPr>
    </w:lvl>
  </w:abstractNum>
  <w:abstractNum w:abstractNumId="5" w15:restartNumberingAfterBreak="0">
    <w:nsid w:val="1C257E7B"/>
    <w:multiLevelType w:val="hybridMultilevel"/>
    <w:tmpl w:val="ECC62DDC"/>
    <w:lvl w:ilvl="0" w:tplc="F8C8C80C">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C761535"/>
    <w:multiLevelType w:val="multilevel"/>
    <w:tmpl w:val="28549D82"/>
    <w:lvl w:ilvl="0">
      <w:start w:val="1"/>
      <w:numFmt w:val="decimal"/>
      <w:lvlText w:val="%1."/>
      <w:lvlJc w:val="left"/>
      <w:pPr>
        <w:ind w:left="360" w:hanging="360"/>
      </w:pPr>
      <w:rPr>
        <w:rFonts w:hint="default"/>
      </w:rPr>
    </w:lvl>
    <w:lvl w:ilvl="1">
      <w:start w:val="2"/>
      <w:numFmt w:val="decimal"/>
      <w:lvlText w:val="%1.%2."/>
      <w:lvlJc w:val="left"/>
      <w:pPr>
        <w:ind w:left="5181" w:hanging="360"/>
      </w:pPr>
      <w:rPr>
        <w:rFonts w:hint="default"/>
        <w:color w:val="000000" w:themeColor="text1"/>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7" w15:restartNumberingAfterBreak="0">
    <w:nsid w:val="1D9B7492"/>
    <w:multiLevelType w:val="hybridMultilevel"/>
    <w:tmpl w:val="9D649BD4"/>
    <w:lvl w:ilvl="0" w:tplc="94761328">
      <w:start w:val="1"/>
      <w:numFmt w:val="decimal"/>
      <w:lvlText w:val="%1."/>
      <w:lvlJc w:val="left"/>
      <w:pPr>
        <w:ind w:left="794" w:hanging="360"/>
      </w:pPr>
      <w:rPr>
        <w:rFonts w:ascii="Calibri" w:eastAsia="Calibri" w:hAnsi="Calibri" w:cs="Calibri" w:hint="default"/>
        <w:b w:val="0"/>
        <w:bCs w:val="0"/>
        <w:i w:val="0"/>
        <w:iCs w:val="0"/>
        <w:spacing w:val="0"/>
        <w:w w:val="100"/>
        <w:sz w:val="22"/>
        <w:szCs w:val="22"/>
        <w:lang w:val="uk-UA" w:eastAsia="en-US" w:bidi="ar-SA"/>
      </w:rPr>
    </w:lvl>
    <w:lvl w:ilvl="1" w:tplc="574A24C8">
      <w:numFmt w:val="bullet"/>
      <w:lvlText w:val="•"/>
      <w:lvlJc w:val="left"/>
      <w:pPr>
        <w:ind w:left="1343" w:hanging="360"/>
      </w:pPr>
      <w:rPr>
        <w:rFonts w:hint="default"/>
        <w:lang w:val="uk-UA" w:eastAsia="en-US" w:bidi="ar-SA"/>
      </w:rPr>
    </w:lvl>
    <w:lvl w:ilvl="2" w:tplc="62F855B0">
      <w:numFmt w:val="bullet"/>
      <w:lvlText w:val="•"/>
      <w:lvlJc w:val="left"/>
      <w:pPr>
        <w:ind w:left="1886" w:hanging="360"/>
      </w:pPr>
      <w:rPr>
        <w:rFonts w:hint="default"/>
        <w:lang w:val="uk-UA" w:eastAsia="en-US" w:bidi="ar-SA"/>
      </w:rPr>
    </w:lvl>
    <w:lvl w:ilvl="3" w:tplc="BC26B48E">
      <w:numFmt w:val="bullet"/>
      <w:lvlText w:val="•"/>
      <w:lvlJc w:val="left"/>
      <w:pPr>
        <w:ind w:left="2429" w:hanging="360"/>
      </w:pPr>
      <w:rPr>
        <w:rFonts w:hint="default"/>
        <w:lang w:val="uk-UA" w:eastAsia="en-US" w:bidi="ar-SA"/>
      </w:rPr>
    </w:lvl>
    <w:lvl w:ilvl="4" w:tplc="29BEBC8E">
      <w:numFmt w:val="bullet"/>
      <w:lvlText w:val="•"/>
      <w:lvlJc w:val="left"/>
      <w:pPr>
        <w:ind w:left="2972" w:hanging="360"/>
      </w:pPr>
      <w:rPr>
        <w:rFonts w:hint="default"/>
        <w:lang w:val="uk-UA" w:eastAsia="en-US" w:bidi="ar-SA"/>
      </w:rPr>
    </w:lvl>
    <w:lvl w:ilvl="5" w:tplc="1460E902">
      <w:numFmt w:val="bullet"/>
      <w:lvlText w:val="•"/>
      <w:lvlJc w:val="left"/>
      <w:pPr>
        <w:ind w:left="3515" w:hanging="360"/>
      </w:pPr>
      <w:rPr>
        <w:rFonts w:hint="default"/>
        <w:lang w:val="uk-UA" w:eastAsia="en-US" w:bidi="ar-SA"/>
      </w:rPr>
    </w:lvl>
    <w:lvl w:ilvl="6" w:tplc="AA6225C2">
      <w:numFmt w:val="bullet"/>
      <w:lvlText w:val="•"/>
      <w:lvlJc w:val="left"/>
      <w:pPr>
        <w:ind w:left="4058" w:hanging="360"/>
      </w:pPr>
      <w:rPr>
        <w:rFonts w:hint="default"/>
        <w:lang w:val="uk-UA" w:eastAsia="en-US" w:bidi="ar-SA"/>
      </w:rPr>
    </w:lvl>
    <w:lvl w:ilvl="7" w:tplc="D0341110">
      <w:numFmt w:val="bullet"/>
      <w:lvlText w:val="•"/>
      <w:lvlJc w:val="left"/>
      <w:pPr>
        <w:ind w:left="4601" w:hanging="360"/>
      </w:pPr>
      <w:rPr>
        <w:rFonts w:hint="default"/>
        <w:lang w:val="uk-UA" w:eastAsia="en-US" w:bidi="ar-SA"/>
      </w:rPr>
    </w:lvl>
    <w:lvl w:ilvl="8" w:tplc="E5A2F8CA">
      <w:numFmt w:val="bullet"/>
      <w:lvlText w:val="•"/>
      <w:lvlJc w:val="left"/>
      <w:pPr>
        <w:ind w:left="5144" w:hanging="360"/>
      </w:pPr>
      <w:rPr>
        <w:rFonts w:hint="default"/>
        <w:lang w:val="uk-UA" w:eastAsia="en-US" w:bidi="ar-SA"/>
      </w:rPr>
    </w:lvl>
  </w:abstractNum>
  <w:abstractNum w:abstractNumId="8" w15:restartNumberingAfterBreak="0">
    <w:nsid w:val="28421542"/>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9" w15:restartNumberingAfterBreak="0">
    <w:nsid w:val="3AEB1169"/>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10" w15:restartNumberingAfterBreak="0">
    <w:nsid w:val="3D774ABE"/>
    <w:multiLevelType w:val="hybridMultilevel"/>
    <w:tmpl w:val="B9F68E56"/>
    <w:lvl w:ilvl="0" w:tplc="C5E0B9C2">
      <w:start w:val="11"/>
      <w:numFmt w:val="decimal"/>
      <w:lvlText w:val="%1)"/>
      <w:lvlJc w:val="left"/>
      <w:pPr>
        <w:ind w:left="750" w:hanging="39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368235C"/>
    <w:multiLevelType w:val="hybridMultilevel"/>
    <w:tmpl w:val="81D44872"/>
    <w:lvl w:ilvl="0" w:tplc="04190001">
      <w:start w:val="1"/>
      <w:numFmt w:val="bullet"/>
      <w:lvlText w:val=""/>
      <w:lvlJc w:val="left"/>
      <w:pPr>
        <w:ind w:left="1034" w:hanging="360"/>
      </w:pPr>
      <w:rPr>
        <w:rFonts w:ascii="Symbol" w:hAnsi="Symbol" w:hint="default"/>
      </w:rPr>
    </w:lvl>
    <w:lvl w:ilvl="1" w:tplc="04220003" w:tentative="1">
      <w:start w:val="1"/>
      <w:numFmt w:val="bullet"/>
      <w:lvlText w:val="o"/>
      <w:lvlJc w:val="left"/>
      <w:pPr>
        <w:ind w:left="1754" w:hanging="360"/>
      </w:pPr>
      <w:rPr>
        <w:rFonts w:ascii="Courier New" w:hAnsi="Courier New" w:cs="Courier New" w:hint="default"/>
      </w:rPr>
    </w:lvl>
    <w:lvl w:ilvl="2" w:tplc="04220005" w:tentative="1">
      <w:start w:val="1"/>
      <w:numFmt w:val="bullet"/>
      <w:lvlText w:val=""/>
      <w:lvlJc w:val="left"/>
      <w:pPr>
        <w:ind w:left="2474" w:hanging="360"/>
      </w:pPr>
      <w:rPr>
        <w:rFonts w:ascii="Wingdings" w:hAnsi="Wingdings" w:hint="default"/>
      </w:rPr>
    </w:lvl>
    <w:lvl w:ilvl="3" w:tplc="04220001" w:tentative="1">
      <w:start w:val="1"/>
      <w:numFmt w:val="bullet"/>
      <w:lvlText w:val=""/>
      <w:lvlJc w:val="left"/>
      <w:pPr>
        <w:ind w:left="3194" w:hanging="360"/>
      </w:pPr>
      <w:rPr>
        <w:rFonts w:ascii="Symbol" w:hAnsi="Symbol" w:hint="default"/>
      </w:rPr>
    </w:lvl>
    <w:lvl w:ilvl="4" w:tplc="04220003" w:tentative="1">
      <w:start w:val="1"/>
      <w:numFmt w:val="bullet"/>
      <w:lvlText w:val="o"/>
      <w:lvlJc w:val="left"/>
      <w:pPr>
        <w:ind w:left="3914" w:hanging="360"/>
      </w:pPr>
      <w:rPr>
        <w:rFonts w:ascii="Courier New" w:hAnsi="Courier New" w:cs="Courier New" w:hint="default"/>
      </w:rPr>
    </w:lvl>
    <w:lvl w:ilvl="5" w:tplc="04220005" w:tentative="1">
      <w:start w:val="1"/>
      <w:numFmt w:val="bullet"/>
      <w:lvlText w:val=""/>
      <w:lvlJc w:val="left"/>
      <w:pPr>
        <w:ind w:left="4634" w:hanging="360"/>
      </w:pPr>
      <w:rPr>
        <w:rFonts w:ascii="Wingdings" w:hAnsi="Wingdings" w:hint="default"/>
      </w:rPr>
    </w:lvl>
    <w:lvl w:ilvl="6" w:tplc="04220001" w:tentative="1">
      <w:start w:val="1"/>
      <w:numFmt w:val="bullet"/>
      <w:lvlText w:val=""/>
      <w:lvlJc w:val="left"/>
      <w:pPr>
        <w:ind w:left="5354" w:hanging="360"/>
      </w:pPr>
      <w:rPr>
        <w:rFonts w:ascii="Symbol" w:hAnsi="Symbol" w:hint="default"/>
      </w:rPr>
    </w:lvl>
    <w:lvl w:ilvl="7" w:tplc="04220003" w:tentative="1">
      <w:start w:val="1"/>
      <w:numFmt w:val="bullet"/>
      <w:lvlText w:val="o"/>
      <w:lvlJc w:val="left"/>
      <w:pPr>
        <w:ind w:left="6074" w:hanging="360"/>
      </w:pPr>
      <w:rPr>
        <w:rFonts w:ascii="Courier New" w:hAnsi="Courier New" w:cs="Courier New" w:hint="default"/>
      </w:rPr>
    </w:lvl>
    <w:lvl w:ilvl="8" w:tplc="04220005" w:tentative="1">
      <w:start w:val="1"/>
      <w:numFmt w:val="bullet"/>
      <w:lvlText w:val=""/>
      <w:lvlJc w:val="left"/>
      <w:pPr>
        <w:ind w:left="6794" w:hanging="360"/>
      </w:pPr>
      <w:rPr>
        <w:rFonts w:ascii="Wingdings" w:hAnsi="Wingdings" w:hint="default"/>
      </w:rPr>
    </w:lvl>
  </w:abstractNum>
  <w:abstractNum w:abstractNumId="12" w15:restartNumberingAfterBreak="0">
    <w:nsid w:val="444D7E68"/>
    <w:multiLevelType w:val="multilevel"/>
    <w:tmpl w:val="64103624"/>
    <w:lvl w:ilvl="0">
      <w:start w:val="1"/>
      <w:numFmt w:val="decimal"/>
      <w:lvlText w:val="%1."/>
      <w:lvlJc w:val="left"/>
      <w:pPr>
        <w:ind w:left="1080" w:hanging="360"/>
      </w:pPr>
      <w:rPr>
        <w:rFonts w:hint="default"/>
      </w:rPr>
    </w:lvl>
    <w:lvl w:ilvl="1">
      <w:start w:val="7"/>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15:restartNumberingAfterBreak="0">
    <w:nsid w:val="474449FC"/>
    <w:multiLevelType w:val="multilevel"/>
    <w:tmpl w:val="FCA2843E"/>
    <w:lvl w:ilvl="0">
      <w:start w:val="1"/>
      <w:numFmt w:val="decimal"/>
      <w:lvlText w:val="%1."/>
      <w:lvlJc w:val="left"/>
      <w:pPr>
        <w:ind w:left="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89A0960"/>
    <w:multiLevelType w:val="hybridMultilevel"/>
    <w:tmpl w:val="FCF85590"/>
    <w:lvl w:ilvl="0" w:tplc="C8B2103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15:restartNumberingAfterBreak="0">
    <w:nsid w:val="51185E13"/>
    <w:multiLevelType w:val="hybridMultilevel"/>
    <w:tmpl w:val="9A22B6C2"/>
    <w:lvl w:ilvl="0" w:tplc="3DCC46EE">
      <w:start w:val="9"/>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pStyle w:val="Normalapplication"/>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17" w15:restartNumberingAfterBreak="0">
    <w:nsid w:val="567D4B37"/>
    <w:multiLevelType w:val="hybridMultilevel"/>
    <w:tmpl w:val="67C2F00A"/>
    <w:lvl w:ilvl="0" w:tplc="8ED63018">
      <w:start w:val="17"/>
      <w:numFmt w:val="decimal"/>
      <w:lvlText w:val="%1)"/>
      <w:lvlJc w:val="left"/>
      <w:pPr>
        <w:ind w:left="750" w:hanging="39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A6B06F7"/>
    <w:multiLevelType w:val="hybridMultilevel"/>
    <w:tmpl w:val="5344F1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61C178DF"/>
    <w:multiLevelType w:val="hybridMultilevel"/>
    <w:tmpl w:val="A3F6893A"/>
    <w:lvl w:ilvl="0" w:tplc="519C4EF6">
      <w:start w:val="3"/>
      <w:numFmt w:val="decimal"/>
      <w:lvlText w:val="%1)"/>
      <w:lvlJc w:val="left"/>
      <w:pPr>
        <w:ind w:left="555" w:hanging="360"/>
      </w:pPr>
      <w:rPr>
        <w:rFonts w:hint="default"/>
      </w:rPr>
    </w:lvl>
    <w:lvl w:ilvl="1" w:tplc="04220019" w:tentative="1">
      <w:start w:val="1"/>
      <w:numFmt w:val="lowerLetter"/>
      <w:lvlText w:val="%2."/>
      <w:lvlJc w:val="left"/>
      <w:pPr>
        <w:ind w:left="1275" w:hanging="360"/>
      </w:pPr>
    </w:lvl>
    <w:lvl w:ilvl="2" w:tplc="0422001B" w:tentative="1">
      <w:start w:val="1"/>
      <w:numFmt w:val="lowerRoman"/>
      <w:lvlText w:val="%3."/>
      <w:lvlJc w:val="right"/>
      <w:pPr>
        <w:ind w:left="1995" w:hanging="180"/>
      </w:pPr>
    </w:lvl>
    <w:lvl w:ilvl="3" w:tplc="0422000F" w:tentative="1">
      <w:start w:val="1"/>
      <w:numFmt w:val="decimal"/>
      <w:lvlText w:val="%4."/>
      <w:lvlJc w:val="left"/>
      <w:pPr>
        <w:ind w:left="2715" w:hanging="360"/>
      </w:pPr>
    </w:lvl>
    <w:lvl w:ilvl="4" w:tplc="04220019" w:tentative="1">
      <w:start w:val="1"/>
      <w:numFmt w:val="lowerLetter"/>
      <w:lvlText w:val="%5."/>
      <w:lvlJc w:val="left"/>
      <w:pPr>
        <w:ind w:left="3435" w:hanging="360"/>
      </w:pPr>
    </w:lvl>
    <w:lvl w:ilvl="5" w:tplc="0422001B" w:tentative="1">
      <w:start w:val="1"/>
      <w:numFmt w:val="lowerRoman"/>
      <w:lvlText w:val="%6."/>
      <w:lvlJc w:val="right"/>
      <w:pPr>
        <w:ind w:left="4155" w:hanging="180"/>
      </w:pPr>
    </w:lvl>
    <w:lvl w:ilvl="6" w:tplc="0422000F" w:tentative="1">
      <w:start w:val="1"/>
      <w:numFmt w:val="decimal"/>
      <w:lvlText w:val="%7."/>
      <w:lvlJc w:val="left"/>
      <w:pPr>
        <w:ind w:left="4875" w:hanging="360"/>
      </w:pPr>
    </w:lvl>
    <w:lvl w:ilvl="7" w:tplc="04220019" w:tentative="1">
      <w:start w:val="1"/>
      <w:numFmt w:val="lowerLetter"/>
      <w:lvlText w:val="%8."/>
      <w:lvlJc w:val="left"/>
      <w:pPr>
        <w:ind w:left="5595" w:hanging="360"/>
      </w:pPr>
    </w:lvl>
    <w:lvl w:ilvl="8" w:tplc="0422001B" w:tentative="1">
      <w:start w:val="1"/>
      <w:numFmt w:val="lowerRoman"/>
      <w:lvlText w:val="%9."/>
      <w:lvlJc w:val="right"/>
      <w:pPr>
        <w:ind w:left="6315" w:hanging="180"/>
      </w:pPr>
    </w:lvl>
  </w:abstractNum>
  <w:abstractNum w:abstractNumId="20" w15:restartNumberingAfterBreak="0">
    <w:nsid w:val="6D744127"/>
    <w:multiLevelType w:val="hybridMultilevel"/>
    <w:tmpl w:val="875C7EE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714415AC"/>
    <w:multiLevelType w:val="hybridMultilevel"/>
    <w:tmpl w:val="50C04670"/>
    <w:lvl w:ilvl="0" w:tplc="04190001">
      <w:start w:val="1"/>
      <w:numFmt w:val="bullet"/>
      <w:lvlText w:val=""/>
      <w:lvlJc w:val="left"/>
      <w:pPr>
        <w:ind w:left="1100" w:hanging="360"/>
      </w:pPr>
      <w:rPr>
        <w:rFonts w:ascii="Symbol" w:hAnsi="Symbol" w:hint="default"/>
      </w:rPr>
    </w:lvl>
    <w:lvl w:ilvl="1" w:tplc="04220003" w:tentative="1">
      <w:start w:val="1"/>
      <w:numFmt w:val="bullet"/>
      <w:lvlText w:val="o"/>
      <w:lvlJc w:val="left"/>
      <w:pPr>
        <w:ind w:left="1820" w:hanging="360"/>
      </w:pPr>
      <w:rPr>
        <w:rFonts w:ascii="Courier New" w:hAnsi="Courier New" w:cs="Courier New" w:hint="default"/>
      </w:rPr>
    </w:lvl>
    <w:lvl w:ilvl="2" w:tplc="04220005" w:tentative="1">
      <w:start w:val="1"/>
      <w:numFmt w:val="bullet"/>
      <w:lvlText w:val=""/>
      <w:lvlJc w:val="left"/>
      <w:pPr>
        <w:ind w:left="2540" w:hanging="360"/>
      </w:pPr>
      <w:rPr>
        <w:rFonts w:ascii="Wingdings" w:hAnsi="Wingdings" w:hint="default"/>
      </w:rPr>
    </w:lvl>
    <w:lvl w:ilvl="3" w:tplc="04220001" w:tentative="1">
      <w:start w:val="1"/>
      <w:numFmt w:val="bullet"/>
      <w:lvlText w:val=""/>
      <w:lvlJc w:val="left"/>
      <w:pPr>
        <w:ind w:left="3260" w:hanging="360"/>
      </w:pPr>
      <w:rPr>
        <w:rFonts w:ascii="Symbol" w:hAnsi="Symbol" w:hint="default"/>
      </w:rPr>
    </w:lvl>
    <w:lvl w:ilvl="4" w:tplc="04220003" w:tentative="1">
      <w:start w:val="1"/>
      <w:numFmt w:val="bullet"/>
      <w:lvlText w:val="o"/>
      <w:lvlJc w:val="left"/>
      <w:pPr>
        <w:ind w:left="3980" w:hanging="360"/>
      </w:pPr>
      <w:rPr>
        <w:rFonts w:ascii="Courier New" w:hAnsi="Courier New" w:cs="Courier New" w:hint="default"/>
      </w:rPr>
    </w:lvl>
    <w:lvl w:ilvl="5" w:tplc="04220005" w:tentative="1">
      <w:start w:val="1"/>
      <w:numFmt w:val="bullet"/>
      <w:lvlText w:val=""/>
      <w:lvlJc w:val="left"/>
      <w:pPr>
        <w:ind w:left="4700" w:hanging="360"/>
      </w:pPr>
      <w:rPr>
        <w:rFonts w:ascii="Wingdings" w:hAnsi="Wingdings" w:hint="default"/>
      </w:rPr>
    </w:lvl>
    <w:lvl w:ilvl="6" w:tplc="04220001" w:tentative="1">
      <w:start w:val="1"/>
      <w:numFmt w:val="bullet"/>
      <w:lvlText w:val=""/>
      <w:lvlJc w:val="left"/>
      <w:pPr>
        <w:ind w:left="5420" w:hanging="360"/>
      </w:pPr>
      <w:rPr>
        <w:rFonts w:ascii="Symbol" w:hAnsi="Symbol" w:hint="default"/>
      </w:rPr>
    </w:lvl>
    <w:lvl w:ilvl="7" w:tplc="04220003" w:tentative="1">
      <w:start w:val="1"/>
      <w:numFmt w:val="bullet"/>
      <w:lvlText w:val="o"/>
      <w:lvlJc w:val="left"/>
      <w:pPr>
        <w:ind w:left="6140" w:hanging="360"/>
      </w:pPr>
      <w:rPr>
        <w:rFonts w:ascii="Courier New" w:hAnsi="Courier New" w:cs="Courier New" w:hint="default"/>
      </w:rPr>
    </w:lvl>
    <w:lvl w:ilvl="8" w:tplc="04220005" w:tentative="1">
      <w:start w:val="1"/>
      <w:numFmt w:val="bullet"/>
      <w:lvlText w:val=""/>
      <w:lvlJc w:val="left"/>
      <w:pPr>
        <w:ind w:left="6860" w:hanging="360"/>
      </w:pPr>
      <w:rPr>
        <w:rFonts w:ascii="Wingdings" w:hAnsi="Wingdings" w:hint="default"/>
      </w:rPr>
    </w:lvl>
  </w:abstractNum>
  <w:abstractNum w:abstractNumId="22" w15:restartNumberingAfterBreak="0">
    <w:nsid w:val="740D5CD9"/>
    <w:multiLevelType w:val="multilevel"/>
    <w:tmpl w:val="D6FAE58C"/>
    <w:numStyleLink w:val="newnumberingapplications"/>
  </w:abstractNum>
  <w:abstractNum w:abstractNumId="23" w15:restartNumberingAfterBreak="0">
    <w:nsid w:val="742F7110"/>
    <w:multiLevelType w:val="hybridMultilevel"/>
    <w:tmpl w:val="AB00C1F0"/>
    <w:lvl w:ilvl="0" w:tplc="B4AA6A7A">
      <w:start w:val="1"/>
      <w:numFmt w:val="decimal"/>
      <w:lvlText w:val="%1."/>
      <w:lvlJc w:val="left"/>
      <w:pPr>
        <w:ind w:left="794" w:hanging="360"/>
      </w:pPr>
      <w:rPr>
        <w:rFonts w:ascii="Calibri" w:eastAsia="Calibri" w:hAnsi="Calibri" w:cs="Calibri" w:hint="default"/>
        <w:b w:val="0"/>
        <w:bCs w:val="0"/>
        <w:i w:val="0"/>
        <w:iCs w:val="0"/>
        <w:spacing w:val="0"/>
        <w:w w:val="100"/>
        <w:sz w:val="22"/>
        <w:szCs w:val="22"/>
        <w:lang w:val="uk-UA" w:eastAsia="en-US" w:bidi="ar-SA"/>
      </w:rPr>
    </w:lvl>
    <w:lvl w:ilvl="1" w:tplc="447A569E">
      <w:numFmt w:val="bullet"/>
      <w:lvlText w:val="•"/>
      <w:lvlJc w:val="left"/>
      <w:pPr>
        <w:ind w:left="1343" w:hanging="360"/>
      </w:pPr>
      <w:rPr>
        <w:rFonts w:hint="default"/>
        <w:lang w:val="uk-UA" w:eastAsia="en-US" w:bidi="ar-SA"/>
      </w:rPr>
    </w:lvl>
    <w:lvl w:ilvl="2" w:tplc="5D366226">
      <w:numFmt w:val="bullet"/>
      <w:lvlText w:val="•"/>
      <w:lvlJc w:val="left"/>
      <w:pPr>
        <w:ind w:left="1886" w:hanging="360"/>
      </w:pPr>
      <w:rPr>
        <w:rFonts w:hint="default"/>
        <w:lang w:val="uk-UA" w:eastAsia="en-US" w:bidi="ar-SA"/>
      </w:rPr>
    </w:lvl>
    <w:lvl w:ilvl="3" w:tplc="CF4AEA66">
      <w:numFmt w:val="bullet"/>
      <w:lvlText w:val="•"/>
      <w:lvlJc w:val="left"/>
      <w:pPr>
        <w:ind w:left="2429" w:hanging="360"/>
      </w:pPr>
      <w:rPr>
        <w:rFonts w:hint="default"/>
        <w:lang w:val="uk-UA" w:eastAsia="en-US" w:bidi="ar-SA"/>
      </w:rPr>
    </w:lvl>
    <w:lvl w:ilvl="4" w:tplc="0FE056DE">
      <w:numFmt w:val="bullet"/>
      <w:lvlText w:val="•"/>
      <w:lvlJc w:val="left"/>
      <w:pPr>
        <w:ind w:left="2972" w:hanging="360"/>
      </w:pPr>
      <w:rPr>
        <w:rFonts w:hint="default"/>
        <w:lang w:val="uk-UA" w:eastAsia="en-US" w:bidi="ar-SA"/>
      </w:rPr>
    </w:lvl>
    <w:lvl w:ilvl="5" w:tplc="FB3CCA7A">
      <w:numFmt w:val="bullet"/>
      <w:lvlText w:val="•"/>
      <w:lvlJc w:val="left"/>
      <w:pPr>
        <w:ind w:left="3515" w:hanging="360"/>
      </w:pPr>
      <w:rPr>
        <w:rFonts w:hint="default"/>
        <w:lang w:val="uk-UA" w:eastAsia="en-US" w:bidi="ar-SA"/>
      </w:rPr>
    </w:lvl>
    <w:lvl w:ilvl="6" w:tplc="3B88320E">
      <w:numFmt w:val="bullet"/>
      <w:lvlText w:val="•"/>
      <w:lvlJc w:val="left"/>
      <w:pPr>
        <w:ind w:left="4058" w:hanging="360"/>
      </w:pPr>
      <w:rPr>
        <w:rFonts w:hint="default"/>
        <w:lang w:val="uk-UA" w:eastAsia="en-US" w:bidi="ar-SA"/>
      </w:rPr>
    </w:lvl>
    <w:lvl w:ilvl="7" w:tplc="B88AFE92">
      <w:numFmt w:val="bullet"/>
      <w:lvlText w:val="•"/>
      <w:lvlJc w:val="left"/>
      <w:pPr>
        <w:ind w:left="4601" w:hanging="360"/>
      </w:pPr>
      <w:rPr>
        <w:rFonts w:hint="default"/>
        <w:lang w:val="uk-UA" w:eastAsia="en-US" w:bidi="ar-SA"/>
      </w:rPr>
    </w:lvl>
    <w:lvl w:ilvl="8" w:tplc="D2164D0A">
      <w:numFmt w:val="bullet"/>
      <w:lvlText w:val="•"/>
      <w:lvlJc w:val="left"/>
      <w:pPr>
        <w:ind w:left="5144" w:hanging="360"/>
      </w:pPr>
      <w:rPr>
        <w:rFonts w:hint="default"/>
        <w:lang w:val="uk-UA" w:eastAsia="en-US" w:bidi="ar-SA"/>
      </w:rPr>
    </w:lvl>
  </w:abstractNum>
  <w:abstractNum w:abstractNumId="24" w15:restartNumberingAfterBreak="0">
    <w:nsid w:val="7578467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25" w15:restartNumberingAfterBreak="0">
    <w:nsid w:val="7CD425BD"/>
    <w:multiLevelType w:val="hybridMultilevel"/>
    <w:tmpl w:val="70969A38"/>
    <w:lvl w:ilvl="0" w:tplc="50D8E9C2">
      <w:start w:val="13"/>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EF25FA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num w:numId="1">
    <w:abstractNumId w:val="0"/>
  </w:num>
  <w:num w:numId="2">
    <w:abstractNumId w:val="16"/>
  </w:num>
  <w:num w:numId="3">
    <w:abstractNumId w:val="22"/>
  </w:num>
  <w:num w:numId="4">
    <w:abstractNumId w:val="20"/>
  </w:num>
  <w:num w:numId="5">
    <w:abstractNumId w:val="12"/>
  </w:num>
  <w:num w:numId="6">
    <w:abstractNumId w:val="6"/>
  </w:num>
  <w:num w:numId="7">
    <w:abstractNumId w:val="14"/>
  </w:num>
  <w:num w:numId="8">
    <w:abstractNumId w:val="13"/>
  </w:num>
  <w:num w:numId="9">
    <w:abstractNumId w:val="18"/>
  </w:num>
  <w:num w:numId="10">
    <w:abstractNumId w:val="8"/>
  </w:num>
  <w:num w:numId="11">
    <w:abstractNumId w:val="19"/>
  </w:num>
  <w:num w:numId="12">
    <w:abstractNumId w:val="24"/>
  </w:num>
  <w:num w:numId="13">
    <w:abstractNumId w:val="15"/>
  </w:num>
  <w:num w:numId="14">
    <w:abstractNumId w:val="9"/>
  </w:num>
  <w:num w:numId="15">
    <w:abstractNumId w:val="10"/>
  </w:num>
  <w:num w:numId="16">
    <w:abstractNumId w:val="25"/>
  </w:num>
  <w:num w:numId="17">
    <w:abstractNumId w:val="26"/>
  </w:num>
  <w:num w:numId="18">
    <w:abstractNumId w:val="17"/>
  </w:num>
  <w:num w:numId="19">
    <w:abstractNumId w:val="1"/>
  </w:num>
  <w:num w:numId="20">
    <w:abstractNumId w:val="11"/>
  </w:num>
  <w:num w:numId="21">
    <w:abstractNumId w:val="2"/>
  </w:num>
  <w:num w:numId="22">
    <w:abstractNumId w:val="21"/>
  </w:num>
  <w:num w:numId="23">
    <w:abstractNumId w:val="3"/>
  </w:num>
  <w:num w:numId="24">
    <w:abstractNumId w:val="23"/>
  </w:num>
  <w:num w:numId="25">
    <w:abstractNumId w:val="7"/>
  </w:num>
  <w:num w:numId="26">
    <w:abstractNumId w:val="5"/>
  </w:num>
  <w:num w:numId="2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30"/>
    <w:rsid w:val="00000EC6"/>
    <w:rsid w:val="00002C80"/>
    <w:rsid w:val="0000333F"/>
    <w:rsid w:val="0000354A"/>
    <w:rsid w:val="00003676"/>
    <w:rsid w:val="00003C27"/>
    <w:rsid w:val="00003DEB"/>
    <w:rsid w:val="0000434B"/>
    <w:rsid w:val="00004731"/>
    <w:rsid w:val="0000490D"/>
    <w:rsid w:val="00004B98"/>
    <w:rsid w:val="00004E4A"/>
    <w:rsid w:val="000052F8"/>
    <w:rsid w:val="00005630"/>
    <w:rsid w:val="00005714"/>
    <w:rsid w:val="000058EB"/>
    <w:rsid w:val="00005D5F"/>
    <w:rsid w:val="00006EC0"/>
    <w:rsid w:val="00007609"/>
    <w:rsid w:val="00007E3C"/>
    <w:rsid w:val="0001000D"/>
    <w:rsid w:val="00010762"/>
    <w:rsid w:val="00010870"/>
    <w:rsid w:val="00010BC4"/>
    <w:rsid w:val="00010E58"/>
    <w:rsid w:val="00012AEC"/>
    <w:rsid w:val="00012C08"/>
    <w:rsid w:val="0001414D"/>
    <w:rsid w:val="00014827"/>
    <w:rsid w:val="00015167"/>
    <w:rsid w:val="00015796"/>
    <w:rsid w:val="00016DCE"/>
    <w:rsid w:val="00020B53"/>
    <w:rsid w:val="00021ADD"/>
    <w:rsid w:val="00021E69"/>
    <w:rsid w:val="00022175"/>
    <w:rsid w:val="0002262A"/>
    <w:rsid w:val="00022D51"/>
    <w:rsid w:val="00023367"/>
    <w:rsid w:val="000235C8"/>
    <w:rsid w:val="000236B3"/>
    <w:rsid w:val="00023DE8"/>
    <w:rsid w:val="00024208"/>
    <w:rsid w:val="00024FC1"/>
    <w:rsid w:val="0002509A"/>
    <w:rsid w:val="0002647D"/>
    <w:rsid w:val="00026909"/>
    <w:rsid w:val="00026CAB"/>
    <w:rsid w:val="00027AAE"/>
    <w:rsid w:val="00027F72"/>
    <w:rsid w:val="000304B8"/>
    <w:rsid w:val="00030B6C"/>
    <w:rsid w:val="000330A0"/>
    <w:rsid w:val="000334DB"/>
    <w:rsid w:val="00033BB1"/>
    <w:rsid w:val="00033CCD"/>
    <w:rsid w:val="00034797"/>
    <w:rsid w:val="00036665"/>
    <w:rsid w:val="00036CA7"/>
    <w:rsid w:val="00037BA4"/>
    <w:rsid w:val="0004087C"/>
    <w:rsid w:val="00040964"/>
    <w:rsid w:val="00040D87"/>
    <w:rsid w:val="00042235"/>
    <w:rsid w:val="00042389"/>
    <w:rsid w:val="00043488"/>
    <w:rsid w:val="00043726"/>
    <w:rsid w:val="000438F5"/>
    <w:rsid w:val="00044079"/>
    <w:rsid w:val="00044486"/>
    <w:rsid w:val="000446B9"/>
    <w:rsid w:val="00044D14"/>
    <w:rsid w:val="00044D67"/>
    <w:rsid w:val="00050544"/>
    <w:rsid w:val="00050E2D"/>
    <w:rsid w:val="000513D6"/>
    <w:rsid w:val="0005219E"/>
    <w:rsid w:val="00052C93"/>
    <w:rsid w:val="00052E4C"/>
    <w:rsid w:val="00052FFD"/>
    <w:rsid w:val="00054089"/>
    <w:rsid w:val="00054143"/>
    <w:rsid w:val="0005431B"/>
    <w:rsid w:val="000549A8"/>
    <w:rsid w:val="00054A0C"/>
    <w:rsid w:val="000551FE"/>
    <w:rsid w:val="000557EC"/>
    <w:rsid w:val="0005764B"/>
    <w:rsid w:val="000600B9"/>
    <w:rsid w:val="00060A0F"/>
    <w:rsid w:val="00061F4F"/>
    <w:rsid w:val="00062180"/>
    <w:rsid w:val="00062223"/>
    <w:rsid w:val="00062B41"/>
    <w:rsid w:val="00062C24"/>
    <w:rsid w:val="00063D28"/>
    <w:rsid w:val="000642EA"/>
    <w:rsid w:val="0006493D"/>
    <w:rsid w:val="00065995"/>
    <w:rsid w:val="000662AE"/>
    <w:rsid w:val="00066CED"/>
    <w:rsid w:val="00066F14"/>
    <w:rsid w:val="00067576"/>
    <w:rsid w:val="000675D1"/>
    <w:rsid w:val="0007213C"/>
    <w:rsid w:val="00072208"/>
    <w:rsid w:val="00072584"/>
    <w:rsid w:val="00073808"/>
    <w:rsid w:val="00073EB6"/>
    <w:rsid w:val="00073FAF"/>
    <w:rsid w:val="0007473A"/>
    <w:rsid w:val="000751B3"/>
    <w:rsid w:val="00076006"/>
    <w:rsid w:val="000766D6"/>
    <w:rsid w:val="00076A8A"/>
    <w:rsid w:val="0007769E"/>
    <w:rsid w:val="00077AD6"/>
    <w:rsid w:val="000808F2"/>
    <w:rsid w:val="00081FB6"/>
    <w:rsid w:val="00082346"/>
    <w:rsid w:val="000824C0"/>
    <w:rsid w:val="00082D8A"/>
    <w:rsid w:val="00083198"/>
    <w:rsid w:val="00083251"/>
    <w:rsid w:val="000842B7"/>
    <w:rsid w:val="000843BA"/>
    <w:rsid w:val="0008619B"/>
    <w:rsid w:val="00086D04"/>
    <w:rsid w:val="0008743B"/>
    <w:rsid w:val="000908FF"/>
    <w:rsid w:val="00090979"/>
    <w:rsid w:val="00090EDF"/>
    <w:rsid w:val="00091A61"/>
    <w:rsid w:val="000920B3"/>
    <w:rsid w:val="000922D5"/>
    <w:rsid w:val="0009297E"/>
    <w:rsid w:val="00093181"/>
    <w:rsid w:val="000940D2"/>
    <w:rsid w:val="00094B05"/>
    <w:rsid w:val="00095E54"/>
    <w:rsid w:val="000960B7"/>
    <w:rsid w:val="00096C49"/>
    <w:rsid w:val="00096CF6"/>
    <w:rsid w:val="00097A48"/>
    <w:rsid w:val="000A008A"/>
    <w:rsid w:val="000A0C58"/>
    <w:rsid w:val="000A0D06"/>
    <w:rsid w:val="000A0E5D"/>
    <w:rsid w:val="000A1246"/>
    <w:rsid w:val="000A1364"/>
    <w:rsid w:val="000A1661"/>
    <w:rsid w:val="000A1CE3"/>
    <w:rsid w:val="000A3591"/>
    <w:rsid w:val="000A3BD4"/>
    <w:rsid w:val="000A44E4"/>
    <w:rsid w:val="000A45D5"/>
    <w:rsid w:val="000A469A"/>
    <w:rsid w:val="000A4E3E"/>
    <w:rsid w:val="000A594B"/>
    <w:rsid w:val="000A652A"/>
    <w:rsid w:val="000A65F6"/>
    <w:rsid w:val="000A7BD9"/>
    <w:rsid w:val="000B0015"/>
    <w:rsid w:val="000B042D"/>
    <w:rsid w:val="000B063F"/>
    <w:rsid w:val="000B31CF"/>
    <w:rsid w:val="000B4249"/>
    <w:rsid w:val="000B4E48"/>
    <w:rsid w:val="000B63A6"/>
    <w:rsid w:val="000B6792"/>
    <w:rsid w:val="000B7277"/>
    <w:rsid w:val="000B7898"/>
    <w:rsid w:val="000C042A"/>
    <w:rsid w:val="000C0750"/>
    <w:rsid w:val="000C1B45"/>
    <w:rsid w:val="000C1BF3"/>
    <w:rsid w:val="000C1CC9"/>
    <w:rsid w:val="000C1E83"/>
    <w:rsid w:val="000C263E"/>
    <w:rsid w:val="000C271C"/>
    <w:rsid w:val="000C29B8"/>
    <w:rsid w:val="000C2B05"/>
    <w:rsid w:val="000C2DD6"/>
    <w:rsid w:val="000C358F"/>
    <w:rsid w:val="000C35B4"/>
    <w:rsid w:val="000C35EB"/>
    <w:rsid w:val="000C3B18"/>
    <w:rsid w:val="000C3D2E"/>
    <w:rsid w:val="000C3D6D"/>
    <w:rsid w:val="000C53B0"/>
    <w:rsid w:val="000C5880"/>
    <w:rsid w:val="000C5CA0"/>
    <w:rsid w:val="000C5DAB"/>
    <w:rsid w:val="000D138C"/>
    <w:rsid w:val="000D22FF"/>
    <w:rsid w:val="000D24FC"/>
    <w:rsid w:val="000D45F3"/>
    <w:rsid w:val="000D53E8"/>
    <w:rsid w:val="000D5BDC"/>
    <w:rsid w:val="000D6843"/>
    <w:rsid w:val="000D687F"/>
    <w:rsid w:val="000D6D09"/>
    <w:rsid w:val="000D769D"/>
    <w:rsid w:val="000D7B01"/>
    <w:rsid w:val="000E101F"/>
    <w:rsid w:val="000E123F"/>
    <w:rsid w:val="000E1F52"/>
    <w:rsid w:val="000E2AA4"/>
    <w:rsid w:val="000E39D6"/>
    <w:rsid w:val="000E4307"/>
    <w:rsid w:val="000E45C2"/>
    <w:rsid w:val="000E4A86"/>
    <w:rsid w:val="000E5025"/>
    <w:rsid w:val="000E6121"/>
    <w:rsid w:val="000E6750"/>
    <w:rsid w:val="000E68A8"/>
    <w:rsid w:val="000E6FFC"/>
    <w:rsid w:val="000F08A1"/>
    <w:rsid w:val="000F12F9"/>
    <w:rsid w:val="000F1D5F"/>
    <w:rsid w:val="000F1E30"/>
    <w:rsid w:val="000F32F3"/>
    <w:rsid w:val="000F3752"/>
    <w:rsid w:val="000F3E03"/>
    <w:rsid w:val="000F3E22"/>
    <w:rsid w:val="000F4161"/>
    <w:rsid w:val="000F4220"/>
    <w:rsid w:val="000F4B93"/>
    <w:rsid w:val="000F4CEB"/>
    <w:rsid w:val="000F54A9"/>
    <w:rsid w:val="000F5F30"/>
    <w:rsid w:val="000F67FA"/>
    <w:rsid w:val="000F720C"/>
    <w:rsid w:val="001001BE"/>
    <w:rsid w:val="001007AF"/>
    <w:rsid w:val="00101597"/>
    <w:rsid w:val="00101A7C"/>
    <w:rsid w:val="00101E31"/>
    <w:rsid w:val="0010407C"/>
    <w:rsid w:val="001047FC"/>
    <w:rsid w:val="0010557B"/>
    <w:rsid w:val="00105A68"/>
    <w:rsid w:val="00106416"/>
    <w:rsid w:val="001066BA"/>
    <w:rsid w:val="0010682C"/>
    <w:rsid w:val="00106AB5"/>
    <w:rsid w:val="00106EFA"/>
    <w:rsid w:val="0010755C"/>
    <w:rsid w:val="001077A3"/>
    <w:rsid w:val="00107A4D"/>
    <w:rsid w:val="001108CA"/>
    <w:rsid w:val="0011127D"/>
    <w:rsid w:val="00111734"/>
    <w:rsid w:val="00112116"/>
    <w:rsid w:val="0011307D"/>
    <w:rsid w:val="001141EB"/>
    <w:rsid w:val="00114206"/>
    <w:rsid w:val="001145DF"/>
    <w:rsid w:val="001155FD"/>
    <w:rsid w:val="00115B36"/>
    <w:rsid w:val="00115FFD"/>
    <w:rsid w:val="001160D9"/>
    <w:rsid w:val="001163FB"/>
    <w:rsid w:val="00116CF8"/>
    <w:rsid w:val="00116F6F"/>
    <w:rsid w:val="00117706"/>
    <w:rsid w:val="0011770F"/>
    <w:rsid w:val="00120649"/>
    <w:rsid w:val="001206AA"/>
    <w:rsid w:val="001212CE"/>
    <w:rsid w:val="00121C52"/>
    <w:rsid w:val="00121E98"/>
    <w:rsid w:val="001226C9"/>
    <w:rsid w:val="00122E25"/>
    <w:rsid w:val="0012336B"/>
    <w:rsid w:val="00123FF9"/>
    <w:rsid w:val="00124341"/>
    <w:rsid w:val="00124723"/>
    <w:rsid w:val="00124791"/>
    <w:rsid w:val="00124827"/>
    <w:rsid w:val="0012486F"/>
    <w:rsid w:val="00124D16"/>
    <w:rsid w:val="001251CC"/>
    <w:rsid w:val="0012623B"/>
    <w:rsid w:val="00126760"/>
    <w:rsid w:val="001268D2"/>
    <w:rsid w:val="00126E0A"/>
    <w:rsid w:val="001270D1"/>
    <w:rsid w:val="001277C9"/>
    <w:rsid w:val="00127AD5"/>
    <w:rsid w:val="00127BBC"/>
    <w:rsid w:val="00127D53"/>
    <w:rsid w:val="00130F48"/>
    <w:rsid w:val="001312C3"/>
    <w:rsid w:val="00133891"/>
    <w:rsid w:val="00133C87"/>
    <w:rsid w:val="00133D9E"/>
    <w:rsid w:val="00133F3A"/>
    <w:rsid w:val="00134351"/>
    <w:rsid w:val="00134577"/>
    <w:rsid w:val="0013614B"/>
    <w:rsid w:val="00136341"/>
    <w:rsid w:val="00140B9B"/>
    <w:rsid w:val="001413AD"/>
    <w:rsid w:val="001420E5"/>
    <w:rsid w:val="00142698"/>
    <w:rsid w:val="00142EE4"/>
    <w:rsid w:val="00143C2C"/>
    <w:rsid w:val="0014450F"/>
    <w:rsid w:val="001446D7"/>
    <w:rsid w:val="00147986"/>
    <w:rsid w:val="0015052E"/>
    <w:rsid w:val="00151031"/>
    <w:rsid w:val="001524DD"/>
    <w:rsid w:val="00153577"/>
    <w:rsid w:val="00154C21"/>
    <w:rsid w:val="00155706"/>
    <w:rsid w:val="00155B54"/>
    <w:rsid w:val="00156490"/>
    <w:rsid w:val="001572EC"/>
    <w:rsid w:val="00157373"/>
    <w:rsid w:val="001579B0"/>
    <w:rsid w:val="00161A74"/>
    <w:rsid w:val="001622DD"/>
    <w:rsid w:val="00162372"/>
    <w:rsid w:val="00162CD0"/>
    <w:rsid w:val="00163305"/>
    <w:rsid w:val="00163956"/>
    <w:rsid w:val="001644B7"/>
    <w:rsid w:val="00164872"/>
    <w:rsid w:val="00164891"/>
    <w:rsid w:val="00165E7E"/>
    <w:rsid w:val="0016663C"/>
    <w:rsid w:val="001669BF"/>
    <w:rsid w:val="00166C2C"/>
    <w:rsid w:val="001709EF"/>
    <w:rsid w:val="00171013"/>
    <w:rsid w:val="001712BB"/>
    <w:rsid w:val="00172720"/>
    <w:rsid w:val="00172CA3"/>
    <w:rsid w:val="001732A0"/>
    <w:rsid w:val="00174254"/>
    <w:rsid w:val="00174715"/>
    <w:rsid w:val="001748F5"/>
    <w:rsid w:val="001751F0"/>
    <w:rsid w:val="0017570C"/>
    <w:rsid w:val="0017576C"/>
    <w:rsid w:val="00176B98"/>
    <w:rsid w:val="00177063"/>
    <w:rsid w:val="00180E0A"/>
    <w:rsid w:val="0018161D"/>
    <w:rsid w:val="001831A3"/>
    <w:rsid w:val="00183DD3"/>
    <w:rsid w:val="00184507"/>
    <w:rsid w:val="0018455A"/>
    <w:rsid w:val="00184728"/>
    <w:rsid w:val="00185EE5"/>
    <w:rsid w:val="00190516"/>
    <w:rsid w:val="00190604"/>
    <w:rsid w:val="00192587"/>
    <w:rsid w:val="00192EEA"/>
    <w:rsid w:val="0019370A"/>
    <w:rsid w:val="001939E5"/>
    <w:rsid w:val="00193C3E"/>
    <w:rsid w:val="00193FE4"/>
    <w:rsid w:val="001943A6"/>
    <w:rsid w:val="001947D2"/>
    <w:rsid w:val="00195A47"/>
    <w:rsid w:val="00195D17"/>
    <w:rsid w:val="00196204"/>
    <w:rsid w:val="0019644F"/>
    <w:rsid w:val="0019719A"/>
    <w:rsid w:val="001A0CDA"/>
    <w:rsid w:val="001A1DA3"/>
    <w:rsid w:val="001A2C81"/>
    <w:rsid w:val="001A3055"/>
    <w:rsid w:val="001A32A6"/>
    <w:rsid w:val="001A3A15"/>
    <w:rsid w:val="001A3EB3"/>
    <w:rsid w:val="001A4E8E"/>
    <w:rsid w:val="001A51BC"/>
    <w:rsid w:val="001A54BF"/>
    <w:rsid w:val="001A6D13"/>
    <w:rsid w:val="001A7138"/>
    <w:rsid w:val="001A7A70"/>
    <w:rsid w:val="001A7B22"/>
    <w:rsid w:val="001B0496"/>
    <w:rsid w:val="001B1332"/>
    <w:rsid w:val="001B2D6F"/>
    <w:rsid w:val="001B3CEE"/>
    <w:rsid w:val="001B46D7"/>
    <w:rsid w:val="001B4865"/>
    <w:rsid w:val="001B62B3"/>
    <w:rsid w:val="001B6891"/>
    <w:rsid w:val="001B78DB"/>
    <w:rsid w:val="001B7ED4"/>
    <w:rsid w:val="001B7F23"/>
    <w:rsid w:val="001C0464"/>
    <w:rsid w:val="001C04CB"/>
    <w:rsid w:val="001C059C"/>
    <w:rsid w:val="001C0817"/>
    <w:rsid w:val="001C09FF"/>
    <w:rsid w:val="001C0A69"/>
    <w:rsid w:val="001C1205"/>
    <w:rsid w:val="001C1976"/>
    <w:rsid w:val="001C1ABD"/>
    <w:rsid w:val="001C1D18"/>
    <w:rsid w:val="001C1ED9"/>
    <w:rsid w:val="001C2F09"/>
    <w:rsid w:val="001C3E61"/>
    <w:rsid w:val="001C3ED9"/>
    <w:rsid w:val="001C4A44"/>
    <w:rsid w:val="001C4AE4"/>
    <w:rsid w:val="001C5176"/>
    <w:rsid w:val="001C6707"/>
    <w:rsid w:val="001C7DBB"/>
    <w:rsid w:val="001D02C9"/>
    <w:rsid w:val="001D1104"/>
    <w:rsid w:val="001D16F8"/>
    <w:rsid w:val="001D1912"/>
    <w:rsid w:val="001D19AA"/>
    <w:rsid w:val="001D1D54"/>
    <w:rsid w:val="001D1F4B"/>
    <w:rsid w:val="001D30D4"/>
    <w:rsid w:val="001D5469"/>
    <w:rsid w:val="001D5920"/>
    <w:rsid w:val="001D5925"/>
    <w:rsid w:val="001D5CCF"/>
    <w:rsid w:val="001D5CDE"/>
    <w:rsid w:val="001D68F0"/>
    <w:rsid w:val="001D6CFE"/>
    <w:rsid w:val="001D738A"/>
    <w:rsid w:val="001D7489"/>
    <w:rsid w:val="001D7656"/>
    <w:rsid w:val="001D7D43"/>
    <w:rsid w:val="001E027E"/>
    <w:rsid w:val="001E0B3B"/>
    <w:rsid w:val="001E119B"/>
    <w:rsid w:val="001E11FF"/>
    <w:rsid w:val="001E1A78"/>
    <w:rsid w:val="001E1E75"/>
    <w:rsid w:val="001E2137"/>
    <w:rsid w:val="001E3311"/>
    <w:rsid w:val="001E42A2"/>
    <w:rsid w:val="001E474F"/>
    <w:rsid w:val="001E4AAF"/>
    <w:rsid w:val="001E4CE4"/>
    <w:rsid w:val="001E572F"/>
    <w:rsid w:val="001E57F4"/>
    <w:rsid w:val="001E5C7D"/>
    <w:rsid w:val="001E634F"/>
    <w:rsid w:val="001E7EF6"/>
    <w:rsid w:val="001F068D"/>
    <w:rsid w:val="001F085F"/>
    <w:rsid w:val="001F1608"/>
    <w:rsid w:val="001F16FD"/>
    <w:rsid w:val="001F27DF"/>
    <w:rsid w:val="001F2B24"/>
    <w:rsid w:val="001F2BFB"/>
    <w:rsid w:val="001F455C"/>
    <w:rsid w:val="001F4D55"/>
    <w:rsid w:val="001F5436"/>
    <w:rsid w:val="001F624D"/>
    <w:rsid w:val="001F7D20"/>
    <w:rsid w:val="0020079F"/>
    <w:rsid w:val="00200830"/>
    <w:rsid w:val="002024DD"/>
    <w:rsid w:val="00202722"/>
    <w:rsid w:val="002030FC"/>
    <w:rsid w:val="002045E0"/>
    <w:rsid w:val="00204AB1"/>
    <w:rsid w:val="00204B84"/>
    <w:rsid w:val="002059A5"/>
    <w:rsid w:val="00205D32"/>
    <w:rsid w:val="0020680F"/>
    <w:rsid w:val="00207066"/>
    <w:rsid w:val="00207232"/>
    <w:rsid w:val="00207901"/>
    <w:rsid w:val="00210950"/>
    <w:rsid w:val="00210C5C"/>
    <w:rsid w:val="00212EC1"/>
    <w:rsid w:val="002138EF"/>
    <w:rsid w:val="00213C26"/>
    <w:rsid w:val="00213D89"/>
    <w:rsid w:val="002144F0"/>
    <w:rsid w:val="00214F46"/>
    <w:rsid w:val="00216240"/>
    <w:rsid w:val="00216DF4"/>
    <w:rsid w:val="00217CAC"/>
    <w:rsid w:val="00217EB9"/>
    <w:rsid w:val="0022042A"/>
    <w:rsid w:val="0022064B"/>
    <w:rsid w:val="002206D0"/>
    <w:rsid w:val="00221B33"/>
    <w:rsid w:val="00221BC7"/>
    <w:rsid w:val="00221E44"/>
    <w:rsid w:val="002220E0"/>
    <w:rsid w:val="0022266B"/>
    <w:rsid w:val="002226F0"/>
    <w:rsid w:val="00222BC6"/>
    <w:rsid w:val="00222D14"/>
    <w:rsid w:val="00223393"/>
    <w:rsid w:val="00223CBF"/>
    <w:rsid w:val="00224027"/>
    <w:rsid w:val="00224386"/>
    <w:rsid w:val="00224519"/>
    <w:rsid w:val="0022468F"/>
    <w:rsid w:val="00225C0C"/>
    <w:rsid w:val="0022642F"/>
    <w:rsid w:val="00227C25"/>
    <w:rsid w:val="00232A87"/>
    <w:rsid w:val="00233078"/>
    <w:rsid w:val="002332D3"/>
    <w:rsid w:val="00233BED"/>
    <w:rsid w:val="002351A1"/>
    <w:rsid w:val="00237DD6"/>
    <w:rsid w:val="002404EC"/>
    <w:rsid w:val="0024132B"/>
    <w:rsid w:val="00241C28"/>
    <w:rsid w:val="00242C79"/>
    <w:rsid w:val="00243543"/>
    <w:rsid w:val="00244CAC"/>
    <w:rsid w:val="00245163"/>
    <w:rsid w:val="002454DB"/>
    <w:rsid w:val="002456E7"/>
    <w:rsid w:val="00245701"/>
    <w:rsid w:val="00245955"/>
    <w:rsid w:val="00246040"/>
    <w:rsid w:val="0024629E"/>
    <w:rsid w:val="00246C2F"/>
    <w:rsid w:val="00247CE4"/>
    <w:rsid w:val="00247CEF"/>
    <w:rsid w:val="00247D02"/>
    <w:rsid w:val="00250670"/>
    <w:rsid w:val="002509EC"/>
    <w:rsid w:val="00250D84"/>
    <w:rsid w:val="002514C5"/>
    <w:rsid w:val="00251C23"/>
    <w:rsid w:val="00252C32"/>
    <w:rsid w:val="00253654"/>
    <w:rsid w:val="002539FE"/>
    <w:rsid w:val="00253EE5"/>
    <w:rsid w:val="00254453"/>
    <w:rsid w:val="00254739"/>
    <w:rsid w:val="00254C29"/>
    <w:rsid w:val="00255696"/>
    <w:rsid w:val="00255997"/>
    <w:rsid w:val="00256A9C"/>
    <w:rsid w:val="0025742F"/>
    <w:rsid w:val="00257B19"/>
    <w:rsid w:val="00257DFF"/>
    <w:rsid w:val="00260ED1"/>
    <w:rsid w:val="002619CF"/>
    <w:rsid w:val="00261E23"/>
    <w:rsid w:val="00261F83"/>
    <w:rsid w:val="00262798"/>
    <w:rsid w:val="00262C3E"/>
    <w:rsid w:val="00262EDB"/>
    <w:rsid w:val="00263140"/>
    <w:rsid w:val="00263BF3"/>
    <w:rsid w:val="00264759"/>
    <w:rsid w:val="00264C33"/>
    <w:rsid w:val="00265690"/>
    <w:rsid w:val="00265818"/>
    <w:rsid w:val="0026586C"/>
    <w:rsid w:val="00266285"/>
    <w:rsid w:val="00267636"/>
    <w:rsid w:val="00267FD0"/>
    <w:rsid w:val="0027022F"/>
    <w:rsid w:val="002708B7"/>
    <w:rsid w:val="00271BB3"/>
    <w:rsid w:val="00273A93"/>
    <w:rsid w:val="00274353"/>
    <w:rsid w:val="00274B31"/>
    <w:rsid w:val="00274DB1"/>
    <w:rsid w:val="002753FD"/>
    <w:rsid w:val="00275B3F"/>
    <w:rsid w:val="00275BA0"/>
    <w:rsid w:val="002763E2"/>
    <w:rsid w:val="0027664E"/>
    <w:rsid w:val="00276771"/>
    <w:rsid w:val="00277184"/>
    <w:rsid w:val="00277A78"/>
    <w:rsid w:val="002803C4"/>
    <w:rsid w:val="00280531"/>
    <w:rsid w:val="00280B4F"/>
    <w:rsid w:val="00281ACB"/>
    <w:rsid w:val="00282062"/>
    <w:rsid w:val="00282AB2"/>
    <w:rsid w:val="00283452"/>
    <w:rsid w:val="00283531"/>
    <w:rsid w:val="0028363C"/>
    <w:rsid w:val="0028379B"/>
    <w:rsid w:val="00283E10"/>
    <w:rsid w:val="00284393"/>
    <w:rsid w:val="00284A3D"/>
    <w:rsid w:val="002854F0"/>
    <w:rsid w:val="0028635D"/>
    <w:rsid w:val="0028657A"/>
    <w:rsid w:val="00286896"/>
    <w:rsid w:val="00286925"/>
    <w:rsid w:val="00286F2B"/>
    <w:rsid w:val="00287058"/>
    <w:rsid w:val="00290A41"/>
    <w:rsid w:val="0029126C"/>
    <w:rsid w:val="00291344"/>
    <w:rsid w:val="00291C31"/>
    <w:rsid w:val="0029258A"/>
    <w:rsid w:val="00293CED"/>
    <w:rsid w:val="0029420B"/>
    <w:rsid w:val="00297336"/>
    <w:rsid w:val="0029745A"/>
    <w:rsid w:val="002A08E0"/>
    <w:rsid w:val="002A11A7"/>
    <w:rsid w:val="002A1D5A"/>
    <w:rsid w:val="002A22AA"/>
    <w:rsid w:val="002A3BE4"/>
    <w:rsid w:val="002A3D29"/>
    <w:rsid w:val="002A4B7F"/>
    <w:rsid w:val="002A4C59"/>
    <w:rsid w:val="002A5829"/>
    <w:rsid w:val="002A5999"/>
    <w:rsid w:val="002A5B8F"/>
    <w:rsid w:val="002A5CE7"/>
    <w:rsid w:val="002A61C9"/>
    <w:rsid w:val="002A6765"/>
    <w:rsid w:val="002A6A48"/>
    <w:rsid w:val="002A6D41"/>
    <w:rsid w:val="002A6E11"/>
    <w:rsid w:val="002A74CA"/>
    <w:rsid w:val="002B0CFF"/>
    <w:rsid w:val="002B0EED"/>
    <w:rsid w:val="002B0F0A"/>
    <w:rsid w:val="002B2476"/>
    <w:rsid w:val="002B2B9D"/>
    <w:rsid w:val="002B35F3"/>
    <w:rsid w:val="002B3741"/>
    <w:rsid w:val="002B3C03"/>
    <w:rsid w:val="002B408A"/>
    <w:rsid w:val="002B4269"/>
    <w:rsid w:val="002B4764"/>
    <w:rsid w:val="002B59BB"/>
    <w:rsid w:val="002B5A09"/>
    <w:rsid w:val="002B631B"/>
    <w:rsid w:val="002B7175"/>
    <w:rsid w:val="002B7307"/>
    <w:rsid w:val="002B7B8F"/>
    <w:rsid w:val="002C05B2"/>
    <w:rsid w:val="002C09B1"/>
    <w:rsid w:val="002C0C25"/>
    <w:rsid w:val="002C1ACD"/>
    <w:rsid w:val="002C1B62"/>
    <w:rsid w:val="002C2023"/>
    <w:rsid w:val="002C203D"/>
    <w:rsid w:val="002C2046"/>
    <w:rsid w:val="002C3BAE"/>
    <w:rsid w:val="002C3F0E"/>
    <w:rsid w:val="002C4B7E"/>
    <w:rsid w:val="002C4D26"/>
    <w:rsid w:val="002C4D30"/>
    <w:rsid w:val="002C4D77"/>
    <w:rsid w:val="002C4E55"/>
    <w:rsid w:val="002C51BA"/>
    <w:rsid w:val="002C54AF"/>
    <w:rsid w:val="002C59E0"/>
    <w:rsid w:val="002C6DD1"/>
    <w:rsid w:val="002C6EBB"/>
    <w:rsid w:val="002D0C81"/>
    <w:rsid w:val="002D1061"/>
    <w:rsid w:val="002D233C"/>
    <w:rsid w:val="002D2A75"/>
    <w:rsid w:val="002D2AB8"/>
    <w:rsid w:val="002D37B2"/>
    <w:rsid w:val="002D3E8C"/>
    <w:rsid w:val="002D4131"/>
    <w:rsid w:val="002D41D7"/>
    <w:rsid w:val="002D47FC"/>
    <w:rsid w:val="002D57A8"/>
    <w:rsid w:val="002D5E8F"/>
    <w:rsid w:val="002D648A"/>
    <w:rsid w:val="002D649F"/>
    <w:rsid w:val="002D71A0"/>
    <w:rsid w:val="002D7C1E"/>
    <w:rsid w:val="002E06F7"/>
    <w:rsid w:val="002E0D86"/>
    <w:rsid w:val="002E2AFD"/>
    <w:rsid w:val="002E2B32"/>
    <w:rsid w:val="002E2F45"/>
    <w:rsid w:val="002E31F1"/>
    <w:rsid w:val="002E33F0"/>
    <w:rsid w:val="002E494B"/>
    <w:rsid w:val="002E49F7"/>
    <w:rsid w:val="002E4CD3"/>
    <w:rsid w:val="002E5F3E"/>
    <w:rsid w:val="002E6060"/>
    <w:rsid w:val="002E6B8D"/>
    <w:rsid w:val="002E755D"/>
    <w:rsid w:val="002E75B7"/>
    <w:rsid w:val="002F0E39"/>
    <w:rsid w:val="002F23A0"/>
    <w:rsid w:val="002F2638"/>
    <w:rsid w:val="002F35AB"/>
    <w:rsid w:val="002F4144"/>
    <w:rsid w:val="002F49A1"/>
    <w:rsid w:val="002F4A70"/>
    <w:rsid w:val="002F4A86"/>
    <w:rsid w:val="002F622C"/>
    <w:rsid w:val="002F686F"/>
    <w:rsid w:val="002F7734"/>
    <w:rsid w:val="002F782E"/>
    <w:rsid w:val="002F7C18"/>
    <w:rsid w:val="002F7F55"/>
    <w:rsid w:val="00300CD4"/>
    <w:rsid w:val="00301157"/>
    <w:rsid w:val="00301394"/>
    <w:rsid w:val="0030207B"/>
    <w:rsid w:val="0030248D"/>
    <w:rsid w:val="00302B42"/>
    <w:rsid w:val="00302DF6"/>
    <w:rsid w:val="003036DF"/>
    <w:rsid w:val="00304810"/>
    <w:rsid w:val="003048D7"/>
    <w:rsid w:val="003053C9"/>
    <w:rsid w:val="00305794"/>
    <w:rsid w:val="00306340"/>
    <w:rsid w:val="00306E62"/>
    <w:rsid w:val="00310009"/>
    <w:rsid w:val="00312A5B"/>
    <w:rsid w:val="00313C9F"/>
    <w:rsid w:val="00313FDD"/>
    <w:rsid w:val="00314376"/>
    <w:rsid w:val="0031494B"/>
    <w:rsid w:val="00314B24"/>
    <w:rsid w:val="00314C5A"/>
    <w:rsid w:val="003156EB"/>
    <w:rsid w:val="003160E4"/>
    <w:rsid w:val="00316DC3"/>
    <w:rsid w:val="0031705E"/>
    <w:rsid w:val="00317780"/>
    <w:rsid w:val="00317CBB"/>
    <w:rsid w:val="00317FE3"/>
    <w:rsid w:val="0032004B"/>
    <w:rsid w:val="0032036B"/>
    <w:rsid w:val="00320403"/>
    <w:rsid w:val="003215BC"/>
    <w:rsid w:val="003220DE"/>
    <w:rsid w:val="003225D6"/>
    <w:rsid w:val="003225F2"/>
    <w:rsid w:val="003227F2"/>
    <w:rsid w:val="0032283D"/>
    <w:rsid w:val="003235E9"/>
    <w:rsid w:val="00324177"/>
    <w:rsid w:val="0032649E"/>
    <w:rsid w:val="003264D3"/>
    <w:rsid w:val="0032684E"/>
    <w:rsid w:val="00326A14"/>
    <w:rsid w:val="00327072"/>
    <w:rsid w:val="00327483"/>
    <w:rsid w:val="00327B0A"/>
    <w:rsid w:val="00327E42"/>
    <w:rsid w:val="00330DB9"/>
    <w:rsid w:val="00330FF2"/>
    <w:rsid w:val="00331C45"/>
    <w:rsid w:val="003320CF"/>
    <w:rsid w:val="00332CC3"/>
    <w:rsid w:val="003332AE"/>
    <w:rsid w:val="00333359"/>
    <w:rsid w:val="003334F6"/>
    <w:rsid w:val="00333BA1"/>
    <w:rsid w:val="00333C1A"/>
    <w:rsid w:val="00334CB9"/>
    <w:rsid w:val="00334E41"/>
    <w:rsid w:val="00335AF6"/>
    <w:rsid w:val="00335EFC"/>
    <w:rsid w:val="00336851"/>
    <w:rsid w:val="00336C5F"/>
    <w:rsid w:val="00337A0B"/>
    <w:rsid w:val="003401E1"/>
    <w:rsid w:val="003412FF"/>
    <w:rsid w:val="00341512"/>
    <w:rsid w:val="0034192F"/>
    <w:rsid w:val="00342C52"/>
    <w:rsid w:val="00343282"/>
    <w:rsid w:val="00343922"/>
    <w:rsid w:val="00344401"/>
    <w:rsid w:val="0034499E"/>
    <w:rsid w:val="00344B74"/>
    <w:rsid w:val="00344F18"/>
    <w:rsid w:val="003452E8"/>
    <w:rsid w:val="0034558E"/>
    <w:rsid w:val="0034583E"/>
    <w:rsid w:val="00345946"/>
    <w:rsid w:val="003461D2"/>
    <w:rsid w:val="00346590"/>
    <w:rsid w:val="00346F2C"/>
    <w:rsid w:val="003473AE"/>
    <w:rsid w:val="0034777A"/>
    <w:rsid w:val="00347D4F"/>
    <w:rsid w:val="003508AC"/>
    <w:rsid w:val="00350A4F"/>
    <w:rsid w:val="00353A4E"/>
    <w:rsid w:val="00354E4D"/>
    <w:rsid w:val="003557A3"/>
    <w:rsid w:val="00355BA0"/>
    <w:rsid w:val="00356DD6"/>
    <w:rsid w:val="003577DF"/>
    <w:rsid w:val="00361535"/>
    <w:rsid w:val="0036193D"/>
    <w:rsid w:val="003624C3"/>
    <w:rsid w:val="00362638"/>
    <w:rsid w:val="003628F6"/>
    <w:rsid w:val="003631BD"/>
    <w:rsid w:val="0036388F"/>
    <w:rsid w:val="00364C7C"/>
    <w:rsid w:val="0036541C"/>
    <w:rsid w:val="00365D2F"/>
    <w:rsid w:val="00365E70"/>
    <w:rsid w:val="00365FD2"/>
    <w:rsid w:val="00366216"/>
    <w:rsid w:val="00367233"/>
    <w:rsid w:val="00367608"/>
    <w:rsid w:val="00370BF2"/>
    <w:rsid w:val="00370C35"/>
    <w:rsid w:val="00372173"/>
    <w:rsid w:val="00372201"/>
    <w:rsid w:val="00372221"/>
    <w:rsid w:val="00372A99"/>
    <w:rsid w:val="00372BE2"/>
    <w:rsid w:val="00373963"/>
    <w:rsid w:val="00375CCB"/>
    <w:rsid w:val="00375FF1"/>
    <w:rsid w:val="00377762"/>
    <w:rsid w:val="003807D7"/>
    <w:rsid w:val="003818C8"/>
    <w:rsid w:val="003841C3"/>
    <w:rsid w:val="003850AE"/>
    <w:rsid w:val="003860B2"/>
    <w:rsid w:val="00386D60"/>
    <w:rsid w:val="00386FC7"/>
    <w:rsid w:val="00387426"/>
    <w:rsid w:val="003877BE"/>
    <w:rsid w:val="00387ABE"/>
    <w:rsid w:val="00387AD6"/>
    <w:rsid w:val="00387F88"/>
    <w:rsid w:val="003903B7"/>
    <w:rsid w:val="0039066B"/>
    <w:rsid w:val="0039116A"/>
    <w:rsid w:val="0039140A"/>
    <w:rsid w:val="003915BF"/>
    <w:rsid w:val="00391E37"/>
    <w:rsid w:val="00392955"/>
    <w:rsid w:val="00392D9D"/>
    <w:rsid w:val="00396063"/>
    <w:rsid w:val="003963CF"/>
    <w:rsid w:val="003966B7"/>
    <w:rsid w:val="00396868"/>
    <w:rsid w:val="00397294"/>
    <w:rsid w:val="00397B13"/>
    <w:rsid w:val="00397E23"/>
    <w:rsid w:val="003A019F"/>
    <w:rsid w:val="003A0474"/>
    <w:rsid w:val="003A0E3D"/>
    <w:rsid w:val="003A1050"/>
    <w:rsid w:val="003A1AA7"/>
    <w:rsid w:val="003A2CC0"/>
    <w:rsid w:val="003A322D"/>
    <w:rsid w:val="003A3C16"/>
    <w:rsid w:val="003A4360"/>
    <w:rsid w:val="003A4A24"/>
    <w:rsid w:val="003A4C0F"/>
    <w:rsid w:val="003A5748"/>
    <w:rsid w:val="003A5CFC"/>
    <w:rsid w:val="003A6165"/>
    <w:rsid w:val="003A6B58"/>
    <w:rsid w:val="003A6CBE"/>
    <w:rsid w:val="003A6E66"/>
    <w:rsid w:val="003A72C6"/>
    <w:rsid w:val="003A7C8D"/>
    <w:rsid w:val="003A7DE4"/>
    <w:rsid w:val="003B06B2"/>
    <w:rsid w:val="003B0EDB"/>
    <w:rsid w:val="003B0F93"/>
    <w:rsid w:val="003B11C9"/>
    <w:rsid w:val="003B15CA"/>
    <w:rsid w:val="003B1A9F"/>
    <w:rsid w:val="003B1E41"/>
    <w:rsid w:val="003B33F1"/>
    <w:rsid w:val="003B37A1"/>
    <w:rsid w:val="003B4C78"/>
    <w:rsid w:val="003B4FEC"/>
    <w:rsid w:val="003B5153"/>
    <w:rsid w:val="003B6DF0"/>
    <w:rsid w:val="003B710D"/>
    <w:rsid w:val="003C063B"/>
    <w:rsid w:val="003C0D06"/>
    <w:rsid w:val="003C2163"/>
    <w:rsid w:val="003C269A"/>
    <w:rsid w:val="003C5798"/>
    <w:rsid w:val="003C644F"/>
    <w:rsid w:val="003C6639"/>
    <w:rsid w:val="003C66FB"/>
    <w:rsid w:val="003C78D3"/>
    <w:rsid w:val="003D166B"/>
    <w:rsid w:val="003D2089"/>
    <w:rsid w:val="003D252C"/>
    <w:rsid w:val="003D2950"/>
    <w:rsid w:val="003D37F3"/>
    <w:rsid w:val="003D3B98"/>
    <w:rsid w:val="003D4887"/>
    <w:rsid w:val="003D49C8"/>
    <w:rsid w:val="003D5195"/>
    <w:rsid w:val="003D52F8"/>
    <w:rsid w:val="003D532B"/>
    <w:rsid w:val="003D5C84"/>
    <w:rsid w:val="003D73F6"/>
    <w:rsid w:val="003D79A5"/>
    <w:rsid w:val="003E00B6"/>
    <w:rsid w:val="003E0158"/>
    <w:rsid w:val="003E0173"/>
    <w:rsid w:val="003E099C"/>
    <w:rsid w:val="003E10C9"/>
    <w:rsid w:val="003E1B40"/>
    <w:rsid w:val="003E1E4D"/>
    <w:rsid w:val="003E1F79"/>
    <w:rsid w:val="003E391A"/>
    <w:rsid w:val="003E4A64"/>
    <w:rsid w:val="003E500C"/>
    <w:rsid w:val="003E55C2"/>
    <w:rsid w:val="003E59FA"/>
    <w:rsid w:val="003E5D3A"/>
    <w:rsid w:val="003F0C5E"/>
    <w:rsid w:val="003F1125"/>
    <w:rsid w:val="003F13C6"/>
    <w:rsid w:val="003F1B21"/>
    <w:rsid w:val="003F2261"/>
    <w:rsid w:val="003F2E3D"/>
    <w:rsid w:val="003F350D"/>
    <w:rsid w:val="003F36A6"/>
    <w:rsid w:val="003F3D2E"/>
    <w:rsid w:val="003F4177"/>
    <w:rsid w:val="003F4585"/>
    <w:rsid w:val="003F5B90"/>
    <w:rsid w:val="003F6784"/>
    <w:rsid w:val="003F7843"/>
    <w:rsid w:val="00403DB8"/>
    <w:rsid w:val="00404084"/>
    <w:rsid w:val="0040513C"/>
    <w:rsid w:val="004061E1"/>
    <w:rsid w:val="00406840"/>
    <w:rsid w:val="0040699F"/>
    <w:rsid w:val="0040747A"/>
    <w:rsid w:val="00410633"/>
    <w:rsid w:val="00410769"/>
    <w:rsid w:val="00411FA0"/>
    <w:rsid w:val="004142CA"/>
    <w:rsid w:val="00414593"/>
    <w:rsid w:val="004149B4"/>
    <w:rsid w:val="00415406"/>
    <w:rsid w:val="0041573F"/>
    <w:rsid w:val="00415859"/>
    <w:rsid w:val="00416584"/>
    <w:rsid w:val="0041779B"/>
    <w:rsid w:val="00417C3C"/>
    <w:rsid w:val="00420654"/>
    <w:rsid w:val="004216DD"/>
    <w:rsid w:val="00421BFB"/>
    <w:rsid w:val="00423BD1"/>
    <w:rsid w:val="004242AF"/>
    <w:rsid w:val="00424397"/>
    <w:rsid w:val="0042476C"/>
    <w:rsid w:val="004247DF"/>
    <w:rsid w:val="00425F40"/>
    <w:rsid w:val="00426F5C"/>
    <w:rsid w:val="0042735C"/>
    <w:rsid w:val="0042767D"/>
    <w:rsid w:val="00430708"/>
    <w:rsid w:val="0043082C"/>
    <w:rsid w:val="0043114A"/>
    <w:rsid w:val="00431522"/>
    <w:rsid w:val="004316D4"/>
    <w:rsid w:val="0043272A"/>
    <w:rsid w:val="00433444"/>
    <w:rsid w:val="004354C6"/>
    <w:rsid w:val="004357BC"/>
    <w:rsid w:val="00436F83"/>
    <w:rsid w:val="00437135"/>
    <w:rsid w:val="0043729D"/>
    <w:rsid w:val="00437F43"/>
    <w:rsid w:val="00440B2B"/>
    <w:rsid w:val="004414D5"/>
    <w:rsid w:val="00443F41"/>
    <w:rsid w:val="00444372"/>
    <w:rsid w:val="00450228"/>
    <w:rsid w:val="0045111E"/>
    <w:rsid w:val="0045125A"/>
    <w:rsid w:val="004521E5"/>
    <w:rsid w:val="004546CE"/>
    <w:rsid w:val="00454B01"/>
    <w:rsid w:val="00454C37"/>
    <w:rsid w:val="004550FA"/>
    <w:rsid w:val="004551F9"/>
    <w:rsid w:val="00455B4B"/>
    <w:rsid w:val="0045610E"/>
    <w:rsid w:val="0045623F"/>
    <w:rsid w:val="00456253"/>
    <w:rsid w:val="004565A9"/>
    <w:rsid w:val="00456861"/>
    <w:rsid w:val="00456C65"/>
    <w:rsid w:val="00456E15"/>
    <w:rsid w:val="00457C83"/>
    <w:rsid w:val="00460143"/>
    <w:rsid w:val="004606B0"/>
    <w:rsid w:val="004607F3"/>
    <w:rsid w:val="00460811"/>
    <w:rsid w:val="00460BDA"/>
    <w:rsid w:val="00460E4B"/>
    <w:rsid w:val="00461C8E"/>
    <w:rsid w:val="00461E4D"/>
    <w:rsid w:val="004638C2"/>
    <w:rsid w:val="00463A48"/>
    <w:rsid w:val="00463C4F"/>
    <w:rsid w:val="00464C35"/>
    <w:rsid w:val="00464C92"/>
    <w:rsid w:val="00464EFB"/>
    <w:rsid w:val="00465688"/>
    <w:rsid w:val="004657E4"/>
    <w:rsid w:val="00465D88"/>
    <w:rsid w:val="00466436"/>
    <w:rsid w:val="00467CA1"/>
    <w:rsid w:val="004707D6"/>
    <w:rsid w:val="004710F7"/>
    <w:rsid w:val="00471A05"/>
    <w:rsid w:val="00471DD4"/>
    <w:rsid w:val="00471F45"/>
    <w:rsid w:val="004727C1"/>
    <w:rsid w:val="00474D23"/>
    <w:rsid w:val="00475242"/>
    <w:rsid w:val="00475A38"/>
    <w:rsid w:val="00475D24"/>
    <w:rsid w:val="0047618B"/>
    <w:rsid w:val="00476D34"/>
    <w:rsid w:val="0048048D"/>
    <w:rsid w:val="00480FDE"/>
    <w:rsid w:val="00481ABC"/>
    <w:rsid w:val="00481C46"/>
    <w:rsid w:val="004824A9"/>
    <w:rsid w:val="004825B7"/>
    <w:rsid w:val="00482D1D"/>
    <w:rsid w:val="004835D9"/>
    <w:rsid w:val="00484152"/>
    <w:rsid w:val="00484746"/>
    <w:rsid w:val="00484813"/>
    <w:rsid w:val="00486174"/>
    <w:rsid w:val="00486A61"/>
    <w:rsid w:val="00486FD0"/>
    <w:rsid w:val="00490420"/>
    <w:rsid w:val="00490754"/>
    <w:rsid w:val="0049097F"/>
    <w:rsid w:val="00490BC6"/>
    <w:rsid w:val="0049108A"/>
    <w:rsid w:val="004917BA"/>
    <w:rsid w:val="004924B2"/>
    <w:rsid w:val="00492D49"/>
    <w:rsid w:val="00493735"/>
    <w:rsid w:val="00493C31"/>
    <w:rsid w:val="004946EA"/>
    <w:rsid w:val="004948C8"/>
    <w:rsid w:val="00494EC9"/>
    <w:rsid w:val="00495447"/>
    <w:rsid w:val="0049570D"/>
    <w:rsid w:val="00495B7A"/>
    <w:rsid w:val="0049629D"/>
    <w:rsid w:val="00496E4D"/>
    <w:rsid w:val="004975CA"/>
    <w:rsid w:val="004A0738"/>
    <w:rsid w:val="004A0AC5"/>
    <w:rsid w:val="004A0BB0"/>
    <w:rsid w:val="004A19B9"/>
    <w:rsid w:val="004A25A6"/>
    <w:rsid w:val="004A26EB"/>
    <w:rsid w:val="004A2B24"/>
    <w:rsid w:val="004A2D93"/>
    <w:rsid w:val="004A3235"/>
    <w:rsid w:val="004A4455"/>
    <w:rsid w:val="004A4537"/>
    <w:rsid w:val="004A454D"/>
    <w:rsid w:val="004A4AEC"/>
    <w:rsid w:val="004A4CEB"/>
    <w:rsid w:val="004A5A7C"/>
    <w:rsid w:val="004A5CA3"/>
    <w:rsid w:val="004A6C52"/>
    <w:rsid w:val="004A7426"/>
    <w:rsid w:val="004A77E9"/>
    <w:rsid w:val="004A7BC0"/>
    <w:rsid w:val="004B010E"/>
    <w:rsid w:val="004B021C"/>
    <w:rsid w:val="004B0657"/>
    <w:rsid w:val="004B073B"/>
    <w:rsid w:val="004B073E"/>
    <w:rsid w:val="004B0901"/>
    <w:rsid w:val="004B14E1"/>
    <w:rsid w:val="004B1E64"/>
    <w:rsid w:val="004B33E0"/>
    <w:rsid w:val="004B374D"/>
    <w:rsid w:val="004B3772"/>
    <w:rsid w:val="004B3825"/>
    <w:rsid w:val="004B3F21"/>
    <w:rsid w:val="004B53C5"/>
    <w:rsid w:val="004B5D74"/>
    <w:rsid w:val="004B6255"/>
    <w:rsid w:val="004B63F2"/>
    <w:rsid w:val="004B64F5"/>
    <w:rsid w:val="004B6C49"/>
    <w:rsid w:val="004B7036"/>
    <w:rsid w:val="004C007A"/>
    <w:rsid w:val="004C035F"/>
    <w:rsid w:val="004C15CE"/>
    <w:rsid w:val="004C1F16"/>
    <w:rsid w:val="004C252C"/>
    <w:rsid w:val="004C318F"/>
    <w:rsid w:val="004C325C"/>
    <w:rsid w:val="004C34CB"/>
    <w:rsid w:val="004C3B65"/>
    <w:rsid w:val="004C472E"/>
    <w:rsid w:val="004C4B78"/>
    <w:rsid w:val="004C579B"/>
    <w:rsid w:val="004C6250"/>
    <w:rsid w:val="004C7E7A"/>
    <w:rsid w:val="004D002C"/>
    <w:rsid w:val="004D0E4A"/>
    <w:rsid w:val="004D2392"/>
    <w:rsid w:val="004D2A7D"/>
    <w:rsid w:val="004D309F"/>
    <w:rsid w:val="004D3DD0"/>
    <w:rsid w:val="004D53A0"/>
    <w:rsid w:val="004D5708"/>
    <w:rsid w:val="004D60FB"/>
    <w:rsid w:val="004D7E03"/>
    <w:rsid w:val="004D7F4A"/>
    <w:rsid w:val="004E08BE"/>
    <w:rsid w:val="004E0E11"/>
    <w:rsid w:val="004E1202"/>
    <w:rsid w:val="004E2FFC"/>
    <w:rsid w:val="004E3329"/>
    <w:rsid w:val="004E3DA1"/>
    <w:rsid w:val="004E40C4"/>
    <w:rsid w:val="004E4A9B"/>
    <w:rsid w:val="004E4C1F"/>
    <w:rsid w:val="004E501A"/>
    <w:rsid w:val="004E563F"/>
    <w:rsid w:val="004E6228"/>
    <w:rsid w:val="004E6A17"/>
    <w:rsid w:val="004F0B62"/>
    <w:rsid w:val="004F1855"/>
    <w:rsid w:val="004F1D65"/>
    <w:rsid w:val="004F2416"/>
    <w:rsid w:val="004F24D4"/>
    <w:rsid w:val="004F277F"/>
    <w:rsid w:val="004F3CD0"/>
    <w:rsid w:val="004F3D4F"/>
    <w:rsid w:val="004F412A"/>
    <w:rsid w:val="004F4468"/>
    <w:rsid w:val="004F6966"/>
    <w:rsid w:val="004F6E4A"/>
    <w:rsid w:val="004F7DFC"/>
    <w:rsid w:val="004F7EF9"/>
    <w:rsid w:val="00500002"/>
    <w:rsid w:val="0050122A"/>
    <w:rsid w:val="00501883"/>
    <w:rsid w:val="005018D7"/>
    <w:rsid w:val="00501D8F"/>
    <w:rsid w:val="00502274"/>
    <w:rsid w:val="0050307E"/>
    <w:rsid w:val="00503721"/>
    <w:rsid w:val="00503DDC"/>
    <w:rsid w:val="00504547"/>
    <w:rsid w:val="0050473D"/>
    <w:rsid w:val="00504910"/>
    <w:rsid w:val="00506996"/>
    <w:rsid w:val="00507A16"/>
    <w:rsid w:val="00507C1D"/>
    <w:rsid w:val="00507DD6"/>
    <w:rsid w:val="005101F2"/>
    <w:rsid w:val="005109B6"/>
    <w:rsid w:val="00511A28"/>
    <w:rsid w:val="00511FA7"/>
    <w:rsid w:val="005123FD"/>
    <w:rsid w:val="0051268C"/>
    <w:rsid w:val="0051303F"/>
    <w:rsid w:val="00513CAE"/>
    <w:rsid w:val="00513E66"/>
    <w:rsid w:val="00514C1B"/>
    <w:rsid w:val="00516968"/>
    <w:rsid w:val="005172C4"/>
    <w:rsid w:val="00517941"/>
    <w:rsid w:val="00517DB3"/>
    <w:rsid w:val="00517F69"/>
    <w:rsid w:val="005210A3"/>
    <w:rsid w:val="0052157D"/>
    <w:rsid w:val="0052467F"/>
    <w:rsid w:val="00524F31"/>
    <w:rsid w:val="0052593D"/>
    <w:rsid w:val="00527C2A"/>
    <w:rsid w:val="005311CD"/>
    <w:rsid w:val="0053120B"/>
    <w:rsid w:val="005323CE"/>
    <w:rsid w:val="005336A7"/>
    <w:rsid w:val="00533971"/>
    <w:rsid w:val="00533C9B"/>
    <w:rsid w:val="005345CF"/>
    <w:rsid w:val="00535B23"/>
    <w:rsid w:val="00536955"/>
    <w:rsid w:val="005372F5"/>
    <w:rsid w:val="005402ED"/>
    <w:rsid w:val="00540875"/>
    <w:rsid w:val="0054142E"/>
    <w:rsid w:val="00541B40"/>
    <w:rsid w:val="00543B15"/>
    <w:rsid w:val="0054400F"/>
    <w:rsid w:val="00544759"/>
    <w:rsid w:val="005447B0"/>
    <w:rsid w:val="0054593C"/>
    <w:rsid w:val="00545955"/>
    <w:rsid w:val="00546F17"/>
    <w:rsid w:val="0054768C"/>
    <w:rsid w:val="0055038F"/>
    <w:rsid w:val="00550762"/>
    <w:rsid w:val="0055079B"/>
    <w:rsid w:val="005508C2"/>
    <w:rsid w:val="00550912"/>
    <w:rsid w:val="00550973"/>
    <w:rsid w:val="00550DDB"/>
    <w:rsid w:val="00551833"/>
    <w:rsid w:val="00551A34"/>
    <w:rsid w:val="00553C1A"/>
    <w:rsid w:val="00553ED4"/>
    <w:rsid w:val="00553F4F"/>
    <w:rsid w:val="005543F2"/>
    <w:rsid w:val="00554447"/>
    <w:rsid w:val="00555180"/>
    <w:rsid w:val="0055519B"/>
    <w:rsid w:val="005565C9"/>
    <w:rsid w:val="00557721"/>
    <w:rsid w:val="005579E3"/>
    <w:rsid w:val="00560432"/>
    <w:rsid w:val="00560A53"/>
    <w:rsid w:val="00561441"/>
    <w:rsid w:val="005614FD"/>
    <w:rsid w:val="00561B43"/>
    <w:rsid w:val="0056214F"/>
    <w:rsid w:val="0056302F"/>
    <w:rsid w:val="0056303B"/>
    <w:rsid w:val="0056322A"/>
    <w:rsid w:val="005641B0"/>
    <w:rsid w:val="00564429"/>
    <w:rsid w:val="00564881"/>
    <w:rsid w:val="00564E2B"/>
    <w:rsid w:val="00566398"/>
    <w:rsid w:val="005668E8"/>
    <w:rsid w:val="00567B19"/>
    <w:rsid w:val="00570D11"/>
    <w:rsid w:val="00571C3F"/>
    <w:rsid w:val="005734B0"/>
    <w:rsid w:val="00574835"/>
    <w:rsid w:val="00574D13"/>
    <w:rsid w:val="0057534C"/>
    <w:rsid w:val="00576000"/>
    <w:rsid w:val="00576B44"/>
    <w:rsid w:val="005805C5"/>
    <w:rsid w:val="00580F3E"/>
    <w:rsid w:val="00582187"/>
    <w:rsid w:val="00582212"/>
    <w:rsid w:val="00583629"/>
    <w:rsid w:val="00584B5D"/>
    <w:rsid w:val="00584F92"/>
    <w:rsid w:val="005869CB"/>
    <w:rsid w:val="00586E11"/>
    <w:rsid w:val="00587DB3"/>
    <w:rsid w:val="00590073"/>
    <w:rsid w:val="0059067C"/>
    <w:rsid w:val="005906A7"/>
    <w:rsid w:val="00591033"/>
    <w:rsid w:val="00591845"/>
    <w:rsid w:val="0059228B"/>
    <w:rsid w:val="00592CEB"/>
    <w:rsid w:val="00593E32"/>
    <w:rsid w:val="00594220"/>
    <w:rsid w:val="00595846"/>
    <w:rsid w:val="00595ACE"/>
    <w:rsid w:val="00597930"/>
    <w:rsid w:val="005A1958"/>
    <w:rsid w:val="005A1C0B"/>
    <w:rsid w:val="005A1F62"/>
    <w:rsid w:val="005A2436"/>
    <w:rsid w:val="005A27FB"/>
    <w:rsid w:val="005A326C"/>
    <w:rsid w:val="005A58C5"/>
    <w:rsid w:val="005A5B1B"/>
    <w:rsid w:val="005A6B84"/>
    <w:rsid w:val="005A6C88"/>
    <w:rsid w:val="005B013D"/>
    <w:rsid w:val="005B02EB"/>
    <w:rsid w:val="005B208B"/>
    <w:rsid w:val="005B25D6"/>
    <w:rsid w:val="005B260D"/>
    <w:rsid w:val="005B2A39"/>
    <w:rsid w:val="005B2C17"/>
    <w:rsid w:val="005B2C5D"/>
    <w:rsid w:val="005B5554"/>
    <w:rsid w:val="005B5E1D"/>
    <w:rsid w:val="005B6BBD"/>
    <w:rsid w:val="005B6F4F"/>
    <w:rsid w:val="005B746A"/>
    <w:rsid w:val="005C0001"/>
    <w:rsid w:val="005C0537"/>
    <w:rsid w:val="005C0AC9"/>
    <w:rsid w:val="005C1231"/>
    <w:rsid w:val="005C2914"/>
    <w:rsid w:val="005C3056"/>
    <w:rsid w:val="005C373C"/>
    <w:rsid w:val="005C3AD1"/>
    <w:rsid w:val="005C41EC"/>
    <w:rsid w:val="005C4843"/>
    <w:rsid w:val="005C52E9"/>
    <w:rsid w:val="005C61D1"/>
    <w:rsid w:val="005C6E85"/>
    <w:rsid w:val="005C6FDC"/>
    <w:rsid w:val="005C78AB"/>
    <w:rsid w:val="005D0529"/>
    <w:rsid w:val="005D100C"/>
    <w:rsid w:val="005D1A69"/>
    <w:rsid w:val="005D20B3"/>
    <w:rsid w:val="005D2D22"/>
    <w:rsid w:val="005D30D7"/>
    <w:rsid w:val="005D31B3"/>
    <w:rsid w:val="005D3587"/>
    <w:rsid w:val="005D4483"/>
    <w:rsid w:val="005D49D1"/>
    <w:rsid w:val="005D4D21"/>
    <w:rsid w:val="005D508B"/>
    <w:rsid w:val="005D580D"/>
    <w:rsid w:val="005D5C86"/>
    <w:rsid w:val="005D6D84"/>
    <w:rsid w:val="005D7908"/>
    <w:rsid w:val="005E017D"/>
    <w:rsid w:val="005E1873"/>
    <w:rsid w:val="005E1D99"/>
    <w:rsid w:val="005E22F3"/>
    <w:rsid w:val="005E2A2A"/>
    <w:rsid w:val="005E3BA3"/>
    <w:rsid w:val="005E46DF"/>
    <w:rsid w:val="005E573A"/>
    <w:rsid w:val="005E5EB5"/>
    <w:rsid w:val="005E66A8"/>
    <w:rsid w:val="005E6904"/>
    <w:rsid w:val="005E699D"/>
    <w:rsid w:val="005E70CB"/>
    <w:rsid w:val="005F0799"/>
    <w:rsid w:val="005F1D2B"/>
    <w:rsid w:val="005F2410"/>
    <w:rsid w:val="005F2D3B"/>
    <w:rsid w:val="005F3B30"/>
    <w:rsid w:val="005F423A"/>
    <w:rsid w:val="005F426B"/>
    <w:rsid w:val="005F4702"/>
    <w:rsid w:val="005F4949"/>
    <w:rsid w:val="005F5DC2"/>
    <w:rsid w:val="005F5FB1"/>
    <w:rsid w:val="005F5FC0"/>
    <w:rsid w:val="005F6BB0"/>
    <w:rsid w:val="0060082B"/>
    <w:rsid w:val="0060116E"/>
    <w:rsid w:val="00601C50"/>
    <w:rsid w:val="006024A0"/>
    <w:rsid w:val="00602538"/>
    <w:rsid w:val="00602FFD"/>
    <w:rsid w:val="006030FE"/>
    <w:rsid w:val="00603ABA"/>
    <w:rsid w:val="00604DEB"/>
    <w:rsid w:val="0060641F"/>
    <w:rsid w:val="0060678F"/>
    <w:rsid w:val="0061039B"/>
    <w:rsid w:val="00610C19"/>
    <w:rsid w:val="00610D2C"/>
    <w:rsid w:val="006120B9"/>
    <w:rsid w:val="006121A0"/>
    <w:rsid w:val="00612B23"/>
    <w:rsid w:val="00612C6E"/>
    <w:rsid w:val="00612EE7"/>
    <w:rsid w:val="00613E0F"/>
    <w:rsid w:val="00613FD2"/>
    <w:rsid w:val="00614227"/>
    <w:rsid w:val="006149CF"/>
    <w:rsid w:val="00615583"/>
    <w:rsid w:val="0061668A"/>
    <w:rsid w:val="0061714A"/>
    <w:rsid w:val="00617C98"/>
    <w:rsid w:val="00620461"/>
    <w:rsid w:val="00620496"/>
    <w:rsid w:val="00620780"/>
    <w:rsid w:val="006215F8"/>
    <w:rsid w:val="0062259F"/>
    <w:rsid w:val="00623EE6"/>
    <w:rsid w:val="0062488D"/>
    <w:rsid w:val="00624C9B"/>
    <w:rsid w:val="00624DDF"/>
    <w:rsid w:val="006259D8"/>
    <w:rsid w:val="0062633F"/>
    <w:rsid w:val="00626446"/>
    <w:rsid w:val="00626631"/>
    <w:rsid w:val="00626887"/>
    <w:rsid w:val="00626B2D"/>
    <w:rsid w:val="006313B7"/>
    <w:rsid w:val="00631BFA"/>
    <w:rsid w:val="006325B9"/>
    <w:rsid w:val="006326C6"/>
    <w:rsid w:val="00632F03"/>
    <w:rsid w:val="0063330F"/>
    <w:rsid w:val="00633AC4"/>
    <w:rsid w:val="006344B3"/>
    <w:rsid w:val="00634FD6"/>
    <w:rsid w:val="0063530C"/>
    <w:rsid w:val="00636AA1"/>
    <w:rsid w:val="00637A29"/>
    <w:rsid w:val="0064007F"/>
    <w:rsid w:val="00640B80"/>
    <w:rsid w:val="00641EF3"/>
    <w:rsid w:val="0064220E"/>
    <w:rsid w:val="00642C74"/>
    <w:rsid w:val="00643999"/>
    <w:rsid w:val="00643E2D"/>
    <w:rsid w:val="00643EEB"/>
    <w:rsid w:val="006440BC"/>
    <w:rsid w:val="00644562"/>
    <w:rsid w:val="006449A7"/>
    <w:rsid w:val="00645AE8"/>
    <w:rsid w:val="00645CDE"/>
    <w:rsid w:val="006469C4"/>
    <w:rsid w:val="0064701B"/>
    <w:rsid w:val="0064711F"/>
    <w:rsid w:val="00647DA6"/>
    <w:rsid w:val="00647DDE"/>
    <w:rsid w:val="006507D5"/>
    <w:rsid w:val="00650A43"/>
    <w:rsid w:val="00652B73"/>
    <w:rsid w:val="00652D1F"/>
    <w:rsid w:val="006530C2"/>
    <w:rsid w:val="00653681"/>
    <w:rsid w:val="00653E27"/>
    <w:rsid w:val="00653FB3"/>
    <w:rsid w:val="006551CF"/>
    <w:rsid w:val="0065549E"/>
    <w:rsid w:val="006564B5"/>
    <w:rsid w:val="00656892"/>
    <w:rsid w:val="00656FC2"/>
    <w:rsid w:val="0065706E"/>
    <w:rsid w:val="006578C2"/>
    <w:rsid w:val="006600D0"/>
    <w:rsid w:val="00660B1B"/>
    <w:rsid w:val="006612CF"/>
    <w:rsid w:val="006618B5"/>
    <w:rsid w:val="00661983"/>
    <w:rsid w:val="00661CEC"/>
    <w:rsid w:val="006622BD"/>
    <w:rsid w:val="00662A96"/>
    <w:rsid w:val="006630FD"/>
    <w:rsid w:val="00663609"/>
    <w:rsid w:val="0066368D"/>
    <w:rsid w:val="00664110"/>
    <w:rsid w:val="0066533F"/>
    <w:rsid w:val="006658CA"/>
    <w:rsid w:val="00665FEE"/>
    <w:rsid w:val="00666358"/>
    <w:rsid w:val="00666B84"/>
    <w:rsid w:val="00667604"/>
    <w:rsid w:val="00667EE6"/>
    <w:rsid w:val="006706A8"/>
    <w:rsid w:val="00671596"/>
    <w:rsid w:val="0067207D"/>
    <w:rsid w:val="006743CF"/>
    <w:rsid w:val="00674541"/>
    <w:rsid w:val="0067471B"/>
    <w:rsid w:val="006752A0"/>
    <w:rsid w:val="00675AA8"/>
    <w:rsid w:val="00675CAF"/>
    <w:rsid w:val="00675FFB"/>
    <w:rsid w:val="00677AF4"/>
    <w:rsid w:val="0068129E"/>
    <w:rsid w:val="006822DA"/>
    <w:rsid w:val="0068236E"/>
    <w:rsid w:val="006824C9"/>
    <w:rsid w:val="00683200"/>
    <w:rsid w:val="00683278"/>
    <w:rsid w:val="006834BF"/>
    <w:rsid w:val="00683627"/>
    <w:rsid w:val="0068396A"/>
    <w:rsid w:val="00683A6E"/>
    <w:rsid w:val="0068514B"/>
    <w:rsid w:val="00685CDB"/>
    <w:rsid w:val="00686051"/>
    <w:rsid w:val="00686C4E"/>
    <w:rsid w:val="00686E0E"/>
    <w:rsid w:val="006876C1"/>
    <w:rsid w:val="006902E5"/>
    <w:rsid w:val="006909CF"/>
    <w:rsid w:val="00690FAE"/>
    <w:rsid w:val="00691532"/>
    <w:rsid w:val="006916B1"/>
    <w:rsid w:val="00691A7C"/>
    <w:rsid w:val="006930D4"/>
    <w:rsid w:val="00693300"/>
    <w:rsid w:val="0069350D"/>
    <w:rsid w:val="006935F8"/>
    <w:rsid w:val="00694100"/>
    <w:rsid w:val="00694D21"/>
    <w:rsid w:val="006A00F1"/>
    <w:rsid w:val="006A0478"/>
    <w:rsid w:val="006A06A8"/>
    <w:rsid w:val="006A0D7A"/>
    <w:rsid w:val="006A21A7"/>
    <w:rsid w:val="006A23B5"/>
    <w:rsid w:val="006A2493"/>
    <w:rsid w:val="006A395B"/>
    <w:rsid w:val="006A42E0"/>
    <w:rsid w:val="006A47E2"/>
    <w:rsid w:val="006A4B88"/>
    <w:rsid w:val="006A54E9"/>
    <w:rsid w:val="006A675F"/>
    <w:rsid w:val="006A6BA5"/>
    <w:rsid w:val="006A7738"/>
    <w:rsid w:val="006A78C7"/>
    <w:rsid w:val="006B0400"/>
    <w:rsid w:val="006B0878"/>
    <w:rsid w:val="006B213F"/>
    <w:rsid w:val="006B2CF8"/>
    <w:rsid w:val="006B2F7D"/>
    <w:rsid w:val="006B369A"/>
    <w:rsid w:val="006B3BFF"/>
    <w:rsid w:val="006B4E35"/>
    <w:rsid w:val="006B4ED1"/>
    <w:rsid w:val="006B5EC9"/>
    <w:rsid w:val="006B60F3"/>
    <w:rsid w:val="006B6880"/>
    <w:rsid w:val="006B76E6"/>
    <w:rsid w:val="006B7756"/>
    <w:rsid w:val="006B7AD9"/>
    <w:rsid w:val="006C0613"/>
    <w:rsid w:val="006C0F89"/>
    <w:rsid w:val="006C1E32"/>
    <w:rsid w:val="006C20B5"/>
    <w:rsid w:val="006C28B6"/>
    <w:rsid w:val="006C2C44"/>
    <w:rsid w:val="006C2D11"/>
    <w:rsid w:val="006C4977"/>
    <w:rsid w:val="006C5870"/>
    <w:rsid w:val="006C5B8A"/>
    <w:rsid w:val="006C7055"/>
    <w:rsid w:val="006C73B7"/>
    <w:rsid w:val="006D02FF"/>
    <w:rsid w:val="006D1609"/>
    <w:rsid w:val="006D2793"/>
    <w:rsid w:val="006D2FC0"/>
    <w:rsid w:val="006D3395"/>
    <w:rsid w:val="006D3A4E"/>
    <w:rsid w:val="006D3B6C"/>
    <w:rsid w:val="006D3D58"/>
    <w:rsid w:val="006D44D6"/>
    <w:rsid w:val="006D4FD5"/>
    <w:rsid w:val="006D570C"/>
    <w:rsid w:val="006D73C3"/>
    <w:rsid w:val="006E2ED0"/>
    <w:rsid w:val="006E3310"/>
    <w:rsid w:val="006E3A00"/>
    <w:rsid w:val="006E3C19"/>
    <w:rsid w:val="006E46F9"/>
    <w:rsid w:val="006E4C57"/>
    <w:rsid w:val="006E4E85"/>
    <w:rsid w:val="006E50F7"/>
    <w:rsid w:val="006E545A"/>
    <w:rsid w:val="006E62D2"/>
    <w:rsid w:val="006E67A2"/>
    <w:rsid w:val="006E72D1"/>
    <w:rsid w:val="006E7361"/>
    <w:rsid w:val="006F01E4"/>
    <w:rsid w:val="006F06CC"/>
    <w:rsid w:val="006F0F66"/>
    <w:rsid w:val="006F1E9D"/>
    <w:rsid w:val="006F1FE0"/>
    <w:rsid w:val="006F2C1B"/>
    <w:rsid w:val="006F37CB"/>
    <w:rsid w:val="006F3D26"/>
    <w:rsid w:val="006F3FC0"/>
    <w:rsid w:val="006F42C8"/>
    <w:rsid w:val="006F525B"/>
    <w:rsid w:val="006F5FE2"/>
    <w:rsid w:val="006F688B"/>
    <w:rsid w:val="007003ED"/>
    <w:rsid w:val="00701B80"/>
    <w:rsid w:val="00702B44"/>
    <w:rsid w:val="0070335C"/>
    <w:rsid w:val="0070338E"/>
    <w:rsid w:val="0070410E"/>
    <w:rsid w:val="00704342"/>
    <w:rsid w:val="007048D0"/>
    <w:rsid w:val="00705615"/>
    <w:rsid w:val="00705A59"/>
    <w:rsid w:val="00705CCA"/>
    <w:rsid w:val="00706AA9"/>
    <w:rsid w:val="00706CEC"/>
    <w:rsid w:val="00707067"/>
    <w:rsid w:val="00707146"/>
    <w:rsid w:val="00707871"/>
    <w:rsid w:val="00710187"/>
    <w:rsid w:val="00710BB3"/>
    <w:rsid w:val="00710C80"/>
    <w:rsid w:val="00713F9D"/>
    <w:rsid w:val="0071415E"/>
    <w:rsid w:val="007154CE"/>
    <w:rsid w:val="00716CB8"/>
    <w:rsid w:val="00717A49"/>
    <w:rsid w:val="0072220D"/>
    <w:rsid w:val="00722428"/>
    <w:rsid w:val="00722575"/>
    <w:rsid w:val="00722702"/>
    <w:rsid w:val="0072294B"/>
    <w:rsid w:val="00722D83"/>
    <w:rsid w:val="00722E2A"/>
    <w:rsid w:val="007234B4"/>
    <w:rsid w:val="00723C2F"/>
    <w:rsid w:val="0072560D"/>
    <w:rsid w:val="0072582D"/>
    <w:rsid w:val="0072590E"/>
    <w:rsid w:val="00725B41"/>
    <w:rsid w:val="007266A9"/>
    <w:rsid w:val="00726F39"/>
    <w:rsid w:val="00727055"/>
    <w:rsid w:val="007271FD"/>
    <w:rsid w:val="007274CB"/>
    <w:rsid w:val="00727E0A"/>
    <w:rsid w:val="00730438"/>
    <w:rsid w:val="00730861"/>
    <w:rsid w:val="00730F66"/>
    <w:rsid w:val="00731233"/>
    <w:rsid w:val="0073176E"/>
    <w:rsid w:val="00731C34"/>
    <w:rsid w:val="0073228D"/>
    <w:rsid w:val="00732861"/>
    <w:rsid w:val="007328BF"/>
    <w:rsid w:val="00732D5B"/>
    <w:rsid w:val="0073326F"/>
    <w:rsid w:val="00733328"/>
    <w:rsid w:val="007335C1"/>
    <w:rsid w:val="00733610"/>
    <w:rsid w:val="00733E52"/>
    <w:rsid w:val="00734209"/>
    <w:rsid w:val="0073434D"/>
    <w:rsid w:val="00734F19"/>
    <w:rsid w:val="007356ED"/>
    <w:rsid w:val="00735CA5"/>
    <w:rsid w:val="00735DCE"/>
    <w:rsid w:val="00735F6D"/>
    <w:rsid w:val="007363E1"/>
    <w:rsid w:val="007364AF"/>
    <w:rsid w:val="007366B9"/>
    <w:rsid w:val="00736763"/>
    <w:rsid w:val="00736D94"/>
    <w:rsid w:val="00740697"/>
    <w:rsid w:val="00741686"/>
    <w:rsid w:val="00741A1C"/>
    <w:rsid w:val="00742EBF"/>
    <w:rsid w:val="00744629"/>
    <w:rsid w:val="00744AAE"/>
    <w:rsid w:val="00744AF1"/>
    <w:rsid w:val="007452FF"/>
    <w:rsid w:val="00745307"/>
    <w:rsid w:val="0074622D"/>
    <w:rsid w:val="0074699B"/>
    <w:rsid w:val="00746D9E"/>
    <w:rsid w:val="00747B14"/>
    <w:rsid w:val="00747FA5"/>
    <w:rsid w:val="00751C68"/>
    <w:rsid w:val="007520AD"/>
    <w:rsid w:val="00752266"/>
    <w:rsid w:val="0075293E"/>
    <w:rsid w:val="0075348E"/>
    <w:rsid w:val="0075375B"/>
    <w:rsid w:val="007539A8"/>
    <w:rsid w:val="00753F29"/>
    <w:rsid w:val="0075496E"/>
    <w:rsid w:val="00755A2F"/>
    <w:rsid w:val="00756320"/>
    <w:rsid w:val="007570E7"/>
    <w:rsid w:val="00757724"/>
    <w:rsid w:val="007579B6"/>
    <w:rsid w:val="00757B8B"/>
    <w:rsid w:val="00761175"/>
    <w:rsid w:val="00761302"/>
    <w:rsid w:val="00761734"/>
    <w:rsid w:val="00762E4D"/>
    <w:rsid w:val="00763C45"/>
    <w:rsid w:val="00764740"/>
    <w:rsid w:val="007647C1"/>
    <w:rsid w:val="0076480F"/>
    <w:rsid w:val="0076507D"/>
    <w:rsid w:val="007652E2"/>
    <w:rsid w:val="007668E4"/>
    <w:rsid w:val="00766AE7"/>
    <w:rsid w:val="00770065"/>
    <w:rsid w:val="00770626"/>
    <w:rsid w:val="00771182"/>
    <w:rsid w:val="00772097"/>
    <w:rsid w:val="00772823"/>
    <w:rsid w:val="00773358"/>
    <w:rsid w:val="00773622"/>
    <w:rsid w:val="00774045"/>
    <w:rsid w:val="00774054"/>
    <w:rsid w:val="00774D17"/>
    <w:rsid w:val="00774F8A"/>
    <w:rsid w:val="00775688"/>
    <w:rsid w:val="007768E9"/>
    <w:rsid w:val="00776B83"/>
    <w:rsid w:val="00777085"/>
    <w:rsid w:val="00777118"/>
    <w:rsid w:val="007777A6"/>
    <w:rsid w:val="0078012D"/>
    <w:rsid w:val="00780A1D"/>
    <w:rsid w:val="00780AC8"/>
    <w:rsid w:val="00780C8E"/>
    <w:rsid w:val="0078139A"/>
    <w:rsid w:val="007817B6"/>
    <w:rsid w:val="007820D7"/>
    <w:rsid w:val="00782839"/>
    <w:rsid w:val="00782CAD"/>
    <w:rsid w:val="00782E61"/>
    <w:rsid w:val="00784941"/>
    <w:rsid w:val="00784D00"/>
    <w:rsid w:val="00785412"/>
    <w:rsid w:val="00785D49"/>
    <w:rsid w:val="00786238"/>
    <w:rsid w:val="00786B04"/>
    <w:rsid w:val="00787019"/>
    <w:rsid w:val="00787E38"/>
    <w:rsid w:val="0079031D"/>
    <w:rsid w:val="00790DE4"/>
    <w:rsid w:val="00791893"/>
    <w:rsid w:val="00791A1A"/>
    <w:rsid w:val="007923C7"/>
    <w:rsid w:val="007923D9"/>
    <w:rsid w:val="0079329F"/>
    <w:rsid w:val="0079377C"/>
    <w:rsid w:val="00793CFF"/>
    <w:rsid w:val="00794DFD"/>
    <w:rsid w:val="0079607B"/>
    <w:rsid w:val="007971BD"/>
    <w:rsid w:val="00797733"/>
    <w:rsid w:val="00797D72"/>
    <w:rsid w:val="007A1068"/>
    <w:rsid w:val="007A1163"/>
    <w:rsid w:val="007A1E8C"/>
    <w:rsid w:val="007A2B7E"/>
    <w:rsid w:val="007A453E"/>
    <w:rsid w:val="007A5284"/>
    <w:rsid w:val="007A54A2"/>
    <w:rsid w:val="007A61C1"/>
    <w:rsid w:val="007A7FF0"/>
    <w:rsid w:val="007B02E2"/>
    <w:rsid w:val="007B0370"/>
    <w:rsid w:val="007B051F"/>
    <w:rsid w:val="007B0568"/>
    <w:rsid w:val="007B0B45"/>
    <w:rsid w:val="007B2703"/>
    <w:rsid w:val="007B2715"/>
    <w:rsid w:val="007B3706"/>
    <w:rsid w:val="007B4754"/>
    <w:rsid w:val="007B4965"/>
    <w:rsid w:val="007B6A2C"/>
    <w:rsid w:val="007B7B27"/>
    <w:rsid w:val="007C03CA"/>
    <w:rsid w:val="007C08D8"/>
    <w:rsid w:val="007C10AF"/>
    <w:rsid w:val="007C1B0B"/>
    <w:rsid w:val="007C285A"/>
    <w:rsid w:val="007C32CA"/>
    <w:rsid w:val="007C3663"/>
    <w:rsid w:val="007C39EA"/>
    <w:rsid w:val="007C3ED4"/>
    <w:rsid w:val="007C435E"/>
    <w:rsid w:val="007C44CE"/>
    <w:rsid w:val="007C5380"/>
    <w:rsid w:val="007C5B2E"/>
    <w:rsid w:val="007C5BD4"/>
    <w:rsid w:val="007C62E7"/>
    <w:rsid w:val="007C6563"/>
    <w:rsid w:val="007C6FDA"/>
    <w:rsid w:val="007D0A69"/>
    <w:rsid w:val="007D0A87"/>
    <w:rsid w:val="007D1B19"/>
    <w:rsid w:val="007D2018"/>
    <w:rsid w:val="007D284E"/>
    <w:rsid w:val="007D31C0"/>
    <w:rsid w:val="007D4864"/>
    <w:rsid w:val="007D4953"/>
    <w:rsid w:val="007D4EB6"/>
    <w:rsid w:val="007D59C6"/>
    <w:rsid w:val="007D64B5"/>
    <w:rsid w:val="007D6760"/>
    <w:rsid w:val="007D68F4"/>
    <w:rsid w:val="007D6997"/>
    <w:rsid w:val="007D6FC0"/>
    <w:rsid w:val="007E0B72"/>
    <w:rsid w:val="007E1064"/>
    <w:rsid w:val="007E1291"/>
    <w:rsid w:val="007E1838"/>
    <w:rsid w:val="007E33E0"/>
    <w:rsid w:val="007E49AF"/>
    <w:rsid w:val="007E4FA6"/>
    <w:rsid w:val="007E5486"/>
    <w:rsid w:val="007E584E"/>
    <w:rsid w:val="007E69ED"/>
    <w:rsid w:val="007E6FAE"/>
    <w:rsid w:val="007E7208"/>
    <w:rsid w:val="007E79D2"/>
    <w:rsid w:val="007E79ED"/>
    <w:rsid w:val="007E7AB2"/>
    <w:rsid w:val="007F0276"/>
    <w:rsid w:val="007F1AA3"/>
    <w:rsid w:val="007F2523"/>
    <w:rsid w:val="007F34A9"/>
    <w:rsid w:val="007F3D73"/>
    <w:rsid w:val="007F3DDB"/>
    <w:rsid w:val="007F3DE0"/>
    <w:rsid w:val="007F41B6"/>
    <w:rsid w:val="007F4389"/>
    <w:rsid w:val="007F5952"/>
    <w:rsid w:val="007F5BA0"/>
    <w:rsid w:val="007F5D02"/>
    <w:rsid w:val="007F5DC1"/>
    <w:rsid w:val="007F6C6B"/>
    <w:rsid w:val="00801766"/>
    <w:rsid w:val="00802032"/>
    <w:rsid w:val="008028B0"/>
    <w:rsid w:val="00802FDA"/>
    <w:rsid w:val="00804246"/>
    <w:rsid w:val="00806402"/>
    <w:rsid w:val="008064B2"/>
    <w:rsid w:val="008067FE"/>
    <w:rsid w:val="0080737E"/>
    <w:rsid w:val="008118DD"/>
    <w:rsid w:val="00811A15"/>
    <w:rsid w:val="008126A1"/>
    <w:rsid w:val="008130D5"/>
    <w:rsid w:val="00813D8C"/>
    <w:rsid w:val="008148BA"/>
    <w:rsid w:val="00814A33"/>
    <w:rsid w:val="0081534B"/>
    <w:rsid w:val="008162DF"/>
    <w:rsid w:val="00816FED"/>
    <w:rsid w:val="00817DB8"/>
    <w:rsid w:val="008204F4"/>
    <w:rsid w:val="00820524"/>
    <w:rsid w:val="00820E8C"/>
    <w:rsid w:val="00821527"/>
    <w:rsid w:val="00821648"/>
    <w:rsid w:val="00822A5F"/>
    <w:rsid w:val="00822B93"/>
    <w:rsid w:val="00823FFD"/>
    <w:rsid w:val="00824E4D"/>
    <w:rsid w:val="00825327"/>
    <w:rsid w:val="0082543D"/>
    <w:rsid w:val="00826B7E"/>
    <w:rsid w:val="00827A29"/>
    <w:rsid w:val="00827A65"/>
    <w:rsid w:val="00830029"/>
    <w:rsid w:val="008301FB"/>
    <w:rsid w:val="00831C92"/>
    <w:rsid w:val="00832731"/>
    <w:rsid w:val="00832BC3"/>
    <w:rsid w:val="00834A82"/>
    <w:rsid w:val="00834DC0"/>
    <w:rsid w:val="008357E0"/>
    <w:rsid w:val="008360DD"/>
    <w:rsid w:val="0083654C"/>
    <w:rsid w:val="008367B7"/>
    <w:rsid w:val="008371EB"/>
    <w:rsid w:val="00840373"/>
    <w:rsid w:val="008403B4"/>
    <w:rsid w:val="0084120B"/>
    <w:rsid w:val="00842295"/>
    <w:rsid w:val="00842669"/>
    <w:rsid w:val="00842B67"/>
    <w:rsid w:val="008441FF"/>
    <w:rsid w:val="00844D52"/>
    <w:rsid w:val="00844ECD"/>
    <w:rsid w:val="008458CF"/>
    <w:rsid w:val="008467AD"/>
    <w:rsid w:val="00847B50"/>
    <w:rsid w:val="008502D0"/>
    <w:rsid w:val="008513F1"/>
    <w:rsid w:val="0085258E"/>
    <w:rsid w:val="00852A63"/>
    <w:rsid w:val="00853FB6"/>
    <w:rsid w:val="00854395"/>
    <w:rsid w:val="00854D96"/>
    <w:rsid w:val="008560F9"/>
    <w:rsid w:val="00856276"/>
    <w:rsid w:val="00856F87"/>
    <w:rsid w:val="008574CD"/>
    <w:rsid w:val="008576F2"/>
    <w:rsid w:val="008576F7"/>
    <w:rsid w:val="0085789A"/>
    <w:rsid w:val="00857AE4"/>
    <w:rsid w:val="008619BE"/>
    <w:rsid w:val="00861A42"/>
    <w:rsid w:val="008626E4"/>
    <w:rsid w:val="00862A43"/>
    <w:rsid w:val="00863163"/>
    <w:rsid w:val="00864332"/>
    <w:rsid w:val="008644E0"/>
    <w:rsid w:val="008653EE"/>
    <w:rsid w:val="008655FC"/>
    <w:rsid w:val="00865CDA"/>
    <w:rsid w:val="008661BD"/>
    <w:rsid w:val="00867C8E"/>
    <w:rsid w:val="0087003B"/>
    <w:rsid w:val="00870259"/>
    <w:rsid w:val="008704F6"/>
    <w:rsid w:val="00870723"/>
    <w:rsid w:val="00870B80"/>
    <w:rsid w:val="0087293C"/>
    <w:rsid w:val="00873B16"/>
    <w:rsid w:val="00875222"/>
    <w:rsid w:val="0087561A"/>
    <w:rsid w:val="0087597D"/>
    <w:rsid w:val="00875F9A"/>
    <w:rsid w:val="00876B2C"/>
    <w:rsid w:val="00877A16"/>
    <w:rsid w:val="00880B81"/>
    <w:rsid w:val="0088114B"/>
    <w:rsid w:val="00881664"/>
    <w:rsid w:val="008817C5"/>
    <w:rsid w:val="00881E1E"/>
    <w:rsid w:val="008823CC"/>
    <w:rsid w:val="00882652"/>
    <w:rsid w:val="00882BA8"/>
    <w:rsid w:val="008842A9"/>
    <w:rsid w:val="00885C5C"/>
    <w:rsid w:val="00886951"/>
    <w:rsid w:val="00887F32"/>
    <w:rsid w:val="0089158D"/>
    <w:rsid w:val="00891C67"/>
    <w:rsid w:val="00892548"/>
    <w:rsid w:val="00892C5E"/>
    <w:rsid w:val="00893627"/>
    <w:rsid w:val="00893F54"/>
    <w:rsid w:val="0089417D"/>
    <w:rsid w:val="00894ECB"/>
    <w:rsid w:val="00894F56"/>
    <w:rsid w:val="008956C7"/>
    <w:rsid w:val="0089603C"/>
    <w:rsid w:val="0089643D"/>
    <w:rsid w:val="0089688F"/>
    <w:rsid w:val="008A08BB"/>
    <w:rsid w:val="008A0B98"/>
    <w:rsid w:val="008A13C4"/>
    <w:rsid w:val="008A1E04"/>
    <w:rsid w:val="008A23C3"/>
    <w:rsid w:val="008A2DD8"/>
    <w:rsid w:val="008A2F45"/>
    <w:rsid w:val="008A404F"/>
    <w:rsid w:val="008A4793"/>
    <w:rsid w:val="008A5071"/>
    <w:rsid w:val="008A637F"/>
    <w:rsid w:val="008A6DF6"/>
    <w:rsid w:val="008A7C51"/>
    <w:rsid w:val="008B03FD"/>
    <w:rsid w:val="008B051D"/>
    <w:rsid w:val="008B0AB6"/>
    <w:rsid w:val="008B19D6"/>
    <w:rsid w:val="008B224C"/>
    <w:rsid w:val="008B2455"/>
    <w:rsid w:val="008B2664"/>
    <w:rsid w:val="008B3219"/>
    <w:rsid w:val="008B38D4"/>
    <w:rsid w:val="008B3C16"/>
    <w:rsid w:val="008B4505"/>
    <w:rsid w:val="008B4C2D"/>
    <w:rsid w:val="008B6A93"/>
    <w:rsid w:val="008B6AC4"/>
    <w:rsid w:val="008B6E28"/>
    <w:rsid w:val="008B77EF"/>
    <w:rsid w:val="008B7EAC"/>
    <w:rsid w:val="008C0025"/>
    <w:rsid w:val="008C0700"/>
    <w:rsid w:val="008C11E4"/>
    <w:rsid w:val="008C41EA"/>
    <w:rsid w:val="008C4261"/>
    <w:rsid w:val="008C457D"/>
    <w:rsid w:val="008C4BDD"/>
    <w:rsid w:val="008C61AC"/>
    <w:rsid w:val="008C66A9"/>
    <w:rsid w:val="008C6860"/>
    <w:rsid w:val="008C6864"/>
    <w:rsid w:val="008C6B03"/>
    <w:rsid w:val="008C6B5C"/>
    <w:rsid w:val="008D099F"/>
    <w:rsid w:val="008D1160"/>
    <w:rsid w:val="008D1801"/>
    <w:rsid w:val="008D1DC5"/>
    <w:rsid w:val="008D2134"/>
    <w:rsid w:val="008D2905"/>
    <w:rsid w:val="008D3771"/>
    <w:rsid w:val="008D3F2B"/>
    <w:rsid w:val="008D4274"/>
    <w:rsid w:val="008D4875"/>
    <w:rsid w:val="008D5258"/>
    <w:rsid w:val="008D59BE"/>
    <w:rsid w:val="008D6BE9"/>
    <w:rsid w:val="008D7100"/>
    <w:rsid w:val="008D79EE"/>
    <w:rsid w:val="008E023D"/>
    <w:rsid w:val="008E032B"/>
    <w:rsid w:val="008E0A65"/>
    <w:rsid w:val="008E1CDD"/>
    <w:rsid w:val="008E24D5"/>
    <w:rsid w:val="008E26AE"/>
    <w:rsid w:val="008E2929"/>
    <w:rsid w:val="008E2EBD"/>
    <w:rsid w:val="008E30B4"/>
    <w:rsid w:val="008E494D"/>
    <w:rsid w:val="008E54B9"/>
    <w:rsid w:val="008E6195"/>
    <w:rsid w:val="008E61CF"/>
    <w:rsid w:val="008E70C5"/>
    <w:rsid w:val="008E75BA"/>
    <w:rsid w:val="008E7C6C"/>
    <w:rsid w:val="008E7E69"/>
    <w:rsid w:val="008F17A6"/>
    <w:rsid w:val="008F19A6"/>
    <w:rsid w:val="008F2414"/>
    <w:rsid w:val="008F2B51"/>
    <w:rsid w:val="008F498A"/>
    <w:rsid w:val="008F58DB"/>
    <w:rsid w:val="008F5EC8"/>
    <w:rsid w:val="008F61EE"/>
    <w:rsid w:val="00903081"/>
    <w:rsid w:val="00903BE6"/>
    <w:rsid w:val="00904D5A"/>
    <w:rsid w:val="00904F3F"/>
    <w:rsid w:val="009056A6"/>
    <w:rsid w:val="00905DDC"/>
    <w:rsid w:val="009065BC"/>
    <w:rsid w:val="00906F0C"/>
    <w:rsid w:val="00906F6A"/>
    <w:rsid w:val="00907C64"/>
    <w:rsid w:val="00910376"/>
    <w:rsid w:val="0091182C"/>
    <w:rsid w:val="00912B48"/>
    <w:rsid w:val="00912D60"/>
    <w:rsid w:val="00912DE4"/>
    <w:rsid w:val="0091369C"/>
    <w:rsid w:val="009137DA"/>
    <w:rsid w:val="009137FF"/>
    <w:rsid w:val="0091425B"/>
    <w:rsid w:val="0091448E"/>
    <w:rsid w:val="009150DF"/>
    <w:rsid w:val="009155BB"/>
    <w:rsid w:val="00915E86"/>
    <w:rsid w:val="00916077"/>
    <w:rsid w:val="00916135"/>
    <w:rsid w:val="009166BC"/>
    <w:rsid w:val="009206D4"/>
    <w:rsid w:val="00921315"/>
    <w:rsid w:val="00921E0C"/>
    <w:rsid w:val="00922CAA"/>
    <w:rsid w:val="00922F43"/>
    <w:rsid w:val="0092359F"/>
    <w:rsid w:val="009236C7"/>
    <w:rsid w:val="00924AD9"/>
    <w:rsid w:val="00924C31"/>
    <w:rsid w:val="00925928"/>
    <w:rsid w:val="0092593E"/>
    <w:rsid w:val="00926413"/>
    <w:rsid w:val="0092667C"/>
    <w:rsid w:val="00926DA1"/>
    <w:rsid w:val="00927C0B"/>
    <w:rsid w:val="00927CE6"/>
    <w:rsid w:val="00927D0C"/>
    <w:rsid w:val="00930073"/>
    <w:rsid w:val="00930D79"/>
    <w:rsid w:val="009313EA"/>
    <w:rsid w:val="009317A4"/>
    <w:rsid w:val="009318D4"/>
    <w:rsid w:val="00931BB6"/>
    <w:rsid w:val="00932281"/>
    <w:rsid w:val="009333EE"/>
    <w:rsid w:val="00933B53"/>
    <w:rsid w:val="009345F0"/>
    <w:rsid w:val="00934AF4"/>
    <w:rsid w:val="009359CE"/>
    <w:rsid w:val="00935A26"/>
    <w:rsid w:val="00935D02"/>
    <w:rsid w:val="00936040"/>
    <w:rsid w:val="0093731A"/>
    <w:rsid w:val="00937569"/>
    <w:rsid w:val="009375A2"/>
    <w:rsid w:val="009417EA"/>
    <w:rsid w:val="009418FE"/>
    <w:rsid w:val="009419E1"/>
    <w:rsid w:val="00941EBF"/>
    <w:rsid w:val="00942492"/>
    <w:rsid w:val="00943C8F"/>
    <w:rsid w:val="00944162"/>
    <w:rsid w:val="00944282"/>
    <w:rsid w:val="009443E1"/>
    <w:rsid w:val="009449C9"/>
    <w:rsid w:val="00945740"/>
    <w:rsid w:val="00946256"/>
    <w:rsid w:val="0094680A"/>
    <w:rsid w:val="00950046"/>
    <w:rsid w:val="0095026A"/>
    <w:rsid w:val="009504CE"/>
    <w:rsid w:val="00950E82"/>
    <w:rsid w:val="00953231"/>
    <w:rsid w:val="009534BD"/>
    <w:rsid w:val="00953F77"/>
    <w:rsid w:val="009541FC"/>
    <w:rsid w:val="00954981"/>
    <w:rsid w:val="00954F09"/>
    <w:rsid w:val="00955D98"/>
    <w:rsid w:val="009568C2"/>
    <w:rsid w:val="00957D6F"/>
    <w:rsid w:val="00960056"/>
    <w:rsid w:val="00960390"/>
    <w:rsid w:val="0096042E"/>
    <w:rsid w:val="009605F4"/>
    <w:rsid w:val="00960889"/>
    <w:rsid w:val="00962858"/>
    <w:rsid w:val="00962E45"/>
    <w:rsid w:val="0096501E"/>
    <w:rsid w:val="00965B90"/>
    <w:rsid w:val="00966A9F"/>
    <w:rsid w:val="0096718B"/>
    <w:rsid w:val="009707A3"/>
    <w:rsid w:val="00970A2A"/>
    <w:rsid w:val="00972022"/>
    <w:rsid w:val="00972B26"/>
    <w:rsid w:val="00975CDA"/>
    <w:rsid w:val="00975F2D"/>
    <w:rsid w:val="0097630C"/>
    <w:rsid w:val="00976609"/>
    <w:rsid w:val="00976EDC"/>
    <w:rsid w:val="0098015D"/>
    <w:rsid w:val="009810A7"/>
    <w:rsid w:val="00981731"/>
    <w:rsid w:val="00981816"/>
    <w:rsid w:val="00981B3F"/>
    <w:rsid w:val="00982625"/>
    <w:rsid w:val="00982B68"/>
    <w:rsid w:val="0098356A"/>
    <w:rsid w:val="0098463D"/>
    <w:rsid w:val="0098495F"/>
    <w:rsid w:val="009854B4"/>
    <w:rsid w:val="00986168"/>
    <w:rsid w:val="009869CF"/>
    <w:rsid w:val="0098772A"/>
    <w:rsid w:val="0099015E"/>
    <w:rsid w:val="00990D73"/>
    <w:rsid w:val="009911CC"/>
    <w:rsid w:val="00991D59"/>
    <w:rsid w:val="009926CC"/>
    <w:rsid w:val="00992A39"/>
    <w:rsid w:val="009937B4"/>
    <w:rsid w:val="009942A0"/>
    <w:rsid w:val="009945D4"/>
    <w:rsid w:val="009950C8"/>
    <w:rsid w:val="00995735"/>
    <w:rsid w:val="00995A22"/>
    <w:rsid w:val="00995EAA"/>
    <w:rsid w:val="00996027"/>
    <w:rsid w:val="009966A1"/>
    <w:rsid w:val="00996E50"/>
    <w:rsid w:val="00997237"/>
    <w:rsid w:val="009978F2"/>
    <w:rsid w:val="00997B0D"/>
    <w:rsid w:val="009A1A9A"/>
    <w:rsid w:val="009A21F9"/>
    <w:rsid w:val="009A2548"/>
    <w:rsid w:val="009A2A19"/>
    <w:rsid w:val="009A2ED2"/>
    <w:rsid w:val="009A330C"/>
    <w:rsid w:val="009A35B3"/>
    <w:rsid w:val="009A4258"/>
    <w:rsid w:val="009A5891"/>
    <w:rsid w:val="009A5D54"/>
    <w:rsid w:val="009A620F"/>
    <w:rsid w:val="009A62DA"/>
    <w:rsid w:val="009A685E"/>
    <w:rsid w:val="009A69D2"/>
    <w:rsid w:val="009A7DDE"/>
    <w:rsid w:val="009B02F8"/>
    <w:rsid w:val="009B0843"/>
    <w:rsid w:val="009B136D"/>
    <w:rsid w:val="009B1674"/>
    <w:rsid w:val="009B19C8"/>
    <w:rsid w:val="009B41FC"/>
    <w:rsid w:val="009B5867"/>
    <w:rsid w:val="009B6C0E"/>
    <w:rsid w:val="009B6D4F"/>
    <w:rsid w:val="009C01BD"/>
    <w:rsid w:val="009C036C"/>
    <w:rsid w:val="009C12C9"/>
    <w:rsid w:val="009C136D"/>
    <w:rsid w:val="009C1A1E"/>
    <w:rsid w:val="009C2C66"/>
    <w:rsid w:val="009C3329"/>
    <w:rsid w:val="009C3776"/>
    <w:rsid w:val="009C3827"/>
    <w:rsid w:val="009C422E"/>
    <w:rsid w:val="009C6C08"/>
    <w:rsid w:val="009C72BE"/>
    <w:rsid w:val="009C7939"/>
    <w:rsid w:val="009D0576"/>
    <w:rsid w:val="009D1C24"/>
    <w:rsid w:val="009D3651"/>
    <w:rsid w:val="009D36F7"/>
    <w:rsid w:val="009D44C8"/>
    <w:rsid w:val="009D4E7B"/>
    <w:rsid w:val="009D4ED8"/>
    <w:rsid w:val="009D5D82"/>
    <w:rsid w:val="009D6304"/>
    <w:rsid w:val="009D6430"/>
    <w:rsid w:val="009D70DD"/>
    <w:rsid w:val="009D7381"/>
    <w:rsid w:val="009D7785"/>
    <w:rsid w:val="009E0942"/>
    <w:rsid w:val="009E104B"/>
    <w:rsid w:val="009E1800"/>
    <w:rsid w:val="009E2734"/>
    <w:rsid w:val="009E37BF"/>
    <w:rsid w:val="009E3C6A"/>
    <w:rsid w:val="009E501A"/>
    <w:rsid w:val="009E5756"/>
    <w:rsid w:val="009E5B13"/>
    <w:rsid w:val="009E5D4D"/>
    <w:rsid w:val="009E61F9"/>
    <w:rsid w:val="009E62BD"/>
    <w:rsid w:val="009E6A4A"/>
    <w:rsid w:val="009E7281"/>
    <w:rsid w:val="009E73A2"/>
    <w:rsid w:val="009E766A"/>
    <w:rsid w:val="009E767D"/>
    <w:rsid w:val="009F2300"/>
    <w:rsid w:val="009F25C6"/>
    <w:rsid w:val="009F3690"/>
    <w:rsid w:val="009F3699"/>
    <w:rsid w:val="009F5BB8"/>
    <w:rsid w:val="009F5EEB"/>
    <w:rsid w:val="009F6212"/>
    <w:rsid w:val="009F6244"/>
    <w:rsid w:val="009F6C8D"/>
    <w:rsid w:val="009F7716"/>
    <w:rsid w:val="00A0070E"/>
    <w:rsid w:val="00A016B4"/>
    <w:rsid w:val="00A02913"/>
    <w:rsid w:val="00A02D85"/>
    <w:rsid w:val="00A0334C"/>
    <w:rsid w:val="00A0368F"/>
    <w:rsid w:val="00A043C7"/>
    <w:rsid w:val="00A0490C"/>
    <w:rsid w:val="00A04E76"/>
    <w:rsid w:val="00A051FD"/>
    <w:rsid w:val="00A05793"/>
    <w:rsid w:val="00A05A75"/>
    <w:rsid w:val="00A066B9"/>
    <w:rsid w:val="00A067DA"/>
    <w:rsid w:val="00A07102"/>
    <w:rsid w:val="00A07340"/>
    <w:rsid w:val="00A076DB"/>
    <w:rsid w:val="00A07799"/>
    <w:rsid w:val="00A077B8"/>
    <w:rsid w:val="00A10A53"/>
    <w:rsid w:val="00A1101B"/>
    <w:rsid w:val="00A11C50"/>
    <w:rsid w:val="00A125F6"/>
    <w:rsid w:val="00A12C39"/>
    <w:rsid w:val="00A139F6"/>
    <w:rsid w:val="00A14A33"/>
    <w:rsid w:val="00A15287"/>
    <w:rsid w:val="00A1598D"/>
    <w:rsid w:val="00A15E83"/>
    <w:rsid w:val="00A167AE"/>
    <w:rsid w:val="00A16D2F"/>
    <w:rsid w:val="00A17D8E"/>
    <w:rsid w:val="00A2017F"/>
    <w:rsid w:val="00A2066A"/>
    <w:rsid w:val="00A209B7"/>
    <w:rsid w:val="00A21E91"/>
    <w:rsid w:val="00A21FB1"/>
    <w:rsid w:val="00A22A95"/>
    <w:rsid w:val="00A2301C"/>
    <w:rsid w:val="00A23E27"/>
    <w:rsid w:val="00A2436A"/>
    <w:rsid w:val="00A24441"/>
    <w:rsid w:val="00A244FC"/>
    <w:rsid w:val="00A25306"/>
    <w:rsid w:val="00A2626D"/>
    <w:rsid w:val="00A262DD"/>
    <w:rsid w:val="00A2665A"/>
    <w:rsid w:val="00A26868"/>
    <w:rsid w:val="00A268C0"/>
    <w:rsid w:val="00A26FD4"/>
    <w:rsid w:val="00A279C2"/>
    <w:rsid w:val="00A30431"/>
    <w:rsid w:val="00A30580"/>
    <w:rsid w:val="00A315D1"/>
    <w:rsid w:val="00A316A3"/>
    <w:rsid w:val="00A32CCB"/>
    <w:rsid w:val="00A32DB7"/>
    <w:rsid w:val="00A33D22"/>
    <w:rsid w:val="00A33DCB"/>
    <w:rsid w:val="00A34866"/>
    <w:rsid w:val="00A34C61"/>
    <w:rsid w:val="00A350E6"/>
    <w:rsid w:val="00A353FA"/>
    <w:rsid w:val="00A35457"/>
    <w:rsid w:val="00A40ABC"/>
    <w:rsid w:val="00A40D2B"/>
    <w:rsid w:val="00A41136"/>
    <w:rsid w:val="00A412D8"/>
    <w:rsid w:val="00A417CA"/>
    <w:rsid w:val="00A42919"/>
    <w:rsid w:val="00A43442"/>
    <w:rsid w:val="00A43904"/>
    <w:rsid w:val="00A43FDF"/>
    <w:rsid w:val="00A44847"/>
    <w:rsid w:val="00A44972"/>
    <w:rsid w:val="00A4564C"/>
    <w:rsid w:val="00A456FF"/>
    <w:rsid w:val="00A45A71"/>
    <w:rsid w:val="00A45C95"/>
    <w:rsid w:val="00A46CC1"/>
    <w:rsid w:val="00A46F65"/>
    <w:rsid w:val="00A47818"/>
    <w:rsid w:val="00A50A56"/>
    <w:rsid w:val="00A510DD"/>
    <w:rsid w:val="00A513E9"/>
    <w:rsid w:val="00A5160F"/>
    <w:rsid w:val="00A51886"/>
    <w:rsid w:val="00A51982"/>
    <w:rsid w:val="00A52B60"/>
    <w:rsid w:val="00A53B74"/>
    <w:rsid w:val="00A53CB7"/>
    <w:rsid w:val="00A547DC"/>
    <w:rsid w:val="00A54F6A"/>
    <w:rsid w:val="00A55524"/>
    <w:rsid w:val="00A555B2"/>
    <w:rsid w:val="00A55A17"/>
    <w:rsid w:val="00A56B09"/>
    <w:rsid w:val="00A575BF"/>
    <w:rsid w:val="00A600D3"/>
    <w:rsid w:val="00A603B1"/>
    <w:rsid w:val="00A603B8"/>
    <w:rsid w:val="00A6047C"/>
    <w:rsid w:val="00A60C49"/>
    <w:rsid w:val="00A61769"/>
    <w:rsid w:val="00A61DB0"/>
    <w:rsid w:val="00A62087"/>
    <w:rsid w:val="00A62982"/>
    <w:rsid w:val="00A62F74"/>
    <w:rsid w:val="00A634FE"/>
    <w:rsid w:val="00A638BA"/>
    <w:rsid w:val="00A6394E"/>
    <w:rsid w:val="00A64EEC"/>
    <w:rsid w:val="00A657F4"/>
    <w:rsid w:val="00A66589"/>
    <w:rsid w:val="00A700F1"/>
    <w:rsid w:val="00A711F6"/>
    <w:rsid w:val="00A71AD0"/>
    <w:rsid w:val="00A71F6C"/>
    <w:rsid w:val="00A71FA7"/>
    <w:rsid w:val="00A7257E"/>
    <w:rsid w:val="00A72DB9"/>
    <w:rsid w:val="00A73000"/>
    <w:rsid w:val="00A73F22"/>
    <w:rsid w:val="00A742A0"/>
    <w:rsid w:val="00A74434"/>
    <w:rsid w:val="00A74627"/>
    <w:rsid w:val="00A75ED8"/>
    <w:rsid w:val="00A75F75"/>
    <w:rsid w:val="00A7752C"/>
    <w:rsid w:val="00A80CCB"/>
    <w:rsid w:val="00A81C28"/>
    <w:rsid w:val="00A82CA4"/>
    <w:rsid w:val="00A82E3F"/>
    <w:rsid w:val="00A83659"/>
    <w:rsid w:val="00A83CA5"/>
    <w:rsid w:val="00A843C2"/>
    <w:rsid w:val="00A84D33"/>
    <w:rsid w:val="00A84E89"/>
    <w:rsid w:val="00A84F79"/>
    <w:rsid w:val="00A85042"/>
    <w:rsid w:val="00A85945"/>
    <w:rsid w:val="00A86661"/>
    <w:rsid w:val="00A872E8"/>
    <w:rsid w:val="00A87A5B"/>
    <w:rsid w:val="00A87B7B"/>
    <w:rsid w:val="00A87C24"/>
    <w:rsid w:val="00A87FD9"/>
    <w:rsid w:val="00A90154"/>
    <w:rsid w:val="00A90891"/>
    <w:rsid w:val="00A90929"/>
    <w:rsid w:val="00A90998"/>
    <w:rsid w:val="00A91B82"/>
    <w:rsid w:val="00A91E82"/>
    <w:rsid w:val="00A92D13"/>
    <w:rsid w:val="00A934B5"/>
    <w:rsid w:val="00A93DE6"/>
    <w:rsid w:val="00A94252"/>
    <w:rsid w:val="00A9503C"/>
    <w:rsid w:val="00A96234"/>
    <w:rsid w:val="00A96597"/>
    <w:rsid w:val="00A97B32"/>
    <w:rsid w:val="00AA01A4"/>
    <w:rsid w:val="00AA0475"/>
    <w:rsid w:val="00AA05A6"/>
    <w:rsid w:val="00AA0E01"/>
    <w:rsid w:val="00AA1472"/>
    <w:rsid w:val="00AA19B0"/>
    <w:rsid w:val="00AA1FF4"/>
    <w:rsid w:val="00AA278F"/>
    <w:rsid w:val="00AA279D"/>
    <w:rsid w:val="00AA3095"/>
    <w:rsid w:val="00AA3331"/>
    <w:rsid w:val="00AA43FE"/>
    <w:rsid w:val="00AA51D3"/>
    <w:rsid w:val="00AA603E"/>
    <w:rsid w:val="00AB04AB"/>
    <w:rsid w:val="00AB0FA8"/>
    <w:rsid w:val="00AB126D"/>
    <w:rsid w:val="00AB2015"/>
    <w:rsid w:val="00AB3046"/>
    <w:rsid w:val="00AB3050"/>
    <w:rsid w:val="00AB382F"/>
    <w:rsid w:val="00AB40AA"/>
    <w:rsid w:val="00AB4354"/>
    <w:rsid w:val="00AB4FA7"/>
    <w:rsid w:val="00AB55E5"/>
    <w:rsid w:val="00AB5901"/>
    <w:rsid w:val="00AB5A84"/>
    <w:rsid w:val="00AB5E05"/>
    <w:rsid w:val="00AB6521"/>
    <w:rsid w:val="00AB7012"/>
    <w:rsid w:val="00AB7343"/>
    <w:rsid w:val="00AB76ED"/>
    <w:rsid w:val="00AB7B31"/>
    <w:rsid w:val="00AB7EBF"/>
    <w:rsid w:val="00AC020B"/>
    <w:rsid w:val="00AC1FAA"/>
    <w:rsid w:val="00AC24F2"/>
    <w:rsid w:val="00AC252D"/>
    <w:rsid w:val="00AC2EBD"/>
    <w:rsid w:val="00AC2F01"/>
    <w:rsid w:val="00AC3242"/>
    <w:rsid w:val="00AC32D4"/>
    <w:rsid w:val="00AC3A0D"/>
    <w:rsid w:val="00AC508B"/>
    <w:rsid w:val="00AC571E"/>
    <w:rsid w:val="00AC62FF"/>
    <w:rsid w:val="00AC63A7"/>
    <w:rsid w:val="00AC768C"/>
    <w:rsid w:val="00AC7C64"/>
    <w:rsid w:val="00AD012F"/>
    <w:rsid w:val="00AD0582"/>
    <w:rsid w:val="00AD09DD"/>
    <w:rsid w:val="00AD1595"/>
    <w:rsid w:val="00AD1993"/>
    <w:rsid w:val="00AD20CD"/>
    <w:rsid w:val="00AD28BE"/>
    <w:rsid w:val="00AD308D"/>
    <w:rsid w:val="00AD3946"/>
    <w:rsid w:val="00AD49F3"/>
    <w:rsid w:val="00AD4F5E"/>
    <w:rsid w:val="00AD528F"/>
    <w:rsid w:val="00AD57CE"/>
    <w:rsid w:val="00AD5B3D"/>
    <w:rsid w:val="00AD5D31"/>
    <w:rsid w:val="00AD632A"/>
    <w:rsid w:val="00AD7520"/>
    <w:rsid w:val="00AE0333"/>
    <w:rsid w:val="00AE180C"/>
    <w:rsid w:val="00AE228A"/>
    <w:rsid w:val="00AE22E7"/>
    <w:rsid w:val="00AE356D"/>
    <w:rsid w:val="00AE42EF"/>
    <w:rsid w:val="00AE4F9B"/>
    <w:rsid w:val="00AE50B9"/>
    <w:rsid w:val="00AE582E"/>
    <w:rsid w:val="00AE6D60"/>
    <w:rsid w:val="00AE730B"/>
    <w:rsid w:val="00AE792F"/>
    <w:rsid w:val="00AF040C"/>
    <w:rsid w:val="00AF14BE"/>
    <w:rsid w:val="00AF16BB"/>
    <w:rsid w:val="00AF16E5"/>
    <w:rsid w:val="00AF1E5A"/>
    <w:rsid w:val="00AF26B4"/>
    <w:rsid w:val="00AF2904"/>
    <w:rsid w:val="00AF384C"/>
    <w:rsid w:val="00AF442A"/>
    <w:rsid w:val="00AF4BA2"/>
    <w:rsid w:val="00AF4EC2"/>
    <w:rsid w:val="00AF580D"/>
    <w:rsid w:val="00AF5E14"/>
    <w:rsid w:val="00AF69BA"/>
    <w:rsid w:val="00AF74FD"/>
    <w:rsid w:val="00AF7778"/>
    <w:rsid w:val="00AF7A8F"/>
    <w:rsid w:val="00B00303"/>
    <w:rsid w:val="00B003F4"/>
    <w:rsid w:val="00B007A9"/>
    <w:rsid w:val="00B00D9A"/>
    <w:rsid w:val="00B01831"/>
    <w:rsid w:val="00B02264"/>
    <w:rsid w:val="00B02688"/>
    <w:rsid w:val="00B02EF0"/>
    <w:rsid w:val="00B033CE"/>
    <w:rsid w:val="00B0394A"/>
    <w:rsid w:val="00B042EA"/>
    <w:rsid w:val="00B050E3"/>
    <w:rsid w:val="00B052FA"/>
    <w:rsid w:val="00B067F8"/>
    <w:rsid w:val="00B07E28"/>
    <w:rsid w:val="00B10882"/>
    <w:rsid w:val="00B12FC6"/>
    <w:rsid w:val="00B14314"/>
    <w:rsid w:val="00B1441B"/>
    <w:rsid w:val="00B1442B"/>
    <w:rsid w:val="00B144ED"/>
    <w:rsid w:val="00B14AEA"/>
    <w:rsid w:val="00B14B3D"/>
    <w:rsid w:val="00B151AC"/>
    <w:rsid w:val="00B1565B"/>
    <w:rsid w:val="00B15FC9"/>
    <w:rsid w:val="00B16EEC"/>
    <w:rsid w:val="00B16F7B"/>
    <w:rsid w:val="00B218A7"/>
    <w:rsid w:val="00B21EFE"/>
    <w:rsid w:val="00B227C7"/>
    <w:rsid w:val="00B22B6F"/>
    <w:rsid w:val="00B2391F"/>
    <w:rsid w:val="00B240CD"/>
    <w:rsid w:val="00B24854"/>
    <w:rsid w:val="00B24E28"/>
    <w:rsid w:val="00B254A3"/>
    <w:rsid w:val="00B2623F"/>
    <w:rsid w:val="00B267C9"/>
    <w:rsid w:val="00B26BAF"/>
    <w:rsid w:val="00B272D6"/>
    <w:rsid w:val="00B27731"/>
    <w:rsid w:val="00B30161"/>
    <w:rsid w:val="00B3195C"/>
    <w:rsid w:val="00B31C39"/>
    <w:rsid w:val="00B32205"/>
    <w:rsid w:val="00B329D9"/>
    <w:rsid w:val="00B3380F"/>
    <w:rsid w:val="00B33E1F"/>
    <w:rsid w:val="00B33F56"/>
    <w:rsid w:val="00B3405D"/>
    <w:rsid w:val="00B344AA"/>
    <w:rsid w:val="00B34C29"/>
    <w:rsid w:val="00B36E15"/>
    <w:rsid w:val="00B36EF3"/>
    <w:rsid w:val="00B37F7D"/>
    <w:rsid w:val="00B37FCF"/>
    <w:rsid w:val="00B40007"/>
    <w:rsid w:val="00B40237"/>
    <w:rsid w:val="00B415E9"/>
    <w:rsid w:val="00B4168A"/>
    <w:rsid w:val="00B41E4A"/>
    <w:rsid w:val="00B422B1"/>
    <w:rsid w:val="00B425C1"/>
    <w:rsid w:val="00B42744"/>
    <w:rsid w:val="00B42FC4"/>
    <w:rsid w:val="00B43111"/>
    <w:rsid w:val="00B43DBD"/>
    <w:rsid w:val="00B45165"/>
    <w:rsid w:val="00B454A6"/>
    <w:rsid w:val="00B456CB"/>
    <w:rsid w:val="00B47C12"/>
    <w:rsid w:val="00B50481"/>
    <w:rsid w:val="00B50F11"/>
    <w:rsid w:val="00B51567"/>
    <w:rsid w:val="00B522EF"/>
    <w:rsid w:val="00B525BB"/>
    <w:rsid w:val="00B5298E"/>
    <w:rsid w:val="00B5363F"/>
    <w:rsid w:val="00B53C3D"/>
    <w:rsid w:val="00B542FA"/>
    <w:rsid w:val="00B54583"/>
    <w:rsid w:val="00B5538E"/>
    <w:rsid w:val="00B60122"/>
    <w:rsid w:val="00B601A9"/>
    <w:rsid w:val="00B6186F"/>
    <w:rsid w:val="00B6195A"/>
    <w:rsid w:val="00B61AF0"/>
    <w:rsid w:val="00B61DEC"/>
    <w:rsid w:val="00B629F4"/>
    <w:rsid w:val="00B6349C"/>
    <w:rsid w:val="00B63E4F"/>
    <w:rsid w:val="00B647BB"/>
    <w:rsid w:val="00B66657"/>
    <w:rsid w:val="00B66726"/>
    <w:rsid w:val="00B66D18"/>
    <w:rsid w:val="00B6700C"/>
    <w:rsid w:val="00B678C9"/>
    <w:rsid w:val="00B678FA"/>
    <w:rsid w:val="00B67CF6"/>
    <w:rsid w:val="00B704CE"/>
    <w:rsid w:val="00B70C74"/>
    <w:rsid w:val="00B70FB9"/>
    <w:rsid w:val="00B7106B"/>
    <w:rsid w:val="00B716B4"/>
    <w:rsid w:val="00B7239E"/>
    <w:rsid w:val="00B7329A"/>
    <w:rsid w:val="00B73FFA"/>
    <w:rsid w:val="00B754B9"/>
    <w:rsid w:val="00B75552"/>
    <w:rsid w:val="00B75775"/>
    <w:rsid w:val="00B75C19"/>
    <w:rsid w:val="00B760A9"/>
    <w:rsid w:val="00B77BEB"/>
    <w:rsid w:val="00B8027F"/>
    <w:rsid w:val="00B8124B"/>
    <w:rsid w:val="00B81BFC"/>
    <w:rsid w:val="00B827A1"/>
    <w:rsid w:val="00B828EB"/>
    <w:rsid w:val="00B83EEF"/>
    <w:rsid w:val="00B83F30"/>
    <w:rsid w:val="00B841DE"/>
    <w:rsid w:val="00B84E7C"/>
    <w:rsid w:val="00B85A9B"/>
    <w:rsid w:val="00B85AD7"/>
    <w:rsid w:val="00B86C69"/>
    <w:rsid w:val="00B86DDD"/>
    <w:rsid w:val="00B873B9"/>
    <w:rsid w:val="00B877A0"/>
    <w:rsid w:val="00B9057A"/>
    <w:rsid w:val="00B90647"/>
    <w:rsid w:val="00B91083"/>
    <w:rsid w:val="00B91461"/>
    <w:rsid w:val="00B91F5D"/>
    <w:rsid w:val="00B92B29"/>
    <w:rsid w:val="00B92ED5"/>
    <w:rsid w:val="00B93205"/>
    <w:rsid w:val="00B93289"/>
    <w:rsid w:val="00B938B4"/>
    <w:rsid w:val="00B93AC5"/>
    <w:rsid w:val="00B94117"/>
    <w:rsid w:val="00B942DE"/>
    <w:rsid w:val="00B95850"/>
    <w:rsid w:val="00B96423"/>
    <w:rsid w:val="00BA08D7"/>
    <w:rsid w:val="00BA1953"/>
    <w:rsid w:val="00BA1AEE"/>
    <w:rsid w:val="00BA22B1"/>
    <w:rsid w:val="00BA3AA6"/>
    <w:rsid w:val="00BA442A"/>
    <w:rsid w:val="00BA4AFA"/>
    <w:rsid w:val="00BA4DDA"/>
    <w:rsid w:val="00BA5299"/>
    <w:rsid w:val="00BA5F7E"/>
    <w:rsid w:val="00BA6550"/>
    <w:rsid w:val="00BA67E9"/>
    <w:rsid w:val="00BA6926"/>
    <w:rsid w:val="00BA6AA2"/>
    <w:rsid w:val="00BA7471"/>
    <w:rsid w:val="00BA7A8F"/>
    <w:rsid w:val="00BB04BB"/>
    <w:rsid w:val="00BB1F50"/>
    <w:rsid w:val="00BB3166"/>
    <w:rsid w:val="00BB3497"/>
    <w:rsid w:val="00BB38E8"/>
    <w:rsid w:val="00BB3D70"/>
    <w:rsid w:val="00BB4BEA"/>
    <w:rsid w:val="00BB518F"/>
    <w:rsid w:val="00BB55B3"/>
    <w:rsid w:val="00BB594B"/>
    <w:rsid w:val="00BB707E"/>
    <w:rsid w:val="00BB7D13"/>
    <w:rsid w:val="00BC0803"/>
    <w:rsid w:val="00BC2AA7"/>
    <w:rsid w:val="00BC2F36"/>
    <w:rsid w:val="00BC32F2"/>
    <w:rsid w:val="00BC40A7"/>
    <w:rsid w:val="00BC41F8"/>
    <w:rsid w:val="00BC43B2"/>
    <w:rsid w:val="00BC4E92"/>
    <w:rsid w:val="00BC61E4"/>
    <w:rsid w:val="00BC6AB8"/>
    <w:rsid w:val="00BC6FD0"/>
    <w:rsid w:val="00BC76C6"/>
    <w:rsid w:val="00BC7C4D"/>
    <w:rsid w:val="00BD0077"/>
    <w:rsid w:val="00BD0248"/>
    <w:rsid w:val="00BD095D"/>
    <w:rsid w:val="00BD0D65"/>
    <w:rsid w:val="00BD1350"/>
    <w:rsid w:val="00BD15CE"/>
    <w:rsid w:val="00BD176C"/>
    <w:rsid w:val="00BD1A82"/>
    <w:rsid w:val="00BD321A"/>
    <w:rsid w:val="00BD41C1"/>
    <w:rsid w:val="00BD480B"/>
    <w:rsid w:val="00BD483E"/>
    <w:rsid w:val="00BD4C0E"/>
    <w:rsid w:val="00BD50EA"/>
    <w:rsid w:val="00BD6644"/>
    <w:rsid w:val="00BD6702"/>
    <w:rsid w:val="00BD6E85"/>
    <w:rsid w:val="00BD7142"/>
    <w:rsid w:val="00BD7CDE"/>
    <w:rsid w:val="00BE01E4"/>
    <w:rsid w:val="00BE06B1"/>
    <w:rsid w:val="00BE0F8B"/>
    <w:rsid w:val="00BE165B"/>
    <w:rsid w:val="00BE1C3C"/>
    <w:rsid w:val="00BE1E93"/>
    <w:rsid w:val="00BE22E5"/>
    <w:rsid w:val="00BE263A"/>
    <w:rsid w:val="00BE29EA"/>
    <w:rsid w:val="00BE2A8B"/>
    <w:rsid w:val="00BE308E"/>
    <w:rsid w:val="00BE3373"/>
    <w:rsid w:val="00BE33BA"/>
    <w:rsid w:val="00BE3DAD"/>
    <w:rsid w:val="00BE402A"/>
    <w:rsid w:val="00BE5F6A"/>
    <w:rsid w:val="00BE722C"/>
    <w:rsid w:val="00BF0287"/>
    <w:rsid w:val="00BF02CF"/>
    <w:rsid w:val="00BF1E7E"/>
    <w:rsid w:val="00BF20D3"/>
    <w:rsid w:val="00BF2788"/>
    <w:rsid w:val="00BF2814"/>
    <w:rsid w:val="00BF2EEF"/>
    <w:rsid w:val="00BF307F"/>
    <w:rsid w:val="00BF32B8"/>
    <w:rsid w:val="00BF3C2F"/>
    <w:rsid w:val="00BF49AF"/>
    <w:rsid w:val="00BF4F84"/>
    <w:rsid w:val="00BF4FFF"/>
    <w:rsid w:val="00BF58D1"/>
    <w:rsid w:val="00BF64BC"/>
    <w:rsid w:val="00BF6FB2"/>
    <w:rsid w:val="00BF7249"/>
    <w:rsid w:val="00BF7349"/>
    <w:rsid w:val="00C009DF"/>
    <w:rsid w:val="00C00D91"/>
    <w:rsid w:val="00C046A9"/>
    <w:rsid w:val="00C047A2"/>
    <w:rsid w:val="00C04963"/>
    <w:rsid w:val="00C05509"/>
    <w:rsid w:val="00C05630"/>
    <w:rsid w:val="00C069A5"/>
    <w:rsid w:val="00C06D9C"/>
    <w:rsid w:val="00C06E91"/>
    <w:rsid w:val="00C0748C"/>
    <w:rsid w:val="00C10859"/>
    <w:rsid w:val="00C10C47"/>
    <w:rsid w:val="00C11466"/>
    <w:rsid w:val="00C117A0"/>
    <w:rsid w:val="00C11B74"/>
    <w:rsid w:val="00C12FC6"/>
    <w:rsid w:val="00C1367B"/>
    <w:rsid w:val="00C13CCA"/>
    <w:rsid w:val="00C153E0"/>
    <w:rsid w:val="00C17ACD"/>
    <w:rsid w:val="00C203FB"/>
    <w:rsid w:val="00C209A9"/>
    <w:rsid w:val="00C20A6A"/>
    <w:rsid w:val="00C20AB6"/>
    <w:rsid w:val="00C21A2C"/>
    <w:rsid w:val="00C21EF4"/>
    <w:rsid w:val="00C22C39"/>
    <w:rsid w:val="00C2355B"/>
    <w:rsid w:val="00C238E1"/>
    <w:rsid w:val="00C239F9"/>
    <w:rsid w:val="00C2490B"/>
    <w:rsid w:val="00C2564D"/>
    <w:rsid w:val="00C26FAD"/>
    <w:rsid w:val="00C27A60"/>
    <w:rsid w:val="00C30027"/>
    <w:rsid w:val="00C310C3"/>
    <w:rsid w:val="00C3152F"/>
    <w:rsid w:val="00C31E42"/>
    <w:rsid w:val="00C31FEE"/>
    <w:rsid w:val="00C331C5"/>
    <w:rsid w:val="00C33B0D"/>
    <w:rsid w:val="00C33B51"/>
    <w:rsid w:val="00C349E4"/>
    <w:rsid w:val="00C34BC7"/>
    <w:rsid w:val="00C356F2"/>
    <w:rsid w:val="00C35D74"/>
    <w:rsid w:val="00C3672D"/>
    <w:rsid w:val="00C36B82"/>
    <w:rsid w:val="00C372E2"/>
    <w:rsid w:val="00C373AD"/>
    <w:rsid w:val="00C37550"/>
    <w:rsid w:val="00C37807"/>
    <w:rsid w:val="00C37A27"/>
    <w:rsid w:val="00C40F63"/>
    <w:rsid w:val="00C427DF"/>
    <w:rsid w:val="00C428AC"/>
    <w:rsid w:val="00C42F03"/>
    <w:rsid w:val="00C43390"/>
    <w:rsid w:val="00C438A3"/>
    <w:rsid w:val="00C4480F"/>
    <w:rsid w:val="00C44A55"/>
    <w:rsid w:val="00C46395"/>
    <w:rsid w:val="00C4718F"/>
    <w:rsid w:val="00C477DA"/>
    <w:rsid w:val="00C504D1"/>
    <w:rsid w:val="00C5092C"/>
    <w:rsid w:val="00C509E3"/>
    <w:rsid w:val="00C50CAA"/>
    <w:rsid w:val="00C514AF"/>
    <w:rsid w:val="00C5153D"/>
    <w:rsid w:val="00C51B92"/>
    <w:rsid w:val="00C51BCD"/>
    <w:rsid w:val="00C52684"/>
    <w:rsid w:val="00C52855"/>
    <w:rsid w:val="00C52922"/>
    <w:rsid w:val="00C531C4"/>
    <w:rsid w:val="00C533B1"/>
    <w:rsid w:val="00C535CE"/>
    <w:rsid w:val="00C5383F"/>
    <w:rsid w:val="00C538F7"/>
    <w:rsid w:val="00C542D8"/>
    <w:rsid w:val="00C54A0D"/>
    <w:rsid w:val="00C5554A"/>
    <w:rsid w:val="00C559E9"/>
    <w:rsid w:val="00C55CB6"/>
    <w:rsid w:val="00C5603D"/>
    <w:rsid w:val="00C56C86"/>
    <w:rsid w:val="00C572D4"/>
    <w:rsid w:val="00C57902"/>
    <w:rsid w:val="00C601E4"/>
    <w:rsid w:val="00C60E97"/>
    <w:rsid w:val="00C61003"/>
    <w:rsid w:val="00C612B9"/>
    <w:rsid w:val="00C6163A"/>
    <w:rsid w:val="00C6163C"/>
    <w:rsid w:val="00C620A0"/>
    <w:rsid w:val="00C62A97"/>
    <w:rsid w:val="00C62B31"/>
    <w:rsid w:val="00C63738"/>
    <w:rsid w:val="00C649B0"/>
    <w:rsid w:val="00C64DA1"/>
    <w:rsid w:val="00C655FB"/>
    <w:rsid w:val="00C6665C"/>
    <w:rsid w:val="00C67AE7"/>
    <w:rsid w:val="00C70320"/>
    <w:rsid w:val="00C70B08"/>
    <w:rsid w:val="00C724AC"/>
    <w:rsid w:val="00C72ED5"/>
    <w:rsid w:val="00C73050"/>
    <w:rsid w:val="00C73BB3"/>
    <w:rsid w:val="00C73BD0"/>
    <w:rsid w:val="00C745BC"/>
    <w:rsid w:val="00C748DD"/>
    <w:rsid w:val="00C759E3"/>
    <w:rsid w:val="00C76012"/>
    <w:rsid w:val="00C76580"/>
    <w:rsid w:val="00C7697B"/>
    <w:rsid w:val="00C77469"/>
    <w:rsid w:val="00C7796B"/>
    <w:rsid w:val="00C77A9C"/>
    <w:rsid w:val="00C80093"/>
    <w:rsid w:val="00C80B87"/>
    <w:rsid w:val="00C80D76"/>
    <w:rsid w:val="00C828FB"/>
    <w:rsid w:val="00C82936"/>
    <w:rsid w:val="00C82F1A"/>
    <w:rsid w:val="00C8312C"/>
    <w:rsid w:val="00C83FD0"/>
    <w:rsid w:val="00C847C1"/>
    <w:rsid w:val="00C84FBB"/>
    <w:rsid w:val="00C852BF"/>
    <w:rsid w:val="00C863B3"/>
    <w:rsid w:val="00C866AC"/>
    <w:rsid w:val="00C8774B"/>
    <w:rsid w:val="00C87FD9"/>
    <w:rsid w:val="00C9034C"/>
    <w:rsid w:val="00C90BB0"/>
    <w:rsid w:val="00C90D39"/>
    <w:rsid w:val="00C911C7"/>
    <w:rsid w:val="00C92041"/>
    <w:rsid w:val="00C92072"/>
    <w:rsid w:val="00C92937"/>
    <w:rsid w:val="00C94631"/>
    <w:rsid w:val="00C9469B"/>
    <w:rsid w:val="00C946E1"/>
    <w:rsid w:val="00C9485A"/>
    <w:rsid w:val="00C96A89"/>
    <w:rsid w:val="00C97424"/>
    <w:rsid w:val="00CA02A9"/>
    <w:rsid w:val="00CA0869"/>
    <w:rsid w:val="00CA0A64"/>
    <w:rsid w:val="00CA0FF9"/>
    <w:rsid w:val="00CA1DFA"/>
    <w:rsid w:val="00CA2E34"/>
    <w:rsid w:val="00CA377B"/>
    <w:rsid w:val="00CA3A5F"/>
    <w:rsid w:val="00CA3EF1"/>
    <w:rsid w:val="00CA4A8F"/>
    <w:rsid w:val="00CA53AA"/>
    <w:rsid w:val="00CA5B54"/>
    <w:rsid w:val="00CA5BF4"/>
    <w:rsid w:val="00CA7554"/>
    <w:rsid w:val="00CA7DF2"/>
    <w:rsid w:val="00CB32CE"/>
    <w:rsid w:val="00CB4443"/>
    <w:rsid w:val="00CB4FCA"/>
    <w:rsid w:val="00CB58BE"/>
    <w:rsid w:val="00CB6943"/>
    <w:rsid w:val="00CB7B86"/>
    <w:rsid w:val="00CB7FC4"/>
    <w:rsid w:val="00CC057F"/>
    <w:rsid w:val="00CC1807"/>
    <w:rsid w:val="00CC19DF"/>
    <w:rsid w:val="00CC292C"/>
    <w:rsid w:val="00CC3738"/>
    <w:rsid w:val="00CC454D"/>
    <w:rsid w:val="00CC4901"/>
    <w:rsid w:val="00CC5F98"/>
    <w:rsid w:val="00CC6D6B"/>
    <w:rsid w:val="00CC6FB6"/>
    <w:rsid w:val="00CD01F2"/>
    <w:rsid w:val="00CD0C85"/>
    <w:rsid w:val="00CD13C0"/>
    <w:rsid w:val="00CD1540"/>
    <w:rsid w:val="00CD25E6"/>
    <w:rsid w:val="00CD2AE3"/>
    <w:rsid w:val="00CD2CF5"/>
    <w:rsid w:val="00CD2E6D"/>
    <w:rsid w:val="00CD3024"/>
    <w:rsid w:val="00CD4DFD"/>
    <w:rsid w:val="00CD51A5"/>
    <w:rsid w:val="00CD52AD"/>
    <w:rsid w:val="00CD5B23"/>
    <w:rsid w:val="00CD65C1"/>
    <w:rsid w:val="00CD68C2"/>
    <w:rsid w:val="00CD732B"/>
    <w:rsid w:val="00CD7A9F"/>
    <w:rsid w:val="00CE064D"/>
    <w:rsid w:val="00CE11E8"/>
    <w:rsid w:val="00CE1C52"/>
    <w:rsid w:val="00CE2449"/>
    <w:rsid w:val="00CE4089"/>
    <w:rsid w:val="00CE40C6"/>
    <w:rsid w:val="00CE4137"/>
    <w:rsid w:val="00CE4804"/>
    <w:rsid w:val="00CE487F"/>
    <w:rsid w:val="00CE4BCD"/>
    <w:rsid w:val="00CE5C32"/>
    <w:rsid w:val="00CE5DBC"/>
    <w:rsid w:val="00CE5E19"/>
    <w:rsid w:val="00CE5E1C"/>
    <w:rsid w:val="00CE769C"/>
    <w:rsid w:val="00CE7D47"/>
    <w:rsid w:val="00CF00BE"/>
    <w:rsid w:val="00CF073B"/>
    <w:rsid w:val="00CF1247"/>
    <w:rsid w:val="00CF133B"/>
    <w:rsid w:val="00CF1F1B"/>
    <w:rsid w:val="00CF23E7"/>
    <w:rsid w:val="00CF25DF"/>
    <w:rsid w:val="00CF2A4D"/>
    <w:rsid w:val="00CF2F99"/>
    <w:rsid w:val="00CF34F1"/>
    <w:rsid w:val="00CF36C5"/>
    <w:rsid w:val="00CF3C55"/>
    <w:rsid w:val="00CF3D0C"/>
    <w:rsid w:val="00CF4677"/>
    <w:rsid w:val="00CF4B94"/>
    <w:rsid w:val="00D0077C"/>
    <w:rsid w:val="00D01312"/>
    <w:rsid w:val="00D01704"/>
    <w:rsid w:val="00D01AA8"/>
    <w:rsid w:val="00D01B2B"/>
    <w:rsid w:val="00D0245F"/>
    <w:rsid w:val="00D032D1"/>
    <w:rsid w:val="00D034F4"/>
    <w:rsid w:val="00D03EC5"/>
    <w:rsid w:val="00D047C0"/>
    <w:rsid w:val="00D05005"/>
    <w:rsid w:val="00D05D08"/>
    <w:rsid w:val="00D10AB2"/>
    <w:rsid w:val="00D10BF2"/>
    <w:rsid w:val="00D10C49"/>
    <w:rsid w:val="00D120F0"/>
    <w:rsid w:val="00D123BF"/>
    <w:rsid w:val="00D1290E"/>
    <w:rsid w:val="00D134E2"/>
    <w:rsid w:val="00D13AB6"/>
    <w:rsid w:val="00D13D11"/>
    <w:rsid w:val="00D1518D"/>
    <w:rsid w:val="00D152F3"/>
    <w:rsid w:val="00D1546A"/>
    <w:rsid w:val="00D1547C"/>
    <w:rsid w:val="00D15D5F"/>
    <w:rsid w:val="00D1613A"/>
    <w:rsid w:val="00D16C2A"/>
    <w:rsid w:val="00D17736"/>
    <w:rsid w:val="00D17CC0"/>
    <w:rsid w:val="00D21531"/>
    <w:rsid w:val="00D22889"/>
    <w:rsid w:val="00D2400C"/>
    <w:rsid w:val="00D24CDA"/>
    <w:rsid w:val="00D26D5A"/>
    <w:rsid w:val="00D26F6D"/>
    <w:rsid w:val="00D27489"/>
    <w:rsid w:val="00D300EA"/>
    <w:rsid w:val="00D30448"/>
    <w:rsid w:val="00D310D4"/>
    <w:rsid w:val="00D323B6"/>
    <w:rsid w:val="00D32823"/>
    <w:rsid w:val="00D32953"/>
    <w:rsid w:val="00D3400A"/>
    <w:rsid w:val="00D34078"/>
    <w:rsid w:val="00D34771"/>
    <w:rsid w:val="00D34EC1"/>
    <w:rsid w:val="00D35714"/>
    <w:rsid w:val="00D369C9"/>
    <w:rsid w:val="00D36B12"/>
    <w:rsid w:val="00D37011"/>
    <w:rsid w:val="00D3734D"/>
    <w:rsid w:val="00D40515"/>
    <w:rsid w:val="00D40B9A"/>
    <w:rsid w:val="00D43A48"/>
    <w:rsid w:val="00D44A0F"/>
    <w:rsid w:val="00D44DCC"/>
    <w:rsid w:val="00D44E4B"/>
    <w:rsid w:val="00D4543F"/>
    <w:rsid w:val="00D45AED"/>
    <w:rsid w:val="00D4664C"/>
    <w:rsid w:val="00D46C7F"/>
    <w:rsid w:val="00D46F98"/>
    <w:rsid w:val="00D47C6E"/>
    <w:rsid w:val="00D47DFE"/>
    <w:rsid w:val="00D5000E"/>
    <w:rsid w:val="00D503B8"/>
    <w:rsid w:val="00D507AC"/>
    <w:rsid w:val="00D50A88"/>
    <w:rsid w:val="00D52C91"/>
    <w:rsid w:val="00D539B1"/>
    <w:rsid w:val="00D5416F"/>
    <w:rsid w:val="00D5439D"/>
    <w:rsid w:val="00D550C3"/>
    <w:rsid w:val="00D56B2A"/>
    <w:rsid w:val="00D56C69"/>
    <w:rsid w:val="00D56F46"/>
    <w:rsid w:val="00D60990"/>
    <w:rsid w:val="00D60DC6"/>
    <w:rsid w:val="00D60F40"/>
    <w:rsid w:val="00D6278F"/>
    <w:rsid w:val="00D630BD"/>
    <w:rsid w:val="00D6439A"/>
    <w:rsid w:val="00D64F9F"/>
    <w:rsid w:val="00D650F4"/>
    <w:rsid w:val="00D6531A"/>
    <w:rsid w:val="00D6553E"/>
    <w:rsid w:val="00D65634"/>
    <w:rsid w:val="00D666AE"/>
    <w:rsid w:val="00D67601"/>
    <w:rsid w:val="00D705D7"/>
    <w:rsid w:val="00D715C9"/>
    <w:rsid w:val="00D71B9A"/>
    <w:rsid w:val="00D71F30"/>
    <w:rsid w:val="00D72C1F"/>
    <w:rsid w:val="00D7464E"/>
    <w:rsid w:val="00D75281"/>
    <w:rsid w:val="00D76C73"/>
    <w:rsid w:val="00D77443"/>
    <w:rsid w:val="00D77A8C"/>
    <w:rsid w:val="00D77C1E"/>
    <w:rsid w:val="00D8096D"/>
    <w:rsid w:val="00D80978"/>
    <w:rsid w:val="00D81908"/>
    <w:rsid w:val="00D81F4D"/>
    <w:rsid w:val="00D82B17"/>
    <w:rsid w:val="00D836E7"/>
    <w:rsid w:val="00D83702"/>
    <w:rsid w:val="00D84EF2"/>
    <w:rsid w:val="00D84F2B"/>
    <w:rsid w:val="00D851A1"/>
    <w:rsid w:val="00D85B5D"/>
    <w:rsid w:val="00D85C7D"/>
    <w:rsid w:val="00D86C2C"/>
    <w:rsid w:val="00D86CB5"/>
    <w:rsid w:val="00D870F4"/>
    <w:rsid w:val="00D870FF"/>
    <w:rsid w:val="00D8748F"/>
    <w:rsid w:val="00D90B45"/>
    <w:rsid w:val="00D91024"/>
    <w:rsid w:val="00D927E4"/>
    <w:rsid w:val="00D929AB"/>
    <w:rsid w:val="00D93587"/>
    <w:rsid w:val="00D9391C"/>
    <w:rsid w:val="00D93969"/>
    <w:rsid w:val="00D93C28"/>
    <w:rsid w:val="00D93FC8"/>
    <w:rsid w:val="00D940C0"/>
    <w:rsid w:val="00DA0EC3"/>
    <w:rsid w:val="00DA2318"/>
    <w:rsid w:val="00DA2F05"/>
    <w:rsid w:val="00DA32A8"/>
    <w:rsid w:val="00DA3371"/>
    <w:rsid w:val="00DA352A"/>
    <w:rsid w:val="00DA353F"/>
    <w:rsid w:val="00DA4495"/>
    <w:rsid w:val="00DA5300"/>
    <w:rsid w:val="00DA625B"/>
    <w:rsid w:val="00DA70D6"/>
    <w:rsid w:val="00DA76BA"/>
    <w:rsid w:val="00DA7ABF"/>
    <w:rsid w:val="00DA7EDE"/>
    <w:rsid w:val="00DB0394"/>
    <w:rsid w:val="00DB0786"/>
    <w:rsid w:val="00DB079D"/>
    <w:rsid w:val="00DB14A2"/>
    <w:rsid w:val="00DB169D"/>
    <w:rsid w:val="00DB1AC3"/>
    <w:rsid w:val="00DB3B78"/>
    <w:rsid w:val="00DB3D8F"/>
    <w:rsid w:val="00DB468C"/>
    <w:rsid w:val="00DB5454"/>
    <w:rsid w:val="00DB61C4"/>
    <w:rsid w:val="00DB672A"/>
    <w:rsid w:val="00DB6917"/>
    <w:rsid w:val="00DB75AC"/>
    <w:rsid w:val="00DB7A9B"/>
    <w:rsid w:val="00DB7E98"/>
    <w:rsid w:val="00DC010E"/>
    <w:rsid w:val="00DC0250"/>
    <w:rsid w:val="00DC184A"/>
    <w:rsid w:val="00DC1870"/>
    <w:rsid w:val="00DC1BC3"/>
    <w:rsid w:val="00DC1FB8"/>
    <w:rsid w:val="00DC224C"/>
    <w:rsid w:val="00DC2F8C"/>
    <w:rsid w:val="00DC388F"/>
    <w:rsid w:val="00DC5503"/>
    <w:rsid w:val="00DC56B8"/>
    <w:rsid w:val="00DC5FDC"/>
    <w:rsid w:val="00DC7346"/>
    <w:rsid w:val="00DC7764"/>
    <w:rsid w:val="00DD0356"/>
    <w:rsid w:val="00DD099F"/>
    <w:rsid w:val="00DD0A91"/>
    <w:rsid w:val="00DD0E52"/>
    <w:rsid w:val="00DD0F3D"/>
    <w:rsid w:val="00DD16D4"/>
    <w:rsid w:val="00DD2117"/>
    <w:rsid w:val="00DD2143"/>
    <w:rsid w:val="00DD2EFB"/>
    <w:rsid w:val="00DD3853"/>
    <w:rsid w:val="00DD4333"/>
    <w:rsid w:val="00DD4443"/>
    <w:rsid w:val="00DD477B"/>
    <w:rsid w:val="00DD5A79"/>
    <w:rsid w:val="00DD5FFC"/>
    <w:rsid w:val="00DD6181"/>
    <w:rsid w:val="00DD6532"/>
    <w:rsid w:val="00DD7327"/>
    <w:rsid w:val="00DE09B4"/>
    <w:rsid w:val="00DE153F"/>
    <w:rsid w:val="00DE1593"/>
    <w:rsid w:val="00DE24E9"/>
    <w:rsid w:val="00DE322D"/>
    <w:rsid w:val="00DE39F4"/>
    <w:rsid w:val="00DE3D10"/>
    <w:rsid w:val="00DE3EE0"/>
    <w:rsid w:val="00DE3F62"/>
    <w:rsid w:val="00DE530C"/>
    <w:rsid w:val="00DE59F4"/>
    <w:rsid w:val="00DE5A96"/>
    <w:rsid w:val="00DE63CE"/>
    <w:rsid w:val="00DE66FC"/>
    <w:rsid w:val="00DE6D3B"/>
    <w:rsid w:val="00DE7E96"/>
    <w:rsid w:val="00DF0788"/>
    <w:rsid w:val="00DF0827"/>
    <w:rsid w:val="00DF0B7F"/>
    <w:rsid w:val="00DF16DC"/>
    <w:rsid w:val="00DF213B"/>
    <w:rsid w:val="00DF2678"/>
    <w:rsid w:val="00DF3219"/>
    <w:rsid w:val="00DF3D79"/>
    <w:rsid w:val="00DF4A0D"/>
    <w:rsid w:val="00DF6566"/>
    <w:rsid w:val="00DF7B30"/>
    <w:rsid w:val="00E0025E"/>
    <w:rsid w:val="00E015AC"/>
    <w:rsid w:val="00E01A31"/>
    <w:rsid w:val="00E02B35"/>
    <w:rsid w:val="00E02CA1"/>
    <w:rsid w:val="00E0318B"/>
    <w:rsid w:val="00E03C6A"/>
    <w:rsid w:val="00E04E7A"/>
    <w:rsid w:val="00E0500B"/>
    <w:rsid w:val="00E0582F"/>
    <w:rsid w:val="00E05B09"/>
    <w:rsid w:val="00E067F0"/>
    <w:rsid w:val="00E0797C"/>
    <w:rsid w:val="00E10423"/>
    <w:rsid w:val="00E11553"/>
    <w:rsid w:val="00E12207"/>
    <w:rsid w:val="00E129CA"/>
    <w:rsid w:val="00E13186"/>
    <w:rsid w:val="00E13448"/>
    <w:rsid w:val="00E13A19"/>
    <w:rsid w:val="00E15E22"/>
    <w:rsid w:val="00E16D49"/>
    <w:rsid w:val="00E17A6A"/>
    <w:rsid w:val="00E17CCB"/>
    <w:rsid w:val="00E20694"/>
    <w:rsid w:val="00E208D7"/>
    <w:rsid w:val="00E20F6B"/>
    <w:rsid w:val="00E21801"/>
    <w:rsid w:val="00E21C8A"/>
    <w:rsid w:val="00E22DC9"/>
    <w:rsid w:val="00E23666"/>
    <w:rsid w:val="00E23B2B"/>
    <w:rsid w:val="00E24156"/>
    <w:rsid w:val="00E248D7"/>
    <w:rsid w:val="00E252F6"/>
    <w:rsid w:val="00E25393"/>
    <w:rsid w:val="00E25871"/>
    <w:rsid w:val="00E262F5"/>
    <w:rsid w:val="00E264BC"/>
    <w:rsid w:val="00E268DA"/>
    <w:rsid w:val="00E26BE1"/>
    <w:rsid w:val="00E26EDC"/>
    <w:rsid w:val="00E26F09"/>
    <w:rsid w:val="00E27AA6"/>
    <w:rsid w:val="00E30354"/>
    <w:rsid w:val="00E304DE"/>
    <w:rsid w:val="00E30A9C"/>
    <w:rsid w:val="00E30DCA"/>
    <w:rsid w:val="00E32F72"/>
    <w:rsid w:val="00E33911"/>
    <w:rsid w:val="00E33CF2"/>
    <w:rsid w:val="00E33E52"/>
    <w:rsid w:val="00E34416"/>
    <w:rsid w:val="00E34826"/>
    <w:rsid w:val="00E35A0F"/>
    <w:rsid w:val="00E36603"/>
    <w:rsid w:val="00E366BF"/>
    <w:rsid w:val="00E36969"/>
    <w:rsid w:val="00E36A7E"/>
    <w:rsid w:val="00E37209"/>
    <w:rsid w:val="00E37804"/>
    <w:rsid w:val="00E37EDA"/>
    <w:rsid w:val="00E40BFE"/>
    <w:rsid w:val="00E40DAD"/>
    <w:rsid w:val="00E41C66"/>
    <w:rsid w:val="00E42A24"/>
    <w:rsid w:val="00E44552"/>
    <w:rsid w:val="00E448DA"/>
    <w:rsid w:val="00E45697"/>
    <w:rsid w:val="00E45A25"/>
    <w:rsid w:val="00E45B32"/>
    <w:rsid w:val="00E467DE"/>
    <w:rsid w:val="00E47387"/>
    <w:rsid w:val="00E500A6"/>
    <w:rsid w:val="00E50555"/>
    <w:rsid w:val="00E5083F"/>
    <w:rsid w:val="00E51370"/>
    <w:rsid w:val="00E519FC"/>
    <w:rsid w:val="00E54928"/>
    <w:rsid w:val="00E54E8D"/>
    <w:rsid w:val="00E55058"/>
    <w:rsid w:val="00E55346"/>
    <w:rsid w:val="00E560D8"/>
    <w:rsid w:val="00E573F4"/>
    <w:rsid w:val="00E57EEA"/>
    <w:rsid w:val="00E6041F"/>
    <w:rsid w:val="00E61596"/>
    <w:rsid w:val="00E6222D"/>
    <w:rsid w:val="00E62FF3"/>
    <w:rsid w:val="00E63304"/>
    <w:rsid w:val="00E63A19"/>
    <w:rsid w:val="00E63D7B"/>
    <w:rsid w:val="00E64591"/>
    <w:rsid w:val="00E64713"/>
    <w:rsid w:val="00E65156"/>
    <w:rsid w:val="00E65AFE"/>
    <w:rsid w:val="00E65D32"/>
    <w:rsid w:val="00E66902"/>
    <w:rsid w:val="00E673A1"/>
    <w:rsid w:val="00E67426"/>
    <w:rsid w:val="00E675FC"/>
    <w:rsid w:val="00E677BE"/>
    <w:rsid w:val="00E707B1"/>
    <w:rsid w:val="00E7089C"/>
    <w:rsid w:val="00E70F5B"/>
    <w:rsid w:val="00E71758"/>
    <w:rsid w:val="00E723DE"/>
    <w:rsid w:val="00E739D4"/>
    <w:rsid w:val="00E73F80"/>
    <w:rsid w:val="00E74245"/>
    <w:rsid w:val="00E74C84"/>
    <w:rsid w:val="00E75583"/>
    <w:rsid w:val="00E763A2"/>
    <w:rsid w:val="00E7651F"/>
    <w:rsid w:val="00E76AE6"/>
    <w:rsid w:val="00E77246"/>
    <w:rsid w:val="00E774F7"/>
    <w:rsid w:val="00E77DE5"/>
    <w:rsid w:val="00E80B4C"/>
    <w:rsid w:val="00E81551"/>
    <w:rsid w:val="00E81754"/>
    <w:rsid w:val="00E824BF"/>
    <w:rsid w:val="00E8337B"/>
    <w:rsid w:val="00E8426F"/>
    <w:rsid w:val="00E853F8"/>
    <w:rsid w:val="00E8590B"/>
    <w:rsid w:val="00E85A4B"/>
    <w:rsid w:val="00E85B3F"/>
    <w:rsid w:val="00E865BF"/>
    <w:rsid w:val="00E86D4A"/>
    <w:rsid w:val="00E872FC"/>
    <w:rsid w:val="00E87730"/>
    <w:rsid w:val="00E905B4"/>
    <w:rsid w:val="00E9133E"/>
    <w:rsid w:val="00E92031"/>
    <w:rsid w:val="00E931B2"/>
    <w:rsid w:val="00E93429"/>
    <w:rsid w:val="00E93569"/>
    <w:rsid w:val="00E94D13"/>
    <w:rsid w:val="00E9571D"/>
    <w:rsid w:val="00E962F0"/>
    <w:rsid w:val="00E97111"/>
    <w:rsid w:val="00E97870"/>
    <w:rsid w:val="00E978BA"/>
    <w:rsid w:val="00EA01BE"/>
    <w:rsid w:val="00EA10A6"/>
    <w:rsid w:val="00EA1DE7"/>
    <w:rsid w:val="00EA2807"/>
    <w:rsid w:val="00EA28A4"/>
    <w:rsid w:val="00EA2AED"/>
    <w:rsid w:val="00EA2F5C"/>
    <w:rsid w:val="00EA32AD"/>
    <w:rsid w:val="00EA44F9"/>
    <w:rsid w:val="00EA4557"/>
    <w:rsid w:val="00EA517A"/>
    <w:rsid w:val="00EA56C7"/>
    <w:rsid w:val="00EA6BBD"/>
    <w:rsid w:val="00EA797A"/>
    <w:rsid w:val="00EB0451"/>
    <w:rsid w:val="00EB1648"/>
    <w:rsid w:val="00EB1997"/>
    <w:rsid w:val="00EB1C45"/>
    <w:rsid w:val="00EB20A6"/>
    <w:rsid w:val="00EB20F7"/>
    <w:rsid w:val="00EB2613"/>
    <w:rsid w:val="00EB299F"/>
    <w:rsid w:val="00EB29CA"/>
    <w:rsid w:val="00EB3D9C"/>
    <w:rsid w:val="00EB4360"/>
    <w:rsid w:val="00EB44CD"/>
    <w:rsid w:val="00EB48B9"/>
    <w:rsid w:val="00EB5606"/>
    <w:rsid w:val="00EB6318"/>
    <w:rsid w:val="00EB63DF"/>
    <w:rsid w:val="00EB6606"/>
    <w:rsid w:val="00EB6C3B"/>
    <w:rsid w:val="00EB6D31"/>
    <w:rsid w:val="00EC05E5"/>
    <w:rsid w:val="00EC061A"/>
    <w:rsid w:val="00EC0A85"/>
    <w:rsid w:val="00EC1868"/>
    <w:rsid w:val="00EC1903"/>
    <w:rsid w:val="00EC47B8"/>
    <w:rsid w:val="00EC4D1D"/>
    <w:rsid w:val="00EC51A4"/>
    <w:rsid w:val="00EC5741"/>
    <w:rsid w:val="00EC620B"/>
    <w:rsid w:val="00EC6B13"/>
    <w:rsid w:val="00EC6FBB"/>
    <w:rsid w:val="00EC754F"/>
    <w:rsid w:val="00EC7A74"/>
    <w:rsid w:val="00ED0EA1"/>
    <w:rsid w:val="00ED1254"/>
    <w:rsid w:val="00ED1467"/>
    <w:rsid w:val="00ED1CD9"/>
    <w:rsid w:val="00ED21A6"/>
    <w:rsid w:val="00ED21E7"/>
    <w:rsid w:val="00ED29E6"/>
    <w:rsid w:val="00ED2F68"/>
    <w:rsid w:val="00ED3656"/>
    <w:rsid w:val="00ED39B8"/>
    <w:rsid w:val="00ED3C54"/>
    <w:rsid w:val="00ED3D32"/>
    <w:rsid w:val="00ED42E1"/>
    <w:rsid w:val="00ED48C0"/>
    <w:rsid w:val="00ED75D0"/>
    <w:rsid w:val="00ED7B71"/>
    <w:rsid w:val="00ED7BF4"/>
    <w:rsid w:val="00EE09DA"/>
    <w:rsid w:val="00EE0CDE"/>
    <w:rsid w:val="00EE0D99"/>
    <w:rsid w:val="00EE0E10"/>
    <w:rsid w:val="00EE1211"/>
    <w:rsid w:val="00EE1C42"/>
    <w:rsid w:val="00EE2782"/>
    <w:rsid w:val="00EE31B6"/>
    <w:rsid w:val="00EE3AAF"/>
    <w:rsid w:val="00EE45A6"/>
    <w:rsid w:val="00EE49B6"/>
    <w:rsid w:val="00EE52CF"/>
    <w:rsid w:val="00EE600A"/>
    <w:rsid w:val="00EE6182"/>
    <w:rsid w:val="00EE701A"/>
    <w:rsid w:val="00EF00B1"/>
    <w:rsid w:val="00EF01F7"/>
    <w:rsid w:val="00EF0979"/>
    <w:rsid w:val="00EF160A"/>
    <w:rsid w:val="00EF32EB"/>
    <w:rsid w:val="00EF37F8"/>
    <w:rsid w:val="00EF38AF"/>
    <w:rsid w:val="00EF47E7"/>
    <w:rsid w:val="00EF4A6E"/>
    <w:rsid w:val="00EF60AE"/>
    <w:rsid w:val="00EF689E"/>
    <w:rsid w:val="00EF6AB6"/>
    <w:rsid w:val="00EF6D7F"/>
    <w:rsid w:val="00EF6DB2"/>
    <w:rsid w:val="00EF6E9C"/>
    <w:rsid w:val="00EF7001"/>
    <w:rsid w:val="00F0005F"/>
    <w:rsid w:val="00F005A0"/>
    <w:rsid w:val="00F006F7"/>
    <w:rsid w:val="00F00933"/>
    <w:rsid w:val="00F00FED"/>
    <w:rsid w:val="00F013DA"/>
    <w:rsid w:val="00F01627"/>
    <w:rsid w:val="00F0178F"/>
    <w:rsid w:val="00F027DE"/>
    <w:rsid w:val="00F02FFB"/>
    <w:rsid w:val="00F033D5"/>
    <w:rsid w:val="00F038A1"/>
    <w:rsid w:val="00F03C1D"/>
    <w:rsid w:val="00F040DB"/>
    <w:rsid w:val="00F04982"/>
    <w:rsid w:val="00F10CCA"/>
    <w:rsid w:val="00F112D3"/>
    <w:rsid w:val="00F116E0"/>
    <w:rsid w:val="00F117D2"/>
    <w:rsid w:val="00F12281"/>
    <w:rsid w:val="00F12394"/>
    <w:rsid w:val="00F12492"/>
    <w:rsid w:val="00F12724"/>
    <w:rsid w:val="00F12931"/>
    <w:rsid w:val="00F13DF7"/>
    <w:rsid w:val="00F14030"/>
    <w:rsid w:val="00F147B6"/>
    <w:rsid w:val="00F15A5B"/>
    <w:rsid w:val="00F1692A"/>
    <w:rsid w:val="00F16A5A"/>
    <w:rsid w:val="00F16C7B"/>
    <w:rsid w:val="00F17966"/>
    <w:rsid w:val="00F2096F"/>
    <w:rsid w:val="00F21483"/>
    <w:rsid w:val="00F21686"/>
    <w:rsid w:val="00F227EB"/>
    <w:rsid w:val="00F2324A"/>
    <w:rsid w:val="00F23ECE"/>
    <w:rsid w:val="00F2447F"/>
    <w:rsid w:val="00F252F4"/>
    <w:rsid w:val="00F25984"/>
    <w:rsid w:val="00F25A17"/>
    <w:rsid w:val="00F25CAC"/>
    <w:rsid w:val="00F26636"/>
    <w:rsid w:val="00F26720"/>
    <w:rsid w:val="00F26777"/>
    <w:rsid w:val="00F26EDB"/>
    <w:rsid w:val="00F276BF"/>
    <w:rsid w:val="00F27C86"/>
    <w:rsid w:val="00F27F16"/>
    <w:rsid w:val="00F30C04"/>
    <w:rsid w:val="00F30D8B"/>
    <w:rsid w:val="00F30DC3"/>
    <w:rsid w:val="00F30F22"/>
    <w:rsid w:val="00F3124A"/>
    <w:rsid w:val="00F31692"/>
    <w:rsid w:val="00F318E7"/>
    <w:rsid w:val="00F320FC"/>
    <w:rsid w:val="00F3287D"/>
    <w:rsid w:val="00F33ABD"/>
    <w:rsid w:val="00F340ED"/>
    <w:rsid w:val="00F35470"/>
    <w:rsid w:val="00F35939"/>
    <w:rsid w:val="00F3657B"/>
    <w:rsid w:val="00F36D8D"/>
    <w:rsid w:val="00F37760"/>
    <w:rsid w:val="00F37D4F"/>
    <w:rsid w:val="00F37DEF"/>
    <w:rsid w:val="00F37F84"/>
    <w:rsid w:val="00F4050D"/>
    <w:rsid w:val="00F411CE"/>
    <w:rsid w:val="00F41259"/>
    <w:rsid w:val="00F4227E"/>
    <w:rsid w:val="00F426BF"/>
    <w:rsid w:val="00F43482"/>
    <w:rsid w:val="00F43E7F"/>
    <w:rsid w:val="00F445F2"/>
    <w:rsid w:val="00F44C42"/>
    <w:rsid w:val="00F4549F"/>
    <w:rsid w:val="00F45697"/>
    <w:rsid w:val="00F468EE"/>
    <w:rsid w:val="00F475D2"/>
    <w:rsid w:val="00F47952"/>
    <w:rsid w:val="00F47EE5"/>
    <w:rsid w:val="00F50505"/>
    <w:rsid w:val="00F50D65"/>
    <w:rsid w:val="00F50F12"/>
    <w:rsid w:val="00F53286"/>
    <w:rsid w:val="00F538E5"/>
    <w:rsid w:val="00F53AC8"/>
    <w:rsid w:val="00F54420"/>
    <w:rsid w:val="00F54B0C"/>
    <w:rsid w:val="00F554D7"/>
    <w:rsid w:val="00F557B3"/>
    <w:rsid w:val="00F559D8"/>
    <w:rsid w:val="00F5670D"/>
    <w:rsid w:val="00F57423"/>
    <w:rsid w:val="00F57850"/>
    <w:rsid w:val="00F57A0F"/>
    <w:rsid w:val="00F60260"/>
    <w:rsid w:val="00F60906"/>
    <w:rsid w:val="00F60987"/>
    <w:rsid w:val="00F6191D"/>
    <w:rsid w:val="00F624B1"/>
    <w:rsid w:val="00F6339C"/>
    <w:rsid w:val="00F63630"/>
    <w:rsid w:val="00F63A01"/>
    <w:rsid w:val="00F64EC1"/>
    <w:rsid w:val="00F651BF"/>
    <w:rsid w:val="00F659A0"/>
    <w:rsid w:val="00F66536"/>
    <w:rsid w:val="00F708DE"/>
    <w:rsid w:val="00F717A9"/>
    <w:rsid w:val="00F72426"/>
    <w:rsid w:val="00F7254F"/>
    <w:rsid w:val="00F7406D"/>
    <w:rsid w:val="00F743EA"/>
    <w:rsid w:val="00F7689B"/>
    <w:rsid w:val="00F76932"/>
    <w:rsid w:val="00F76DDB"/>
    <w:rsid w:val="00F7713F"/>
    <w:rsid w:val="00F777C3"/>
    <w:rsid w:val="00F77E22"/>
    <w:rsid w:val="00F80A98"/>
    <w:rsid w:val="00F823D7"/>
    <w:rsid w:val="00F8291E"/>
    <w:rsid w:val="00F82A5D"/>
    <w:rsid w:val="00F841AB"/>
    <w:rsid w:val="00F841FF"/>
    <w:rsid w:val="00F856AC"/>
    <w:rsid w:val="00F86657"/>
    <w:rsid w:val="00F868A1"/>
    <w:rsid w:val="00F86DD9"/>
    <w:rsid w:val="00F902F5"/>
    <w:rsid w:val="00F90AF6"/>
    <w:rsid w:val="00F91407"/>
    <w:rsid w:val="00F91A68"/>
    <w:rsid w:val="00F91E8C"/>
    <w:rsid w:val="00F92ACE"/>
    <w:rsid w:val="00F931CC"/>
    <w:rsid w:val="00F9385A"/>
    <w:rsid w:val="00F93883"/>
    <w:rsid w:val="00F94F07"/>
    <w:rsid w:val="00F95CA2"/>
    <w:rsid w:val="00F9664F"/>
    <w:rsid w:val="00F967F4"/>
    <w:rsid w:val="00F96BDC"/>
    <w:rsid w:val="00F974A6"/>
    <w:rsid w:val="00F97D5C"/>
    <w:rsid w:val="00F97E77"/>
    <w:rsid w:val="00FA0C3D"/>
    <w:rsid w:val="00FA11E0"/>
    <w:rsid w:val="00FA1A6F"/>
    <w:rsid w:val="00FA21B4"/>
    <w:rsid w:val="00FA279A"/>
    <w:rsid w:val="00FA3FDE"/>
    <w:rsid w:val="00FA4E4A"/>
    <w:rsid w:val="00FA5313"/>
    <w:rsid w:val="00FA58CD"/>
    <w:rsid w:val="00FA5C06"/>
    <w:rsid w:val="00FA5E54"/>
    <w:rsid w:val="00FA6364"/>
    <w:rsid w:val="00FA7542"/>
    <w:rsid w:val="00FA798E"/>
    <w:rsid w:val="00FA7F13"/>
    <w:rsid w:val="00FA7F23"/>
    <w:rsid w:val="00FB0112"/>
    <w:rsid w:val="00FB09F1"/>
    <w:rsid w:val="00FB0C51"/>
    <w:rsid w:val="00FB1F58"/>
    <w:rsid w:val="00FB29DE"/>
    <w:rsid w:val="00FB5A58"/>
    <w:rsid w:val="00FB612E"/>
    <w:rsid w:val="00FB6503"/>
    <w:rsid w:val="00FB6B9A"/>
    <w:rsid w:val="00FB6E1E"/>
    <w:rsid w:val="00FC0DD0"/>
    <w:rsid w:val="00FC1451"/>
    <w:rsid w:val="00FC1A8F"/>
    <w:rsid w:val="00FC1EB7"/>
    <w:rsid w:val="00FC29E5"/>
    <w:rsid w:val="00FC32FE"/>
    <w:rsid w:val="00FC39C0"/>
    <w:rsid w:val="00FC410E"/>
    <w:rsid w:val="00FC43DA"/>
    <w:rsid w:val="00FC44CE"/>
    <w:rsid w:val="00FC4820"/>
    <w:rsid w:val="00FC60C5"/>
    <w:rsid w:val="00FC61F7"/>
    <w:rsid w:val="00FC7699"/>
    <w:rsid w:val="00FD0088"/>
    <w:rsid w:val="00FD13F0"/>
    <w:rsid w:val="00FD198E"/>
    <w:rsid w:val="00FD19EA"/>
    <w:rsid w:val="00FD2271"/>
    <w:rsid w:val="00FD3972"/>
    <w:rsid w:val="00FD3E13"/>
    <w:rsid w:val="00FD48F1"/>
    <w:rsid w:val="00FD59E9"/>
    <w:rsid w:val="00FD5D61"/>
    <w:rsid w:val="00FD6076"/>
    <w:rsid w:val="00FD6151"/>
    <w:rsid w:val="00FD6301"/>
    <w:rsid w:val="00FD679E"/>
    <w:rsid w:val="00FD6A6D"/>
    <w:rsid w:val="00FD6FFE"/>
    <w:rsid w:val="00FD76BE"/>
    <w:rsid w:val="00FE02C7"/>
    <w:rsid w:val="00FE072E"/>
    <w:rsid w:val="00FE078C"/>
    <w:rsid w:val="00FE0DBA"/>
    <w:rsid w:val="00FE1715"/>
    <w:rsid w:val="00FE1EEF"/>
    <w:rsid w:val="00FE1F52"/>
    <w:rsid w:val="00FE3D3C"/>
    <w:rsid w:val="00FE3E0C"/>
    <w:rsid w:val="00FE45AD"/>
    <w:rsid w:val="00FE4F80"/>
    <w:rsid w:val="00FE5B3C"/>
    <w:rsid w:val="00FE613B"/>
    <w:rsid w:val="00FE6B0A"/>
    <w:rsid w:val="00FE6F43"/>
    <w:rsid w:val="00FE75D3"/>
    <w:rsid w:val="00FE78BB"/>
    <w:rsid w:val="00FF04E5"/>
    <w:rsid w:val="00FF06EC"/>
    <w:rsid w:val="00FF1F72"/>
    <w:rsid w:val="00FF1FA0"/>
    <w:rsid w:val="00FF27E8"/>
    <w:rsid w:val="00FF39A2"/>
    <w:rsid w:val="00FF3B55"/>
    <w:rsid w:val="00FF4FDF"/>
    <w:rsid w:val="00FF61D0"/>
    <w:rsid w:val="00FF6DFE"/>
    <w:rsid w:val="00FF700F"/>
    <w:rsid w:val="00FF7182"/>
    <w:rsid w:val="00FF74CD"/>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05DDA4"/>
  <w15:chartTrackingRefBased/>
  <w15:docId w15:val="{8604F058-EA85-4E05-BBD3-57F4C2E8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qFormat="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F320FC"/>
    <w:rPr>
      <w:lang w:val="uk-UA"/>
    </w:rPr>
  </w:style>
  <w:style w:type="paragraph" w:styleId="1">
    <w:name w:val="heading 1"/>
    <w:basedOn w:val="a0"/>
    <w:next w:val="a0"/>
    <w:link w:val="10"/>
    <w:qFormat/>
    <w:rsid w:val="000B063F"/>
    <w:pPr>
      <w:keepNext/>
      <w:keepLines/>
      <w:widowControl w:val="0"/>
      <w:tabs>
        <w:tab w:val="left" w:pos="1134"/>
      </w:tabs>
      <w:spacing w:before="80" w:after="80"/>
      <w:ind w:left="360" w:hanging="360"/>
      <w:jc w:val="center"/>
      <w:outlineLvl w:val="0"/>
    </w:pPr>
    <w:rPr>
      <w:rFonts w:cs="Helvetica"/>
      <w:b/>
      <w:color w:val="000000"/>
      <w:sz w:val="28"/>
      <w:szCs w:val="32"/>
      <w:lang w:eastAsia="en-US"/>
    </w:rPr>
  </w:style>
  <w:style w:type="paragraph" w:styleId="2">
    <w:name w:val="heading 2"/>
    <w:basedOn w:val="a0"/>
    <w:next w:val="a0"/>
    <w:link w:val="20"/>
    <w:semiHidden/>
    <w:unhideWhenUsed/>
    <w:qFormat/>
    <w:rsid w:val="007570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0"/>
    <w:next w:val="a0"/>
    <w:qFormat/>
    <w:rsid w:val="009150D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536"/>
        <w:tab w:val="right" w:pos="9072"/>
      </w:tabs>
    </w:pPr>
  </w:style>
  <w:style w:type="paragraph" w:styleId="a6">
    <w:name w:val="footer"/>
    <w:basedOn w:val="a0"/>
    <w:link w:val="a7"/>
    <w:uiPriority w:val="99"/>
    <w:pPr>
      <w:tabs>
        <w:tab w:val="center" w:pos="4536"/>
        <w:tab w:val="right" w:pos="9072"/>
      </w:tabs>
    </w:pPr>
  </w:style>
  <w:style w:type="table" w:styleId="a8">
    <w:name w:val="Table Grid"/>
    <w:basedOn w:val="a2"/>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1"/>
    <w:rsid w:val="00AC2EBD"/>
  </w:style>
  <w:style w:type="paragraph" w:styleId="aa">
    <w:name w:val="Balloon Text"/>
    <w:basedOn w:val="a0"/>
    <w:link w:val="ab"/>
    <w:uiPriority w:val="99"/>
    <w:semiHidden/>
    <w:rsid w:val="00D369C9"/>
    <w:rPr>
      <w:rFonts w:ascii="Tahoma" w:hAnsi="Tahoma" w:cs="Tahoma"/>
      <w:sz w:val="16"/>
      <w:szCs w:val="16"/>
    </w:rPr>
  </w:style>
  <w:style w:type="paragraph" w:styleId="21">
    <w:name w:val="Body Text 2"/>
    <w:basedOn w:val="a0"/>
    <w:link w:val="22"/>
    <w:rsid w:val="008A13C4"/>
    <w:pPr>
      <w:jc w:val="both"/>
    </w:pPr>
    <w:rPr>
      <w:sz w:val="28"/>
      <w:lang w:eastAsia="x-none"/>
    </w:rPr>
  </w:style>
  <w:style w:type="paragraph" w:customStyle="1" w:styleId="ac">
    <w:name w:val="Знак Знак Знак Знак"/>
    <w:basedOn w:val="a0"/>
    <w:rsid w:val="00735DCE"/>
    <w:rPr>
      <w:rFonts w:ascii="Verdana" w:hAnsi="Verdana" w:cs="Verdana"/>
      <w:lang w:val="en-US" w:eastAsia="en-US"/>
    </w:rPr>
  </w:style>
  <w:style w:type="character" w:styleId="ad">
    <w:name w:val="Hyperlink"/>
    <w:uiPriority w:val="99"/>
    <w:rsid w:val="008C4BDD"/>
    <w:rPr>
      <w:color w:val="0000FF"/>
      <w:u w:val="single"/>
    </w:rPr>
  </w:style>
  <w:style w:type="paragraph" w:customStyle="1" w:styleId="ae">
    <w:name w:val="Знак Знак Знак Знак Знак Знак Знак"/>
    <w:basedOn w:val="a0"/>
    <w:rsid w:val="00A64EEC"/>
    <w:rPr>
      <w:rFonts w:ascii="Verdana" w:hAnsi="Verdana" w:cs="Verdana"/>
      <w:lang w:val="en-US" w:eastAsia="en-US"/>
    </w:rPr>
  </w:style>
  <w:style w:type="character" w:styleId="af">
    <w:name w:val="annotation reference"/>
    <w:uiPriority w:val="99"/>
    <w:rsid w:val="00615583"/>
    <w:rPr>
      <w:sz w:val="16"/>
      <w:szCs w:val="16"/>
    </w:rPr>
  </w:style>
  <w:style w:type="paragraph" w:styleId="af0">
    <w:name w:val="annotation text"/>
    <w:basedOn w:val="a0"/>
    <w:link w:val="af1"/>
    <w:uiPriority w:val="99"/>
    <w:rsid w:val="00615583"/>
    <w:rPr>
      <w:lang w:val="x-none"/>
    </w:rPr>
  </w:style>
  <w:style w:type="character" w:customStyle="1" w:styleId="af1">
    <w:name w:val="Текст примітки Знак"/>
    <w:link w:val="af0"/>
    <w:uiPriority w:val="99"/>
    <w:rsid w:val="00615583"/>
    <w:rPr>
      <w:lang w:eastAsia="ru-RU"/>
    </w:rPr>
  </w:style>
  <w:style w:type="paragraph" w:styleId="af2">
    <w:name w:val="annotation subject"/>
    <w:basedOn w:val="af0"/>
    <w:next w:val="af0"/>
    <w:link w:val="af3"/>
    <w:uiPriority w:val="99"/>
    <w:rsid w:val="00615583"/>
    <w:rPr>
      <w:b/>
      <w:bCs/>
    </w:rPr>
  </w:style>
  <w:style w:type="character" w:customStyle="1" w:styleId="af3">
    <w:name w:val="Тема примітки Знак"/>
    <w:link w:val="af2"/>
    <w:uiPriority w:val="99"/>
    <w:rsid w:val="00615583"/>
    <w:rPr>
      <w:b/>
      <w:bCs/>
      <w:lang w:eastAsia="ru-RU"/>
    </w:rPr>
  </w:style>
  <w:style w:type="paragraph" w:customStyle="1" w:styleId="11">
    <w:name w:val="Знак Знак1 Знак Знак Знак Знак Знак Знак Знак Знак"/>
    <w:basedOn w:val="a0"/>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rsid w:val="0051268C"/>
    <w:rPr>
      <w:rFonts w:ascii="Calibri Light" w:eastAsia="Times New Roman" w:hAnsi="Calibri Light" w:cs="Times New Roman"/>
      <w:b/>
      <w:bCs/>
      <w:sz w:val="26"/>
      <w:szCs w:val="26"/>
      <w:lang w:eastAsia="ru-RU"/>
    </w:rPr>
  </w:style>
  <w:style w:type="character" w:customStyle="1" w:styleId="af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5"/>
    <w:locked/>
    <w:rsid w:val="007A1E8C"/>
    <w:rPr>
      <w:sz w:val="24"/>
      <w:szCs w:val="24"/>
      <w:lang w:val="uk-UA" w:eastAsia="uk-UA"/>
    </w:rPr>
  </w:style>
  <w:style w:type="paragraph" w:styleId="af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4"/>
    <w:unhideWhenUsed/>
    <w:qFormat/>
    <w:rsid w:val="007A1E8C"/>
    <w:pPr>
      <w:spacing w:before="100" w:beforeAutospacing="1" w:after="100" w:afterAutospacing="1"/>
    </w:pPr>
    <w:rPr>
      <w:sz w:val="24"/>
      <w:szCs w:val="24"/>
      <w:lang w:eastAsia="uk-UA"/>
    </w:rPr>
  </w:style>
  <w:style w:type="paragraph" w:styleId="HTML">
    <w:name w:val="HTML Preformatted"/>
    <w:basedOn w:val="a0"/>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0"/>
    <w:link w:val="rvps2Char"/>
    <w:qFormat/>
    <w:rsid w:val="00953F77"/>
    <w:pPr>
      <w:spacing w:before="100" w:beforeAutospacing="1" w:after="100" w:afterAutospacing="1"/>
    </w:pPr>
    <w:rPr>
      <w:sz w:val="24"/>
      <w:szCs w:val="24"/>
      <w:lang w:val="ru-RU"/>
    </w:rPr>
  </w:style>
  <w:style w:type="paragraph" w:styleId="af6">
    <w:name w:val="List Paragraph"/>
    <w:basedOn w:val="a0"/>
    <w:link w:val="af7"/>
    <w:uiPriority w:val="1"/>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7">
    <w:name w:val="Абзац списку Знак"/>
    <w:link w:val="af6"/>
    <w:uiPriority w:val="34"/>
    <w:rsid w:val="00816FED"/>
    <w:rPr>
      <w:rFonts w:ascii="Calibri" w:eastAsia="Calibri" w:hAnsi="Calibri"/>
      <w:sz w:val="22"/>
      <w:szCs w:val="22"/>
      <w:lang w:eastAsia="en-US"/>
    </w:rPr>
  </w:style>
  <w:style w:type="paragraph" w:styleId="af8">
    <w:name w:val="Revision"/>
    <w:hidden/>
    <w:uiPriority w:val="99"/>
    <w:semiHidden/>
    <w:rsid w:val="006C0613"/>
    <w:rPr>
      <w:lang w:val="uk-UA"/>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ab">
    <w:name w:val="Текст у виносці Знак"/>
    <w:link w:val="aa"/>
    <w:uiPriority w:val="99"/>
    <w:semiHidden/>
    <w:rsid w:val="00076A8A"/>
    <w:rPr>
      <w:rFonts w:ascii="Tahoma" w:hAnsi="Tahoma" w:cs="Tahoma"/>
      <w:sz w:val="16"/>
      <w:szCs w:val="16"/>
      <w:lang w:eastAsia="ru-RU"/>
    </w:rPr>
  </w:style>
  <w:style w:type="character" w:customStyle="1" w:styleId="a5">
    <w:name w:val="Верхній колонтитул Знак"/>
    <w:link w:val="a4"/>
    <w:uiPriority w:val="99"/>
    <w:rsid w:val="00076A8A"/>
    <w:rPr>
      <w:lang w:eastAsia="ru-RU"/>
    </w:rPr>
  </w:style>
  <w:style w:type="character" w:customStyle="1" w:styleId="a7">
    <w:name w:val="Нижній колонтитул Знак"/>
    <w:link w:val="a6"/>
    <w:uiPriority w:val="99"/>
    <w:rsid w:val="00076A8A"/>
    <w:rPr>
      <w:lang w:eastAsia="ru-RU"/>
    </w:rPr>
  </w:style>
  <w:style w:type="character" w:styleId="af9">
    <w:name w:val="Strong"/>
    <w:uiPriority w:val="22"/>
    <w:qFormat/>
    <w:rsid w:val="008502D0"/>
    <w:rPr>
      <w:b/>
      <w:bCs/>
    </w:rPr>
  </w:style>
  <w:style w:type="paragraph" w:customStyle="1" w:styleId="12">
    <w:name w:val="Основной текст1"/>
    <w:basedOn w:val="a0"/>
    <w:rsid w:val="004B6255"/>
    <w:pPr>
      <w:suppressAutoHyphens/>
      <w:spacing w:after="600" w:line="288" w:lineRule="auto"/>
      <w:jc w:val="center"/>
    </w:pPr>
    <w:rPr>
      <w:sz w:val="28"/>
      <w:szCs w:val="28"/>
      <w:lang w:eastAsia="zh-CN"/>
    </w:rPr>
  </w:style>
  <w:style w:type="paragraph" w:customStyle="1" w:styleId="rvps7">
    <w:name w:val="rvps7"/>
    <w:basedOn w:val="a0"/>
    <w:rsid w:val="00BC2F36"/>
    <w:pPr>
      <w:spacing w:before="100" w:beforeAutospacing="1" w:after="100" w:afterAutospacing="1"/>
    </w:pPr>
    <w:rPr>
      <w:sz w:val="24"/>
      <w:szCs w:val="24"/>
      <w:lang w:eastAsia="uk-UA"/>
    </w:rPr>
  </w:style>
  <w:style w:type="character" w:customStyle="1" w:styleId="rvts0">
    <w:name w:val="rvts0"/>
    <w:rsid w:val="00BC2F36"/>
  </w:style>
  <w:style w:type="paragraph" w:styleId="afa">
    <w:name w:val="Body Text Indent"/>
    <w:basedOn w:val="a0"/>
    <w:link w:val="afb"/>
    <w:rsid w:val="00AF16E5"/>
    <w:pPr>
      <w:ind w:firstLine="708"/>
      <w:jc w:val="both"/>
    </w:pPr>
    <w:rPr>
      <w:sz w:val="28"/>
    </w:rPr>
  </w:style>
  <w:style w:type="character" w:customStyle="1" w:styleId="afb">
    <w:name w:val="Основний текст з відступом Знак"/>
    <w:basedOn w:val="a1"/>
    <w:link w:val="afa"/>
    <w:rsid w:val="00AF16E5"/>
    <w:rPr>
      <w:sz w:val="28"/>
      <w:lang w:val="uk-UA"/>
    </w:rPr>
  </w:style>
  <w:style w:type="paragraph" w:customStyle="1" w:styleId="Normalnumbering">
    <w:name w:val="Normal numbering"/>
    <w:basedOn w:val="a0"/>
    <w:link w:val="NormalnumberingChar"/>
    <w:uiPriority w:val="99"/>
    <w:rsid w:val="000B063F"/>
    <w:pPr>
      <w:widowControl w:val="0"/>
      <w:tabs>
        <w:tab w:val="left" w:pos="1701"/>
        <w:tab w:val="num" w:pos="2211"/>
      </w:tabs>
      <w:spacing w:before="120" w:after="120"/>
      <w:ind w:firstLine="851"/>
      <w:jc w:val="both"/>
      <w:outlineLvl w:val="0"/>
    </w:pPr>
    <w:rPr>
      <w:rFonts w:eastAsia="Calibri" w:cs="Helvetica"/>
      <w:sz w:val="28"/>
      <w:szCs w:val="24"/>
      <w:lang w:val="ru-RU" w:eastAsia="en-US"/>
    </w:rPr>
  </w:style>
  <w:style w:type="character" w:customStyle="1" w:styleId="NormalnumberingChar">
    <w:name w:val="Normal numbering Char"/>
    <w:link w:val="Normalnumbering"/>
    <w:uiPriority w:val="99"/>
    <w:locked/>
    <w:rsid w:val="000B063F"/>
    <w:rPr>
      <w:rFonts w:eastAsia="Calibri" w:cs="Helvetica"/>
      <w:sz w:val="28"/>
      <w:szCs w:val="24"/>
      <w:lang w:eastAsia="en-US"/>
    </w:rPr>
  </w:style>
  <w:style w:type="character" w:customStyle="1" w:styleId="10">
    <w:name w:val="Заголовок 1 Знак"/>
    <w:basedOn w:val="a1"/>
    <w:link w:val="1"/>
    <w:rsid w:val="000B063F"/>
    <w:rPr>
      <w:rFonts w:cs="Helvetica"/>
      <w:b/>
      <w:color w:val="000000"/>
      <w:sz w:val="28"/>
      <w:szCs w:val="32"/>
      <w:lang w:val="uk-UA" w:eastAsia="en-US"/>
    </w:rPr>
  </w:style>
  <w:style w:type="paragraph" w:styleId="afc">
    <w:name w:val="No Spacing"/>
    <w:link w:val="afd"/>
    <w:uiPriority w:val="1"/>
    <w:qFormat/>
    <w:rsid w:val="00026909"/>
    <w:rPr>
      <w:rFonts w:asciiTheme="minorHAnsi" w:eastAsiaTheme="minorHAnsi" w:hAnsiTheme="minorHAnsi" w:cstheme="minorBidi"/>
      <w:sz w:val="22"/>
      <w:szCs w:val="22"/>
      <w:lang w:val="uk-UA" w:eastAsia="en-US"/>
    </w:rPr>
  </w:style>
  <w:style w:type="paragraph" w:customStyle="1" w:styleId="Normalwithoutnum">
    <w:name w:val="Normal without num"/>
    <w:basedOn w:val="a0"/>
    <w:qFormat/>
    <w:rsid w:val="00E42A24"/>
    <w:pPr>
      <w:widowControl w:val="0"/>
      <w:ind w:firstLine="851"/>
      <w:jc w:val="both"/>
      <w:outlineLvl w:val="2"/>
    </w:pPr>
    <w:rPr>
      <w:rFonts w:eastAsia="Calibri"/>
      <w:sz w:val="28"/>
      <w:szCs w:val="28"/>
      <w:lang w:eastAsia="en-US"/>
    </w:rPr>
  </w:style>
  <w:style w:type="paragraph" w:customStyle="1" w:styleId="afe">
    <w:name w:val="Обычный формула"/>
    <w:basedOn w:val="a0"/>
    <w:uiPriority w:val="99"/>
    <w:rsid w:val="00E42A24"/>
    <w:pPr>
      <w:widowControl w:val="0"/>
      <w:tabs>
        <w:tab w:val="left" w:pos="1701"/>
      </w:tabs>
      <w:spacing w:before="120" w:after="120"/>
      <w:jc w:val="center"/>
      <w:outlineLvl w:val="2"/>
    </w:pPr>
    <w:rPr>
      <w:rFonts w:cs="Helvetica"/>
      <w:sz w:val="28"/>
      <w:szCs w:val="24"/>
      <w:lang w:val="ru-RU" w:eastAsia="en-US"/>
    </w:rPr>
  </w:style>
  <w:style w:type="character" w:customStyle="1" w:styleId="xfm68768843">
    <w:name w:val="xfm_68768843"/>
    <w:basedOn w:val="a1"/>
    <w:rsid w:val="004A4537"/>
  </w:style>
  <w:style w:type="paragraph" w:styleId="31">
    <w:name w:val="Body Text Indent 3"/>
    <w:basedOn w:val="a0"/>
    <w:link w:val="32"/>
    <w:rsid w:val="006B3BFF"/>
    <w:pPr>
      <w:spacing w:after="120"/>
      <w:ind w:left="283"/>
    </w:pPr>
    <w:rPr>
      <w:rFonts w:eastAsia="SimSun" w:cs="Latha"/>
      <w:sz w:val="16"/>
      <w:szCs w:val="16"/>
      <w:lang w:bidi="ta-IN"/>
    </w:rPr>
  </w:style>
  <w:style w:type="character" w:customStyle="1" w:styleId="32">
    <w:name w:val="Основний текст з відступом 3 Знак"/>
    <w:basedOn w:val="a1"/>
    <w:link w:val="31"/>
    <w:rsid w:val="006B3BFF"/>
    <w:rPr>
      <w:rFonts w:eastAsia="SimSun" w:cs="Latha"/>
      <w:sz w:val="16"/>
      <w:szCs w:val="16"/>
      <w:lang w:val="uk-UA" w:bidi="ta-IN"/>
    </w:rPr>
  </w:style>
  <w:style w:type="character" w:customStyle="1" w:styleId="23">
    <w:name w:val="Основной текст (2)_"/>
    <w:link w:val="24"/>
    <w:rsid w:val="00A21FB1"/>
    <w:rPr>
      <w:shd w:val="clear" w:color="auto" w:fill="FFFFFF"/>
    </w:rPr>
  </w:style>
  <w:style w:type="paragraph" w:customStyle="1" w:styleId="24">
    <w:name w:val="Основной текст (2)"/>
    <w:basedOn w:val="a0"/>
    <w:link w:val="23"/>
    <w:rsid w:val="00A21FB1"/>
    <w:pPr>
      <w:widowControl w:val="0"/>
      <w:shd w:val="clear" w:color="auto" w:fill="FFFFFF"/>
      <w:spacing w:before="120" w:after="2880" w:line="269" w:lineRule="exact"/>
      <w:jc w:val="center"/>
    </w:pPr>
    <w:rPr>
      <w:lang w:val="ru-RU"/>
    </w:rPr>
  </w:style>
  <w:style w:type="character" w:customStyle="1" w:styleId="rvts80">
    <w:name w:val="rvts80"/>
    <w:basedOn w:val="a1"/>
    <w:rsid w:val="00856276"/>
  </w:style>
  <w:style w:type="paragraph" w:customStyle="1" w:styleId="rvps12">
    <w:name w:val="rvps12"/>
    <w:basedOn w:val="a0"/>
    <w:rsid w:val="00856276"/>
    <w:pPr>
      <w:spacing w:before="100" w:beforeAutospacing="1" w:after="100" w:afterAutospacing="1"/>
    </w:pPr>
    <w:rPr>
      <w:sz w:val="24"/>
      <w:szCs w:val="24"/>
      <w:lang w:eastAsia="uk-UA"/>
    </w:rPr>
  </w:style>
  <w:style w:type="character" w:customStyle="1" w:styleId="rvts40">
    <w:name w:val="rvts40"/>
    <w:basedOn w:val="a1"/>
    <w:rsid w:val="00856276"/>
  </w:style>
  <w:style w:type="paragraph" w:customStyle="1" w:styleId="rvps11">
    <w:name w:val="rvps11"/>
    <w:basedOn w:val="a0"/>
    <w:rsid w:val="00856276"/>
    <w:pPr>
      <w:spacing w:before="100" w:beforeAutospacing="1" w:after="100" w:afterAutospacing="1"/>
    </w:pPr>
    <w:rPr>
      <w:sz w:val="24"/>
      <w:szCs w:val="24"/>
      <w:lang w:eastAsia="uk-UA"/>
    </w:rPr>
  </w:style>
  <w:style w:type="paragraph" w:customStyle="1" w:styleId="rvps14">
    <w:name w:val="rvps14"/>
    <w:basedOn w:val="a0"/>
    <w:rsid w:val="00856276"/>
    <w:pPr>
      <w:spacing w:before="100" w:beforeAutospacing="1" w:after="100" w:afterAutospacing="1"/>
    </w:pPr>
    <w:rPr>
      <w:sz w:val="24"/>
      <w:szCs w:val="24"/>
      <w:lang w:eastAsia="uk-UA"/>
    </w:rPr>
  </w:style>
  <w:style w:type="paragraph" w:customStyle="1" w:styleId="aff">
    <w:name w:val="Обычный додатки"/>
    <w:basedOn w:val="a0"/>
    <w:qFormat/>
    <w:rsid w:val="00D310D4"/>
    <w:pPr>
      <w:widowControl w:val="0"/>
      <w:tabs>
        <w:tab w:val="left" w:pos="1701"/>
      </w:tabs>
      <w:spacing w:before="120" w:after="120"/>
      <w:jc w:val="both"/>
      <w:outlineLvl w:val="2"/>
    </w:pPr>
    <w:rPr>
      <w:rFonts w:eastAsia="Calibri" w:cs="Helvetica"/>
      <w:sz w:val="28"/>
      <w:szCs w:val="24"/>
      <w:lang w:eastAsia="en-US"/>
    </w:rPr>
  </w:style>
  <w:style w:type="paragraph" w:customStyle="1" w:styleId="pf0">
    <w:name w:val="pf0"/>
    <w:basedOn w:val="a0"/>
    <w:rsid w:val="00D310D4"/>
    <w:pPr>
      <w:spacing w:before="100" w:beforeAutospacing="1" w:after="100" w:afterAutospacing="1"/>
    </w:pPr>
    <w:rPr>
      <w:sz w:val="24"/>
      <w:szCs w:val="24"/>
      <w:lang w:val="ru-RU"/>
    </w:rPr>
  </w:style>
  <w:style w:type="character" w:customStyle="1" w:styleId="cf01">
    <w:name w:val="cf01"/>
    <w:basedOn w:val="a1"/>
    <w:rsid w:val="00D310D4"/>
    <w:rPr>
      <w:rFonts w:ascii="Segoe UI" w:hAnsi="Segoe UI" w:cs="Segoe UI" w:hint="default"/>
      <w:sz w:val="18"/>
      <w:szCs w:val="18"/>
    </w:rPr>
  </w:style>
  <w:style w:type="character" w:customStyle="1" w:styleId="cf11">
    <w:name w:val="cf11"/>
    <w:basedOn w:val="a1"/>
    <w:rsid w:val="00D310D4"/>
    <w:rPr>
      <w:rFonts w:ascii="Segoe UI" w:hAnsi="Segoe UI" w:cs="Segoe UI" w:hint="default"/>
      <w:sz w:val="18"/>
      <w:szCs w:val="18"/>
    </w:rPr>
  </w:style>
  <w:style w:type="character" w:customStyle="1" w:styleId="rvts15">
    <w:name w:val="rvts15"/>
    <w:rsid w:val="00675FFB"/>
  </w:style>
  <w:style w:type="paragraph" w:customStyle="1" w:styleId="tj">
    <w:name w:val="tj"/>
    <w:basedOn w:val="a0"/>
    <w:rsid w:val="00210C5C"/>
    <w:pPr>
      <w:spacing w:before="100" w:beforeAutospacing="1" w:after="100" w:afterAutospacing="1"/>
    </w:pPr>
    <w:rPr>
      <w:sz w:val="24"/>
      <w:szCs w:val="24"/>
      <w:lang w:eastAsia="uk-UA"/>
    </w:rPr>
  </w:style>
  <w:style w:type="character" w:customStyle="1" w:styleId="hard-blue-color">
    <w:name w:val="hard-blue-color"/>
    <w:basedOn w:val="a1"/>
    <w:rsid w:val="00210C5C"/>
  </w:style>
  <w:style w:type="paragraph" w:customStyle="1" w:styleId="List11">
    <w:name w:val="List 1.1"/>
    <w:basedOn w:val="rvps2"/>
    <w:link w:val="List11Char"/>
    <w:qFormat/>
    <w:rsid w:val="00BB1F50"/>
    <w:pPr>
      <w:tabs>
        <w:tab w:val="left" w:pos="990"/>
      </w:tabs>
      <w:spacing w:before="120" w:beforeAutospacing="0" w:after="120" w:afterAutospacing="0"/>
      <w:ind w:firstLine="432"/>
      <w:jc w:val="both"/>
    </w:pPr>
    <w:rPr>
      <w:rFonts w:eastAsiaTheme="minorEastAsia"/>
      <w:sz w:val="28"/>
      <w:lang w:val="uk-UA" w:eastAsia="uk-UA"/>
    </w:rPr>
  </w:style>
  <w:style w:type="character" w:customStyle="1" w:styleId="List11Char">
    <w:name w:val="List 1.1 Char"/>
    <w:basedOn w:val="a1"/>
    <w:link w:val="List11"/>
    <w:rsid w:val="00BB1F50"/>
    <w:rPr>
      <w:rFonts w:eastAsiaTheme="minorEastAsia"/>
      <w:sz w:val="28"/>
      <w:szCs w:val="24"/>
      <w:lang w:val="uk-UA" w:eastAsia="uk-UA"/>
    </w:rPr>
  </w:style>
  <w:style w:type="character" w:customStyle="1" w:styleId="rvps2Char">
    <w:name w:val="rvps2 Char"/>
    <w:basedOn w:val="a1"/>
    <w:link w:val="rvps2"/>
    <w:rsid w:val="00BB1F50"/>
    <w:rPr>
      <w:sz w:val="24"/>
      <w:szCs w:val="24"/>
    </w:rPr>
  </w:style>
  <w:style w:type="character" w:customStyle="1" w:styleId="20">
    <w:name w:val="Заголовок 2 Знак"/>
    <w:basedOn w:val="a1"/>
    <w:link w:val="2"/>
    <w:semiHidden/>
    <w:rsid w:val="007570E7"/>
    <w:rPr>
      <w:rFonts w:asciiTheme="majorHAnsi" w:eastAsiaTheme="majorEastAsia" w:hAnsiTheme="majorHAnsi" w:cstheme="majorBidi"/>
      <w:color w:val="2E74B5" w:themeColor="accent1" w:themeShade="BF"/>
      <w:sz w:val="26"/>
      <w:szCs w:val="26"/>
      <w:lang w:val="uk-UA"/>
    </w:rPr>
  </w:style>
  <w:style w:type="character" w:customStyle="1" w:styleId="rvts23">
    <w:name w:val="rvts23"/>
    <w:rsid w:val="00490420"/>
  </w:style>
  <w:style w:type="paragraph" w:customStyle="1" w:styleId="TableParagraph">
    <w:name w:val="Table Paragraph"/>
    <w:basedOn w:val="a0"/>
    <w:uiPriority w:val="1"/>
    <w:qFormat/>
    <w:rsid w:val="000549A8"/>
    <w:pPr>
      <w:widowControl w:val="0"/>
      <w:autoSpaceDE w:val="0"/>
      <w:autoSpaceDN w:val="0"/>
      <w:ind w:left="107"/>
    </w:pPr>
    <w:rPr>
      <w:sz w:val="22"/>
      <w:szCs w:val="22"/>
      <w:lang w:val="en-US" w:eastAsia="en-US"/>
    </w:rPr>
  </w:style>
  <w:style w:type="character" w:customStyle="1" w:styleId="rvts44">
    <w:name w:val="rvts44"/>
    <w:rsid w:val="000549A8"/>
  </w:style>
  <w:style w:type="paragraph" w:customStyle="1" w:styleId="tl">
    <w:name w:val="tl"/>
    <w:basedOn w:val="a0"/>
    <w:rsid w:val="00921E0C"/>
    <w:pPr>
      <w:spacing w:before="100" w:beforeAutospacing="1" w:after="100" w:afterAutospacing="1"/>
    </w:pPr>
    <w:rPr>
      <w:sz w:val="24"/>
      <w:szCs w:val="24"/>
      <w:lang w:eastAsia="uk-UA"/>
    </w:rPr>
  </w:style>
  <w:style w:type="character" w:styleId="aff0">
    <w:name w:val="Emphasis"/>
    <w:basedOn w:val="a1"/>
    <w:qFormat/>
    <w:rsid w:val="00121E98"/>
    <w:rPr>
      <w:i/>
      <w:iCs/>
    </w:rPr>
  </w:style>
  <w:style w:type="character" w:customStyle="1" w:styleId="fontstyle01">
    <w:name w:val="fontstyle01"/>
    <w:rsid w:val="00595ACE"/>
    <w:rPr>
      <w:rFonts w:ascii="TimesNewRoman" w:hAnsi="TimesNewRoman" w:hint="default"/>
      <w:b w:val="0"/>
      <w:bCs w:val="0"/>
      <w:i w:val="0"/>
      <w:iCs w:val="0"/>
      <w:color w:val="000000"/>
      <w:sz w:val="24"/>
      <w:szCs w:val="24"/>
    </w:rPr>
  </w:style>
  <w:style w:type="character" w:customStyle="1" w:styleId="rvts46">
    <w:name w:val="rvts46"/>
    <w:basedOn w:val="a1"/>
    <w:rsid w:val="005D4483"/>
  </w:style>
  <w:style w:type="character" w:customStyle="1" w:styleId="rvts11">
    <w:name w:val="rvts11"/>
    <w:basedOn w:val="a1"/>
    <w:rsid w:val="005D4483"/>
  </w:style>
  <w:style w:type="character" w:customStyle="1" w:styleId="rvts37">
    <w:name w:val="rvts37"/>
    <w:basedOn w:val="a1"/>
    <w:rsid w:val="005D4483"/>
  </w:style>
  <w:style w:type="character" w:customStyle="1" w:styleId="st42">
    <w:name w:val="st42"/>
    <w:uiPriority w:val="99"/>
    <w:rsid w:val="003D5C84"/>
    <w:rPr>
      <w:color w:val="000000"/>
    </w:rPr>
  </w:style>
  <w:style w:type="paragraph" w:customStyle="1" w:styleId="13">
    <w:name w:val="Абзац списка1"/>
    <w:basedOn w:val="a0"/>
    <w:rsid w:val="00732861"/>
    <w:pPr>
      <w:ind w:left="720"/>
    </w:pPr>
    <w:rPr>
      <w:rFonts w:eastAsia="Calibri"/>
      <w:sz w:val="24"/>
      <w:szCs w:val="24"/>
      <w:lang w:val="ru-RU"/>
    </w:rPr>
  </w:style>
  <w:style w:type="paragraph" w:customStyle="1" w:styleId="110">
    <w:name w:val="Абзац списка11"/>
    <w:basedOn w:val="a0"/>
    <w:rsid w:val="00CE4089"/>
    <w:pPr>
      <w:ind w:left="720"/>
    </w:pPr>
    <w:rPr>
      <w:rFonts w:eastAsia="Calibri"/>
      <w:sz w:val="24"/>
      <w:szCs w:val="24"/>
      <w:lang w:val="ru-RU"/>
    </w:rPr>
  </w:style>
  <w:style w:type="paragraph" w:styleId="a">
    <w:name w:val="List Bullet"/>
    <w:basedOn w:val="a0"/>
    <w:unhideWhenUsed/>
    <w:rsid w:val="00CE4089"/>
    <w:pPr>
      <w:numPr>
        <w:numId w:val="1"/>
      </w:numPr>
      <w:spacing w:after="200" w:line="276" w:lineRule="auto"/>
      <w:ind w:left="0" w:firstLine="0"/>
      <w:jc w:val="both"/>
    </w:pPr>
    <w:rPr>
      <w:rFonts w:ascii="Arial" w:hAnsi="Arial"/>
      <w:lang w:val="en-US" w:eastAsia="en-US"/>
    </w:rPr>
  </w:style>
  <w:style w:type="paragraph" w:customStyle="1" w:styleId="14">
    <w:name w:val="Абзац списку1"/>
    <w:basedOn w:val="a0"/>
    <w:rsid w:val="00A6047C"/>
    <w:pPr>
      <w:ind w:left="720"/>
    </w:pPr>
    <w:rPr>
      <w:rFonts w:eastAsia="Calibri"/>
      <w:sz w:val="24"/>
      <w:szCs w:val="24"/>
      <w:lang w:val="ru-RU"/>
    </w:rPr>
  </w:style>
  <w:style w:type="character" w:customStyle="1" w:styleId="15">
    <w:name w:val="Текст примітки Знак1"/>
    <w:basedOn w:val="a1"/>
    <w:uiPriority w:val="99"/>
    <w:semiHidden/>
    <w:rsid w:val="001E027E"/>
    <w:rPr>
      <w:sz w:val="20"/>
      <w:szCs w:val="20"/>
      <w:lang w:val="ru-RU"/>
    </w:rPr>
  </w:style>
  <w:style w:type="character" w:customStyle="1" w:styleId="16">
    <w:name w:val="Тема примітки Знак1"/>
    <w:basedOn w:val="15"/>
    <w:uiPriority w:val="99"/>
    <w:semiHidden/>
    <w:rsid w:val="001E027E"/>
    <w:rPr>
      <w:b/>
      <w:bCs/>
      <w:sz w:val="20"/>
      <w:szCs w:val="20"/>
      <w:lang w:val="ru-RU"/>
    </w:rPr>
  </w:style>
  <w:style w:type="character" w:customStyle="1" w:styleId="17">
    <w:name w:val="Верхній колонтитул Знак1"/>
    <w:basedOn w:val="a1"/>
    <w:uiPriority w:val="99"/>
    <w:semiHidden/>
    <w:rsid w:val="001E027E"/>
    <w:rPr>
      <w:lang w:val="ru-RU"/>
    </w:rPr>
  </w:style>
  <w:style w:type="character" w:customStyle="1" w:styleId="apple-tab-span">
    <w:name w:val="apple-tab-span"/>
    <w:basedOn w:val="a1"/>
    <w:rsid w:val="001E027E"/>
  </w:style>
  <w:style w:type="character" w:customStyle="1" w:styleId="contentpasted2">
    <w:name w:val="contentpasted2"/>
    <w:basedOn w:val="a1"/>
    <w:rsid w:val="003A5748"/>
  </w:style>
  <w:style w:type="paragraph" w:customStyle="1" w:styleId="Normalnumberingapplication">
    <w:name w:val="Normal numbering application"/>
    <w:basedOn w:val="a0"/>
    <w:rsid w:val="00003C27"/>
    <w:pPr>
      <w:widowControl w:val="0"/>
      <w:numPr>
        <w:ilvl w:val="3"/>
        <w:numId w:val="3"/>
      </w:numPr>
      <w:spacing w:before="240" w:after="240"/>
      <w:jc w:val="both"/>
      <w:outlineLvl w:val="2"/>
    </w:pPr>
    <w:rPr>
      <w:rFonts w:eastAsia="Calibri" w:cs="Helvetica"/>
      <w:sz w:val="28"/>
      <w:szCs w:val="24"/>
      <w:lang w:eastAsia="en-US"/>
    </w:rPr>
  </w:style>
  <w:style w:type="paragraph" w:customStyle="1" w:styleId="Heading2application">
    <w:name w:val="Heading 2 application"/>
    <w:basedOn w:val="2"/>
    <w:qFormat/>
    <w:rsid w:val="00003C27"/>
    <w:pPr>
      <w:widowControl w:val="0"/>
      <w:numPr>
        <w:ilvl w:val="1"/>
        <w:numId w:val="3"/>
      </w:numPr>
      <w:tabs>
        <w:tab w:val="clear" w:pos="851"/>
        <w:tab w:val="num" w:pos="360"/>
        <w:tab w:val="left" w:pos="1418"/>
      </w:tabs>
      <w:spacing w:before="120" w:after="120"/>
      <w:ind w:left="1440" w:firstLine="0"/>
      <w:jc w:val="center"/>
    </w:pPr>
    <w:rPr>
      <w:rFonts w:ascii="Times New Roman" w:eastAsia="Calibri" w:hAnsi="Times New Roman" w:cs="Times New Roman"/>
      <w:b/>
      <w:color w:val="000000"/>
      <w:sz w:val="28"/>
      <w:lang w:eastAsia="en-US"/>
    </w:rPr>
  </w:style>
  <w:style w:type="paragraph" w:customStyle="1" w:styleId="Heading1application">
    <w:name w:val="Heading 1 application"/>
    <w:basedOn w:val="1"/>
    <w:qFormat/>
    <w:rsid w:val="00003C27"/>
    <w:pPr>
      <w:numPr>
        <w:numId w:val="3"/>
      </w:numPr>
      <w:tabs>
        <w:tab w:val="clear" w:pos="851"/>
        <w:tab w:val="clear" w:pos="1134"/>
        <w:tab w:val="num" w:pos="360"/>
        <w:tab w:val="num" w:pos="720"/>
      </w:tabs>
      <w:spacing w:before="120" w:after="120"/>
      <w:ind w:left="720" w:firstLine="0"/>
    </w:pPr>
    <w:rPr>
      <w:rFonts w:eastAsia="Calibri"/>
    </w:rPr>
  </w:style>
  <w:style w:type="paragraph" w:customStyle="1" w:styleId="Normalapplication">
    <w:name w:val="Normal application"/>
    <w:basedOn w:val="a0"/>
    <w:qFormat/>
    <w:rsid w:val="00003C27"/>
    <w:pPr>
      <w:widowControl w:val="0"/>
      <w:numPr>
        <w:ilvl w:val="2"/>
        <w:numId w:val="3"/>
      </w:numPr>
      <w:tabs>
        <w:tab w:val="left" w:pos="1701"/>
      </w:tabs>
      <w:spacing w:before="120" w:after="120"/>
      <w:jc w:val="both"/>
      <w:outlineLvl w:val="2"/>
    </w:pPr>
    <w:rPr>
      <w:rFonts w:eastAsia="Calibri" w:cs="Helvetica"/>
      <w:sz w:val="28"/>
      <w:szCs w:val="24"/>
      <w:lang w:eastAsia="en-US"/>
    </w:rPr>
  </w:style>
  <w:style w:type="numbering" w:customStyle="1" w:styleId="newnumberingapplications">
    <w:name w:val="new numbering applications"/>
    <w:rsid w:val="00003C27"/>
    <w:pPr>
      <w:numPr>
        <w:numId w:val="2"/>
      </w:numPr>
    </w:pPr>
  </w:style>
  <w:style w:type="character" w:customStyle="1" w:styleId="markedcontent">
    <w:name w:val="markedcontent"/>
    <w:basedOn w:val="a1"/>
    <w:rsid w:val="000C5CA0"/>
  </w:style>
  <w:style w:type="character" w:customStyle="1" w:styleId="6">
    <w:name w:val="Заголовок №6_"/>
    <w:link w:val="60"/>
    <w:uiPriority w:val="99"/>
    <w:locked/>
    <w:rsid w:val="00D93587"/>
    <w:rPr>
      <w:rFonts w:ascii="Arial" w:hAnsi="Arial"/>
      <w:sz w:val="19"/>
    </w:rPr>
  </w:style>
  <w:style w:type="paragraph" w:customStyle="1" w:styleId="60">
    <w:name w:val="Заголовок №6"/>
    <w:basedOn w:val="a0"/>
    <w:link w:val="6"/>
    <w:uiPriority w:val="99"/>
    <w:rsid w:val="00D93587"/>
    <w:pPr>
      <w:spacing w:after="180" w:line="230" w:lineRule="exact"/>
      <w:ind w:hanging="1360"/>
      <w:outlineLvl w:val="5"/>
    </w:pPr>
    <w:rPr>
      <w:rFonts w:ascii="Arial" w:hAnsi="Arial"/>
      <w:sz w:val="19"/>
      <w:lang w:val="ru-RU"/>
    </w:rPr>
  </w:style>
  <w:style w:type="paragraph" w:customStyle="1" w:styleId="tr">
    <w:name w:val="tr"/>
    <w:basedOn w:val="a0"/>
    <w:rsid w:val="007356ED"/>
    <w:pPr>
      <w:spacing w:before="100" w:beforeAutospacing="1" w:after="100" w:afterAutospacing="1"/>
    </w:pPr>
    <w:rPr>
      <w:sz w:val="24"/>
      <w:szCs w:val="24"/>
      <w:lang w:eastAsia="uk-UA"/>
    </w:rPr>
  </w:style>
  <w:style w:type="character" w:customStyle="1" w:styleId="ui-provider">
    <w:name w:val="ui-provider"/>
    <w:basedOn w:val="a1"/>
    <w:rsid w:val="00330DB9"/>
  </w:style>
  <w:style w:type="paragraph" w:customStyle="1" w:styleId="tc">
    <w:name w:val="tc"/>
    <w:basedOn w:val="a0"/>
    <w:rsid w:val="001E11FF"/>
    <w:pPr>
      <w:spacing w:before="100" w:beforeAutospacing="1" w:after="100" w:afterAutospacing="1"/>
    </w:pPr>
    <w:rPr>
      <w:sz w:val="24"/>
      <w:szCs w:val="24"/>
      <w:lang w:eastAsia="uk-UA"/>
    </w:rPr>
  </w:style>
  <w:style w:type="character" w:styleId="aff1">
    <w:name w:val="Placeholder Text"/>
    <w:basedOn w:val="a1"/>
    <w:uiPriority w:val="99"/>
    <w:semiHidden/>
    <w:rsid w:val="001C1205"/>
    <w:rPr>
      <w:color w:val="666666"/>
    </w:rPr>
  </w:style>
  <w:style w:type="paragraph" w:customStyle="1" w:styleId="st2">
    <w:name w:val="st2"/>
    <w:rsid w:val="0085258E"/>
    <w:pPr>
      <w:autoSpaceDE w:val="0"/>
      <w:autoSpaceDN w:val="0"/>
      <w:adjustRightInd w:val="0"/>
      <w:spacing w:after="150"/>
      <w:ind w:firstLine="450"/>
      <w:jc w:val="both"/>
    </w:pPr>
    <w:rPr>
      <w:sz w:val="24"/>
      <w:szCs w:val="24"/>
      <w:lang w:val="uk-UA" w:eastAsia="uk-UA"/>
    </w:rPr>
  </w:style>
  <w:style w:type="paragraph" w:customStyle="1" w:styleId="st14">
    <w:name w:val="st14"/>
    <w:rsid w:val="0085258E"/>
    <w:pPr>
      <w:autoSpaceDE w:val="0"/>
      <w:autoSpaceDN w:val="0"/>
      <w:adjustRightInd w:val="0"/>
      <w:spacing w:before="150" w:after="150"/>
    </w:pPr>
    <w:rPr>
      <w:sz w:val="24"/>
      <w:szCs w:val="24"/>
      <w:lang w:val="uk-UA"/>
    </w:rPr>
  </w:style>
  <w:style w:type="character" w:customStyle="1" w:styleId="st101">
    <w:name w:val="st101"/>
    <w:rsid w:val="0085258E"/>
    <w:rPr>
      <w:b/>
      <w:bCs/>
      <w:color w:val="000000"/>
    </w:rPr>
  </w:style>
  <w:style w:type="character" w:customStyle="1" w:styleId="st40">
    <w:name w:val="st40"/>
    <w:rsid w:val="0085258E"/>
    <w:rPr>
      <w:b/>
      <w:bCs/>
      <w:color w:val="000000"/>
      <w:sz w:val="32"/>
      <w:szCs w:val="32"/>
      <w:vertAlign w:val="subscript"/>
    </w:rPr>
  </w:style>
  <w:style w:type="paragraph" w:styleId="aff2">
    <w:name w:val="Body Text"/>
    <w:basedOn w:val="a0"/>
    <w:link w:val="aff3"/>
    <w:rsid w:val="00C620A0"/>
    <w:pPr>
      <w:suppressAutoHyphens/>
      <w:spacing w:after="140" w:line="276" w:lineRule="auto"/>
    </w:pPr>
    <w:rPr>
      <w:lang w:eastAsia="zh-CN"/>
    </w:rPr>
  </w:style>
  <w:style w:type="character" w:customStyle="1" w:styleId="aff3">
    <w:name w:val="Основний текст Знак"/>
    <w:basedOn w:val="a1"/>
    <w:link w:val="aff2"/>
    <w:rsid w:val="00C620A0"/>
    <w:rPr>
      <w:lang w:val="uk-UA" w:eastAsia="zh-CN"/>
    </w:rPr>
  </w:style>
  <w:style w:type="character" w:customStyle="1" w:styleId="afd">
    <w:name w:val="Без інтервалів Знак"/>
    <w:basedOn w:val="a1"/>
    <w:link w:val="afc"/>
    <w:uiPriority w:val="1"/>
    <w:locked/>
    <w:rsid w:val="003E0173"/>
    <w:rPr>
      <w:rFonts w:asciiTheme="minorHAnsi" w:eastAsiaTheme="minorHAnsi" w:hAnsiTheme="minorHAnsi" w:cstheme="minorBid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7715">
      <w:bodyDiv w:val="1"/>
      <w:marLeft w:val="0"/>
      <w:marRight w:val="0"/>
      <w:marTop w:val="0"/>
      <w:marBottom w:val="0"/>
      <w:divBdr>
        <w:top w:val="none" w:sz="0" w:space="0" w:color="auto"/>
        <w:left w:val="none" w:sz="0" w:space="0" w:color="auto"/>
        <w:bottom w:val="none" w:sz="0" w:space="0" w:color="auto"/>
        <w:right w:val="none" w:sz="0" w:space="0" w:color="auto"/>
      </w:divBdr>
    </w:div>
    <w:div w:id="27949094">
      <w:bodyDiv w:val="1"/>
      <w:marLeft w:val="0"/>
      <w:marRight w:val="0"/>
      <w:marTop w:val="0"/>
      <w:marBottom w:val="0"/>
      <w:divBdr>
        <w:top w:val="none" w:sz="0" w:space="0" w:color="auto"/>
        <w:left w:val="none" w:sz="0" w:space="0" w:color="auto"/>
        <w:bottom w:val="none" w:sz="0" w:space="0" w:color="auto"/>
        <w:right w:val="none" w:sz="0" w:space="0" w:color="auto"/>
      </w:divBdr>
    </w:div>
    <w:div w:id="32270949">
      <w:bodyDiv w:val="1"/>
      <w:marLeft w:val="0"/>
      <w:marRight w:val="0"/>
      <w:marTop w:val="0"/>
      <w:marBottom w:val="0"/>
      <w:divBdr>
        <w:top w:val="none" w:sz="0" w:space="0" w:color="auto"/>
        <w:left w:val="none" w:sz="0" w:space="0" w:color="auto"/>
        <w:bottom w:val="none" w:sz="0" w:space="0" w:color="auto"/>
        <w:right w:val="none" w:sz="0" w:space="0" w:color="auto"/>
      </w:divBdr>
    </w:div>
    <w:div w:id="89356962">
      <w:bodyDiv w:val="1"/>
      <w:marLeft w:val="0"/>
      <w:marRight w:val="0"/>
      <w:marTop w:val="0"/>
      <w:marBottom w:val="0"/>
      <w:divBdr>
        <w:top w:val="none" w:sz="0" w:space="0" w:color="auto"/>
        <w:left w:val="none" w:sz="0" w:space="0" w:color="auto"/>
        <w:bottom w:val="none" w:sz="0" w:space="0" w:color="auto"/>
        <w:right w:val="none" w:sz="0" w:space="0" w:color="auto"/>
      </w:divBdr>
      <w:divsChild>
        <w:div w:id="1076585285">
          <w:marLeft w:val="0"/>
          <w:marRight w:val="0"/>
          <w:marTop w:val="0"/>
          <w:marBottom w:val="0"/>
          <w:divBdr>
            <w:top w:val="none" w:sz="0" w:space="0" w:color="auto"/>
            <w:left w:val="none" w:sz="0" w:space="0" w:color="auto"/>
            <w:bottom w:val="none" w:sz="0" w:space="0" w:color="auto"/>
            <w:right w:val="none" w:sz="0" w:space="0" w:color="auto"/>
          </w:divBdr>
        </w:div>
        <w:div w:id="2010595506">
          <w:marLeft w:val="0"/>
          <w:marRight w:val="0"/>
          <w:marTop w:val="0"/>
          <w:marBottom w:val="0"/>
          <w:divBdr>
            <w:top w:val="none" w:sz="0" w:space="0" w:color="auto"/>
            <w:left w:val="none" w:sz="0" w:space="0" w:color="auto"/>
            <w:bottom w:val="none" w:sz="0" w:space="0" w:color="auto"/>
            <w:right w:val="none" w:sz="0" w:space="0" w:color="auto"/>
          </w:divBdr>
        </w:div>
      </w:divsChild>
    </w:div>
    <w:div w:id="96603434">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60703573">
      <w:bodyDiv w:val="1"/>
      <w:marLeft w:val="0"/>
      <w:marRight w:val="0"/>
      <w:marTop w:val="0"/>
      <w:marBottom w:val="0"/>
      <w:divBdr>
        <w:top w:val="none" w:sz="0" w:space="0" w:color="auto"/>
        <w:left w:val="none" w:sz="0" w:space="0" w:color="auto"/>
        <w:bottom w:val="none" w:sz="0" w:space="0" w:color="auto"/>
        <w:right w:val="none" w:sz="0" w:space="0" w:color="auto"/>
      </w:divBdr>
    </w:div>
    <w:div w:id="219708301">
      <w:bodyDiv w:val="1"/>
      <w:marLeft w:val="0"/>
      <w:marRight w:val="0"/>
      <w:marTop w:val="0"/>
      <w:marBottom w:val="0"/>
      <w:divBdr>
        <w:top w:val="none" w:sz="0" w:space="0" w:color="auto"/>
        <w:left w:val="none" w:sz="0" w:space="0" w:color="auto"/>
        <w:bottom w:val="none" w:sz="0" w:space="0" w:color="auto"/>
        <w:right w:val="none" w:sz="0" w:space="0" w:color="auto"/>
      </w:divBdr>
    </w:div>
    <w:div w:id="225530221">
      <w:bodyDiv w:val="1"/>
      <w:marLeft w:val="0"/>
      <w:marRight w:val="0"/>
      <w:marTop w:val="0"/>
      <w:marBottom w:val="0"/>
      <w:divBdr>
        <w:top w:val="none" w:sz="0" w:space="0" w:color="auto"/>
        <w:left w:val="none" w:sz="0" w:space="0" w:color="auto"/>
        <w:bottom w:val="none" w:sz="0" w:space="0" w:color="auto"/>
        <w:right w:val="none" w:sz="0" w:space="0" w:color="auto"/>
      </w:divBdr>
    </w:div>
    <w:div w:id="330720538">
      <w:bodyDiv w:val="1"/>
      <w:marLeft w:val="0"/>
      <w:marRight w:val="0"/>
      <w:marTop w:val="0"/>
      <w:marBottom w:val="0"/>
      <w:divBdr>
        <w:top w:val="none" w:sz="0" w:space="0" w:color="auto"/>
        <w:left w:val="none" w:sz="0" w:space="0" w:color="auto"/>
        <w:bottom w:val="none" w:sz="0" w:space="0" w:color="auto"/>
        <w:right w:val="none" w:sz="0" w:space="0" w:color="auto"/>
      </w:divBdr>
    </w:div>
    <w:div w:id="368797910">
      <w:bodyDiv w:val="1"/>
      <w:marLeft w:val="0"/>
      <w:marRight w:val="0"/>
      <w:marTop w:val="0"/>
      <w:marBottom w:val="0"/>
      <w:divBdr>
        <w:top w:val="none" w:sz="0" w:space="0" w:color="auto"/>
        <w:left w:val="none" w:sz="0" w:space="0" w:color="auto"/>
        <w:bottom w:val="none" w:sz="0" w:space="0" w:color="auto"/>
        <w:right w:val="none" w:sz="0" w:space="0" w:color="auto"/>
      </w:divBdr>
    </w:div>
    <w:div w:id="387653691">
      <w:bodyDiv w:val="1"/>
      <w:marLeft w:val="0"/>
      <w:marRight w:val="0"/>
      <w:marTop w:val="0"/>
      <w:marBottom w:val="0"/>
      <w:divBdr>
        <w:top w:val="none" w:sz="0" w:space="0" w:color="auto"/>
        <w:left w:val="none" w:sz="0" w:space="0" w:color="auto"/>
        <w:bottom w:val="none" w:sz="0" w:space="0" w:color="auto"/>
        <w:right w:val="none" w:sz="0" w:space="0" w:color="auto"/>
      </w:divBdr>
    </w:div>
    <w:div w:id="424149559">
      <w:bodyDiv w:val="1"/>
      <w:marLeft w:val="0"/>
      <w:marRight w:val="0"/>
      <w:marTop w:val="0"/>
      <w:marBottom w:val="0"/>
      <w:divBdr>
        <w:top w:val="none" w:sz="0" w:space="0" w:color="auto"/>
        <w:left w:val="none" w:sz="0" w:space="0" w:color="auto"/>
        <w:bottom w:val="none" w:sz="0" w:space="0" w:color="auto"/>
        <w:right w:val="none" w:sz="0" w:space="0" w:color="auto"/>
      </w:divBdr>
    </w:div>
    <w:div w:id="430441680">
      <w:bodyDiv w:val="1"/>
      <w:marLeft w:val="0"/>
      <w:marRight w:val="0"/>
      <w:marTop w:val="0"/>
      <w:marBottom w:val="0"/>
      <w:divBdr>
        <w:top w:val="none" w:sz="0" w:space="0" w:color="auto"/>
        <w:left w:val="none" w:sz="0" w:space="0" w:color="auto"/>
        <w:bottom w:val="none" w:sz="0" w:space="0" w:color="auto"/>
        <w:right w:val="none" w:sz="0" w:space="0" w:color="auto"/>
      </w:divBdr>
    </w:div>
    <w:div w:id="455221393">
      <w:bodyDiv w:val="1"/>
      <w:marLeft w:val="0"/>
      <w:marRight w:val="0"/>
      <w:marTop w:val="0"/>
      <w:marBottom w:val="0"/>
      <w:divBdr>
        <w:top w:val="none" w:sz="0" w:space="0" w:color="auto"/>
        <w:left w:val="none" w:sz="0" w:space="0" w:color="auto"/>
        <w:bottom w:val="none" w:sz="0" w:space="0" w:color="auto"/>
        <w:right w:val="none" w:sz="0" w:space="0" w:color="auto"/>
      </w:divBdr>
      <w:divsChild>
        <w:div w:id="993139285">
          <w:marLeft w:val="0"/>
          <w:marRight w:val="0"/>
          <w:marTop w:val="0"/>
          <w:marBottom w:val="0"/>
          <w:divBdr>
            <w:top w:val="none" w:sz="0" w:space="0" w:color="auto"/>
            <w:left w:val="none" w:sz="0" w:space="0" w:color="auto"/>
            <w:bottom w:val="none" w:sz="0" w:space="0" w:color="auto"/>
            <w:right w:val="none" w:sz="0" w:space="0" w:color="auto"/>
          </w:divBdr>
        </w:div>
        <w:div w:id="867527398">
          <w:marLeft w:val="0"/>
          <w:marRight w:val="0"/>
          <w:marTop w:val="0"/>
          <w:marBottom w:val="0"/>
          <w:divBdr>
            <w:top w:val="none" w:sz="0" w:space="0" w:color="auto"/>
            <w:left w:val="none" w:sz="0" w:space="0" w:color="auto"/>
            <w:bottom w:val="none" w:sz="0" w:space="0" w:color="auto"/>
            <w:right w:val="none" w:sz="0" w:space="0" w:color="auto"/>
          </w:divBdr>
        </w:div>
        <w:div w:id="796996876">
          <w:marLeft w:val="0"/>
          <w:marRight w:val="0"/>
          <w:marTop w:val="0"/>
          <w:marBottom w:val="0"/>
          <w:divBdr>
            <w:top w:val="none" w:sz="0" w:space="0" w:color="auto"/>
            <w:left w:val="none" w:sz="0" w:space="0" w:color="auto"/>
            <w:bottom w:val="none" w:sz="0" w:space="0" w:color="auto"/>
            <w:right w:val="none" w:sz="0" w:space="0" w:color="auto"/>
          </w:divBdr>
        </w:div>
      </w:divsChild>
    </w:div>
    <w:div w:id="476921615">
      <w:bodyDiv w:val="1"/>
      <w:marLeft w:val="0"/>
      <w:marRight w:val="0"/>
      <w:marTop w:val="0"/>
      <w:marBottom w:val="0"/>
      <w:divBdr>
        <w:top w:val="none" w:sz="0" w:space="0" w:color="auto"/>
        <w:left w:val="none" w:sz="0" w:space="0" w:color="auto"/>
        <w:bottom w:val="none" w:sz="0" w:space="0" w:color="auto"/>
        <w:right w:val="none" w:sz="0" w:space="0" w:color="auto"/>
      </w:divBdr>
    </w:div>
    <w:div w:id="505292388">
      <w:bodyDiv w:val="1"/>
      <w:marLeft w:val="0"/>
      <w:marRight w:val="0"/>
      <w:marTop w:val="0"/>
      <w:marBottom w:val="0"/>
      <w:divBdr>
        <w:top w:val="none" w:sz="0" w:space="0" w:color="auto"/>
        <w:left w:val="none" w:sz="0" w:space="0" w:color="auto"/>
        <w:bottom w:val="none" w:sz="0" w:space="0" w:color="auto"/>
        <w:right w:val="none" w:sz="0" w:space="0" w:color="auto"/>
      </w:divBdr>
    </w:div>
    <w:div w:id="516313291">
      <w:bodyDiv w:val="1"/>
      <w:marLeft w:val="0"/>
      <w:marRight w:val="0"/>
      <w:marTop w:val="0"/>
      <w:marBottom w:val="0"/>
      <w:divBdr>
        <w:top w:val="none" w:sz="0" w:space="0" w:color="auto"/>
        <w:left w:val="none" w:sz="0" w:space="0" w:color="auto"/>
        <w:bottom w:val="none" w:sz="0" w:space="0" w:color="auto"/>
        <w:right w:val="none" w:sz="0" w:space="0" w:color="auto"/>
      </w:divBdr>
    </w:div>
    <w:div w:id="539054145">
      <w:bodyDiv w:val="1"/>
      <w:marLeft w:val="0"/>
      <w:marRight w:val="0"/>
      <w:marTop w:val="0"/>
      <w:marBottom w:val="0"/>
      <w:divBdr>
        <w:top w:val="none" w:sz="0" w:space="0" w:color="auto"/>
        <w:left w:val="none" w:sz="0" w:space="0" w:color="auto"/>
        <w:bottom w:val="none" w:sz="0" w:space="0" w:color="auto"/>
        <w:right w:val="none" w:sz="0" w:space="0" w:color="auto"/>
      </w:divBdr>
    </w:div>
    <w:div w:id="557940081">
      <w:bodyDiv w:val="1"/>
      <w:marLeft w:val="0"/>
      <w:marRight w:val="0"/>
      <w:marTop w:val="0"/>
      <w:marBottom w:val="0"/>
      <w:divBdr>
        <w:top w:val="none" w:sz="0" w:space="0" w:color="auto"/>
        <w:left w:val="none" w:sz="0" w:space="0" w:color="auto"/>
        <w:bottom w:val="none" w:sz="0" w:space="0" w:color="auto"/>
        <w:right w:val="none" w:sz="0" w:space="0" w:color="auto"/>
      </w:divBdr>
    </w:div>
    <w:div w:id="589239443">
      <w:bodyDiv w:val="1"/>
      <w:marLeft w:val="0"/>
      <w:marRight w:val="0"/>
      <w:marTop w:val="0"/>
      <w:marBottom w:val="0"/>
      <w:divBdr>
        <w:top w:val="none" w:sz="0" w:space="0" w:color="auto"/>
        <w:left w:val="none" w:sz="0" w:space="0" w:color="auto"/>
        <w:bottom w:val="none" w:sz="0" w:space="0" w:color="auto"/>
        <w:right w:val="none" w:sz="0" w:space="0" w:color="auto"/>
      </w:divBdr>
    </w:div>
    <w:div w:id="601647484">
      <w:bodyDiv w:val="1"/>
      <w:marLeft w:val="0"/>
      <w:marRight w:val="0"/>
      <w:marTop w:val="0"/>
      <w:marBottom w:val="0"/>
      <w:divBdr>
        <w:top w:val="none" w:sz="0" w:space="0" w:color="auto"/>
        <w:left w:val="none" w:sz="0" w:space="0" w:color="auto"/>
        <w:bottom w:val="none" w:sz="0" w:space="0" w:color="auto"/>
        <w:right w:val="none" w:sz="0" w:space="0" w:color="auto"/>
      </w:divBdr>
    </w:div>
    <w:div w:id="616525503">
      <w:bodyDiv w:val="1"/>
      <w:marLeft w:val="0"/>
      <w:marRight w:val="0"/>
      <w:marTop w:val="0"/>
      <w:marBottom w:val="0"/>
      <w:divBdr>
        <w:top w:val="none" w:sz="0" w:space="0" w:color="auto"/>
        <w:left w:val="none" w:sz="0" w:space="0" w:color="auto"/>
        <w:bottom w:val="none" w:sz="0" w:space="0" w:color="auto"/>
        <w:right w:val="none" w:sz="0" w:space="0" w:color="auto"/>
      </w:divBdr>
    </w:div>
    <w:div w:id="648707142">
      <w:bodyDiv w:val="1"/>
      <w:marLeft w:val="0"/>
      <w:marRight w:val="0"/>
      <w:marTop w:val="0"/>
      <w:marBottom w:val="0"/>
      <w:divBdr>
        <w:top w:val="none" w:sz="0" w:space="0" w:color="auto"/>
        <w:left w:val="none" w:sz="0" w:space="0" w:color="auto"/>
        <w:bottom w:val="none" w:sz="0" w:space="0" w:color="auto"/>
        <w:right w:val="none" w:sz="0" w:space="0" w:color="auto"/>
      </w:divBdr>
    </w:div>
    <w:div w:id="659886104">
      <w:bodyDiv w:val="1"/>
      <w:marLeft w:val="0"/>
      <w:marRight w:val="0"/>
      <w:marTop w:val="0"/>
      <w:marBottom w:val="0"/>
      <w:divBdr>
        <w:top w:val="none" w:sz="0" w:space="0" w:color="auto"/>
        <w:left w:val="none" w:sz="0" w:space="0" w:color="auto"/>
        <w:bottom w:val="none" w:sz="0" w:space="0" w:color="auto"/>
        <w:right w:val="none" w:sz="0" w:space="0" w:color="auto"/>
      </w:divBdr>
    </w:div>
    <w:div w:id="672268842">
      <w:bodyDiv w:val="1"/>
      <w:marLeft w:val="0"/>
      <w:marRight w:val="0"/>
      <w:marTop w:val="0"/>
      <w:marBottom w:val="0"/>
      <w:divBdr>
        <w:top w:val="none" w:sz="0" w:space="0" w:color="auto"/>
        <w:left w:val="none" w:sz="0" w:space="0" w:color="auto"/>
        <w:bottom w:val="none" w:sz="0" w:space="0" w:color="auto"/>
        <w:right w:val="none" w:sz="0" w:space="0" w:color="auto"/>
      </w:divBdr>
    </w:div>
    <w:div w:id="696274087">
      <w:bodyDiv w:val="1"/>
      <w:marLeft w:val="0"/>
      <w:marRight w:val="0"/>
      <w:marTop w:val="0"/>
      <w:marBottom w:val="0"/>
      <w:divBdr>
        <w:top w:val="none" w:sz="0" w:space="0" w:color="auto"/>
        <w:left w:val="none" w:sz="0" w:space="0" w:color="auto"/>
        <w:bottom w:val="none" w:sz="0" w:space="0" w:color="auto"/>
        <w:right w:val="none" w:sz="0" w:space="0" w:color="auto"/>
      </w:divBdr>
    </w:div>
    <w:div w:id="704524817">
      <w:bodyDiv w:val="1"/>
      <w:marLeft w:val="0"/>
      <w:marRight w:val="0"/>
      <w:marTop w:val="0"/>
      <w:marBottom w:val="0"/>
      <w:divBdr>
        <w:top w:val="none" w:sz="0" w:space="0" w:color="auto"/>
        <w:left w:val="none" w:sz="0" w:space="0" w:color="auto"/>
        <w:bottom w:val="none" w:sz="0" w:space="0" w:color="auto"/>
        <w:right w:val="none" w:sz="0" w:space="0" w:color="auto"/>
      </w:divBdr>
    </w:div>
    <w:div w:id="706880267">
      <w:bodyDiv w:val="1"/>
      <w:marLeft w:val="0"/>
      <w:marRight w:val="0"/>
      <w:marTop w:val="0"/>
      <w:marBottom w:val="0"/>
      <w:divBdr>
        <w:top w:val="none" w:sz="0" w:space="0" w:color="auto"/>
        <w:left w:val="none" w:sz="0" w:space="0" w:color="auto"/>
        <w:bottom w:val="none" w:sz="0" w:space="0" w:color="auto"/>
        <w:right w:val="none" w:sz="0" w:space="0" w:color="auto"/>
      </w:divBdr>
    </w:div>
    <w:div w:id="756100750">
      <w:bodyDiv w:val="1"/>
      <w:marLeft w:val="0"/>
      <w:marRight w:val="0"/>
      <w:marTop w:val="0"/>
      <w:marBottom w:val="0"/>
      <w:divBdr>
        <w:top w:val="none" w:sz="0" w:space="0" w:color="auto"/>
        <w:left w:val="none" w:sz="0" w:space="0" w:color="auto"/>
        <w:bottom w:val="none" w:sz="0" w:space="0" w:color="auto"/>
        <w:right w:val="none" w:sz="0" w:space="0" w:color="auto"/>
      </w:divBdr>
    </w:div>
    <w:div w:id="768353480">
      <w:bodyDiv w:val="1"/>
      <w:marLeft w:val="0"/>
      <w:marRight w:val="0"/>
      <w:marTop w:val="0"/>
      <w:marBottom w:val="0"/>
      <w:divBdr>
        <w:top w:val="none" w:sz="0" w:space="0" w:color="auto"/>
        <w:left w:val="none" w:sz="0" w:space="0" w:color="auto"/>
        <w:bottom w:val="none" w:sz="0" w:space="0" w:color="auto"/>
        <w:right w:val="none" w:sz="0" w:space="0" w:color="auto"/>
      </w:divBdr>
    </w:div>
    <w:div w:id="840854010">
      <w:bodyDiv w:val="1"/>
      <w:marLeft w:val="0"/>
      <w:marRight w:val="0"/>
      <w:marTop w:val="0"/>
      <w:marBottom w:val="0"/>
      <w:divBdr>
        <w:top w:val="none" w:sz="0" w:space="0" w:color="auto"/>
        <w:left w:val="none" w:sz="0" w:space="0" w:color="auto"/>
        <w:bottom w:val="none" w:sz="0" w:space="0" w:color="auto"/>
        <w:right w:val="none" w:sz="0" w:space="0" w:color="auto"/>
      </w:divBdr>
    </w:div>
    <w:div w:id="844251675">
      <w:bodyDiv w:val="1"/>
      <w:marLeft w:val="0"/>
      <w:marRight w:val="0"/>
      <w:marTop w:val="0"/>
      <w:marBottom w:val="0"/>
      <w:divBdr>
        <w:top w:val="none" w:sz="0" w:space="0" w:color="auto"/>
        <w:left w:val="none" w:sz="0" w:space="0" w:color="auto"/>
        <w:bottom w:val="none" w:sz="0" w:space="0" w:color="auto"/>
        <w:right w:val="none" w:sz="0" w:space="0" w:color="auto"/>
      </w:divBdr>
    </w:div>
    <w:div w:id="864713958">
      <w:bodyDiv w:val="1"/>
      <w:marLeft w:val="0"/>
      <w:marRight w:val="0"/>
      <w:marTop w:val="0"/>
      <w:marBottom w:val="0"/>
      <w:divBdr>
        <w:top w:val="none" w:sz="0" w:space="0" w:color="auto"/>
        <w:left w:val="none" w:sz="0" w:space="0" w:color="auto"/>
        <w:bottom w:val="none" w:sz="0" w:space="0" w:color="auto"/>
        <w:right w:val="none" w:sz="0" w:space="0" w:color="auto"/>
      </w:divBdr>
    </w:div>
    <w:div w:id="880090260">
      <w:bodyDiv w:val="1"/>
      <w:marLeft w:val="0"/>
      <w:marRight w:val="0"/>
      <w:marTop w:val="0"/>
      <w:marBottom w:val="0"/>
      <w:divBdr>
        <w:top w:val="none" w:sz="0" w:space="0" w:color="auto"/>
        <w:left w:val="none" w:sz="0" w:space="0" w:color="auto"/>
        <w:bottom w:val="none" w:sz="0" w:space="0" w:color="auto"/>
        <w:right w:val="none" w:sz="0" w:space="0" w:color="auto"/>
      </w:divBdr>
    </w:div>
    <w:div w:id="881357023">
      <w:bodyDiv w:val="1"/>
      <w:marLeft w:val="0"/>
      <w:marRight w:val="0"/>
      <w:marTop w:val="0"/>
      <w:marBottom w:val="0"/>
      <w:divBdr>
        <w:top w:val="none" w:sz="0" w:space="0" w:color="auto"/>
        <w:left w:val="none" w:sz="0" w:space="0" w:color="auto"/>
        <w:bottom w:val="none" w:sz="0" w:space="0" w:color="auto"/>
        <w:right w:val="none" w:sz="0" w:space="0" w:color="auto"/>
      </w:divBdr>
    </w:div>
    <w:div w:id="904607397">
      <w:bodyDiv w:val="1"/>
      <w:marLeft w:val="0"/>
      <w:marRight w:val="0"/>
      <w:marTop w:val="0"/>
      <w:marBottom w:val="0"/>
      <w:divBdr>
        <w:top w:val="none" w:sz="0" w:space="0" w:color="auto"/>
        <w:left w:val="none" w:sz="0" w:space="0" w:color="auto"/>
        <w:bottom w:val="none" w:sz="0" w:space="0" w:color="auto"/>
        <w:right w:val="none" w:sz="0" w:space="0" w:color="auto"/>
      </w:divBdr>
    </w:div>
    <w:div w:id="960772020">
      <w:bodyDiv w:val="1"/>
      <w:marLeft w:val="0"/>
      <w:marRight w:val="0"/>
      <w:marTop w:val="0"/>
      <w:marBottom w:val="0"/>
      <w:divBdr>
        <w:top w:val="none" w:sz="0" w:space="0" w:color="auto"/>
        <w:left w:val="none" w:sz="0" w:space="0" w:color="auto"/>
        <w:bottom w:val="none" w:sz="0" w:space="0" w:color="auto"/>
        <w:right w:val="none" w:sz="0" w:space="0" w:color="auto"/>
      </w:divBdr>
    </w:div>
    <w:div w:id="961958935">
      <w:bodyDiv w:val="1"/>
      <w:marLeft w:val="0"/>
      <w:marRight w:val="0"/>
      <w:marTop w:val="0"/>
      <w:marBottom w:val="0"/>
      <w:divBdr>
        <w:top w:val="none" w:sz="0" w:space="0" w:color="auto"/>
        <w:left w:val="none" w:sz="0" w:space="0" w:color="auto"/>
        <w:bottom w:val="none" w:sz="0" w:space="0" w:color="auto"/>
        <w:right w:val="none" w:sz="0" w:space="0" w:color="auto"/>
      </w:divBdr>
    </w:div>
    <w:div w:id="991175802">
      <w:bodyDiv w:val="1"/>
      <w:marLeft w:val="0"/>
      <w:marRight w:val="0"/>
      <w:marTop w:val="0"/>
      <w:marBottom w:val="0"/>
      <w:divBdr>
        <w:top w:val="none" w:sz="0" w:space="0" w:color="auto"/>
        <w:left w:val="none" w:sz="0" w:space="0" w:color="auto"/>
        <w:bottom w:val="none" w:sz="0" w:space="0" w:color="auto"/>
        <w:right w:val="none" w:sz="0" w:space="0" w:color="auto"/>
      </w:divBdr>
    </w:div>
    <w:div w:id="1022051509">
      <w:bodyDiv w:val="1"/>
      <w:marLeft w:val="0"/>
      <w:marRight w:val="0"/>
      <w:marTop w:val="0"/>
      <w:marBottom w:val="0"/>
      <w:divBdr>
        <w:top w:val="none" w:sz="0" w:space="0" w:color="auto"/>
        <w:left w:val="none" w:sz="0" w:space="0" w:color="auto"/>
        <w:bottom w:val="none" w:sz="0" w:space="0" w:color="auto"/>
        <w:right w:val="none" w:sz="0" w:space="0" w:color="auto"/>
      </w:divBdr>
    </w:div>
    <w:div w:id="1033190471">
      <w:bodyDiv w:val="1"/>
      <w:marLeft w:val="0"/>
      <w:marRight w:val="0"/>
      <w:marTop w:val="0"/>
      <w:marBottom w:val="0"/>
      <w:divBdr>
        <w:top w:val="none" w:sz="0" w:space="0" w:color="auto"/>
        <w:left w:val="none" w:sz="0" w:space="0" w:color="auto"/>
        <w:bottom w:val="none" w:sz="0" w:space="0" w:color="auto"/>
        <w:right w:val="none" w:sz="0" w:space="0" w:color="auto"/>
      </w:divBdr>
    </w:div>
    <w:div w:id="1043289731">
      <w:bodyDiv w:val="1"/>
      <w:marLeft w:val="0"/>
      <w:marRight w:val="0"/>
      <w:marTop w:val="0"/>
      <w:marBottom w:val="0"/>
      <w:divBdr>
        <w:top w:val="none" w:sz="0" w:space="0" w:color="auto"/>
        <w:left w:val="none" w:sz="0" w:space="0" w:color="auto"/>
        <w:bottom w:val="none" w:sz="0" w:space="0" w:color="auto"/>
        <w:right w:val="none" w:sz="0" w:space="0" w:color="auto"/>
      </w:divBdr>
    </w:div>
    <w:div w:id="1122384764">
      <w:bodyDiv w:val="1"/>
      <w:marLeft w:val="0"/>
      <w:marRight w:val="0"/>
      <w:marTop w:val="0"/>
      <w:marBottom w:val="0"/>
      <w:divBdr>
        <w:top w:val="none" w:sz="0" w:space="0" w:color="auto"/>
        <w:left w:val="none" w:sz="0" w:space="0" w:color="auto"/>
        <w:bottom w:val="none" w:sz="0" w:space="0" w:color="auto"/>
        <w:right w:val="none" w:sz="0" w:space="0" w:color="auto"/>
      </w:divBdr>
    </w:div>
    <w:div w:id="1153449579">
      <w:bodyDiv w:val="1"/>
      <w:marLeft w:val="0"/>
      <w:marRight w:val="0"/>
      <w:marTop w:val="0"/>
      <w:marBottom w:val="0"/>
      <w:divBdr>
        <w:top w:val="none" w:sz="0" w:space="0" w:color="auto"/>
        <w:left w:val="none" w:sz="0" w:space="0" w:color="auto"/>
        <w:bottom w:val="none" w:sz="0" w:space="0" w:color="auto"/>
        <w:right w:val="none" w:sz="0" w:space="0" w:color="auto"/>
      </w:divBdr>
    </w:div>
    <w:div w:id="1158497346">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90684081">
      <w:bodyDiv w:val="1"/>
      <w:marLeft w:val="0"/>
      <w:marRight w:val="0"/>
      <w:marTop w:val="0"/>
      <w:marBottom w:val="0"/>
      <w:divBdr>
        <w:top w:val="none" w:sz="0" w:space="0" w:color="auto"/>
        <w:left w:val="none" w:sz="0" w:space="0" w:color="auto"/>
        <w:bottom w:val="none" w:sz="0" w:space="0" w:color="auto"/>
        <w:right w:val="none" w:sz="0" w:space="0" w:color="auto"/>
      </w:divBdr>
    </w:div>
    <w:div w:id="1212960372">
      <w:bodyDiv w:val="1"/>
      <w:marLeft w:val="0"/>
      <w:marRight w:val="0"/>
      <w:marTop w:val="0"/>
      <w:marBottom w:val="0"/>
      <w:divBdr>
        <w:top w:val="none" w:sz="0" w:space="0" w:color="auto"/>
        <w:left w:val="none" w:sz="0" w:space="0" w:color="auto"/>
        <w:bottom w:val="none" w:sz="0" w:space="0" w:color="auto"/>
        <w:right w:val="none" w:sz="0" w:space="0" w:color="auto"/>
      </w:divBdr>
    </w:div>
    <w:div w:id="1231306590">
      <w:bodyDiv w:val="1"/>
      <w:marLeft w:val="0"/>
      <w:marRight w:val="0"/>
      <w:marTop w:val="0"/>
      <w:marBottom w:val="0"/>
      <w:divBdr>
        <w:top w:val="none" w:sz="0" w:space="0" w:color="auto"/>
        <w:left w:val="none" w:sz="0" w:space="0" w:color="auto"/>
        <w:bottom w:val="none" w:sz="0" w:space="0" w:color="auto"/>
        <w:right w:val="none" w:sz="0" w:space="0" w:color="auto"/>
      </w:divBdr>
    </w:div>
    <w:div w:id="1232734594">
      <w:bodyDiv w:val="1"/>
      <w:marLeft w:val="0"/>
      <w:marRight w:val="0"/>
      <w:marTop w:val="0"/>
      <w:marBottom w:val="0"/>
      <w:divBdr>
        <w:top w:val="none" w:sz="0" w:space="0" w:color="auto"/>
        <w:left w:val="none" w:sz="0" w:space="0" w:color="auto"/>
        <w:bottom w:val="none" w:sz="0" w:space="0" w:color="auto"/>
        <w:right w:val="none" w:sz="0" w:space="0" w:color="auto"/>
      </w:divBdr>
    </w:div>
    <w:div w:id="1239899592">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89436654">
      <w:bodyDiv w:val="1"/>
      <w:marLeft w:val="0"/>
      <w:marRight w:val="0"/>
      <w:marTop w:val="0"/>
      <w:marBottom w:val="0"/>
      <w:divBdr>
        <w:top w:val="none" w:sz="0" w:space="0" w:color="auto"/>
        <w:left w:val="none" w:sz="0" w:space="0" w:color="auto"/>
        <w:bottom w:val="none" w:sz="0" w:space="0" w:color="auto"/>
        <w:right w:val="none" w:sz="0" w:space="0" w:color="auto"/>
      </w:divBdr>
    </w:div>
    <w:div w:id="1298754156">
      <w:bodyDiv w:val="1"/>
      <w:marLeft w:val="0"/>
      <w:marRight w:val="0"/>
      <w:marTop w:val="0"/>
      <w:marBottom w:val="0"/>
      <w:divBdr>
        <w:top w:val="none" w:sz="0" w:space="0" w:color="auto"/>
        <w:left w:val="none" w:sz="0" w:space="0" w:color="auto"/>
        <w:bottom w:val="none" w:sz="0" w:space="0" w:color="auto"/>
        <w:right w:val="none" w:sz="0" w:space="0" w:color="auto"/>
      </w:divBdr>
    </w:div>
    <w:div w:id="1308776848">
      <w:bodyDiv w:val="1"/>
      <w:marLeft w:val="0"/>
      <w:marRight w:val="0"/>
      <w:marTop w:val="0"/>
      <w:marBottom w:val="0"/>
      <w:divBdr>
        <w:top w:val="none" w:sz="0" w:space="0" w:color="auto"/>
        <w:left w:val="none" w:sz="0" w:space="0" w:color="auto"/>
        <w:bottom w:val="none" w:sz="0" w:space="0" w:color="auto"/>
        <w:right w:val="none" w:sz="0" w:space="0" w:color="auto"/>
      </w:divBdr>
    </w:div>
    <w:div w:id="1333339226">
      <w:bodyDiv w:val="1"/>
      <w:marLeft w:val="0"/>
      <w:marRight w:val="0"/>
      <w:marTop w:val="0"/>
      <w:marBottom w:val="0"/>
      <w:divBdr>
        <w:top w:val="none" w:sz="0" w:space="0" w:color="auto"/>
        <w:left w:val="none" w:sz="0" w:space="0" w:color="auto"/>
        <w:bottom w:val="none" w:sz="0" w:space="0" w:color="auto"/>
        <w:right w:val="none" w:sz="0" w:space="0" w:color="auto"/>
      </w:divBdr>
    </w:div>
    <w:div w:id="1339229951">
      <w:bodyDiv w:val="1"/>
      <w:marLeft w:val="0"/>
      <w:marRight w:val="0"/>
      <w:marTop w:val="0"/>
      <w:marBottom w:val="0"/>
      <w:divBdr>
        <w:top w:val="none" w:sz="0" w:space="0" w:color="auto"/>
        <w:left w:val="none" w:sz="0" w:space="0" w:color="auto"/>
        <w:bottom w:val="none" w:sz="0" w:space="0" w:color="auto"/>
        <w:right w:val="none" w:sz="0" w:space="0" w:color="auto"/>
      </w:divBdr>
    </w:div>
    <w:div w:id="1342273147">
      <w:bodyDiv w:val="1"/>
      <w:marLeft w:val="0"/>
      <w:marRight w:val="0"/>
      <w:marTop w:val="0"/>
      <w:marBottom w:val="0"/>
      <w:divBdr>
        <w:top w:val="none" w:sz="0" w:space="0" w:color="auto"/>
        <w:left w:val="none" w:sz="0" w:space="0" w:color="auto"/>
        <w:bottom w:val="none" w:sz="0" w:space="0" w:color="auto"/>
        <w:right w:val="none" w:sz="0" w:space="0" w:color="auto"/>
      </w:divBdr>
    </w:div>
    <w:div w:id="1383752445">
      <w:bodyDiv w:val="1"/>
      <w:marLeft w:val="0"/>
      <w:marRight w:val="0"/>
      <w:marTop w:val="0"/>
      <w:marBottom w:val="0"/>
      <w:divBdr>
        <w:top w:val="none" w:sz="0" w:space="0" w:color="auto"/>
        <w:left w:val="none" w:sz="0" w:space="0" w:color="auto"/>
        <w:bottom w:val="none" w:sz="0" w:space="0" w:color="auto"/>
        <w:right w:val="none" w:sz="0" w:space="0" w:color="auto"/>
      </w:divBdr>
    </w:div>
    <w:div w:id="1406486474">
      <w:bodyDiv w:val="1"/>
      <w:marLeft w:val="0"/>
      <w:marRight w:val="0"/>
      <w:marTop w:val="0"/>
      <w:marBottom w:val="0"/>
      <w:divBdr>
        <w:top w:val="none" w:sz="0" w:space="0" w:color="auto"/>
        <w:left w:val="none" w:sz="0" w:space="0" w:color="auto"/>
        <w:bottom w:val="none" w:sz="0" w:space="0" w:color="auto"/>
        <w:right w:val="none" w:sz="0" w:space="0" w:color="auto"/>
      </w:divBdr>
    </w:div>
    <w:div w:id="1417288746">
      <w:bodyDiv w:val="1"/>
      <w:marLeft w:val="0"/>
      <w:marRight w:val="0"/>
      <w:marTop w:val="0"/>
      <w:marBottom w:val="0"/>
      <w:divBdr>
        <w:top w:val="none" w:sz="0" w:space="0" w:color="auto"/>
        <w:left w:val="none" w:sz="0" w:space="0" w:color="auto"/>
        <w:bottom w:val="none" w:sz="0" w:space="0" w:color="auto"/>
        <w:right w:val="none" w:sz="0" w:space="0" w:color="auto"/>
      </w:divBdr>
    </w:div>
    <w:div w:id="1426998616">
      <w:bodyDiv w:val="1"/>
      <w:marLeft w:val="0"/>
      <w:marRight w:val="0"/>
      <w:marTop w:val="0"/>
      <w:marBottom w:val="0"/>
      <w:divBdr>
        <w:top w:val="none" w:sz="0" w:space="0" w:color="auto"/>
        <w:left w:val="none" w:sz="0" w:space="0" w:color="auto"/>
        <w:bottom w:val="none" w:sz="0" w:space="0" w:color="auto"/>
        <w:right w:val="none" w:sz="0" w:space="0" w:color="auto"/>
      </w:divBdr>
    </w:div>
    <w:div w:id="1431659297">
      <w:bodyDiv w:val="1"/>
      <w:marLeft w:val="0"/>
      <w:marRight w:val="0"/>
      <w:marTop w:val="0"/>
      <w:marBottom w:val="0"/>
      <w:divBdr>
        <w:top w:val="none" w:sz="0" w:space="0" w:color="auto"/>
        <w:left w:val="none" w:sz="0" w:space="0" w:color="auto"/>
        <w:bottom w:val="none" w:sz="0" w:space="0" w:color="auto"/>
        <w:right w:val="none" w:sz="0" w:space="0" w:color="auto"/>
      </w:divBdr>
    </w:div>
    <w:div w:id="1433546603">
      <w:bodyDiv w:val="1"/>
      <w:marLeft w:val="0"/>
      <w:marRight w:val="0"/>
      <w:marTop w:val="0"/>
      <w:marBottom w:val="0"/>
      <w:divBdr>
        <w:top w:val="none" w:sz="0" w:space="0" w:color="auto"/>
        <w:left w:val="none" w:sz="0" w:space="0" w:color="auto"/>
        <w:bottom w:val="none" w:sz="0" w:space="0" w:color="auto"/>
        <w:right w:val="none" w:sz="0" w:space="0" w:color="auto"/>
      </w:divBdr>
    </w:div>
    <w:div w:id="1444304378">
      <w:bodyDiv w:val="1"/>
      <w:marLeft w:val="0"/>
      <w:marRight w:val="0"/>
      <w:marTop w:val="0"/>
      <w:marBottom w:val="0"/>
      <w:divBdr>
        <w:top w:val="none" w:sz="0" w:space="0" w:color="auto"/>
        <w:left w:val="none" w:sz="0" w:space="0" w:color="auto"/>
        <w:bottom w:val="none" w:sz="0" w:space="0" w:color="auto"/>
        <w:right w:val="none" w:sz="0" w:space="0" w:color="auto"/>
      </w:divBdr>
    </w:div>
    <w:div w:id="1476333676">
      <w:bodyDiv w:val="1"/>
      <w:marLeft w:val="0"/>
      <w:marRight w:val="0"/>
      <w:marTop w:val="0"/>
      <w:marBottom w:val="0"/>
      <w:divBdr>
        <w:top w:val="none" w:sz="0" w:space="0" w:color="auto"/>
        <w:left w:val="none" w:sz="0" w:space="0" w:color="auto"/>
        <w:bottom w:val="none" w:sz="0" w:space="0" w:color="auto"/>
        <w:right w:val="none" w:sz="0" w:space="0" w:color="auto"/>
      </w:divBdr>
    </w:div>
    <w:div w:id="1490363777">
      <w:bodyDiv w:val="1"/>
      <w:marLeft w:val="0"/>
      <w:marRight w:val="0"/>
      <w:marTop w:val="0"/>
      <w:marBottom w:val="0"/>
      <w:divBdr>
        <w:top w:val="none" w:sz="0" w:space="0" w:color="auto"/>
        <w:left w:val="none" w:sz="0" w:space="0" w:color="auto"/>
        <w:bottom w:val="none" w:sz="0" w:space="0" w:color="auto"/>
        <w:right w:val="none" w:sz="0" w:space="0" w:color="auto"/>
      </w:divBdr>
    </w:div>
    <w:div w:id="1499737203">
      <w:bodyDiv w:val="1"/>
      <w:marLeft w:val="0"/>
      <w:marRight w:val="0"/>
      <w:marTop w:val="0"/>
      <w:marBottom w:val="0"/>
      <w:divBdr>
        <w:top w:val="none" w:sz="0" w:space="0" w:color="auto"/>
        <w:left w:val="none" w:sz="0" w:space="0" w:color="auto"/>
        <w:bottom w:val="none" w:sz="0" w:space="0" w:color="auto"/>
        <w:right w:val="none" w:sz="0" w:space="0" w:color="auto"/>
      </w:divBdr>
    </w:div>
    <w:div w:id="1505977964">
      <w:bodyDiv w:val="1"/>
      <w:marLeft w:val="0"/>
      <w:marRight w:val="0"/>
      <w:marTop w:val="0"/>
      <w:marBottom w:val="0"/>
      <w:divBdr>
        <w:top w:val="none" w:sz="0" w:space="0" w:color="auto"/>
        <w:left w:val="none" w:sz="0" w:space="0" w:color="auto"/>
        <w:bottom w:val="none" w:sz="0" w:space="0" w:color="auto"/>
        <w:right w:val="none" w:sz="0" w:space="0" w:color="auto"/>
      </w:divBdr>
    </w:div>
    <w:div w:id="1522083198">
      <w:bodyDiv w:val="1"/>
      <w:marLeft w:val="0"/>
      <w:marRight w:val="0"/>
      <w:marTop w:val="0"/>
      <w:marBottom w:val="0"/>
      <w:divBdr>
        <w:top w:val="none" w:sz="0" w:space="0" w:color="auto"/>
        <w:left w:val="none" w:sz="0" w:space="0" w:color="auto"/>
        <w:bottom w:val="none" w:sz="0" w:space="0" w:color="auto"/>
        <w:right w:val="none" w:sz="0" w:space="0" w:color="auto"/>
      </w:divBdr>
    </w:div>
    <w:div w:id="1558055649">
      <w:bodyDiv w:val="1"/>
      <w:marLeft w:val="0"/>
      <w:marRight w:val="0"/>
      <w:marTop w:val="0"/>
      <w:marBottom w:val="0"/>
      <w:divBdr>
        <w:top w:val="none" w:sz="0" w:space="0" w:color="auto"/>
        <w:left w:val="none" w:sz="0" w:space="0" w:color="auto"/>
        <w:bottom w:val="none" w:sz="0" w:space="0" w:color="auto"/>
        <w:right w:val="none" w:sz="0" w:space="0" w:color="auto"/>
      </w:divBdr>
      <w:divsChild>
        <w:div w:id="452141210">
          <w:marLeft w:val="0"/>
          <w:marRight w:val="0"/>
          <w:marTop w:val="0"/>
          <w:marBottom w:val="0"/>
          <w:divBdr>
            <w:top w:val="none" w:sz="0" w:space="0" w:color="auto"/>
            <w:left w:val="none" w:sz="0" w:space="0" w:color="auto"/>
            <w:bottom w:val="none" w:sz="0" w:space="0" w:color="auto"/>
            <w:right w:val="none" w:sz="0" w:space="0" w:color="auto"/>
          </w:divBdr>
        </w:div>
        <w:div w:id="935404887">
          <w:marLeft w:val="0"/>
          <w:marRight w:val="0"/>
          <w:marTop w:val="0"/>
          <w:marBottom w:val="0"/>
          <w:divBdr>
            <w:top w:val="none" w:sz="0" w:space="0" w:color="auto"/>
            <w:left w:val="none" w:sz="0" w:space="0" w:color="auto"/>
            <w:bottom w:val="none" w:sz="0" w:space="0" w:color="auto"/>
            <w:right w:val="none" w:sz="0" w:space="0" w:color="auto"/>
          </w:divBdr>
        </w:div>
        <w:div w:id="332688574">
          <w:marLeft w:val="0"/>
          <w:marRight w:val="0"/>
          <w:marTop w:val="0"/>
          <w:marBottom w:val="0"/>
          <w:divBdr>
            <w:top w:val="none" w:sz="0" w:space="0" w:color="auto"/>
            <w:left w:val="none" w:sz="0" w:space="0" w:color="auto"/>
            <w:bottom w:val="none" w:sz="0" w:space="0" w:color="auto"/>
            <w:right w:val="none" w:sz="0" w:space="0" w:color="auto"/>
          </w:divBdr>
        </w:div>
        <w:div w:id="1783331396">
          <w:marLeft w:val="0"/>
          <w:marRight w:val="0"/>
          <w:marTop w:val="0"/>
          <w:marBottom w:val="0"/>
          <w:divBdr>
            <w:top w:val="none" w:sz="0" w:space="0" w:color="auto"/>
            <w:left w:val="none" w:sz="0" w:space="0" w:color="auto"/>
            <w:bottom w:val="none" w:sz="0" w:space="0" w:color="auto"/>
            <w:right w:val="none" w:sz="0" w:space="0" w:color="auto"/>
          </w:divBdr>
        </w:div>
        <w:div w:id="527649133">
          <w:marLeft w:val="0"/>
          <w:marRight w:val="0"/>
          <w:marTop w:val="0"/>
          <w:marBottom w:val="0"/>
          <w:divBdr>
            <w:top w:val="none" w:sz="0" w:space="0" w:color="auto"/>
            <w:left w:val="none" w:sz="0" w:space="0" w:color="auto"/>
            <w:bottom w:val="none" w:sz="0" w:space="0" w:color="auto"/>
            <w:right w:val="none" w:sz="0" w:space="0" w:color="auto"/>
          </w:divBdr>
        </w:div>
        <w:div w:id="2143888921">
          <w:marLeft w:val="0"/>
          <w:marRight w:val="0"/>
          <w:marTop w:val="0"/>
          <w:marBottom w:val="0"/>
          <w:divBdr>
            <w:top w:val="none" w:sz="0" w:space="0" w:color="auto"/>
            <w:left w:val="none" w:sz="0" w:space="0" w:color="auto"/>
            <w:bottom w:val="none" w:sz="0" w:space="0" w:color="auto"/>
            <w:right w:val="none" w:sz="0" w:space="0" w:color="auto"/>
          </w:divBdr>
        </w:div>
        <w:div w:id="669720468">
          <w:marLeft w:val="0"/>
          <w:marRight w:val="0"/>
          <w:marTop w:val="0"/>
          <w:marBottom w:val="0"/>
          <w:divBdr>
            <w:top w:val="none" w:sz="0" w:space="0" w:color="auto"/>
            <w:left w:val="none" w:sz="0" w:space="0" w:color="auto"/>
            <w:bottom w:val="none" w:sz="0" w:space="0" w:color="auto"/>
            <w:right w:val="none" w:sz="0" w:space="0" w:color="auto"/>
          </w:divBdr>
        </w:div>
        <w:div w:id="1866794277">
          <w:marLeft w:val="0"/>
          <w:marRight w:val="0"/>
          <w:marTop w:val="0"/>
          <w:marBottom w:val="0"/>
          <w:divBdr>
            <w:top w:val="none" w:sz="0" w:space="0" w:color="auto"/>
            <w:left w:val="none" w:sz="0" w:space="0" w:color="auto"/>
            <w:bottom w:val="none" w:sz="0" w:space="0" w:color="auto"/>
            <w:right w:val="none" w:sz="0" w:space="0" w:color="auto"/>
          </w:divBdr>
        </w:div>
      </w:divsChild>
    </w:div>
    <w:div w:id="1574122017">
      <w:bodyDiv w:val="1"/>
      <w:marLeft w:val="0"/>
      <w:marRight w:val="0"/>
      <w:marTop w:val="0"/>
      <w:marBottom w:val="0"/>
      <w:divBdr>
        <w:top w:val="none" w:sz="0" w:space="0" w:color="auto"/>
        <w:left w:val="none" w:sz="0" w:space="0" w:color="auto"/>
        <w:bottom w:val="none" w:sz="0" w:space="0" w:color="auto"/>
        <w:right w:val="none" w:sz="0" w:space="0" w:color="auto"/>
      </w:divBdr>
    </w:div>
    <w:div w:id="1588924783">
      <w:bodyDiv w:val="1"/>
      <w:marLeft w:val="0"/>
      <w:marRight w:val="0"/>
      <w:marTop w:val="0"/>
      <w:marBottom w:val="0"/>
      <w:divBdr>
        <w:top w:val="none" w:sz="0" w:space="0" w:color="auto"/>
        <w:left w:val="none" w:sz="0" w:space="0" w:color="auto"/>
        <w:bottom w:val="none" w:sz="0" w:space="0" w:color="auto"/>
        <w:right w:val="none" w:sz="0" w:space="0" w:color="auto"/>
      </w:divBdr>
    </w:div>
    <w:div w:id="1600330699">
      <w:bodyDiv w:val="1"/>
      <w:marLeft w:val="0"/>
      <w:marRight w:val="0"/>
      <w:marTop w:val="0"/>
      <w:marBottom w:val="0"/>
      <w:divBdr>
        <w:top w:val="none" w:sz="0" w:space="0" w:color="auto"/>
        <w:left w:val="none" w:sz="0" w:space="0" w:color="auto"/>
        <w:bottom w:val="none" w:sz="0" w:space="0" w:color="auto"/>
        <w:right w:val="none" w:sz="0" w:space="0" w:color="auto"/>
      </w:divBdr>
    </w:div>
    <w:div w:id="1601717256">
      <w:bodyDiv w:val="1"/>
      <w:marLeft w:val="0"/>
      <w:marRight w:val="0"/>
      <w:marTop w:val="0"/>
      <w:marBottom w:val="0"/>
      <w:divBdr>
        <w:top w:val="none" w:sz="0" w:space="0" w:color="auto"/>
        <w:left w:val="none" w:sz="0" w:space="0" w:color="auto"/>
        <w:bottom w:val="none" w:sz="0" w:space="0" w:color="auto"/>
        <w:right w:val="none" w:sz="0" w:space="0" w:color="auto"/>
      </w:divBdr>
    </w:div>
    <w:div w:id="1656379029">
      <w:bodyDiv w:val="1"/>
      <w:marLeft w:val="0"/>
      <w:marRight w:val="0"/>
      <w:marTop w:val="0"/>
      <w:marBottom w:val="0"/>
      <w:divBdr>
        <w:top w:val="none" w:sz="0" w:space="0" w:color="auto"/>
        <w:left w:val="none" w:sz="0" w:space="0" w:color="auto"/>
        <w:bottom w:val="none" w:sz="0" w:space="0" w:color="auto"/>
        <w:right w:val="none" w:sz="0" w:space="0" w:color="auto"/>
      </w:divBdr>
    </w:div>
    <w:div w:id="1668316129">
      <w:bodyDiv w:val="1"/>
      <w:marLeft w:val="0"/>
      <w:marRight w:val="0"/>
      <w:marTop w:val="0"/>
      <w:marBottom w:val="0"/>
      <w:divBdr>
        <w:top w:val="none" w:sz="0" w:space="0" w:color="auto"/>
        <w:left w:val="none" w:sz="0" w:space="0" w:color="auto"/>
        <w:bottom w:val="none" w:sz="0" w:space="0" w:color="auto"/>
        <w:right w:val="none" w:sz="0" w:space="0" w:color="auto"/>
      </w:divBdr>
    </w:div>
    <w:div w:id="1679187891">
      <w:bodyDiv w:val="1"/>
      <w:marLeft w:val="0"/>
      <w:marRight w:val="0"/>
      <w:marTop w:val="0"/>
      <w:marBottom w:val="0"/>
      <w:divBdr>
        <w:top w:val="none" w:sz="0" w:space="0" w:color="auto"/>
        <w:left w:val="none" w:sz="0" w:space="0" w:color="auto"/>
        <w:bottom w:val="none" w:sz="0" w:space="0" w:color="auto"/>
        <w:right w:val="none" w:sz="0" w:space="0" w:color="auto"/>
      </w:divBdr>
    </w:div>
    <w:div w:id="1730765999">
      <w:bodyDiv w:val="1"/>
      <w:marLeft w:val="0"/>
      <w:marRight w:val="0"/>
      <w:marTop w:val="0"/>
      <w:marBottom w:val="0"/>
      <w:divBdr>
        <w:top w:val="none" w:sz="0" w:space="0" w:color="auto"/>
        <w:left w:val="none" w:sz="0" w:space="0" w:color="auto"/>
        <w:bottom w:val="none" w:sz="0" w:space="0" w:color="auto"/>
        <w:right w:val="none" w:sz="0" w:space="0" w:color="auto"/>
      </w:divBdr>
    </w:div>
    <w:div w:id="1740395059">
      <w:bodyDiv w:val="1"/>
      <w:marLeft w:val="0"/>
      <w:marRight w:val="0"/>
      <w:marTop w:val="0"/>
      <w:marBottom w:val="0"/>
      <w:divBdr>
        <w:top w:val="none" w:sz="0" w:space="0" w:color="auto"/>
        <w:left w:val="none" w:sz="0" w:space="0" w:color="auto"/>
        <w:bottom w:val="none" w:sz="0" w:space="0" w:color="auto"/>
        <w:right w:val="none" w:sz="0" w:space="0" w:color="auto"/>
      </w:divBdr>
    </w:div>
    <w:div w:id="1810781322">
      <w:bodyDiv w:val="1"/>
      <w:marLeft w:val="0"/>
      <w:marRight w:val="0"/>
      <w:marTop w:val="0"/>
      <w:marBottom w:val="0"/>
      <w:divBdr>
        <w:top w:val="none" w:sz="0" w:space="0" w:color="auto"/>
        <w:left w:val="none" w:sz="0" w:space="0" w:color="auto"/>
        <w:bottom w:val="none" w:sz="0" w:space="0" w:color="auto"/>
        <w:right w:val="none" w:sz="0" w:space="0" w:color="auto"/>
      </w:divBdr>
    </w:div>
    <w:div w:id="1811554828">
      <w:bodyDiv w:val="1"/>
      <w:marLeft w:val="0"/>
      <w:marRight w:val="0"/>
      <w:marTop w:val="0"/>
      <w:marBottom w:val="0"/>
      <w:divBdr>
        <w:top w:val="none" w:sz="0" w:space="0" w:color="auto"/>
        <w:left w:val="none" w:sz="0" w:space="0" w:color="auto"/>
        <w:bottom w:val="none" w:sz="0" w:space="0" w:color="auto"/>
        <w:right w:val="none" w:sz="0" w:space="0" w:color="auto"/>
      </w:divBdr>
    </w:div>
    <w:div w:id="1846825714">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867979738">
      <w:bodyDiv w:val="1"/>
      <w:marLeft w:val="0"/>
      <w:marRight w:val="0"/>
      <w:marTop w:val="0"/>
      <w:marBottom w:val="0"/>
      <w:divBdr>
        <w:top w:val="none" w:sz="0" w:space="0" w:color="auto"/>
        <w:left w:val="none" w:sz="0" w:space="0" w:color="auto"/>
        <w:bottom w:val="none" w:sz="0" w:space="0" w:color="auto"/>
        <w:right w:val="none" w:sz="0" w:space="0" w:color="auto"/>
      </w:divBdr>
    </w:div>
    <w:div w:id="1964844181">
      <w:bodyDiv w:val="1"/>
      <w:marLeft w:val="0"/>
      <w:marRight w:val="0"/>
      <w:marTop w:val="0"/>
      <w:marBottom w:val="0"/>
      <w:divBdr>
        <w:top w:val="none" w:sz="0" w:space="0" w:color="auto"/>
        <w:left w:val="none" w:sz="0" w:space="0" w:color="auto"/>
        <w:bottom w:val="none" w:sz="0" w:space="0" w:color="auto"/>
        <w:right w:val="none" w:sz="0" w:space="0" w:color="auto"/>
      </w:divBdr>
    </w:div>
    <w:div w:id="2011449506">
      <w:bodyDiv w:val="1"/>
      <w:marLeft w:val="0"/>
      <w:marRight w:val="0"/>
      <w:marTop w:val="0"/>
      <w:marBottom w:val="0"/>
      <w:divBdr>
        <w:top w:val="none" w:sz="0" w:space="0" w:color="auto"/>
        <w:left w:val="none" w:sz="0" w:space="0" w:color="auto"/>
        <w:bottom w:val="none" w:sz="0" w:space="0" w:color="auto"/>
        <w:right w:val="none" w:sz="0" w:space="0" w:color="auto"/>
      </w:divBdr>
    </w:div>
    <w:div w:id="2022464361">
      <w:bodyDiv w:val="1"/>
      <w:marLeft w:val="0"/>
      <w:marRight w:val="0"/>
      <w:marTop w:val="0"/>
      <w:marBottom w:val="0"/>
      <w:divBdr>
        <w:top w:val="none" w:sz="0" w:space="0" w:color="auto"/>
        <w:left w:val="none" w:sz="0" w:space="0" w:color="auto"/>
        <w:bottom w:val="none" w:sz="0" w:space="0" w:color="auto"/>
        <w:right w:val="none" w:sz="0" w:space="0" w:color="auto"/>
      </w:divBdr>
    </w:div>
    <w:div w:id="2076277906">
      <w:bodyDiv w:val="1"/>
      <w:marLeft w:val="0"/>
      <w:marRight w:val="0"/>
      <w:marTop w:val="0"/>
      <w:marBottom w:val="0"/>
      <w:divBdr>
        <w:top w:val="none" w:sz="0" w:space="0" w:color="auto"/>
        <w:left w:val="none" w:sz="0" w:space="0" w:color="auto"/>
        <w:bottom w:val="none" w:sz="0" w:space="0" w:color="auto"/>
        <w:right w:val="none" w:sz="0" w:space="0" w:color="auto"/>
      </w:divBdr>
    </w:div>
    <w:div w:id="210430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image" Target="media/image11.gif"/><Relationship Id="rId3" Type="http://schemas.openxmlformats.org/officeDocument/2006/relationships/styles" Target="styles.xml"/><Relationship Id="rId21" Type="http://schemas.openxmlformats.org/officeDocument/2006/relationships/hyperlink" Target="https://ips.ligazakon.net/document/view/gk54664?ed=2023_09_05&amp;an=24" TargetMode="Externa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gi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3.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header" Target="header1.xml"/><Relationship Id="rId10" Type="http://schemas.openxmlformats.org/officeDocument/2006/relationships/image" Target="media/image3.gif"/><Relationship Id="rId19" Type="http://schemas.openxmlformats.org/officeDocument/2006/relationships/image" Target="media/image12.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 Id="rId22" Type="http://schemas.openxmlformats.org/officeDocument/2006/relationships/hyperlink" Target="https://zakon-pro.ligazakon.net/document/GK52834?ed=2022_12_20&amp;an=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936AA-74D5-48DE-8919-1507909E7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64</Pages>
  <Words>83560</Words>
  <Characters>47630</Characters>
  <Application>Microsoft Office Word</Application>
  <DocSecurity>0</DocSecurity>
  <Lines>396</Lines>
  <Paragraphs>261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130929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cp:lastModifiedBy>Григорій Туленко</cp:lastModifiedBy>
  <cp:revision>10</cp:revision>
  <cp:lastPrinted>2020-06-17T14:01:00Z</cp:lastPrinted>
  <dcterms:created xsi:type="dcterms:W3CDTF">2025-02-26T11:16:00Z</dcterms:created>
  <dcterms:modified xsi:type="dcterms:W3CDTF">2025-02-26T14:32:00Z</dcterms:modified>
</cp:coreProperties>
</file>