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493BC" w14:textId="77777777" w:rsidR="00842BE6" w:rsidRPr="00342176" w:rsidRDefault="00503933" w:rsidP="00145CE8">
      <w:pPr>
        <w:shd w:val="clear" w:color="auto" w:fill="FFFFFF"/>
        <w:tabs>
          <w:tab w:val="left" w:pos="14459"/>
        </w:tabs>
        <w:spacing w:after="0" w:line="240" w:lineRule="auto"/>
        <w:ind w:right="-30"/>
        <w:jc w:val="center"/>
        <w:rPr>
          <w:rFonts w:ascii="Times New Roman" w:hAnsi="Times New Roman" w:cs="Times New Roman"/>
          <w:b/>
          <w:sz w:val="28"/>
          <w:lang w:val="uk-UA"/>
        </w:rPr>
      </w:pPr>
      <w:bookmarkStart w:id="0" w:name="n281"/>
      <w:bookmarkEnd w:id="0"/>
      <w:r w:rsidRPr="00342176">
        <w:rPr>
          <w:rFonts w:ascii="Times New Roman" w:eastAsia="Times New Roman" w:hAnsi="Times New Roman" w:cs="Times New Roman"/>
          <w:b/>
          <w:bCs/>
          <w:color w:val="000000" w:themeColor="text1"/>
          <w:sz w:val="28"/>
          <w:szCs w:val="28"/>
          <w:lang w:val="uk-UA" w:eastAsia="uk-UA"/>
        </w:rPr>
        <w:t>УЗАГАЛЬНЕНІ ЗАУВАЖЕННЯ</w:t>
      </w:r>
      <w:r w:rsidRPr="00342176">
        <w:rPr>
          <w:rFonts w:ascii="Times New Roman" w:eastAsia="Times New Roman" w:hAnsi="Times New Roman" w:cs="Times New Roman"/>
          <w:color w:val="000000" w:themeColor="text1"/>
          <w:sz w:val="28"/>
          <w:szCs w:val="28"/>
          <w:lang w:val="uk-UA" w:eastAsia="uk-UA"/>
        </w:rPr>
        <w:br/>
      </w:r>
      <w:r w:rsidRPr="00342176">
        <w:rPr>
          <w:rFonts w:ascii="Times New Roman" w:eastAsia="Times New Roman" w:hAnsi="Times New Roman" w:cs="Times New Roman"/>
          <w:b/>
          <w:bCs/>
          <w:color w:val="000000" w:themeColor="text1"/>
          <w:sz w:val="28"/>
          <w:szCs w:val="28"/>
          <w:lang w:val="uk-UA" w:eastAsia="uk-UA"/>
        </w:rPr>
        <w:t xml:space="preserve">та пропозиції до проекту рішення НКРЕКП, що має ознаки регуляторного акта, - </w:t>
      </w:r>
      <w:r w:rsidRPr="00342176">
        <w:rPr>
          <w:rFonts w:ascii="Times New Roman" w:hAnsi="Times New Roman" w:cs="Times New Roman"/>
          <w:b/>
          <w:color w:val="000000" w:themeColor="text1"/>
          <w:sz w:val="28"/>
          <w:szCs w:val="28"/>
          <w:lang w:val="uk-UA"/>
        </w:rPr>
        <w:t>постанови НКРЕКП «</w:t>
      </w:r>
      <w:r w:rsidR="00842BE6" w:rsidRPr="00342176">
        <w:rPr>
          <w:rFonts w:ascii="Times New Roman" w:hAnsi="Times New Roman" w:cs="Times New Roman"/>
          <w:b/>
          <w:sz w:val="28"/>
          <w:lang w:val="uk-UA"/>
        </w:rPr>
        <w:t>Про внесення зміни до Методики визначення та розрахунку тарифу на послуги розподілу природного газу</w:t>
      </w:r>
      <w:r w:rsidRPr="00342176">
        <w:rPr>
          <w:rFonts w:ascii="Times New Roman" w:hAnsi="Times New Roman" w:cs="Times New Roman"/>
          <w:b/>
          <w:sz w:val="28"/>
          <w:lang w:val="uk-UA"/>
        </w:rPr>
        <w:t>»</w:t>
      </w:r>
      <w:r w:rsidR="003A2114" w:rsidRPr="00342176">
        <w:rPr>
          <w:rFonts w:ascii="Times New Roman" w:hAnsi="Times New Roman" w:cs="Times New Roman"/>
          <w:b/>
          <w:sz w:val="28"/>
          <w:lang w:val="uk-UA"/>
        </w:rPr>
        <w:t xml:space="preserve"> </w:t>
      </w:r>
    </w:p>
    <w:p w14:paraId="41B36993" w14:textId="336F5B76" w:rsidR="00503933" w:rsidRPr="00342176" w:rsidRDefault="00503933" w:rsidP="00145CE8">
      <w:pPr>
        <w:shd w:val="clear" w:color="auto" w:fill="FFFFFF"/>
        <w:tabs>
          <w:tab w:val="left" w:pos="14459"/>
        </w:tabs>
        <w:spacing w:after="0" w:line="240" w:lineRule="auto"/>
        <w:ind w:right="-30"/>
        <w:jc w:val="center"/>
        <w:rPr>
          <w:rFonts w:ascii="Times New Roman" w:hAnsi="Times New Roman" w:cs="Times New Roman"/>
          <w:b/>
          <w:color w:val="000000" w:themeColor="text1"/>
          <w:sz w:val="28"/>
          <w:szCs w:val="28"/>
          <w:lang w:val="uk-UA"/>
        </w:rPr>
      </w:pPr>
      <w:r w:rsidRPr="00342176">
        <w:rPr>
          <w:rFonts w:ascii="Times New Roman" w:hAnsi="Times New Roman" w:cs="Times New Roman"/>
          <w:b/>
          <w:color w:val="000000" w:themeColor="text1"/>
          <w:sz w:val="28"/>
          <w:szCs w:val="28"/>
          <w:lang w:val="uk-UA"/>
        </w:rPr>
        <w:t>(далі – Проєкт постанови)</w:t>
      </w:r>
    </w:p>
    <w:p w14:paraId="1AE616CE" w14:textId="77777777" w:rsidR="0039131A" w:rsidRPr="00342176" w:rsidRDefault="0039131A" w:rsidP="00145CE8">
      <w:pPr>
        <w:spacing w:after="0" w:line="240" w:lineRule="auto"/>
        <w:jc w:val="center"/>
        <w:rPr>
          <w:rFonts w:ascii="Times New Roman" w:hAnsi="Times New Roman" w:cs="Times New Roman"/>
          <w:b/>
          <w:sz w:val="28"/>
          <w:lang w:val="uk-UA"/>
        </w:rPr>
      </w:pPr>
    </w:p>
    <w:tbl>
      <w:tblPr>
        <w:tblStyle w:val="a3"/>
        <w:tblW w:w="15588" w:type="dxa"/>
        <w:jc w:val="center"/>
        <w:tblLayout w:type="fixed"/>
        <w:tblLook w:val="04A0" w:firstRow="1" w:lastRow="0" w:firstColumn="1" w:lastColumn="0" w:noHBand="0" w:noVBand="1"/>
      </w:tblPr>
      <w:tblGrid>
        <w:gridCol w:w="5665"/>
        <w:gridCol w:w="5670"/>
        <w:gridCol w:w="4253"/>
      </w:tblGrid>
      <w:tr w:rsidR="00511FA3" w:rsidRPr="0047796F" w14:paraId="123C45DE" w14:textId="77777777" w:rsidTr="00E12FDC">
        <w:trPr>
          <w:jc w:val="center"/>
        </w:trPr>
        <w:tc>
          <w:tcPr>
            <w:tcW w:w="5665" w:type="dxa"/>
            <w:vAlign w:val="center"/>
          </w:tcPr>
          <w:p w14:paraId="08058D9E" w14:textId="77777777" w:rsidR="006963DE" w:rsidRPr="00342176" w:rsidRDefault="00E52FF2" w:rsidP="00145CE8">
            <w:pPr>
              <w:spacing w:after="0" w:line="240" w:lineRule="auto"/>
              <w:jc w:val="center"/>
              <w:rPr>
                <w:rFonts w:ascii="Times New Roman" w:hAnsi="Times New Roman" w:cs="Times New Roman"/>
                <w:b/>
                <w:i/>
                <w:sz w:val="24"/>
                <w:szCs w:val="24"/>
                <w:lang w:val="uk-UA"/>
              </w:rPr>
            </w:pPr>
            <w:r w:rsidRPr="00342176">
              <w:rPr>
                <w:rFonts w:ascii="Times New Roman" w:hAnsi="Times New Roman" w:cs="Times New Roman"/>
                <w:b/>
                <w:bCs/>
                <w:iCs/>
                <w:sz w:val="24"/>
                <w:szCs w:val="24"/>
                <w:shd w:val="clear" w:color="auto" w:fill="FFFFFF"/>
                <w:lang w:val="uk-UA"/>
              </w:rPr>
              <w:t>Редакція проєкту рішення НКРЕКП</w:t>
            </w:r>
          </w:p>
        </w:tc>
        <w:tc>
          <w:tcPr>
            <w:tcW w:w="5670" w:type="dxa"/>
            <w:vAlign w:val="center"/>
          </w:tcPr>
          <w:p w14:paraId="5816A364" w14:textId="77777777" w:rsidR="006963DE" w:rsidRPr="00342176" w:rsidRDefault="00E52FF2" w:rsidP="00145CE8">
            <w:pPr>
              <w:spacing w:after="0" w:line="240" w:lineRule="auto"/>
              <w:jc w:val="center"/>
              <w:rPr>
                <w:rFonts w:ascii="Times New Roman" w:hAnsi="Times New Roman" w:cs="Times New Roman"/>
                <w:b/>
                <w:iCs/>
                <w:sz w:val="24"/>
                <w:szCs w:val="24"/>
                <w:lang w:val="uk-UA"/>
              </w:rPr>
            </w:pPr>
            <w:r w:rsidRPr="00342176">
              <w:rPr>
                <w:rFonts w:ascii="Times New Roman" w:hAnsi="Times New Roman" w:cs="Times New Roman"/>
                <w:b/>
                <w:bCs/>
                <w:iCs/>
                <w:sz w:val="24"/>
                <w:szCs w:val="24"/>
                <w:shd w:val="clear" w:color="auto" w:fill="FFFFFF"/>
                <w:lang w:val="uk-UA"/>
              </w:rPr>
              <w:t>Зауваження та пропозиції до проєкту рішення НКРЕКП</w:t>
            </w:r>
          </w:p>
        </w:tc>
        <w:tc>
          <w:tcPr>
            <w:tcW w:w="4253" w:type="dxa"/>
            <w:vAlign w:val="center"/>
          </w:tcPr>
          <w:p w14:paraId="7787079F" w14:textId="77777777" w:rsidR="006963DE" w:rsidRPr="00342176" w:rsidRDefault="00503933" w:rsidP="00145CE8">
            <w:pPr>
              <w:spacing w:after="0" w:line="240" w:lineRule="auto"/>
              <w:jc w:val="center"/>
              <w:rPr>
                <w:rFonts w:ascii="Times New Roman" w:hAnsi="Times New Roman" w:cs="Times New Roman"/>
                <w:b/>
                <w:iCs/>
                <w:sz w:val="24"/>
                <w:szCs w:val="24"/>
                <w:lang w:val="uk-UA"/>
              </w:rPr>
            </w:pPr>
            <w:r w:rsidRPr="00342176">
              <w:rPr>
                <w:rFonts w:ascii="Times New Roman" w:eastAsia="Times New Roman" w:hAnsi="Times New Roman" w:cs="Times New Roman"/>
                <w:b/>
                <w:color w:val="000000" w:themeColor="text1"/>
                <w:sz w:val="24"/>
                <w:szCs w:val="24"/>
                <w:lang w:val="uk-UA" w:eastAsia="uk-UA"/>
              </w:rPr>
              <w:t>Попередня позиція НКРЕКП щодо наданих зауважень та пропозицій з обґрунтуваннями щодо прийняття або відхилення</w:t>
            </w:r>
          </w:p>
        </w:tc>
      </w:tr>
      <w:tr w:rsidR="002143C6" w:rsidRPr="00342176" w14:paraId="187BE670" w14:textId="77777777" w:rsidTr="00E12FDC">
        <w:trPr>
          <w:jc w:val="center"/>
        </w:trPr>
        <w:tc>
          <w:tcPr>
            <w:tcW w:w="15588" w:type="dxa"/>
            <w:gridSpan w:val="3"/>
          </w:tcPr>
          <w:p w14:paraId="2D5106BA" w14:textId="77777777" w:rsidR="002143C6" w:rsidRPr="00342176" w:rsidRDefault="002143C6" w:rsidP="00145CE8">
            <w:pPr>
              <w:spacing w:after="0" w:line="240" w:lineRule="auto"/>
              <w:jc w:val="center"/>
              <w:rPr>
                <w:rFonts w:ascii="Times New Roman" w:hAnsi="Times New Roman" w:cs="Times New Roman"/>
                <w:b/>
                <w:bCs/>
                <w:iCs/>
                <w:sz w:val="24"/>
                <w:szCs w:val="24"/>
                <w:shd w:val="clear" w:color="auto" w:fill="FFFFFF"/>
                <w:lang w:val="uk-UA"/>
              </w:rPr>
            </w:pPr>
            <w:r w:rsidRPr="00342176">
              <w:rPr>
                <w:rFonts w:ascii="Times New Roman" w:hAnsi="Times New Roman" w:cs="Times New Roman"/>
                <w:b/>
                <w:sz w:val="24"/>
                <w:szCs w:val="24"/>
                <w:lang w:val="uk-UA"/>
              </w:rPr>
              <w:t>Методика визначення та розрахунку тарифу на послуги розподілу природного газу (постанова НКРЕКП від 25.02.2016  № 236)</w:t>
            </w:r>
          </w:p>
        </w:tc>
      </w:tr>
      <w:tr w:rsidR="00A32325" w:rsidRPr="00342176" w14:paraId="66B227B1" w14:textId="77777777" w:rsidTr="00E12FDC">
        <w:trPr>
          <w:jc w:val="center"/>
        </w:trPr>
        <w:tc>
          <w:tcPr>
            <w:tcW w:w="15588" w:type="dxa"/>
            <w:gridSpan w:val="3"/>
          </w:tcPr>
          <w:p w14:paraId="6BDF0AE7" w14:textId="5ED392FE" w:rsidR="00A32325" w:rsidRPr="00342176" w:rsidRDefault="00A32325" w:rsidP="00145CE8">
            <w:pPr>
              <w:pStyle w:val="rvps2"/>
              <w:shd w:val="clear" w:color="auto" w:fill="FFFFFF"/>
              <w:tabs>
                <w:tab w:val="left" w:pos="465"/>
              </w:tabs>
              <w:spacing w:before="0" w:beforeAutospacing="0" w:after="0" w:afterAutospacing="0"/>
              <w:ind w:left="22" w:firstLine="567"/>
              <w:jc w:val="center"/>
              <w:rPr>
                <w:b/>
                <w:bCs/>
                <w:lang w:eastAsia="en-US"/>
              </w:rPr>
            </w:pPr>
            <w:r w:rsidRPr="00342176">
              <w:rPr>
                <w:b/>
                <w:bCs/>
                <w:lang w:eastAsia="en-US"/>
              </w:rPr>
              <w:t>XIІ. Прикінцеві положення</w:t>
            </w:r>
          </w:p>
        </w:tc>
      </w:tr>
      <w:tr w:rsidR="00954AA3" w:rsidRPr="0047796F" w14:paraId="0A256960" w14:textId="77777777" w:rsidTr="00E12FDC">
        <w:trPr>
          <w:jc w:val="center"/>
        </w:trPr>
        <w:tc>
          <w:tcPr>
            <w:tcW w:w="5665" w:type="dxa"/>
            <w:vMerge w:val="restart"/>
          </w:tcPr>
          <w:p w14:paraId="095735FF"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r w:rsidRPr="00342176">
              <w:rPr>
                <w:b/>
                <w:bCs/>
                <w:lang w:eastAsia="en-US"/>
              </w:rPr>
              <w:t xml:space="preserve">1. </w:t>
            </w:r>
            <w:bookmarkStart w:id="1" w:name="_Hlk207033033"/>
            <w:r w:rsidRPr="00342176">
              <w:rPr>
                <w:b/>
                <w:bCs/>
                <w:lang w:eastAsia="en-US"/>
              </w:rPr>
              <w:t>При встановленні тарифу на послуги розподілу природного газу НКРЕКП може прийняти рішення щодо запровадження перехідного періоду.</w:t>
            </w:r>
          </w:p>
          <w:p w14:paraId="71BF32AD"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r w:rsidRPr="00342176">
              <w:rPr>
                <w:b/>
                <w:bCs/>
                <w:lang w:eastAsia="en-US"/>
              </w:rPr>
              <w:t>Тривалість перехідного періоду визначається рішенням НКРЕКП про встановлення тарифу.</w:t>
            </w:r>
            <w:bookmarkEnd w:id="1"/>
          </w:p>
          <w:p w14:paraId="4F081C25"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p>
          <w:p w14:paraId="052C96AE"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r w:rsidRPr="00342176">
              <w:rPr>
                <w:b/>
                <w:bCs/>
                <w:lang w:eastAsia="en-US"/>
              </w:rPr>
              <w:t xml:space="preserve">2. </w:t>
            </w:r>
            <w:bookmarkStart w:id="2" w:name="_Hlk207033060"/>
            <w:r w:rsidRPr="00342176">
              <w:rPr>
                <w:b/>
                <w:bCs/>
                <w:lang w:eastAsia="en-US"/>
              </w:rPr>
              <w:t xml:space="preserve">Тариф на послуги розподілу природного газу на перехідний період встановлюється на кожний етап перехідного періоду. </w:t>
            </w:r>
            <w:bookmarkEnd w:id="2"/>
          </w:p>
          <w:p w14:paraId="1A9D3F85"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bookmarkStart w:id="3" w:name="n346"/>
            <w:bookmarkEnd w:id="3"/>
          </w:p>
          <w:p w14:paraId="1D9A8E89"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r w:rsidRPr="00342176">
              <w:rPr>
                <w:b/>
                <w:bCs/>
                <w:lang w:eastAsia="en-US"/>
              </w:rPr>
              <w:t xml:space="preserve">3. </w:t>
            </w:r>
            <w:bookmarkStart w:id="4" w:name="_Hlk207033076"/>
            <w:r w:rsidRPr="00342176">
              <w:rPr>
                <w:b/>
                <w:bCs/>
                <w:lang w:eastAsia="en-US"/>
              </w:rPr>
              <w:t>На перший етап перехідного періоду тариф на послуги розподілу природного газу (Т</w:t>
            </w:r>
            <w:r w:rsidRPr="00342176">
              <w:rPr>
                <w:b/>
                <w:bCs/>
                <w:vertAlign w:val="subscript"/>
                <w:lang w:eastAsia="en-US"/>
              </w:rPr>
              <w:t>розр1</w:t>
            </w:r>
            <w:r w:rsidRPr="00342176">
              <w:rPr>
                <w:b/>
                <w:bCs/>
                <w:lang w:eastAsia="en-US"/>
              </w:rPr>
              <w:t>) розраховується за формулою</w:t>
            </w:r>
          </w:p>
          <w:bookmarkStart w:id="5" w:name="_Hlk207033114"/>
          <w:bookmarkEnd w:id="4"/>
          <w:p w14:paraId="4D5AE09B" w14:textId="37443242" w:rsidR="00842BE6" w:rsidRPr="00342176" w:rsidRDefault="0047796F" w:rsidP="00145CE8">
            <w:pPr>
              <w:pStyle w:val="rvps2"/>
              <w:shd w:val="clear" w:color="auto" w:fill="FFFFFF"/>
              <w:tabs>
                <w:tab w:val="left" w:pos="465"/>
              </w:tabs>
              <w:spacing w:before="0" w:beforeAutospacing="0" w:after="0" w:afterAutospacing="0"/>
              <w:ind w:left="589"/>
              <w:jc w:val="both"/>
              <w:rPr>
                <w:b/>
                <w:bCs/>
                <w:lang w:eastAsia="en-US"/>
              </w:rPr>
            </w:pPr>
            <m:oMath>
              <m:sSub>
                <m:sSubPr>
                  <m:ctrlPr>
                    <w:rPr>
                      <w:rFonts w:ascii="Cambria Math" w:hAnsi="Cambria Math"/>
                      <w:b/>
                      <w:bCs/>
                      <w:lang w:eastAsia="en-US"/>
                    </w:rPr>
                  </m:ctrlPr>
                </m:sSubPr>
                <m:e>
                  <m:r>
                    <m:rPr>
                      <m:sty m:val="b"/>
                    </m:rPr>
                    <w:rPr>
                      <w:rFonts w:ascii="Cambria Math" w:hAnsi="Cambria Math"/>
                      <w:lang w:eastAsia="en-US"/>
                    </w:rPr>
                    <m:t>T</m:t>
                  </m:r>
                </m:e>
                <m:sub>
                  <m:r>
                    <m:rPr>
                      <m:sty m:val="b"/>
                    </m:rPr>
                    <w:rPr>
                      <w:rFonts w:ascii="Cambria Math" w:hAnsi="Cambria Math"/>
                      <w:lang w:eastAsia="en-US"/>
                    </w:rPr>
                    <m:t>розр1</m:t>
                  </m:r>
                </m:sub>
              </m:sSub>
              <m:r>
                <m:rPr>
                  <m:sty m:val="b"/>
                </m:rPr>
                <w:rPr>
                  <w:rFonts w:ascii="Cambria Math" w:hAnsi="Cambria Math"/>
                  <w:lang w:eastAsia="en-US"/>
                </w:rPr>
                <m:t>=</m:t>
              </m:r>
              <m:sSub>
                <m:sSubPr>
                  <m:ctrlPr>
                    <w:rPr>
                      <w:rFonts w:ascii="Cambria Math" w:hAnsi="Cambria Math"/>
                      <w:b/>
                      <w:bCs/>
                      <w:lang w:eastAsia="en-US"/>
                    </w:rPr>
                  </m:ctrlPr>
                </m:sSubPr>
                <m:e>
                  <m:r>
                    <m:rPr>
                      <m:sty m:val="b"/>
                    </m:rPr>
                    <w:rPr>
                      <w:rFonts w:ascii="Cambria Math" w:hAnsi="Cambria Math"/>
                      <w:lang w:eastAsia="en-US"/>
                    </w:rPr>
                    <m:t>T</m:t>
                  </m:r>
                </m:e>
                <m:sub>
                  <m:r>
                    <m:rPr>
                      <m:sty m:val="b"/>
                    </m:rPr>
                    <w:rPr>
                      <w:rFonts w:ascii="Cambria Math" w:hAnsi="Cambria Math"/>
                      <w:lang w:eastAsia="en-US"/>
                    </w:rPr>
                    <m:t>баз</m:t>
                  </m:r>
                </m:sub>
              </m:sSub>
              <m:r>
                <m:rPr>
                  <m:sty m:val="b"/>
                </m:rPr>
                <w:rPr>
                  <w:rFonts w:ascii="Cambria Math" w:hAnsi="Cambria Math"/>
                  <w:lang w:eastAsia="en-US"/>
                </w:rPr>
                <m:t>+D×</m:t>
              </m:r>
              <m:sSub>
                <m:sSubPr>
                  <m:ctrlPr>
                    <w:rPr>
                      <w:rFonts w:ascii="Cambria Math" w:hAnsi="Cambria Math"/>
                      <w:b/>
                      <w:bCs/>
                      <w:lang w:eastAsia="en-US"/>
                    </w:rPr>
                  </m:ctrlPr>
                </m:sSubPr>
                <m:e>
                  <m:r>
                    <m:rPr>
                      <m:sty m:val="b"/>
                    </m:rPr>
                    <w:rPr>
                      <w:rFonts w:ascii="Cambria Math" w:hAnsi="Cambria Math"/>
                      <w:lang w:eastAsia="en-US"/>
                    </w:rPr>
                    <m:t>g</m:t>
                  </m:r>
                </m:e>
                <m:sub>
                  <m:r>
                    <m:rPr>
                      <m:sty m:val="b"/>
                    </m:rPr>
                    <w:rPr>
                      <w:rFonts w:ascii="Cambria Math" w:hAnsi="Cambria Math"/>
                      <w:lang w:eastAsia="en-US"/>
                    </w:rPr>
                    <m:t>1</m:t>
                  </m:r>
                </m:sub>
              </m:sSub>
            </m:oMath>
            <w:r w:rsidR="00842BE6" w:rsidRPr="00342176">
              <w:rPr>
                <w:b/>
                <w:bCs/>
                <w:lang w:eastAsia="en-US"/>
              </w:rPr>
              <w:t>, (грн за 1 м</w:t>
            </w:r>
            <w:r w:rsidR="00842BE6" w:rsidRPr="00342176">
              <w:rPr>
                <w:b/>
                <w:bCs/>
                <w:vertAlign w:val="superscript"/>
                <w:lang w:eastAsia="en-US"/>
              </w:rPr>
              <w:t>3</w:t>
            </w:r>
            <w:r w:rsidR="00842BE6" w:rsidRPr="00342176">
              <w:rPr>
                <w:b/>
                <w:bCs/>
                <w:lang w:eastAsia="en-US"/>
              </w:rPr>
              <w:t xml:space="preserve"> на місяць),                        </w:t>
            </w:r>
            <w:r w:rsidR="00A32325" w:rsidRPr="00342176">
              <w:rPr>
                <w:b/>
                <w:bCs/>
                <w:lang w:eastAsia="en-US"/>
              </w:rPr>
              <w:t xml:space="preserve">                               </w:t>
            </w:r>
            <w:r w:rsidR="00842BE6" w:rsidRPr="00342176">
              <w:rPr>
                <w:b/>
                <w:bCs/>
                <w:lang w:eastAsia="en-US"/>
              </w:rPr>
              <w:t>(13)</w:t>
            </w:r>
          </w:p>
          <w:p w14:paraId="3267750C"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r w:rsidRPr="00342176">
              <w:rPr>
                <w:b/>
                <w:bCs/>
                <w:lang w:eastAsia="en-US"/>
              </w:rPr>
              <w:t xml:space="preserve">де </w:t>
            </w:r>
            <m:oMath>
              <m:sSub>
                <m:sSubPr>
                  <m:ctrlPr>
                    <w:rPr>
                      <w:rFonts w:ascii="Cambria Math" w:hAnsi="Cambria Math"/>
                      <w:b/>
                      <w:bCs/>
                      <w:lang w:eastAsia="en-US"/>
                    </w:rPr>
                  </m:ctrlPr>
                </m:sSubPr>
                <m:e>
                  <m:r>
                    <m:rPr>
                      <m:sty m:val="b"/>
                    </m:rPr>
                    <w:rPr>
                      <w:rFonts w:ascii="Cambria Math" w:hAnsi="Cambria Math"/>
                      <w:lang w:eastAsia="en-US"/>
                    </w:rPr>
                    <m:t>T</m:t>
                  </m:r>
                </m:e>
                <m:sub>
                  <m:r>
                    <m:rPr>
                      <m:sty m:val="b"/>
                    </m:rPr>
                    <w:rPr>
                      <w:rFonts w:ascii="Cambria Math" w:hAnsi="Cambria Math"/>
                      <w:lang w:eastAsia="en-US"/>
                    </w:rPr>
                    <m:t>баз</m:t>
                  </m:r>
                </m:sub>
              </m:sSub>
            </m:oMath>
            <w:r w:rsidRPr="00342176">
              <w:rPr>
                <w:b/>
                <w:bCs/>
                <w:lang w:eastAsia="en-US"/>
              </w:rPr>
              <w:t>– діючий тариф на послуги розподілу природного газу, грн за 1 м</w:t>
            </w:r>
            <w:r w:rsidRPr="00342176">
              <w:rPr>
                <w:b/>
                <w:bCs/>
                <w:vertAlign w:val="superscript"/>
                <w:lang w:eastAsia="en-US"/>
              </w:rPr>
              <w:t>3</w:t>
            </w:r>
            <w:r w:rsidRPr="00342176">
              <w:rPr>
                <w:b/>
                <w:bCs/>
                <w:lang w:eastAsia="en-US"/>
              </w:rPr>
              <w:t xml:space="preserve"> на місяць;</w:t>
            </w:r>
          </w:p>
          <w:p w14:paraId="460225ED" w14:textId="77777777" w:rsidR="00842BE6" w:rsidRPr="00342176" w:rsidRDefault="0047796F" w:rsidP="00145CE8">
            <w:pPr>
              <w:pStyle w:val="rvps2"/>
              <w:shd w:val="clear" w:color="auto" w:fill="FFFFFF"/>
              <w:tabs>
                <w:tab w:val="left" w:pos="465"/>
              </w:tabs>
              <w:spacing w:before="0" w:beforeAutospacing="0" w:after="0" w:afterAutospacing="0"/>
              <w:ind w:left="22" w:firstLine="567"/>
              <w:jc w:val="both"/>
              <w:rPr>
                <w:b/>
                <w:bCs/>
                <w:lang w:eastAsia="en-US"/>
              </w:rPr>
            </w:pPr>
            <m:oMath>
              <m:sSub>
                <m:sSubPr>
                  <m:ctrlPr>
                    <w:rPr>
                      <w:rFonts w:ascii="Cambria Math" w:hAnsi="Cambria Math"/>
                      <w:b/>
                      <w:bCs/>
                      <w:lang w:eastAsia="en-US"/>
                    </w:rPr>
                  </m:ctrlPr>
                </m:sSubPr>
                <m:e>
                  <m:r>
                    <m:rPr>
                      <m:sty m:val="b"/>
                    </m:rPr>
                    <w:rPr>
                      <w:rFonts w:ascii="Cambria Math" w:hAnsi="Cambria Math"/>
                      <w:lang w:eastAsia="en-US"/>
                    </w:rPr>
                    <m:t>g</m:t>
                  </m:r>
                </m:e>
                <m:sub>
                  <m:r>
                    <m:rPr>
                      <m:sty m:val="b"/>
                    </m:rPr>
                    <w:rPr>
                      <w:rFonts w:ascii="Cambria Math" w:hAnsi="Cambria Math"/>
                      <w:lang w:eastAsia="en-US"/>
                    </w:rPr>
                    <m:t>1</m:t>
                  </m:r>
                </m:sub>
              </m:sSub>
            </m:oMath>
            <w:r w:rsidR="00842BE6" w:rsidRPr="00342176">
              <w:rPr>
                <w:b/>
                <w:bCs/>
                <w:lang w:eastAsia="en-US"/>
              </w:rPr>
              <w:t xml:space="preserve"> – коефіцієнт, що застосовується НКРЕКП в однаковому розмірі для ліцензіатів у першому </w:t>
            </w:r>
            <w:r w:rsidR="00842BE6" w:rsidRPr="00342176">
              <w:rPr>
                <w:b/>
                <w:bCs/>
                <w:lang w:eastAsia="en-US"/>
              </w:rPr>
              <w:lastRenderedPageBreak/>
              <w:t>етапі</w:t>
            </w:r>
            <w:r w:rsidR="00842BE6" w:rsidRPr="00342176">
              <w:rPr>
                <w:b/>
                <w:bCs/>
              </w:rPr>
              <w:t xml:space="preserve"> </w:t>
            </w:r>
            <w:r w:rsidR="00842BE6" w:rsidRPr="00342176">
              <w:rPr>
                <w:b/>
                <w:bCs/>
                <w:lang w:eastAsia="en-US"/>
              </w:rPr>
              <w:t>перехідного періоду, з метою поетапного досягнення цільового рівня тарифу на послуги розподілу природного газу;</w:t>
            </w:r>
          </w:p>
          <w:p w14:paraId="5B75C365"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m:oMath>
              <m:r>
                <m:rPr>
                  <m:sty m:val="bi"/>
                </m:rPr>
                <w:rPr>
                  <w:rFonts w:ascii="Cambria Math" w:hAnsi="Cambria Math"/>
                  <w:lang w:eastAsia="en-US"/>
                </w:rPr>
                <m:t>D</m:t>
              </m:r>
            </m:oMath>
            <w:r w:rsidRPr="00342176">
              <w:rPr>
                <w:b/>
                <w:bCs/>
                <w:lang w:eastAsia="en-US"/>
              </w:rPr>
              <w:t xml:space="preserve"> – сума приросту тарифу на послуги розподілу природного газу, що розраховується за формулою</w:t>
            </w:r>
          </w:p>
          <w:p w14:paraId="4FD5F2C6" w14:textId="77777777" w:rsidR="00842BE6" w:rsidRPr="00342176" w:rsidRDefault="00842BE6" w:rsidP="00145CE8">
            <w:pPr>
              <w:pStyle w:val="rvps2"/>
              <w:shd w:val="clear" w:color="auto" w:fill="FFFFFF"/>
              <w:tabs>
                <w:tab w:val="left" w:pos="465"/>
              </w:tabs>
              <w:spacing w:before="0" w:beforeAutospacing="0" w:after="0" w:afterAutospacing="0"/>
              <w:ind w:left="599"/>
              <w:jc w:val="both"/>
              <w:rPr>
                <w:b/>
                <w:bCs/>
                <w:lang w:eastAsia="en-US"/>
              </w:rPr>
            </w:pPr>
            <m:oMath>
              <m:r>
                <m:rPr>
                  <m:sty m:val="b"/>
                </m:rPr>
                <w:rPr>
                  <w:rFonts w:ascii="Cambria Math" w:hAnsi="Cambria Math"/>
                  <w:lang w:eastAsia="en-US"/>
                </w:rPr>
                <m:t>D=</m:t>
              </m:r>
              <m:sSub>
                <m:sSubPr>
                  <m:ctrlPr>
                    <w:rPr>
                      <w:rFonts w:ascii="Cambria Math" w:hAnsi="Cambria Math"/>
                      <w:b/>
                      <w:bCs/>
                      <w:lang w:eastAsia="en-US"/>
                    </w:rPr>
                  </m:ctrlPr>
                </m:sSubPr>
                <m:e>
                  <m:r>
                    <m:rPr>
                      <m:sty m:val="b"/>
                    </m:rPr>
                    <w:rPr>
                      <w:rFonts w:ascii="Cambria Math" w:hAnsi="Cambria Math"/>
                      <w:lang w:eastAsia="en-US"/>
                    </w:rPr>
                    <m:t>T</m:t>
                  </m:r>
                </m:e>
                <m:sub>
                  <m:r>
                    <m:rPr>
                      <m:sty m:val="b"/>
                    </m:rPr>
                    <w:rPr>
                      <w:rFonts w:ascii="Cambria Math" w:hAnsi="Cambria Math"/>
                      <w:lang w:eastAsia="en-US"/>
                    </w:rPr>
                    <m:t>ціл</m:t>
                  </m:r>
                </m:sub>
              </m:sSub>
              <m:r>
                <m:rPr>
                  <m:sty m:val="b"/>
                </m:rPr>
                <w:rPr>
                  <w:rFonts w:ascii="Cambria Math" w:hAnsi="Cambria Math"/>
                  <w:lang w:eastAsia="en-US"/>
                </w:rPr>
                <m:t>-</m:t>
              </m:r>
              <m:sSub>
                <m:sSubPr>
                  <m:ctrlPr>
                    <w:rPr>
                      <w:rFonts w:ascii="Cambria Math" w:hAnsi="Cambria Math"/>
                      <w:b/>
                      <w:bCs/>
                      <w:lang w:eastAsia="en-US"/>
                    </w:rPr>
                  </m:ctrlPr>
                </m:sSubPr>
                <m:e>
                  <m:r>
                    <m:rPr>
                      <m:sty m:val="b"/>
                    </m:rPr>
                    <w:rPr>
                      <w:rFonts w:ascii="Cambria Math" w:hAnsi="Cambria Math"/>
                      <w:lang w:eastAsia="en-US"/>
                    </w:rPr>
                    <m:t>T</m:t>
                  </m:r>
                </m:e>
                <m:sub>
                  <m:r>
                    <m:rPr>
                      <m:sty m:val="b"/>
                    </m:rPr>
                    <w:rPr>
                      <w:rFonts w:ascii="Cambria Math" w:hAnsi="Cambria Math"/>
                      <w:lang w:eastAsia="en-US"/>
                    </w:rPr>
                    <m:t>баз</m:t>
                  </m:r>
                </m:sub>
              </m:sSub>
            </m:oMath>
            <w:r w:rsidRPr="00342176">
              <w:rPr>
                <w:b/>
                <w:bCs/>
                <w:lang w:eastAsia="en-US"/>
              </w:rPr>
              <w:t>, (грн за 1 м</w:t>
            </w:r>
            <w:r w:rsidRPr="00342176">
              <w:rPr>
                <w:b/>
                <w:bCs/>
                <w:vertAlign w:val="superscript"/>
                <w:lang w:eastAsia="en-US"/>
              </w:rPr>
              <w:t>3</w:t>
            </w:r>
            <w:r w:rsidRPr="00342176">
              <w:rPr>
                <w:b/>
                <w:bCs/>
                <w:lang w:eastAsia="en-US"/>
              </w:rPr>
              <w:t xml:space="preserve"> на місяць),                                    (14)</w:t>
            </w:r>
          </w:p>
          <w:p w14:paraId="5DCF8426"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r w:rsidRPr="00342176">
              <w:rPr>
                <w:b/>
                <w:bCs/>
                <w:lang w:eastAsia="en-US"/>
              </w:rPr>
              <w:t xml:space="preserve">де </w:t>
            </w:r>
            <m:oMath>
              <m:sSub>
                <m:sSubPr>
                  <m:ctrlPr>
                    <w:rPr>
                      <w:rFonts w:ascii="Cambria Math" w:hAnsi="Cambria Math"/>
                      <w:b/>
                      <w:bCs/>
                      <w:lang w:eastAsia="en-US"/>
                    </w:rPr>
                  </m:ctrlPr>
                </m:sSubPr>
                <m:e>
                  <m:r>
                    <m:rPr>
                      <m:sty m:val="b"/>
                    </m:rPr>
                    <w:rPr>
                      <w:rFonts w:ascii="Cambria Math" w:hAnsi="Cambria Math"/>
                      <w:lang w:eastAsia="en-US"/>
                    </w:rPr>
                    <m:t>T</m:t>
                  </m:r>
                </m:e>
                <m:sub>
                  <m:r>
                    <m:rPr>
                      <m:sty m:val="b"/>
                    </m:rPr>
                    <w:rPr>
                      <w:rFonts w:ascii="Cambria Math" w:hAnsi="Cambria Math"/>
                      <w:lang w:eastAsia="en-US"/>
                    </w:rPr>
                    <m:t>ціл</m:t>
                  </m:r>
                </m:sub>
              </m:sSub>
            </m:oMath>
            <w:r w:rsidRPr="00342176">
              <w:rPr>
                <w:b/>
                <w:bCs/>
                <w:lang w:eastAsia="en-US"/>
              </w:rPr>
              <w:t xml:space="preserve"> – цільовий рівень тарифу, що дорівнює тарифу на послуги розподілу природного газу (</w:t>
            </w:r>
            <m:oMath>
              <m:sSub>
                <m:sSubPr>
                  <m:ctrlPr>
                    <w:rPr>
                      <w:rFonts w:ascii="Cambria Math" w:hAnsi="Cambria Math"/>
                      <w:b/>
                      <w:bCs/>
                      <w:lang w:eastAsia="en-US"/>
                    </w:rPr>
                  </m:ctrlPr>
                </m:sSubPr>
                <m:e>
                  <m:r>
                    <m:rPr>
                      <m:sty m:val="b"/>
                    </m:rPr>
                    <w:rPr>
                      <w:rFonts w:ascii="Cambria Math" w:hAnsi="Cambria Math"/>
                      <w:lang w:eastAsia="en-US"/>
                    </w:rPr>
                    <m:t>T</m:t>
                  </m:r>
                </m:e>
                <m:sub>
                  <m:r>
                    <m:rPr>
                      <m:sty m:val="b"/>
                    </m:rPr>
                    <w:rPr>
                      <w:rFonts w:ascii="Cambria Math" w:hAnsi="Cambria Math"/>
                      <w:lang w:eastAsia="en-US"/>
                    </w:rPr>
                    <m:t>розп</m:t>
                  </m:r>
                </m:sub>
              </m:sSub>
            </m:oMath>
            <w:r w:rsidRPr="00342176">
              <w:rPr>
                <w:b/>
                <w:bCs/>
                <w:lang w:eastAsia="en-US"/>
              </w:rPr>
              <w:t>), розрахованому за формулою 1 цієї Методики.</w:t>
            </w:r>
          </w:p>
          <w:p w14:paraId="7D0D870F"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r w:rsidRPr="00342176">
              <w:rPr>
                <w:b/>
                <w:bCs/>
                <w:lang w:eastAsia="en-US"/>
              </w:rPr>
              <w:t xml:space="preserve">У випадку якщо </w:t>
            </w:r>
            <m:oMath>
              <m:sSub>
                <m:sSubPr>
                  <m:ctrlPr>
                    <w:rPr>
                      <w:rFonts w:ascii="Cambria Math" w:hAnsi="Cambria Math"/>
                      <w:b/>
                      <w:bCs/>
                      <w:lang w:eastAsia="en-US"/>
                    </w:rPr>
                  </m:ctrlPr>
                </m:sSubPr>
                <m:e>
                  <m:r>
                    <m:rPr>
                      <m:sty m:val="b"/>
                    </m:rPr>
                    <w:rPr>
                      <w:rFonts w:ascii="Cambria Math" w:hAnsi="Cambria Math"/>
                      <w:lang w:eastAsia="en-US"/>
                    </w:rPr>
                    <m:t>T</m:t>
                  </m:r>
                </m:e>
                <m:sub>
                  <m:r>
                    <m:rPr>
                      <m:sty m:val="b"/>
                    </m:rPr>
                    <w:rPr>
                      <w:rFonts w:ascii="Cambria Math" w:hAnsi="Cambria Math"/>
                      <w:lang w:eastAsia="en-US"/>
                    </w:rPr>
                    <m:t>ціл</m:t>
                  </m:r>
                </m:sub>
              </m:sSub>
              <m:r>
                <m:rPr>
                  <m:sty m:val="bi"/>
                </m:rPr>
                <w:rPr>
                  <w:rFonts w:ascii="Cambria Math" w:hAnsi="Cambria Math"/>
                  <w:lang w:eastAsia="en-US"/>
                </w:rPr>
                <m:t>≤</m:t>
              </m:r>
              <m:sSub>
                <m:sSubPr>
                  <m:ctrlPr>
                    <w:rPr>
                      <w:rFonts w:ascii="Cambria Math" w:hAnsi="Cambria Math"/>
                      <w:b/>
                      <w:bCs/>
                      <w:lang w:eastAsia="en-US"/>
                    </w:rPr>
                  </m:ctrlPr>
                </m:sSubPr>
                <m:e>
                  <m:r>
                    <m:rPr>
                      <m:sty m:val="b"/>
                    </m:rPr>
                    <w:rPr>
                      <w:rFonts w:ascii="Cambria Math" w:hAnsi="Cambria Math"/>
                      <w:lang w:eastAsia="en-US"/>
                    </w:rPr>
                    <m:t>T</m:t>
                  </m:r>
                </m:e>
                <m:sub>
                  <m:r>
                    <m:rPr>
                      <m:sty m:val="b"/>
                    </m:rPr>
                    <w:rPr>
                      <w:rFonts w:ascii="Cambria Math" w:hAnsi="Cambria Math"/>
                      <w:lang w:eastAsia="en-US"/>
                    </w:rPr>
                    <m:t>баз</m:t>
                  </m:r>
                </m:sub>
              </m:sSub>
            </m:oMath>
            <w:r w:rsidRPr="00342176">
              <w:rPr>
                <w:b/>
                <w:bCs/>
                <w:lang w:eastAsia="en-US"/>
              </w:rPr>
              <w:t xml:space="preserve"> перехідний період не застосовується.</w:t>
            </w:r>
          </w:p>
          <w:p w14:paraId="0B0341D0"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p>
          <w:p w14:paraId="170089AE" w14:textId="77777777" w:rsidR="00842BE6" w:rsidRPr="00342176" w:rsidRDefault="00842BE6" w:rsidP="00145CE8">
            <w:pPr>
              <w:pStyle w:val="rvps2"/>
              <w:tabs>
                <w:tab w:val="left" w:pos="465"/>
              </w:tabs>
              <w:spacing w:before="0" w:beforeAutospacing="0" w:after="0" w:afterAutospacing="0"/>
              <w:ind w:left="22" w:firstLine="567"/>
              <w:jc w:val="both"/>
              <w:rPr>
                <w:b/>
                <w:bCs/>
              </w:rPr>
            </w:pPr>
            <w:r w:rsidRPr="00342176">
              <w:rPr>
                <w:b/>
                <w:bCs/>
              </w:rPr>
              <w:t>4. На наступні етапи перехідного періоду, крім останнього, тариф на послуги розподілу природного газу (</w:t>
            </w:r>
            <m:oMath>
              <m:sSub>
                <m:sSubPr>
                  <m:ctrlPr>
                    <w:rPr>
                      <w:rFonts w:ascii="Cambria Math" w:hAnsi="Cambria Math"/>
                      <w:b/>
                      <w:bCs/>
                      <w:lang w:eastAsia="en-US"/>
                    </w:rPr>
                  </m:ctrlPr>
                </m:sSubPr>
                <m:e>
                  <m:r>
                    <m:rPr>
                      <m:sty m:val="b"/>
                    </m:rPr>
                    <w:rPr>
                      <w:rFonts w:ascii="Cambria Math" w:hAnsi="Cambria Math"/>
                      <w:lang w:eastAsia="en-US"/>
                    </w:rPr>
                    <m:t>T</m:t>
                  </m:r>
                </m:e>
                <m:sub>
                  <m:sSub>
                    <m:sSubPr>
                      <m:ctrlPr>
                        <w:rPr>
                          <w:rFonts w:ascii="Cambria Math" w:hAnsi="Cambria Math"/>
                          <w:b/>
                          <w:bCs/>
                          <w:lang w:eastAsia="en-US"/>
                        </w:rPr>
                      </m:ctrlPr>
                    </m:sSubPr>
                    <m:e>
                      <m:r>
                        <m:rPr>
                          <m:sty m:val="b"/>
                        </m:rPr>
                        <w:rPr>
                          <w:rFonts w:ascii="Cambria Math" w:hAnsi="Cambria Math"/>
                          <w:lang w:eastAsia="en-US"/>
                        </w:rPr>
                        <m:t>розр</m:t>
                      </m:r>
                    </m:e>
                    <m:sub>
                      <m:r>
                        <m:rPr>
                          <m:sty m:val="bi"/>
                        </m:rPr>
                        <w:rPr>
                          <w:rFonts w:ascii="Cambria Math" w:hAnsi="Cambria Math"/>
                          <w:lang w:eastAsia="en-US"/>
                        </w:rPr>
                        <m:t>n</m:t>
                      </m:r>
                    </m:sub>
                  </m:sSub>
                </m:sub>
              </m:sSub>
            </m:oMath>
            <w:r w:rsidRPr="00342176">
              <w:rPr>
                <w:b/>
                <w:bCs/>
              </w:rPr>
              <w:t>) розраховується за формулою</w:t>
            </w:r>
          </w:p>
          <w:p w14:paraId="0AAE85C5" w14:textId="20505FA0" w:rsidR="00842BE6" w:rsidRPr="00342176" w:rsidRDefault="0047796F" w:rsidP="00145CE8">
            <w:pPr>
              <w:pStyle w:val="rvps2"/>
              <w:shd w:val="clear" w:color="auto" w:fill="FFFFFF"/>
              <w:tabs>
                <w:tab w:val="left" w:pos="465"/>
              </w:tabs>
              <w:spacing w:before="0" w:beforeAutospacing="0" w:after="0" w:afterAutospacing="0"/>
              <w:ind w:left="599"/>
              <w:jc w:val="both"/>
              <w:rPr>
                <w:b/>
                <w:bCs/>
                <w:lang w:eastAsia="en-US"/>
              </w:rPr>
            </w:pPr>
            <m:oMath>
              <m:sSub>
                <m:sSubPr>
                  <m:ctrlPr>
                    <w:rPr>
                      <w:rFonts w:ascii="Cambria Math" w:hAnsi="Cambria Math"/>
                      <w:b/>
                      <w:bCs/>
                      <w:lang w:eastAsia="en-US"/>
                    </w:rPr>
                  </m:ctrlPr>
                </m:sSubPr>
                <m:e>
                  <m:r>
                    <m:rPr>
                      <m:sty m:val="b"/>
                    </m:rPr>
                    <w:rPr>
                      <w:rFonts w:ascii="Cambria Math" w:hAnsi="Cambria Math"/>
                      <w:lang w:eastAsia="en-US"/>
                    </w:rPr>
                    <m:t>T</m:t>
                  </m:r>
                </m:e>
                <m:sub>
                  <m:sSub>
                    <m:sSubPr>
                      <m:ctrlPr>
                        <w:rPr>
                          <w:rFonts w:ascii="Cambria Math" w:hAnsi="Cambria Math"/>
                          <w:b/>
                          <w:bCs/>
                          <w:lang w:eastAsia="en-US"/>
                        </w:rPr>
                      </m:ctrlPr>
                    </m:sSubPr>
                    <m:e>
                      <m:r>
                        <m:rPr>
                          <m:sty m:val="b"/>
                        </m:rPr>
                        <w:rPr>
                          <w:rFonts w:ascii="Cambria Math" w:hAnsi="Cambria Math"/>
                          <w:lang w:eastAsia="en-US"/>
                        </w:rPr>
                        <m:t>розр</m:t>
                      </m:r>
                    </m:e>
                    <m:sub>
                      <m:r>
                        <m:rPr>
                          <m:sty m:val="bi"/>
                        </m:rPr>
                        <w:rPr>
                          <w:rFonts w:ascii="Cambria Math" w:hAnsi="Cambria Math"/>
                          <w:lang w:eastAsia="en-US"/>
                        </w:rPr>
                        <m:t>n</m:t>
                      </m:r>
                    </m:sub>
                  </m:sSub>
                </m:sub>
              </m:sSub>
              <m:r>
                <m:rPr>
                  <m:sty m:val="b"/>
                </m:rPr>
                <w:rPr>
                  <w:rFonts w:ascii="Cambria Math" w:hAnsi="Cambria Math"/>
                  <w:lang w:eastAsia="en-US"/>
                </w:rPr>
                <m:t>=</m:t>
              </m:r>
              <m:sSub>
                <m:sSubPr>
                  <m:ctrlPr>
                    <w:rPr>
                      <w:rFonts w:ascii="Cambria Math" w:hAnsi="Cambria Math"/>
                      <w:b/>
                      <w:bCs/>
                      <w:lang w:eastAsia="en-US"/>
                    </w:rPr>
                  </m:ctrlPr>
                </m:sSubPr>
                <m:e>
                  <m:r>
                    <m:rPr>
                      <m:sty m:val="b"/>
                    </m:rPr>
                    <w:rPr>
                      <w:rFonts w:ascii="Cambria Math" w:hAnsi="Cambria Math"/>
                      <w:lang w:eastAsia="en-US"/>
                    </w:rPr>
                    <m:t>T</m:t>
                  </m:r>
                </m:e>
                <m:sub>
                  <m:sSub>
                    <m:sSubPr>
                      <m:ctrlPr>
                        <w:rPr>
                          <w:rFonts w:ascii="Cambria Math" w:hAnsi="Cambria Math"/>
                          <w:b/>
                          <w:bCs/>
                          <w:lang w:eastAsia="en-US"/>
                        </w:rPr>
                      </m:ctrlPr>
                    </m:sSubPr>
                    <m:e>
                      <m:r>
                        <m:rPr>
                          <m:sty m:val="b"/>
                        </m:rPr>
                        <w:rPr>
                          <w:rFonts w:ascii="Cambria Math" w:hAnsi="Cambria Math"/>
                          <w:lang w:eastAsia="en-US"/>
                        </w:rPr>
                        <m:t>розр</m:t>
                      </m:r>
                    </m:e>
                    <m:sub>
                      <m:r>
                        <m:rPr>
                          <m:sty m:val="bi"/>
                        </m:rPr>
                        <w:rPr>
                          <w:rFonts w:ascii="Cambria Math" w:hAnsi="Cambria Math"/>
                          <w:lang w:eastAsia="en-US"/>
                        </w:rPr>
                        <m:t>n-1</m:t>
                      </m:r>
                    </m:sub>
                  </m:sSub>
                </m:sub>
              </m:sSub>
              <m:r>
                <m:rPr>
                  <m:sty m:val="b"/>
                </m:rPr>
                <w:rPr>
                  <w:rFonts w:ascii="Cambria Math" w:hAnsi="Cambria Math"/>
                  <w:lang w:eastAsia="en-US"/>
                </w:rPr>
                <m:t>+D×</m:t>
              </m:r>
              <m:sSub>
                <m:sSubPr>
                  <m:ctrlPr>
                    <w:rPr>
                      <w:rFonts w:ascii="Cambria Math" w:hAnsi="Cambria Math"/>
                      <w:b/>
                      <w:bCs/>
                      <w:lang w:eastAsia="en-US"/>
                    </w:rPr>
                  </m:ctrlPr>
                </m:sSubPr>
                <m:e>
                  <m:r>
                    <m:rPr>
                      <m:sty m:val="b"/>
                    </m:rPr>
                    <w:rPr>
                      <w:rFonts w:ascii="Cambria Math" w:hAnsi="Cambria Math"/>
                      <w:lang w:eastAsia="en-US"/>
                    </w:rPr>
                    <m:t>g</m:t>
                  </m:r>
                </m:e>
                <m:sub>
                  <m:r>
                    <m:rPr>
                      <m:sty m:val="b"/>
                    </m:rPr>
                    <w:rPr>
                      <w:rFonts w:ascii="Cambria Math" w:hAnsi="Cambria Math"/>
                      <w:lang w:eastAsia="en-US"/>
                    </w:rPr>
                    <m:t>n</m:t>
                  </m:r>
                </m:sub>
              </m:sSub>
            </m:oMath>
            <w:r w:rsidR="00842BE6" w:rsidRPr="00342176">
              <w:rPr>
                <w:b/>
                <w:bCs/>
                <w:lang w:eastAsia="en-US"/>
              </w:rPr>
              <w:t>, (грн за 1 м</w:t>
            </w:r>
            <w:r w:rsidR="00842BE6" w:rsidRPr="00342176">
              <w:rPr>
                <w:b/>
                <w:bCs/>
                <w:vertAlign w:val="superscript"/>
                <w:lang w:eastAsia="en-US"/>
              </w:rPr>
              <w:t>3</w:t>
            </w:r>
            <w:r w:rsidR="00842BE6" w:rsidRPr="00342176">
              <w:rPr>
                <w:b/>
                <w:bCs/>
                <w:lang w:eastAsia="en-US"/>
              </w:rPr>
              <w:t xml:space="preserve"> на місяць),                    </w:t>
            </w:r>
            <w:r w:rsidR="00A32325" w:rsidRPr="00342176">
              <w:rPr>
                <w:b/>
                <w:bCs/>
                <w:lang w:eastAsia="en-US"/>
              </w:rPr>
              <w:t xml:space="preserve">                                  </w:t>
            </w:r>
            <w:r w:rsidR="00842BE6" w:rsidRPr="00342176">
              <w:rPr>
                <w:b/>
                <w:bCs/>
                <w:lang w:eastAsia="en-US"/>
              </w:rPr>
              <w:t xml:space="preserve">  (15)</w:t>
            </w:r>
          </w:p>
          <w:p w14:paraId="644E9AD3" w14:textId="77777777" w:rsidR="00842BE6" w:rsidRPr="00342176" w:rsidRDefault="00842BE6" w:rsidP="00145CE8">
            <w:pPr>
              <w:pStyle w:val="rvps2"/>
              <w:shd w:val="clear" w:color="auto" w:fill="FFFFFF"/>
              <w:tabs>
                <w:tab w:val="left" w:pos="465"/>
              </w:tabs>
              <w:spacing w:before="0" w:beforeAutospacing="0" w:after="0" w:afterAutospacing="0"/>
              <w:ind w:left="22" w:firstLine="567"/>
              <w:jc w:val="both"/>
              <w:rPr>
                <w:b/>
                <w:bCs/>
                <w:lang w:eastAsia="en-US"/>
              </w:rPr>
            </w:pPr>
            <w:bookmarkStart w:id="6" w:name="_Hlk207033212"/>
            <w:bookmarkEnd w:id="5"/>
            <w:r w:rsidRPr="00342176">
              <w:rPr>
                <w:b/>
                <w:bCs/>
                <w:lang w:eastAsia="en-US"/>
              </w:rPr>
              <w:t>де n – відповідний етап перехідного періоду;</w:t>
            </w:r>
          </w:p>
          <w:p w14:paraId="36967CB3" w14:textId="77777777" w:rsidR="00842BE6" w:rsidRPr="00342176" w:rsidRDefault="0047796F" w:rsidP="00145CE8">
            <w:pPr>
              <w:pStyle w:val="rvps2"/>
              <w:shd w:val="clear" w:color="auto" w:fill="FFFFFF"/>
              <w:tabs>
                <w:tab w:val="left" w:pos="465"/>
              </w:tabs>
              <w:spacing w:before="0" w:beforeAutospacing="0" w:after="0" w:afterAutospacing="0"/>
              <w:ind w:left="22" w:firstLine="567"/>
              <w:jc w:val="both"/>
              <w:rPr>
                <w:b/>
                <w:bCs/>
                <w:lang w:eastAsia="en-US"/>
              </w:rPr>
            </w:pPr>
            <m:oMath>
              <m:sSub>
                <m:sSubPr>
                  <m:ctrlPr>
                    <w:rPr>
                      <w:rFonts w:ascii="Cambria Math" w:hAnsi="Cambria Math"/>
                      <w:b/>
                      <w:bCs/>
                      <w:lang w:eastAsia="en-US"/>
                    </w:rPr>
                  </m:ctrlPr>
                </m:sSubPr>
                <m:e>
                  <m:r>
                    <m:rPr>
                      <m:sty m:val="b"/>
                    </m:rPr>
                    <w:rPr>
                      <w:rFonts w:ascii="Cambria Math" w:hAnsi="Cambria Math"/>
                      <w:lang w:eastAsia="en-US"/>
                    </w:rPr>
                    <m:t>g</m:t>
                  </m:r>
                </m:e>
                <m:sub>
                  <m:r>
                    <m:rPr>
                      <m:sty m:val="b"/>
                    </m:rPr>
                    <w:rPr>
                      <w:rFonts w:ascii="Cambria Math" w:hAnsi="Cambria Math"/>
                      <w:lang w:eastAsia="en-US"/>
                    </w:rPr>
                    <m:t>n</m:t>
                  </m:r>
                </m:sub>
              </m:sSub>
            </m:oMath>
            <w:r w:rsidR="00842BE6" w:rsidRPr="00342176">
              <w:rPr>
                <w:b/>
                <w:bCs/>
                <w:lang w:eastAsia="en-US"/>
              </w:rPr>
              <w:t xml:space="preserve"> – коефіцієнт, що застосовується НКРЕКП в однаковому розмірі для ліцензіатів у відповідному </w:t>
            </w:r>
            <w:r w:rsidR="00842BE6" w:rsidRPr="00342176">
              <w:rPr>
                <w:b/>
                <w:bCs/>
              </w:rPr>
              <w:t xml:space="preserve">етапі </w:t>
            </w:r>
            <w:r w:rsidR="00842BE6" w:rsidRPr="00342176">
              <w:rPr>
                <w:b/>
                <w:bCs/>
                <w:i/>
              </w:rPr>
              <w:t>n</w:t>
            </w:r>
            <w:r w:rsidR="00842BE6" w:rsidRPr="00342176">
              <w:rPr>
                <w:b/>
                <w:bCs/>
              </w:rPr>
              <w:t xml:space="preserve"> </w:t>
            </w:r>
            <w:r w:rsidR="00842BE6" w:rsidRPr="00342176">
              <w:rPr>
                <w:b/>
                <w:bCs/>
                <w:lang w:eastAsia="en-US"/>
              </w:rPr>
              <w:t xml:space="preserve">перехідного періоду, з метою поетапного досягнення цільового рівня тарифу на послуги розподілу природного газу, при цьому </w:t>
            </w:r>
            <m:oMath>
              <m:nary>
                <m:naryPr>
                  <m:chr m:val="∑"/>
                  <m:limLoc m:val="undOvr"/>
                  <m:subHide m:val="1"/>
                  <m:supHide m:val="1"/>
                  <m:ctrlPr>
                    <w:rPr>
                      <w:rFonts w:ascii="Cambria Math" w:hAnsi="Cambria Math"/>
                      <w:b/>
                      <w:bCs/>
                      <w:i/>
                      <w:lang w:eastAsia="en-US"/>
                    </w:rPr>
                  </m:ctrlPr>
                </m:naryPr>
                <m:sub/>
                <m:sup/>
                <m:e>
                  <m:sSub>
                    <m:sSubPr>
                      <m:ctrlPr>
                        <w:rPr>
                          <w:rFonts w:ascii="Cambria Math" w:hAnsi="Cambria Math"/>
                          <w:b/>
                          <w:bCs/>
                          <w:lang w:eastAsia="en-US"/>
                        </w:rPr>
                      </m:ctrlPr>
                    </m:sSubPr>
                    <m:e>
                      <m:r>
                        <m:rPr>
                          <m:sty m:val="b"/>
                        </m:rPr>
                        <w:rPr>
                          <w:rFonts w:ascii="Cambria Math" w:hAnsi="Cambria Math"/>
                          <w:lang w:eastAsia="en-US"/>
                        </w:rPr>
                        <m:t>g</m:t>
                      </m:r>
                    </m:e>
                    <m:sub>
                      <m:r>
                        <m:rPr>
                          <m:sty m:val="b"/>
                        </m:rPr>
                        <w:rPr>
                          <w:rFonts w:ascii="Cambria Math" w:hAnsi="Cambria Math"/>
                          <w:lang w:eastAsia="en-US"/>
                        </w:rPr>
                        <m:t>n</m:t>
                      </m:r>
                    </m:sub>
                  </m:sSub>
                </m:e>
              </m:nary>
              <m:r>
                <m:rPr>
                  <m:sty m:val="bi"/>
                </m:rPr>
                <w:rPr>
                  <w:rFonts w:ascii="Cambria Math" w:hAnsi="Cambria Math"/>
                  <w:lang w:eastAsia="en-US"/>
                </w:rPr>
                <m:t>=1.</m:t>
              </m:r>
            </m:oMath>
          </w:p>
          <w:p w14:paraId="463AB605" w14:textId="77777777" w:rsidR="00842BE6" w:rsidRPr="00342176" w:rsidRDefault="00842BE6" w:rsidP="00145CE8">
            <w:pPr>
              <w:pStyle w:val="rvps2"/>
              <w:tabs>
                <w:tab w:val="left" w:pos="465"/>
              </w:tabs>
              <w:spacing w:before="0" w:beforeAutospacing="0" w:after="0" w:afterAutospacing="0"/>
              <w:ind w:left="22" w:firstLine="567"/>
              <w:jc w:val="both"/>
              <w:rPr>
                <w:b/>
                <w:bCs/>
              </w:rPr>
            </w:pPr>
          </w:p>
          <w:p w14:paraId="4E37C805" w14:textId="5565B33C" w:rsidR="00954AA3" w:rsidRPr="00342176" w:rsidRDefault="00842BE6" w:rsidP="00145CE8">
            <w:pPr>
              <w:pStyle w:val="rvps2"/>
              <w:spacing w:before="0" w:beforeAutospacing="0" w:after="0" w:afterAutospacing="0"/>
              <w:ind w:firstLine="372"/>
              <w:jc w:val="both"/>
              <w:rPr>
                <w:lang w:eastAsia="en-US"/>
              </w:rPr>
            </w:pPr>
            <w:r w:rsidRPr="00342176">
              <w:rPr>
                <w:b/>
                <w:bCs/>
              </w:rPr>
              <w:t xml:space="preserve">5. На останньому етапі перехідного періоду, тариф на послуги розподілу природного газу може </w:t>
            </w:r>
            <w:r w:rsidRPr="00342176">
              <w:rPr>
                <w:b/>
                <w:bCs/>
              </w:rPr>
              <w:lastRenderedPageBreak/>
              <w:t>бути збільшений на величину, еквівалентну недоотриманій планованій тарифній виручці, що виникла у зв’язку із застосуванням механізму його поетапного приведення до цільового рівня.</w:t>
            </w:r>
            <w:bookmarkEnd w:id="6"/>
          </w:p>
        </w:tc>
        <w:tc>
          <w:tcPr>
            <w:tcW w:w="5670" w:type="dxa"/>
          </w:tcPr>
          <w:p w14:paraId="259CC643" w14:textId="6799ABAF" w:rsidR="00AD0A6A" w:rsidRPr="00342176" w:rsidRDefault="00842BE6" w:rsidP="00145CE8">
            <w:pPr>
              <w:tabs>
                <w:tab w:val="left" w:pos="1185"/>
              </w:tabs>
              <w:spacing w:after="0" w:line="240" w:lineRule="auto"/>
              <w:ind w:firstLine="372"/>
              <w:rPr>
                <w:rFonts w:ascii="Times New Roman" w:hAnsi="Times New Roman" w:cs="Times New Roman"/>
                <w:b/>
                <w:sz w:val="24"/>
                <w:szCs w:val="24"/>
                <w:lang w:val="uk-UA"/>
              </w:rPr>
            </w:pPr>
            <w:r w:rsidRPr="00342176">
              <w:rPr>
                <w:rFonts w:ascii="Times New Roman" w:hAnsi="Times New Roman" w:cs="Times New Roman"/>
                <w:b/>
                <w:sz w:val="24"/>
                <w:szCs w:val="24"/>
                <w:lang w:val="uk-UA"/>
              </w:rPr>
              <w:lastRenderedPageBreak/>
              <w:t>Пропозиція О. Бакулін:</w:t>
            </w:r>
          </w:p>
          <w:p w14:paraId="07E15697" w14:textId="77777777" w:rsidR="00842BE6" w:rsidRPr="00342176" w:rsidRDefault="00842BE6" w:rsidP="00145CE8">
            <w:pPr>
              <w:pStyle w:val="rvps2"/>
              <w:shd w:val="clear" w:color="auto" w:fill="FFFFFF"/>
              <w:spacing w:before="0" w:beforeAutospacing="0" w:after="0" w:afterAutospacing="0"/>
              <w:ind w:firstLine="372"/>
              <w:jc w:val="both"/>
              <w:rPr>
                <w:b/>
                <w:i/>
                <w:u w:val="single"/>
                <w:lang w:eastAsia="en-US"/>
              </w:rPr>
            </w:pPr>
            <w:r w:rsidRPr="00342176">
              <w:rPr>
                <w:b/>
                <w:i/>
                <w:u w:val="single"/>
                <w:lang w:eastAsia="en-US"/>
              </w:rPr>
              <w:t>Не приймати</w:t>
            </w:r>
          </w:p>
          <w:p w14:paraId="503EEAFF" w14:textId="77777777" w:rsidR="00842BE6" w:rsidRPr="00342176" w:rsidRDefault="00842BE6" w:rsidP="00145CE8">
            <w:pPr>
              <w:tabs>
                <w:tab w:val="left" w:pos="1185"/>
              </w:tabs>
              <w:spacing w:after="0" w:line="240" w:lineRule="auto"/>
              <w:ind w:firstLine="372"/>
              <w:jc w:val="both"/>
              <w:rPr>
                <w:rFonts w:ascii="Times New Roman" w:hAnsi="Times New Roman" w:cs="Times New Roman"/>
                <w:sz w:val="24"/>
                <w:szCs w:val="24"/>
                <w:lang w:val="uk-UA"/>
              </w:rPr>
            </w:pPr>
          </w:p>
          <w:p w14:paraId="61F3BBDF" w14:textId="1CD61FB8" w:rsidR="00842BE6" w:rsidRPr="00342176" w:rsidRDefault="00842BE6" w:rsidP="00145CE8">
            <w:pPr>
              <w:tabs>
                <w:tab w:val="left" w:pos="1185"/>
              </w:tabs>
              <w:spacing w:after="0" w:line="240" w:lineRule="auto"/>
              <w:ind w:firstLine="372"/>
              <w:rPr>
                <w:rFonts w:ascii="Times New Roman" w:hAnsi="Times New Roman" w:cs="Times New Roman"/>
                <w:b/>
                <w:sz w:val="24"/>
                <w:szCs w:val="24"/>
                <w:lang w:val="uk-UA"/>
              </w:rPr>
            </w:pPr>
            <w:r w:rsidRPr="00342176">
              <w:rPr>
                <w:rFonts w:ascii="Times New Roman" w:hAnsi="Times New Roman" w:cs="Times New Roman"/>
                <w:b/>
                <w:sz w:val="24"/>
                <w:szCs w:val="24"/>
                <w:lang w:val="uk-UA"/>
              </w:rPr>
              <w:t>Обґрунтування:</w:t>
            </w:r>
          </w:p>
          <w:p w14:paraId="0F6DB700" w14:textId="77777777" w:rsidR="00842BE6" w:rsidRPr="00342176" w:rsidRDefault="00842BE6" w:rsidP="00145CE8">
            <w:pPr>
              <w:tabs>
                <w:tab w:val="left" w:pos="1185"/>
              </w:tabs>
              <w:spacing w:after="0" w:line="240" w:lineRule="auto"/>
              <w:ind w:firstLine="372"/>
              <w:jc w:val="both"/>
              <w:rPr>
                <w:rFonts w:ascii="Times New Roman" w:hAnsi="Times New Roman" w:cs="Times New Roman"/>
                <w:sz w:val="24"/>
                <w:szCs w:val="24"/>
                <w:lang w:val="uk-UA"/>
              </w:rPr>
            </w:pPr>
            <w:r w:rsidRPr="00342176">
              <w:rPr>
                <w:rFonts w:ascii="Times New Roman" w:hAnsi="Times New Roman" w:cs="Times New Roman"/>
                <w:sz w:val="24"/>
                <w:szCs w:val="24"/>
                <w:lang w:val="uk-UA"/>
              </w:rPr>
              <w:t>Протягом тривалого часу з метою завдання шкоди споживачам, НКРЕКП свідомо  здійснює підмінну понять при визначенні змісту послуги розподілу природного газу.</w:t>
            </w:r>
          </w:p>
          <w:p w14:paraId="7F122DF3" w14:textId="77777777" w:rsidR="00842BE6" w:rsidRPr="00342176" w:rsidRDefault="00842BE6" w:rsidP="00145CE8">
            <w:pPr>
              <w:tabs>
                <w:tab w:val="left" w:pos="1185"/>
              </w:tabs>
              <w:spacing w:after="0" w:line="240" w:lineRule="auto"/>
              <w:ind w:firstLine="372"/>
              <w:jc w:val="both"/>
              <w:rPr>
                <w:rFonts w:ascii="Times New Roman" w:hAnsi="Times New Roman" w:cs="Times New Roman"/>
                <w:sz w:val="24"/>
                <w:szCs w:val="24"/>
                <w:lang w:val="uk-UA"/>
              </w:rPr>
            </w:pPr>
            <w:r w:rsidRPr="00342176">
              <w:rPr>
                <w:rFonts w:ascii="Times New Roman" w:hAnsi="Times New Roman" w:cs="Times New Roman"/>
                <w:sz w:val="24"/>
                <w:szCs w:val="24"/>
                <w:lang w:val="uk-UA"/>
              </w:rPr>
              <w:t>Відповідно до пункту 35 статті 1 Закону України «Про ринок природного газу»  розподіл природного газу - господарська діяльність, що підлягає ліцензуванню і пов’язана з переміщенням природного газу газорозподільною системою з метою його фізичної доставки споживачам, але що не включає постачання природного газу.</w:t>
            </w:r>
          </w:p>
          <w:p w14:paraId="7779B0E5" w14:textId="77777777" w:rsidR="00842BE6" w:rsidRPr="00342176" w:rsidRDefault="00842BE6" w:rsidP="00145CE8">
            <w:pPr>
              <w:tabs>
                <w:tab w:val="left" w:pos="1185"/>
              </w:tabs>
              <w:spacing w:after="0" w:line="240" w:lineRule="auto"/>
              <w:ind w:firstLine="372"/>
              <w:jc w:val="both"/>
              <w:rPr>
                <w:rFonts w:ascii="Times New Roman" w:hAnsi="Times New Roman" w:cs="Times New Roman"/>
                <w:sz w:val="24"/>
                <w:szCs w:val="24"/>
                <w:lang w:val="uk-UA"/>
              </w:rPr>
            </w:pPr>
            <w:r w:rsidRPr="00342176">
              <w:rPr>
                <w:rFonts w:ascii="Times New Roman" w:hAnsi="Times New Roman" w:cs="Times New Roman"/>
                <w:sz w:val="24"/>
                <w:szCs w:val="24"/>
                <w:lang w:val="uk-UA"/>
              </w:rPr>
              <w:t>Згідно з пунктом 6 статті 1 Закону України «Про ринок природного газу»  газорозподільна система - технологічний комплекс, що складається з організаційно і технологічно пов’язаних між собою об’єктів, призначених для розподілу природного газу від газорозподільних станцій безпосередньо споживачам.</w:t>
            </w:r>
          </w:p>
          <w:p w14:paraId="12843782" w14:textId="54CB7862" w:rsidR="00842BE6" w:rsidRPr="00342176" w:rsidRDefault="00842BE6" w:rsidP="00145CE8">
            <w:pPr>
              <w:tabs>
                <w:tab w:val="left" w:pos="1185"/>
              </w:tabs>
              <w:spacing w:after="0" w:line="240" w:lineRule="auto"/>
              <w:ind w:firstLine="372"/>
              <w:jc w:val="both"/>
              <w:rPr>
                <w:rFonts w:ascii="Times New Roman" w:hAnsi="Times New Roman" w:cs="Times New Roman"/>
                <w:sz w:val="24"/>
                <w:szCs w:val="24"/>
                <w:lang w:val="uk-UA"/>
              </w:rPr>
            </w:pPr>
            <w:r w:rsidRPr="00342176">
              <w:rPr>
                <w:rFonts w:ascii="Times New Roman" w:hAnsi="Times New Roman" w:cs="Times New Roman"/>
                <w:sz w:val="24"/>
                <w:szCs w:val="24"/>
                <w:lang w:val="uk-UA"/>
              </w:rPr>
              <w:lastRenderedPageBreak/>
              <w:t xml:space="preserve">  Стаття 40 Закону України «Про ринок природного газу» визначає, що за договором розподілу природного газу оператор газорозподільної системи зобов’язується забезпечити замовнику послуги розподілу природного газу на період та умовах, визначених договором розподілу природного газу, а замовник зобов’язується сплатити оператору газорозподільної системи вартість послуг розподілу природного газу.</w:t>
            </w:r>
          </w:p>
          <w:p w14:paraId="75522282" w14:textId="77777777" w:rsidR="00842BE6" w:rsidRPr="00342176" w:rsidRDefault="00842BE6" w:rsidP="00145CE8">
            <w:pPr>
              <w:tabs>
                <w:tab w:val="left" w:pos="1185"/>
              </w:tabs>
              <w:spacing w:after="0" w:line="240" w:lineRule="auto"/>
              <w:ind w:firstLine="372"/>
              <w:jc w:val="both"/>
              <w:rPr>
                <w:rFonts w:ascii="Times New Roman" w:hAnsi="Times New Roman" w:cs="Times New Roman"/>
                <w:sz w:val="24"/>
                <w:szCs w:val="24"/>
                <w:lang w:val="uk-UA"/>
              </w:rPr>
            </w:pPr>
            <w:r w:rsidRPr="00342176">
              <w:rPr>
                <w:rFonts w:ascii="Times New Roman" w:hAnsi="Times New Roman" w:cs="Times New Roman"/>
                <w:sz w:val="24"/>
                <w:szCs w:val="24"/>
                <w:lang w:val="uk-UA"/>
              </w:rPr>
              <w:t>З огляду на те, що статті 40 Закону відсилає до пунктів 35 статті 1 цього ж Закону предметом договору розподілу природного газу є послуга з фізичного переміщення природного газу газорозподільною системою.</w:t>
            </w:r>
          </w:p>
          <w:p w14:paraId="6B02BC7A" w14:textId="77777777" w:rsidR="00842BE6" w:rsidRPr="00342176" w:rsidRDefault="00842BE6" w:rsidP="00145CE8">
            <w:pPr>
              <w:tabs>
                <w:tab w:val="left" w:pos="1185"/>
              </w:tabs>
              <w:spacing w:after="0" w:line="240" w:lineRule="auto"/>
              <w:ind w:firstLine="372"/>
              <w:jc w:val="both"/>
              <w:rPr>
                <w:rFonts w:ascii="Times New Roman" w:hAnsi="Times New Roman" w:cs="Times New Roman"/>
                <w:sz w:val="24"/>
                <w:szCs w:val="24"/>
                <w:lang w:val="uk-UA"/>
              </w:rPr>
            </w:pPr>
            <w:r w:rsidRPr="00342176">
              <w:rPr>
                <w:rFonts w:ascii="Times New Roman" w:hAnsi="Times New Roman" w:cs="Times New Roman"/>
                <w:sz w:val="24"/>
                <w:szCs w:val="24"/>
                <w:lang w:val="uk-UA"/>
              </w:rPr>
              <w:t>Що дає можливість визначити зміст послуги розподілу природного газу наступним чином: оператор газорозподільної системи отримує за завданням замовника (споживача) на газорозподільній станції певний обсяг газу, переміщує його (обсяг) газорозподільною системою безпосередньо такому споживачу та несе відповідальність за передачу саме того обсягу, який замовлений для переміщення.</w:t>
            </w:r>
          </w:p>
          <w:p w14:paraId="630579D9" w14:textId="77777777" w:rsidR="00842BE6" w:rsidRPr="00342176" w:rsidRDefault="00842BE6" w:rsidP="00145CE8">
            <w:pPr>
              <w:tabs>
                <w:tab w:val="left" w:pos="1185"/>
              </w:tabs>
              <w:spacing w:after="0" w:line="240" w:lineRule="auto"/>
              <w:ind w:firstLine="372"/>
              <w:jc w:val="both"/>
              <w:rPr>
                <w:rFonts w:ascii="Times New Roman" w:hAnsi="Times New Roman" w:cs="Times New Roman"/>
                <w:b/>
                <w:sz w:val="24"/>
                <w:szCs w:val="24"/>
                <w:lang w:val="uk-UA"/>
              </w:rPr>
            </w:pPr>
            <w:r w:rsidRPr="00342176">
              <w:rPr>
                <w:rFonts w:ascii="Times New Roman" w:hAnsi="Times New Roman" w:cs="Times New Roman"/>
                <w:b/>
                <w:sz w:val="24"/>
                <w:szCs w:val="24"/>
                <w:lang w:val="uk-UA"/>
              </w:rPr>
              <w:t>У зв’язку з вищевикладеним, споживач має сплачувати плату за переміщений та переданий йому обсяг газу, а не за міфічну потужність, яка запроваджена НКРЕКП для розрахунку тарифу за послуги розподілу природного газу.</w:t>
            </w:r>
          </w:p>
          <w:p w14:paraId="68C65B9E" w14:textId="542B07E2" w:rsidR="00842BE6" w:rsidRPr="00342176" w:rsidRDefault="00842BE6" w:rsidP="00145CE8">
            <w:pPr>
              <w:tabs>
                <w:tab w:val="left" w:pos="1185"/>
              </w:tabs>
              <w:spacing w:after="0" w:line="240" w:lineRule="auto"/>
              <w:ind w:firstLine="372"/>
              <w:jc w:val="both"/>
              <w:rPr>
                <w:rFonts w:ascii="Times New Roman" w:hAnsi="Times New Roman" w:cs="Times New Roman"/>
                <w:sz w:val="24"/>
                <w:szCs w:val="24"/>
                <w:lang w:val="uk-UA"/>
              </w:rPr>
            </w:pPr>
            <w:r w:rsidRPr="00342176">
              <w:rPr>
                <w:rFonts w:ascii="Times New Roman" w:hAnsi="Times New Roman" w:cs="Times New Roman"/>
                <w:sz w:val="24"/>
                <w:szCs w:val="24"/>
                <w:lang w:val="uk-UA"/>
              </w:rPr>
              <w:t xml:space="preserve">Тому, з метою уникнення різкого зростання вартості послуг розподілу природного газу, зменшення  навантаження на споживачів та водночас забезпечити стабільність роботи операторів </w:t>
            </w:r>
            <w:r w:rsidRPr="00342176">
              <w:rPr>
                <w:rFonts w:ascii="Times New Roman" w:hAnsi="Times New Roman" w:cs="Times New Roman"/>
                <w:sz w:val="24"/>
                <w:szCs w:val="24"/>
                <w:lang w:val="uk-UA"/>
              </w:rPr>
              <w:lastRenderedPageBreak/>
              <w:t>газорозподільних систем, Регулятору слід при затвердженні власної Методики дотримуватися вимог законодавства України.</w:t>
            </w:r>
          </w:p>
        </w:tc>
        <w:tc>
          <w:tcPr>
            <w:tcW w:w="4253" w:type="dxa"/>
          </w:tcPr>
          <w:p w14:paraId="27806BB5" w14:textId="77777777" w:rsidR="008743A0" w:rsidRPr="00342176" w:rsidRDefault="00884D28" w:rsidP="00145CE8">
            <w:pPr>
              <w:pStyle w:val="rvps2"/>
              <w:tabs>
                <w:tab w:val="left" w:pos="465"/>
              </w:tabs>
              <w:spacing w:before="0" w:beforeAutospacing="0" w:after="0" w:afterAutospacing="0"/>
              <w:ind w:firstLine="174"/>
              <w:jc w:val="both"/>
              <w:rPr>
                <w:b/>
                <w:lang w:eastAsia="en-US"/>
              </w:rPr>
            </w:pPr>
            <w:r w:rsidRPr="00342176">
              <w:rPr>
                <w:b/>
                <w:lang w:eastAsia="en-US"/>
              </w:rPr>
              <w:lastRenderedPageBreak/>
              <w:t>Попередньо відхилено</w:t>
            </w:r>
          </w:p>
          <w:p w14:paraId="0A1CAE53" w14:textId="5B259DF6" w:rsidR="008743A0" w:rsidRPr="00342176" w:rsidRDefault="008743A0" w:rsidP="00145CE8">
            <w:pPr>
              <w:pStyle w:val="rvps2"/>
              <w:tabs>
                <w:tab w:val="left" w:pos="465"/>
              </w:tabs>
              <w:spacing w:before="0" w:beforeAutospacing="0" w:after="0" w:afterAutospacing="0"/>
              <w:ind w:firstLine="174"/>
              <w:jc w:val="both"/>
              <w:rPr>
                <w:b/>
                <w:lang w:eastAsia="en-US"/>
              </w:rPr>
            </w:pPr>
          </w:p>
          <w:p w14:paraId="39D72E18" w14:textId="77777777" w:rsidR="0047796F" w:rsidRDefault="0047796F" w:rsidP="00145CE8">
            <w:pPr>
              <w:pStyle w:val="rvps2"/>
              <w:tabs>
                <w:tab w:val="left" w:pos="465"/>
              </w:tabs>
              <w:spacing w:before="0" w:beforeAutospacing="0" w:after="0" w:afterAutospacing="0"/>
              <w:ind w:firstLine="176"/>
              <w:jc w:val="both"/>
              <w:rPr>
                <w:bCs/>
                <w:lang w:eastAsia="en-US"/>
              </w:rPr>
            </w:pPr>
            <w:r w:rsidRPr="0047796F">
              <w:rPr>
                <w:bCs/>
                <w:lang w:eastAsia="en-US"/>
              </w:rPr>
              <w:t>Методика визначення та розрахунку тарифу на послуги розподілу природного газу, затверджена постановою НКРЕКП від 25.02.2016 №</w:t>
            </w:r>
            <w:r>
              <w:rPr>
                <w:bCs/>
                <w:lang w:val="en-US" w:eastAsia="en-US"/>
              </w:rPr>
              <w:t> </w:t>
            </w:r>
            <w:r w:rsidRPr="0047796F">
              <w:rPr>
                <w:bCs/>
                <w:lang w:eastAsia="en-US"/>
              </w:rPr>
              <w:t>236 (далі – Методика),</w:t>
            </w:r>
            <w:r>
              <w:rPr>
                <w:bCs/>
                <w:lang w:eastAsia="en-US"/>
              </w:rPr>
              <w:t xml:space="preserve"> не регулює питання доступу замовників послуг до газорозподільних систем та питання визначення кінцевої вартості послуг розподілу природного газу.</w:t>
            </w:r>
          </w:p>
          <w:p w14:paraId="52AE7759" w14:textId="0F59382D" w:rsidR="00FD74AC" w:rsidRPr="00342176" w:rsidRDefault="0047796F" w:rsidP="0047796F">
            <w:pPr>
              <w:pStyle w:val="rvps2"/>
              <w:tabs>
                <w:tab w:val="left" w:pos="465"/>
              </w:tabs>
              <w:spacing w:before="0" w:beforeAutospacing="0" w:after="0" w:afterAutospacing="0"/>
              <w:ind w:firstLine="176"/>
              <w:jc w:val="both"/>
              <w:rPr>
                <w:bCs/>
                <w:lang w:eastAsia="en-US"/>
              </w:rPr>
            </w:pPr>
            <w:r>
              <w:rPr>
                <w:bCs/>
                <w:lang w:eastAsia="en-US"/>
              </w:rPr>
              <w:t>З огляду на зазначене зауваження та пропозиції не стосуються змісту Проєкту постанови.</w:t>
            </w:r>
            <w:bookmarkStart w:id="7" w:name="_GoBack"/>
            <w:bookmarkEnd w:id="7"/>
          </w:p>
        </w:tc>
      </w:tr>
      <w:tr w:rsidR="00954AA3" w:rsidRPr="0047796F" w14:paraId="563BBFE7" w14:textId="77777777" w:rsidTr="00E12FDC">
        <w:trPr>
          <w:jc w:val="center"/>
        </w:trPr>
        <w:tc>
          <w:tcPr>
            <w:tcW w:w="5665" w:type="dxa"/>
            <w:vMerge/>
          </w:tcPr>
          <w:p w14:paraId="58484BC2" w14:textId="77777777" w:rsidR="00954AA3" w:rsidRPr="00342176" w:rsidRDefault="00954AA3" w:rsidP="00145CE8">
            <w:pPr>
              <w:pStyle w:val="rvps2"/>
              <w:tabs>
                <w:tab w:val="left" w:pos="465"/>
              </w:tabs>
              <w:spacing w:before="0" w:beforeAutospacing="0" w:after="0" w:afterAutospacing="0"/>
              <w:ind w:left="22" w:firstLine="372"/>
              <w:jc w:val="both"/>
              <w:rPr>
                <w:lang w:eastAsia="en-US"/>
              </w:rPr>
            </w:pPr>
          </w:p>
        </w:tc>
        <w:tc>
          <w:tcPr>
            <w:tcW w:w="5670" w:type="dxa"/>
          </w:tcPr>
          <w:p w14:paraId="25CB3A66" w14:textId="23EC3012" w:rsidR="00400ADB" w:rsidRPr="00342176" w:rsidRDefault="00400ADB" w:rsidP="00145CE8">
            <w:pPr>
              <w:tabs>
                <w:tab w:val="left" w:pos="1185"/>
              </w:tabs>
              <w:spacing w:after="0" w:line="240" w:lineRule="auto"/>
              <w:ind w:firstLine="372"/>
              <w:rPr>
                <w:rFonts w:ascii="Times New Roman" w:hAnsi="Times New Roman" w:cs="Times New Roman"/>
                <w:b/>
                <w:sz w:val="24"/>
                <w:szCs w:val="24"/>
                <w:lang w:val="uk-UA"/>
              </w:rPr>
            </w:pPr>
            <w:r w:rsidRPr="00342176">
              <w:rPr>
                <w:rFonts w:ascii="Times New Roman" w:hAnsi="Times New Roman" w:cs="Times New Roman"/>
                <w:b/>
                <w:sz w:val="24"/>
                <w:szCs w:val="24"/>
                <w:lang w:val="uk-UA"/>
              </w:rPr>
              <w:t>Пропозиція АТ «Київгаз»:</w:t>
            </w:r>
          </w:p>
          <w:p w14:paraId="1D96C9B6" w14:textId="14CCA5EF" w:rsidR="00400ADB" w:rsidRPr="00342176" w:rsidRDefault="00570A67" w:rsidP="00145CE8">
            <w:pPr>
              <w:tabs>
                <w:tab w:val="left" w:pos="1185"/>
              </w:tabs>
              <w:spacing w:after="0" w:line="240" w:lineRule="auto"/>
              <w:ind w:firstLine="372"/>
              <w:jc w:val="both"/>
              <w:rPr>
                <w:rFonts w:ascii="Times New Roman" w:eastAsia="Times New Roman" w:hAnsi="Times New Roman" w:cs="Times New Roman"/>
                <w:i/>
                <w:lang w:val="uk-UA"/>
              </w:rPr>
            </w:pPr>
            <w:r w:rsidRPr="00342176">
              <w:rPr>
                <w:rFonts w:ascii="Times New Roman" w:eastAsia="Times New Roman" w:hAnsi="Times New Roman" w:cs="Times New Roman"/>
                <w:i/>
                <w:lang w:val="uk-UA"/>
              </w:rPr>
              <w:t>Скасувати (не затверджу-вати) весь розділ проєкту постанови.</w:t>
            </w:r>
          </w:p>
          <w:p w14:paraId="0A0677A0" w14:textId="77777777" w:rsidR="00570A67" w:rsidRPr="00342176" w:rsidRDefault="00570A67" w:rsidP="00145CE8">
            <w:pPr>
              <w:tabs>
                <w:tab w:val="left" w:pos="1185"/>
              </w:tabs>
              <w:spacing w:after="0" w:line="240" w:lineRule="auto"/>
              <w:ind w:firstLine="372"/>
              <w:jc w:val="both"/>
              <w:rPr>
                <w:rFonts w:ascii="Times New Roman" w:hAnsi="Times New Roman" w:cs="Times New Roman"/>
                <w:sz w:val="24"/>
                <w:szCs w:val="24"/>
                <w:lang w:val="uk-UA"/>
              </w:rPr>
            </w:pPr>
          </w:p>
          <w:p w14:paraId="456FDF89" w14:textId="77777777" w:rsidR="00AF3A15" w:rsidRPr="00342176" w:rsidRDefault="00400ADB" w:rsidP="00145CE8">
            <w:pPr>
              <w:tabs>
                <w:tab w:val="left" w:pos="1185"/>
              </w:tabs>
              <w:spacing w:after="0" w:line="240" w:lineRule="auto"/>
              <w:ind w:firstLine="372"/>
              <w:rPr>
                <w:rFonts w:ascii="Times New Roman" w:hAnsi="Times New Roman" w:cs="Times New Roman"/>
                <w:b/>
                <w:sz w:val="24"/>
                <w:szCs w:val="24"/>
                <w:lang w:val="uk-UA"/>
              </w:rPr>
            </w:pPr>
            <w:r w:rsidRPr="00342176">
              <w:rPr>
                <w:rFonts w:ascii="Times New Roman" w:hAnsi="Times New Roman" w:cs="Times New Roman"/>
                <w:b/>
                <w:sz w:val="24"/>
                <w:szCs w:val="24"/>
                <w:lang w:val="uk-UA"/>
              </w:rPr>
              <w:t>Обґрунтування:</w:t>
            </w:r>
          </w:p>
          <w:p w14:paraId="07509569" w14:textId="7803D0D8" w:rsidR="00400ADB" w:rsidRPr="00342176" w:rsidRDefault="00400ADB" w:rsidP="00145CE8">
            <w:pPr>
              <w:tabs>
                <w:tab w:val="left" w:pos="1185"/>
              </w:tabs>
              <w:spacing w:after="0" w:line="240" w:lineRule="auto"/>
              <w:ind w:firstLine="372"/>
              <w:jc w:val="both"/>
              <w:rPr>
                <w:rFonts w:ascii="Times New Roman" w:eastAsia="Times New Roman" w:hAnsi="Times New Roman" w:cs="Times New Roman"/>
                <w:bCs/>
                <w:sz w:val="24"/>
                <w:szCs w:val="24"/>
                <w:lang w:val="uk-UA"/>
              </w:rPr>
            </w:pPr>
            <w:r w:rsidRPr="00342176">
              <w:rPr>
                <w:rFonts w:ascii="Times New Roman" w:eastAsia="Times New Roman" w:hAnsi="Times New Roman" w:cs="Times New Roman"/>
                <w:bCs/>
                <w:sz w:val="24"/>
                <w:szCs w:val="24"/>
                <w:lang w:val="uk-UA"/>
              </w:rPr>
              <w:t>Відповідно до статті 9 Закону України «Про природні монополії» державне регулювання діяльності суб'єктів природних монополій здійснюється на основі визначених принципів, зокрема забезпеченні самоокупності діяльності таких суб'єктів. Тобто, суб'єкт природної монополії має функціонувати таким чином, щоб за рахунок прибутків від реалізації послуг, що надаються, покривались би всі узгоджені з НКРЕКП витрати підприємства.</w:t>
            </w:r>
          </w:p>
          <w:p w14:paraId="39808708" w14:textId="77777777" w:rsidR="00400ADB" w:rsidRPr="00342176" w:rsidRDefault="00400ADB" w:rsidP="00145CE8">
            <w:pPr>
              <w:pStyle w:val="rvps2"/>
              <w:tabs>
                <w:tab w:val="left" w:pos="465"/>
              </w:tabs>
              <w:spacing w:before="0" w:beforeAutospacing="0" w:after="0" w:afterAutospacing="0"/>
              <w:ind w:firstLine="452"/>
              <w:jc w:val="both"/>
              <w:rPr>
                <w:bCs/>
                <w:lang w:eastAsia="en-US"/>
              </w:rPr>
            </w:pPr>
            <w:r w:rsidRPr="00342176">
              <w:rPr>
                <w:bCs/>
                <w:lang w:eastAsia="en-US"/>
              </w:rPr>
              <w:t>Запропонований НКРЕКП механізм розрахунку тарифу на розподіл природного газу з урахуванням понижуючого коефіцієнту (gn) на різних етапах перехідного періоду є порушенням передбаченого законом принципу самоокупності, оскільки поточні планові витрати залишаються у повному розмірі, а тарифна виручка зменшується. Зазначений механізм можливо було б застосувати виключно при аналогічному розрахунку всіх планованих витрат (у т.ч. оплати праці робітників, послуг сторонніх організацій, оплати за утримання будинків, податку на землю (оренду землі) тощо).</w:t>
            </w:r>
          </w:p>
          <w:p w14:paraId="12C905FE" w14:textId="77777777" w:rsidR="00400ADB" w:rsidRPr="00342176" w:rsidRDefault="00400ADB" w:rsidP="00145CE8">
            <w:pPr>
              <w:pStyle w:val="rvps2"/>
              <w:tabs>
                <w:tab w:val="left" w:pos="465"/>
              </w:tabs>
              <w:spacing w:before="0" w:beforeAutospacing="0" w:after="0" w:afterAutospacing="0"/>
              <w:ind w:firstLine="452"/>
              <w:jc w:val="both"/>
              <w:rPr>
                <w:bCs/>
                <w:lang w:eastAsia="en-US"/>
              </w:rPr>
            </w:pPr>
            <w:r w:rsidRPr="00342176">
              <w:rPr>
                <w:bCs/>
                <w:lang w:eastAsia="en-US"/>
              </w:rPr>
              <w:t xml:space="preserve">Передбачений алгоритм компенсації недоотриманій планованій тарифній виручці, що </w:t>
            </w:r>
            <w:r w:rsidRPr="00342176">
              <w:rPr>
                <w:bCs/>
                <w:lang w:eastAsia="en-US"/>
              </w:rPr>
              <w:lastRenderedPageBreak/>
              <w:t xml:space="preserve">виникла у зв’язку із застосуванням механізму його поетапного приведення до цільового рівня, «на останньому етапі перехідного періоду», є відірваним від реальних умов функціонування Оператора ГРМ – до цього моменту ліцензіат може уже і збанкрутувати, або мати значні пені та штрафи за невиконання договірних обов’язків. Жоден контрагент, перед якими Оператор буде мати заборгованість, не погодиться чекати цього «останнього етапу перехідного періоду». </w:t>
            </w:r>
          </w:p>
          <w:p w14:paraId="44F78AB5" w14:textId="77777777" w:rsidR="00400ADB" w:rsidRPr="00342176" w:rsidRDefault="00400ADB" w:rsidP="00145CE8">
            <w:pPr>
              <w:pStyle w:val="rvps2"/>
              <w:tabs>
                <w:tab w:val="left" w:pos="465"/>
              </w:tabs>
              <w:spacing w:before="0" w:beforeAutospacing="0" w:after="0" w:afterAutospacing="0"/>
              <w:ind w:firstLine="452"/>
              <w:jc w:val="both"/>
              <w:rPr>
                <w:bCs/>
                <w:lang w:eastAsia="en-US"/>
              </w:rPr>
            </w:pPr>
            <w:r w:rsidRPr="00342176">
              <w:rPr>
                <w:bCs/>
                <w:lang w:eastAsia="en-US"/>
              </w:rPr>
              <w:t xml:space="preserve">Діючі нормативні документи дають НКРЕКП можливість затверджувати нові тарифи на розподіл природного газу з будь-якої дати у разі такої потребі. Відповідно до пункту 17 розділу Х Методики визначення та розрахунку тарифу на послуги розподілу природного газу, НКРЕКП може ініціювати перегляд тарифу на послуги розподілу природного газу у разі, зокрема, «зміни витрат, що передбачені структурою встановленого тарифу на послуги розподілу природного газу, що сталася з причин, незалежних від суб'єкта господарювання, </w:t>
            </w:r>
            <w:r w:rsidRPr="00342176">
              <w:rPr>
                <w:bCs/>
                <w:u w:val="single"/>
                <w:lang w:eastAsia="en-US"/>
              </w:rPr>
              <w:t>якщо це призводить до зміни рівня тарифу на послуги розподілу природного газу більше ніж на 5 % від встановленого рівня</w:t>
            </w:r>
            <w:r w:rsidRPr="00342176">
              <w:rPr>
                <w:bCs/>
                <w:lang w:eastAsia="en-US"/>
              </w:rPr>
              <w:t>». При необхідності, НКРЕКП може прийняти рішення щодо зменшення зазначеного відсотку.</w:t>
            </w:r>
          </w:p>
          <w:p w14:paraId="67912CC0" w14:textId="77777777" w:rsidR="00400ADB" w:rsidRPr="00342176" w:rsidRDefault="00400ADB" w:rsidP="00145CE8">
            <w:pPr>
              <w:pStyle w:val="rvps2"/>
              <w:tabs>
                <w:tab w:val="left" w:pos="465"/>
              </w:tabs>
              <w:spacing w:before="0" w:beforeAutospacing="0" w:after="0" w:afterAutospacing="0"/>
              <w:ind w:firstLine="452"/>
              <w:jc w:val="both"/>
              <w:rPr>
                <w:bCs/>
                <w:lang w:eastAsia="en-US"/>
              </w:rPr>
            </w:pPr>
            <w:r w:rsidRPr="00342176">
              <w:rPr>
                <w:bCs/>
                <w:lang w:eastAsia="en-US"/>
              </w:rPr>
              <w:t xml:space="preserve">АТ «Київгаз» вважає, що зазначені зміни до Методики визначення та розрахунку тарифу на послуги розподілу природного газу протирічать принципам регулювання діяльності суб'єктів природних монополій, а саме -  принцип </w:t>
            </w:r>
            <w:r w:rsidRPr="00342176">
              <w:rPr>
                <w:bCs/>
                <w:lang w:eastAsia="en-US"/>
              </w:rPr>
              <w:lastRenderedPageBreak/>
              <w:t>самоокупності стає непрозорим для різних етапів перехідного періоду.</w:t>
            </w:r>
          </w:p>
          <w:p w14:paraId="476EAA46" w14:textId="77777777" w:rsidR="00400ADB" w:rsidRPr="00342176" w:rsidRDefault="00400ADB" w:rsidP="00145CE8">
            <w:pPr>
              <w:pStyle w:val="rvps2"/>
              <w:tabs>
                <w:tab w:val="left" w:pos="465"/>
              </w:tabs>
              <w:spacing w:before="0" w:beforeAutospacing="0" w:after="0" w:afterAutospacing="0"/>
              <w:ind w:firstLine="452"/>
              <w:jc w:val="both"/>
              <w:rPr>
                <w:bCs/>
                <w:lang w:eastAsia="en-US"/>
              </w:rPr>
            </w:pPr>
            <w:r w:rsidRPr="00342176">
              <w:rPr>
                <w:bCs/>
                <w:lang w:eastAsia="en-US"/>
              </w:rPr>
              <w:t>Поданий Комісією Аналіз впливу до проєкту постанови містить хибні твердження, а саме: стверджується вигода від ухвалення змін до Методики для фінансовій стабільності операторів газорозподільних систем, що не відповідає дійсності – недоотримання тарифної виручки в повному обсязі на різних етапах перехідного періоду при збереженні всіх ухвалених витрат НЕ сприятиме фінансової стабільності, натомість погіршить фінансовий стан Операторів ГРМ, НЕ дозволить забезпечити підтримання газорозподільних мереж у належному та безаварійному стані та НЕ гарантуватиме безперебійне газопостачання споживачам.</w:t>
            </w:r>
          </w:p>
          <w:p w14:paraId="7B87282D" w14:textId="77777777" w:rsidR="00400ADB" w:rsidRPr="00342176" w:rsidRDefault="00400ADB" w:rsidP="00145CE8">
            <w:pPr>
              <w:pStyle w:val="rvps2"/>
              <w:tabs>
                <w:tab w:val="left" w:pos="465"/>
              </w:tabs>
              <w:spacing w:before="0" w:beforeAutospacing="0" w:after="0" w:afterAutospacing="0"/>
              <w:ind w:firstLine="452"/>
              <w:jc w:val="both"/>
              <w:rPr>
                <w:bCs/>
                <w:lang w:eastAsia="en-US"/>
              </w:rPr>
            </w:pPr>
            <w:r w:rsidRPr="00342176">
              <w:rPr>
                <w:bCs/>
                <w:lang w:eastAsia="en-US"/>
              </w:rPr>
              <w:t xml:space="preserve">Очікуваний результат прийняття регуляторного акта – зменшення навантаження на споживачів – буде досягнуто шляхом значного ПОГІРШЕННЯ фінансового стану Операторів ГРМ, що аж ніяк НЕ забезпечить стабільність роботи операторів газорозподільних систем. </w:t>
            </w:r>
          </w:p>
          <w:p w14:paraId="4D2ED5B4" w14:textId="77777777" w:rsidR="00400ADB" w:rsidRPr="00342176" w:rsidRDefault="00400ADB" w:rsidP="00145CE8">
            <w:pPr>
              <w:pStyle w:val="rvps2"/>
              <w:tabs>
                <w:tab w:val="left" w:pos="465"/>
              </w:tabs>
              <w:spacing w:before="0" w:beforeAutospacing="0" w:after="0" w:afterAutospacing="0"/>
              <w:ind w:firstLine="452"/>
              <w:jc w:val="both"/>
              <w:rPr>
                <w:bCs/>
                <w:lang w:eastAsia="en-US"/>
              </w:rPr>
            </w:pPr>
            <w:r w:rsidRPr="00342176">
              <w:rPr>
                <w:bCs/>
                <w:lang w:eastAsia="en-US"/>
              </w:rPr>
              <w:t xml:space="preserve">Регулятором не проаналізовано вплив застосування «перехідного періоду» на можливості виконання Операторами ГРМ Планів розвитку: не передбачено відтермінування строків виконання інвестиційних програм, у зв’язку з застосуванням коефіцієнтів до цільового рівня тарифу на розподіл природного газу і, як наслідок, не отримання джерел фінансування витрат в необхідному обсязі. </w:t>
            </w:r>
          </w:p>
          <w:p w14:paraId="56649247" w14:textId="65FF2A79" w:rsidR="007D4BA3" w:rsidRPr="00342176" w:rsidRDefault="00400ADB" w:rsidP="00145CE8">
            <w:pPr>
              <w:pStyle w:val="rvps2"/>
              <w:tabs>
                <w:tab w:val="left" w:pos="465"/>
              </w:tabs>
              <w:spacing w:before="0" w:beforeAutospacing="0" w:after="0" w:afterAutospacing="0"/>
              <w:ind w:firstLine="452"/>
              <w:jc w:val="both"/>
              <w:rPr>
                <w:bCs/>
                <w:lang w:eastAsia="en-US"/>
              </w:rPr>
            </w:pPr>
            <w:r w:rsidRPr="00342176">
              <w:rPr>
                <w:bCs/>
                <w:lang w:eastAsia="en-US"/>
              </w:rPr>
              <w:t>Враховуючи вищевикладене,  АТ «Київгаз» заперечує прийняття зазначених змін.</w:t>
            </w:r>
          </w:p>
        </w:tc>
        <w:tc>
          <w:tcPr>
            <w:tcW w:w="4253" w:type="dxa"/>
          </w:tcPr>
          <w:p w14:paraId="3556ACC4" w14:textId="77777777" w:rsidR="00E15A66" w:rsidRPr="00342176" w:rsidRDefault="00E15A66" w:rsidP="00073948">
            <w:pPr>
              <w:pStyle w:val="rvps2"/>
              <w:tabs>
                <w:tab w:val="left" w:pos="465"/>
              </w:tabs>
              <w:spacing w:before="0" w:beforeAutospacing="0" w:after="0" w:afterAutospacing="0"/>
              <w:ind w:firstLine="174"/>
              <w:jc w:val="both"/>
              <w:rPr>
                <w:b/>
                <w:lang w:eastAsia="en-US"/>
              </w:rPr>
            </w:pPr>
            <w:r w:rsidRPr="00342176">
              <w:rPr>
                <w:b/>
                <w:lang w:eastAsia="en-US"/>
              </w:rPr>
              <w:lastRenderedPageBreak/>
              <w:t>Попередньо відхилено</w:t>
            </w:r>
          </w:p>
          <w:p w14:paraId="5076E0EF" w14:textId="77777777" w:rsidR="000454CB" w:rsidRPr="00342176" w:rsidRDefault="000454CB" w:rsidP="00073948">
            <w:pPr>
              <w:pStyle w:val="rvps2"/>
              <w:tabs>
                <w:tab w:val="left" w:pos="465"/>
              </w:tabs>
              <w:spacing w:before="0" w:beforeAutospacing="0" w:after="0" w:afterAutospacing="0"/>
              <w:ind w:firstLine="174"/>
              <w:jc w:val="both"/>
              <w:rPr>
                <w:b/>
                <w:lang w:eastAsia="en-US"/>
              </w:rPr>
            </w:pPr>
          </w:p>
          <w:p w14:paraId="2A5A07A5" w14:textId="796A768D" w:rsidR="00E15A66" w:rsidRDefault="00E15A66" w:rsidP="00073948">
            <w:pPr>
              <w:pStyle w:val="rvps2"/>
              <w:tabs>
                <w:tab w:val="left" w:pos="465"/>
              </w:tabs>
              <w:spacing w:before="0" w:beforeAutospacing="0" w:after="0" w:afterAutospacing="0"/>
              <w:ind w:firstLine="179"/>
              <w:jc w:val="both"/>
              <w:rPr>
                <w:bCs/>
                <w:lang w:eastAsia="en-US"/>
              </w:rPr>
            </w:pPr>
            <w:r w:rsidRPr="00342176">
              <w:rPr>
                <w:bCs/>
                <w:lang w:eastAsia="en-US"/>
              </w:rPr>
              <w:t>Запровадження механізму перехідного періоду не скасовує принцип</w:t>
            </w:r>
            <w:r w:rsidR="000454CB" w:rsidRPr="00342176">
              <w:rPr>
                <w:bCs/>
                <w:lang w:eastAsia="en-US"/>
              </w:rPr>
              <w:t xml:space="preserve"> самоокупності, зазначений в статті 9 Закону України «Про природні монополії»</w:t>
            </w:r>
            <w:r w:rsidRPr="00342176">
              <w:rPr>
                <w:bCs/>
                <w:lang w:eastAsia="en-US"/>
              </w:rPr>
              <w:t xml:space="preserve">, а визначає особливості його реалізації у часі шляхом поетапного </w:t>
            </w:r>
            <w:r w:rsidR="001868FE">
              <w:rPr>
                <w:bCs/>
                <w:lang w:eastAsia="en-US"/>
              </w:rPr>
              <w:t xml:space="preserve">підвищення </w:t>
            </w:r>
            <w:r w:rsidRPr="00342176">
              <w:rPr>
                <w:bCs/>
                <w:lang w:eastAsia="en-US"/>
              </w:rPr>
              <w:t>тарифів із забезпеченням</w:t>
            </w:r>
            <w:r w:rsidR="001868FE">
              <w:rPr>
                <w:bCs/>
                <w:lang w:eastAsia="en-US"/>
              </w:rPr>
              <w:t xml:space="preserve"> в останньому ета</w:t>
            </w:r>
            <w:r w:rsidR="00123417">
              <w:rPr>
                <w:bCs/>
                <w:lang w:eastAsia="en-US"/>
              </w:rPr>
              <w:t>п</w:t>
            </w:r>
            <w:r w:rsidR="001868FE">
              <w:rPr>
                <w:bCs/>
                <w:lang w:eastAsia="en-US"/>
              </w:rPr>
              <w:t xml:space="preserve">і </w:t>
            </w:r>
            <w:r w:rsidRPr="00342176">
              <w:rPr>
                <w:bCs/>
                <w:lang w:eastAsia="en-US"/>
              </w:rPr>
              <w:t xml:space="preserve">компенсації </w:t>
            </w:r>
            <w:r w:rsidR="001868FE" w:rsidRPr="001868FE">
              <w:rPr>
                <w:bCs/>
                <w:lang w:eastAsia="en-US"/>
              </w:rPr>
              <w:t>недоотриман</w:t>
            </w:r>
            <w:r w:rsidR="001868FE">
              <w:rPr>
                <w:bCs/>
                <w:lang w:eastAsia="en-US"/>
              </w:rPr>
              <w:t>ої</w:t>
            </w:r>
            <w:r w:rsidR="001868FE" w:rsidRPr="001868FE">
              <w:rPr>
                <w:bCs/>
                <w:lang w:eastAsia="en-US"/>
              </w:rPr>
              <w:t xml:space="preserve"> планован</w:t>
            </w:r>
            <w:r w:rsidR="001868FE">
              <w:rPr>
                <w:bCs/>
                <w:lang w:eastAsia="en-US"/>
              </w:rPr>
              <w:t xml:space="preserve">ої </w:t>
            </w:r>
            <w:r w:rsidR="001868FE" w:rsidRPr="001868FE">
              <w:rPr>
                <w:bCs/>
                <w:lang w:eastAsia="en-US"/>
              </w:rPr>
              <w:t>тарифн</w:t>
            </w:r>
            <w:r w:rsidR="001868FE">
              <w:rPr>
                <w:bCs/>
                <w:lang w:eastAsia="en-US"/>
              </w:rPr>
              <w:t>ої</w:t>
            </w:r>
            <w:r w:rsidR="001868FE" w:rsidRPr="001868FE">
              <w:rPr>
                <w:bCs/>
                <w:lang w:eastAsia="en-US"/>
              </w:rPr>
              <w:t xml:space="preserve"> вируч</w:t>
            </w:r>
            <w:r w:rsidR="001868FE">
              <w:rPr>
                <w:bCs/>
                <w:lang w:eastAsia="en-US"/>
              </w:rPr>
              <w:t>ки</w:t>
            </w:r>
            <w:r w:rsidR="001868FE" w:rsidRPr="001868FE">
              <w:rPr>
                <w:bCs/>
                <w:lang w:eastAsia="en-US"/>
              </w:rPr>
              <w:t>, що виникла у зв’язку із застосуванням механізму його поетапного приведення до цільового рівня</w:t>
            </w:r>
            <w:r w:rsidR="001868FE">
              <w:rPr>
                <w:bCs/>
                <w:lang w:eastAsia="en-US"/>
              </w:rPr>
              <w:t>.</w:t>
            </w:r>
          </w:p>
          <w:p w14:paraId="7944B571" w14:textId="1E3DBD18" w:rsidR="00E15A66" w:rsidRPr="00342176" w:rsidRDefault="00F679A7" w:rsidP="00073948">
            <w:pPr>
              <w:pStyle w:val="rvps2"/>
              <w:tabs>
                <w:tab w:val="left" w:pos="465"/>
              </w:tabs>
              <w:spacing w:before="0" w:beforeAutospacing="0" w:after="0" w:afterAutospacing="0"/>
              <w:ind w:firstLine="179"/>
              <w:jc w:val="both"/>
              <w:rPr>
                <w:bCs/>
                <w:lang w:eastAsia="en-US"/>
              </w:rPr>
            </w:pPr>
            <w:r w:rsidRPr="00342176">
              <w:rPr>
                <w:bCs/>
                <w:lang w:eastAsia="en-US"/>
              </w:rPr>
              <w:t xml:space="preserve">Крім цього, </w:t>
            </w:r>
            <w:r w:rsidR="005F0650" w:rsidRPr="00342176">
              <w:rPr>
                <w:bCs/>
                <w:lang w:eastAsia="en-US"/>
              </w:rPr>
              <w:t>т</w:t>
            </w:r>
            <w:r w:rsidR="00E15A66" w:rsidRPr="00342176">
              <w:rPr>
                <w:bCs/>
                <w:lang w:eastAsia="en-US"/>
              </w:rPr>
              <w:t xml:space="preserve">вердження про можливу загрозу банкрутства операторів газорозподільних систем є безпідставними, оскільки </w:t>
            </w:r>
            <w:r w:rsidR="001868FE">
              <w:rPr>
                <w:bCs/>
                <w:lang w:eastAsia="en-US"/>
              </w:rPr>
              <w:t xml:space="preserve">положення Проєкту постанови, що стосуються перехідного періоду, не відміняють </w:t>
            </w:r>
            <w:r w:rsidR="00B2384B" w:rsidRPr="00342176">
              <w:rPr>
                <w:bCs/>
                <w:lang w:eastAsia="en-US"/>
              </w:rPr>
              <w:t>положення</w:t>
            </w:r>
            <w:r w:rsidR="001868FE">
              <w:rPr>
                <w:bCs/>
                <w:lang w:eastAsia="en-US"/>
              </w:rPr>
              <w:t xml:space="preserve"> пункту 16 та 17 розділу Х</w:t>
            </w:r>
            <w:r w:rsidR="00B2384B" w:rsidRPr="00342176">
              <w:rPr>
                <w:bCs/>
                <w:lang w:eastAsia="en-US"/>
              </w:rPr>
              <w:t xml:space="preserve"> Методики,</w:t>
            </w:r>
            <w:r w:rsidR="001868FE">
              <w:rPr>
                <w:bCs/>
                <w:lang w:eastAsia="en-US"/>
              </w:rPr>
              <w:t xml:space="preserve"> якими </w:t>
            </w:r>
            <w:r w:rsidR="00E15A66" w:rsidRPr="00342176">
              <w:rPr>
                <w:bCs/>
                <w:lang w:eastAsia="en-US"/>
              </w:rPr>
              <w:t>передбач</w:t>
            </w:r>
            <w:r w:rsidR="001868FE">
              <w:rPr>
                <w:bCs/>
                <w:lang w:eastAsia="en-US"/>
              </w:rPr>
              <w:t xml:space="preserve">ено можливість </w:t>
            </w:r>
            <w:r w:rsidR="00E15A66" w:rsidRPr="00342176">
              <w:rPr>
                <w:bCs/>
                <w:lang w:eastAsia="en-US"/>
              </w:rPr>
              <w:t xml:space="preserve"> перегляд</w:t>
            </w:r>
            <w:r w:rsidR="00073948">
              <w:rPr>
                <w:bCs/>
                <w:lang w:eastAsia="en-US"/>
              </w:rPr>
              <w:t>у</w:t>
            </w:r>
            <w:r w:rsidR="00E15A66" w:rsidRPr="00342176">
              <w:rPr>
                <w:bCs/>
                <w:lang w:eastAsia="en-US"/>
              </w:rPr>
              <w:t xml:space="preserve"> тариф</w:t>
            </w:r>
            <w:r w:rsidR="00B2384B" w:rsidRPr="00342176">
              <w:rPr>
                <w:bCs/>
                <w:lang w:eastAsia="en-US"/>
              </w:rPr>
              <w:t>у</w:t>
            </w:r>
            <w:r w:rsidR="00E15A66" w:rsidRPr="00342176">
              <w:rPr>
                <w:bCs/>
                <w:lang w:eastAsia="en-US"/>
              </w:rPr>
              <w:t xml:space="preserve"> у разі зміни </w:t>
            </w:r>
            <w:r w:rsidR="00073948">
              <w:rPr>
                <w:bCs/>
                <w:lang w:eastAsia="en-US"/>
              </w:rPr>
              <w:t xml:space="preserve">низки показників, зокрема планованої </w:t>
            </w:r>
            <w:r w:rsidR="00073948" w:rsidRPr="00073948">
              <w:rPr>
                <w:bCs/>
                <w:lang w:eastAsia="en-US"/>
              </w:rPr>
              <w:t xml:space="preserve">річної замовленої потужності </w:t>
            </w:r>
            <w:r w:rsidR="00073948">
              <w:rPr>
                <w:bCs/>
                <w:lang w:eastAsia="en-US"/>
              </w:rPr>
              <w:t xml:space="preserve">та </w:t>
            </w:r>
            <w:r w:rsidR="00073948" w:rsidRPr="00073948">
              <w:rPr>
                <w:bCs/>
                <w:lang w:eastAsia="en-US"/>
              </w:rPr>
              <w:t>собівартості</w:t>
            </w:r>
            <w:r w:rsidR="00073948">
              <w:rPr>
                <w:bCs/>
                <w:lang w:eastAsia="en-US"/>
              </w:rPr>
              <w:t>,</w:t>
            </w:r>
            <w:r w:rsidR="00073948" w:rsidRPr="00073948">
              <w:rPr>
                <w:bCs/>
                <w:lang w:eastAsia="en-US"/>
              </w:rPr>
              <w:t xml:space="preserve"> передбаченої структурою тарифу на послуги розподілу природного газу</w:t>
            </w:r>
            <w:r w:rsidR="00073948">
              <w:rPr>
                <w:bCs/>
                <w:lang w:eastAsia="en-US"/>
              </w:rPr>
              <w:t>.</w:t>
            </w:r>
          </w:p>
          <w:p w14:paraId="014BDBCC" w14:textId="09CDDD2D" w:rsidR="00073948" w:rsidRPr="00342176" w:rsidRDefault="00AC0516" w:rsidP="00073948">
            <w:pPr>
              <w:pStyle w:val="rvps2"/>
              <w:tabs>
                <w:tab w:val="left" w:pos="465"/>
              </w:tabs>
              <w:spacing w:before="0" w:beforeAutospacing="0" w:after="0" w:afterAutospacing="0"/>
              <w:ind w:firstLine="179"/>
              <w:jc w:val="both"/>
            </w:pPr>
            <w:r w:rsidRPr="00342176">
              <w:lastRenderedPageBreak/>
              <w:t xml:space="preserve">Враховуючи вищезазначене, запровадження </w:t>
            </w:r>
            <w:r w:rsidRPr="00342176">
              <w:rPr>
                <w:bCs/>
                <w:lang w:eastAsia="en-US"/>
              </w:rPr>
              <w:t>перехідного періоду</w:t>
            </w:r>
            <w:r w:rsidRPr="00342176">
              <w:t xml:space="preserve"> не створює ризиків для фінансової стабільності </w:t>
            </w:r>
            <w:r w:rsidR="001431FB" w:rsidRPr="00342176">
              <w:t>Операторів ГРМ</w:t>
            </w:r>
            <w:r w:rsidRPr="00342176">
              <w:t xml:space="preserve"> </w:t>
            </w:r>
            <w:r w:rsidR="00073948">
              <w:t>та</w:t>
            </w:r>
            <w:r w:rsidRPr="00342176">
              <w:t xml:space="preserve"> водночас дозволяє досягти балансу інтересів </w:t>
            </w:r>
            <w:r w:rsidR="00073948">
              <w:t xml:space="preserve">споживачів та </w:t>
            </w:r>
            <w:r w:rsidRPr="00342176">
              <w:t xml:space="preserve"> </w:t>
            </w:r>
            <w:r w:rsidR="00073948" w:rsidRPr="00342176">
              <w:t>Оператор</w:t>
            </w:r>
            <w:r w:rsidR="00073948">
              <w:t>ів</w:t>
            </w:r>
            <w:r w:rsidR="00073948" w:rsidRPr="00342176">
              <w:t xml:space="preserve"> ГРМ,</w:t>
            </w:r>
            <w:r w:rsidR="00073948">
              <w:t xml:space="preserve"> </w:t>
            </w:r>
            <w:r w:rsidR="00073948" w:rsidRPr="00073948">
              <w:t xml:space="preserve">щодо отримання послуг </w:t>
            </w:r>
            <w:r w:rsidR="00073948">
              <w:t xml:space="preserve">розподілу природного газу, </w:t>
            </w:r>
            <w:r w:rsidR="00073948" w:rsidRPr="00073948">
              <w:t xml:space="preserve">належної якості в достатній кількості за обґрунтованими </w:t>
            </w:r>
            <w:r w:rsidR="00073948">
              <w:t>тарифами.</w:t>
            </w:r>
          </w:p>
        </w:tc>
      </w:tr>
      <w:tr w:rsidR="00600647" w:rsidRPr="0047796F" w14:paraId="070500DF" w14:textId="77777777" w:rsidTr="00E12FDC">
        <w:trPr>
          <w:jc w:val="center"/>
        </w:trPr>
        <w:tc>
          <w:tcPr>
            <w:tcW w:w="5665" w:type="dxa"/>
          </w:tcPr>
          <w:p w14:paraId="07DB9A56" w14:textId="77777777" w:rsidR="00600647" w:rsidRPr="00342176" w:rsidRDefault="00600647" w:rsidP="00600647">
            <w:pPr>
              <w:pStyle w:val="rvps2"/>
              <w:tabs>
                <w:tab w:val="left" w:pos="465"/>
              </w:tabs>
              <w:spacing w:before="0" w:beforeAutospacing="0" w:after="0" w:afterAutospacing="0"/>
              <w:jc w:val="both"/>
              <w:rPr>
                <w:lang w:eastAsia="en-US"/>
              </w:rPr>
            </w:pPr>
          </w:p>
        </w:tc>
        <w:tc>
          <w:tcPr>
            <w:tcW w:w="5670" w:type="dxa"/>
          </w:tcPr>
          <w:p w14:paraId="5F4932D4" w14:textId="6DBEBD58" w:rsidR="00600647" w:rsidRPr="00342176" w:rsidRDefault="00600647" w:rsidP="00600647">
            <w:pPr>
              <w:tabs>
                <w:tab w:val="left" w:pos="1185"/>
              </w:tabs>
              <w:spacing w:after="0" w:line="240" w:lineRule="auto"/>
              <w:ind w:firstLine="465"/>
              <w:jc w:val="both"/>
              <w:rPr>
                <w:rFonts w:ascii="Times New Roman" w:hAnsi="Times New Roman" w:cs="Times New Roman"/>
                <w:b/>
                <w:sz w:val="24"/>
                <w:szCs w:val="24"/>
                <w:lang w:val="uk-UA"/>
              </w:rPr>
            </w:pPr>
            <w:r w:rsidRPr="00342176">
              <w:rPr>
                <w:rFonts w:ascii="Times New Roman" w:hAnsi="Times New Roman" w:cs="Times New Roman"/>
                <w:b/>
                <w:sz w:val="24"/>
                <w:szCs w:val="24"/>
                <w:lang w:val="uk-UA"/>
              </w:rPr>
              <w:t xml:space="preserve">Пропозиція </w:t>
            </w:r>
            <w:r w:rsidRPr="00342176">
              <w:rPr>
                <w:rFonts w:ascii="Times New Roman" w:hAnsi="Times New Roman" w:cs="Times New Roman"/>
                <w:b/>
                <w:lang w:val="uk-UA"/>
              </w:rPr>
              <w:t>ТОВ «Газорозподільні мережі України»</w:t>
            </w:r>
            <w:r w:rsidRPr="00342176">
              <w:rPr>
                <w:rFonts w:ascii="Times New Roman" w:hAnsi="Times New Roman" w:cs="Times New Roman"/>
                <w:b/>
                <w:sz w:val="24"/>
                <w:szCs w:val="24"/>
                <w:lang w:val="uk-UA"/>
              </w:rPr>
              <w:t>:</w:t>
            </w:r>
          </w:p>
          <w:p w14:paraId="42674929" w14:textId="4972DA38" w:rsidR="00600647" w:rsidRPr="00342176" w:rsidRDefault="00600647" w:rsidP="00600647">
            <w:pPr>
              <w:tabs>
                <w:tab w:val="left" w:pos="1185"/>
              </w:tabs>
              <w:spacing w:after="0" w:line="240" w:lineRule="auto"/>
              <w:ind w:firstLine="465"/>
              <w:jc w:val="both"/>
              <w:rPr>
                <w:rFonts w:ascii="Times New Roman" w:hAnsi="Times New Roman" w:cs="Times New Roman"/>
                <w:b/>
                <w:bCs/>
                <w:lang w:val="uk-UA"/>
              </w:rPr>
            </w:pPr>
            <w:r w:rsidRPr="00342176">
              <w:rPr>
                <w:rFonts w:ascii="Times New Roman" w:hAnsi="Times New Roman" w:cs="Times New Roman"/>
                <w:b/>
                <w:bCs/>
                <w:lang w:val="uk-UA"/>
              </w:rPr>
              <w:t>Залишити в діючій редакції, не вводити новий розділ.</w:t>
            </w:r>
          </w:p>
          <w:p w14:paraId="562A7CEB" w14:textId="77777777" w:rsidR="00600647" w:rsidRPr="00342176" w:rsidRDefault="00600647" w:rsidP="00600647">
            <w:pPr>
              <w:tabs>
                <w:tab w:val="left" w:pos="1185"/>
              </w:tabs>
              <w:spacing w:after="0" w:line="240" w:lineRule="auto"/>
              <w:ind w:firstLine="465"/>
              <w:jc w:val="both"/>
              <w:rPr>
                <w:rFonts w:ascii="Times New Roman" w:hAnsi="Times New Roman" w:cs="Times New Roman"/>
                <w:sz w:val="24"/>
                <w:szCs w:val="24"/>
                <w:lang w:val="uk-UA"/>
              </w:rPr>
            </w:pPr>
          </w:p>
          <w:p w14:paraId="2C2995DC" w14:textId="0F6E8E14" w:rsidR="00600647" w:rsidRPr="00342176" w:rsidRDefault="00600647" w:rsidP="00600647">
            <w:pPr>
              <w:tabs>
                <w:tab w:val="left" w:pos="1185"/>
              </w:tabs>
              <w:spacing w:after="0" w:line="240" w:lineRule="auto"/>
              <w:ind w:firstLine="465"/>
              <w:jc w:val="both"/>
              <w:rPr>
                <w:rFonts w:ascii="Times New Roman" w:hAnsi="Times New Roman" w:cs="Times New Roman"/>
                <w:b/>
                <w:sz w:val="24"/>
                <w:szCs w:val="24"/>
                <w:lang w:val="uk-UA"/>
              </w:rPr>
            </w:pPr>
            <w:r w:rsidRPr="00342176">
              <w:rPr>
                <w:rFonts w:ascii="Times New Roman" w:hAnsi="Times New Roman" w:cs="Times New Roman"/>
                <w:b/>
                <w:sz w:val="24"/>
                <w:szCs w:val="24"/>
                <w:lang w:val="uk-UA"/>
              </w:rPr>
              <w:t>Обґрунтування:</w:t>
            </w:r>
          </w:p>
          <w:p w14:paraId="784BD2CC" w14:textId="77777777" w:rsidR="00600647" w:rsidRPr="00342176" w:rsidRDefault="00600647" w:rsidP="00600647">
            <w:pPr>
              <w:pStyle w:val="a5"/>
              <w:numPr>
                <w:ilvl w:val="0"/>
                <w:numId w:val="5"/>
              </w:numPr>
              <w:ind w:left="11" w:firstLine="465"/>
              <w:contextualSpacing w:val="0"/>
              <w:jc w:val="both"/>
              <w:rPr>
                <w:rFonts w:ascii="Times New Roman" w:hAnsi="Times New Roman"/>
                <w:b/>
                <w:bCs/>
                <w:color w:val="EE0000"/>
                <w:lang w:val="uk-UA"/>
              </w:rPr>
            </w:pPr>
            <w:r w:rsidRPr="00342176">
              <w:rPr>
                <w:rFonts w:ascii="Times New Roman" w:hAnsi="Times New Roman"/>
                <w:b/>
                <w:bCs/>
                <w:lang w:val="uk-UA"/>
              </w:rPr>
              <w:t xml:space="preserve">Зміни в проєкті постанови не сприяють стимулюванню суб’єкта господарювання, а обмежують ефективність операційної діяльності. </w:t>
            </w:r>
          </w:p>
          <w:p w14:paraId="0FE2C29D" w14:textId="77777777" w:rsidR="00600647" w:rsidRPr="00342176" w:rsidRDefault="00600647" w:rsidP="00600647">
            <w:pPr>
              <w:pStyle w:val="a5"/>
              <w:numPr>
                <w:ilvl w:val="0"/>
                <w:numId w:val="5"/>
              </w:numPr>
              <w:ind w:left="11" w:firstLine="465"/>
              <w:contextualSpacing w:val="0"/>
              <w:jc w:val="both"/>
              <w:rPr>
                <w:rFonts w:ascii="Times New Roman" w:hAnsi="Times New Roman"/>
                <w:b/>
                <w:bCs/>
                <w:lang w:val="uk-UA"/>
              </w:rPr>
            </w:pPr>
            <w:r w:rsidRPr="00342176">
              <w:rPr>
                <w:rFonts w:ascii="Times New Roman" w:hAnsi="Times New Roman"/>
                <w:b/>
                <w:bCs/>
                <w:lang w:val="uk-UA"/>
              </w:rPr>
              <w:t>Відсутня відкрита формула формування таких складових як g</w:t>
            </w:r>
            <w:r w:rsidRPr="00342176">
              <w:rPr>
                <w:rFonts w:ascii="Times New Roman" w:hAnsi="Times New Roman"/>
                <w:b/>
                <w:bCs/>
                <w:vertAlign w:val="subscript"/>
                <w:lang w:val="uk-UA"/>
              </w:rPr>
              <w:t>-1</w:t>
            </w:r>
            <w:r w:rsidRPr="00342176">
              <w:rPr>
                <w:rFonts w:ascii="Times New Roman" w:hAnsi="Times New Roman"/>
                <w:b/>
                <w:bCs/>
                <w:lang w:val="uk-UA"/>
              </w:rPr>
              <w:t>, g</w:t>
            </w:r>
            <w:r w:rsidRPr="00342176">
              <w:rPr>
                <w:rFonts w:ascii="Times New Roman" w:hAnsi="Times New Roman"/>
                <w:b/>
                <w:bCs/>
                <w:vertAlign w:val="subscript"/>
                <w:lang w:val="uk-UA"/>
              </w:rPr>
              <w:t xml:space="preserve">n </w:t>
            </w:r>
            <w:r w:rsidRPr="00342176">
              <w:rPr>
                <w:rFonts w:ascii="Times New Roman" w:hAnsi="Times New Roman"/>
                <w:b/>
                <w:bCs/>
                <w:lang w:val="uk-UA"/>
              </w:rPr>
              <w:t xml:space="preserve">, що може  вказувати на непрозорість та невідкритість формування складових. </w:t>
            </w:r>
            <w:r w:rsidRPr="00342176">
              <w:rPr>
                <w:rFonts w:ascii="Times New Roman" w:hAnsi="Times New Roman"/>
                <w:b/>
                <w:bCs/>
                <w:color w:val="EE0000"/>
                <w:lang w:val="uk-UA"/>
              </w:rPr>
              <w:t xml:space="preserve"> </w:t>
            </w:r>
          </w:p>
          <w:p w14:paraId="4C6A939D" w14:textId="77777777" w:rsidR="00600647" w:rsidRPr="00342176" w:rsidRDefault="00600647" w:rsidP="00600647">
            <w:pPr>
              <w:pStyle w:val="a5"/>
              <w:numPr>
                <w:ilvl w:val="0"/>
                <w:numId w:val="5"/>
              </w:numPr>
              <w:ind w:left="11" w:firstLine="465"/>
              <w:contextualSpacing w:val="0"/>
              <w:jc w:val="both"/>
              <w:rPr>
                <w:rFonts w:ascii="Times New Roman" w:hAnsi="Times New Roman"/>
                <w:color w:val="000000" w:themeColor="text1"/>
                <w:lang w:val="uk-UA"/>
              </w:rPr>
            </w:pPr>
            <w:r w:rsidRPr="00342176">
              <w:rPr>
                <w:rFonts w:ascii="Times New Roman" w:hAnsi="Times New Roman"/>
                <w:b/>
                <w:bCs/>
                <w:lang w:val="uk-UA"/>
              </w:rPr>
              <w:t>Відсутнє розуміння Т</w:t>
            </w:r>
            <w:r w:rsidRPr="00342176">
              <w:rPr>
                <w:rFonts w:ascii="Times New Roman" w:hAnsi="Times New Roman"/>
                <w:b/>
                <w:bCs/>
                <w:vertAlign w:val="subscript"/>
                <w:lang w:val="uk-UA"/>
              </w:rPr>
              <w:t>ціл</w:t>
            </w:r>
            <w:r w:rsidRPr="00342176">
              <w:rPr>
                <w:rFonts w:ascii="Times New Roman" w:hAnsi="Times New Roman"/>
                <w:b/>
                <w:bCs/>
                <w:lang w:val="uk-UA"/>
              </w:rPr>
              <w:t xml:space="preserve">, </w:t>
            </w:r>
            <w:r w:rsidRPr="00342176">
              <w:rPr>
                <w:rFonts w:ascii="Times New Roman" w:hAnsi="Times New Roman"/>
                <w:lang w:val="uk-UA"/>
              </w:rPr>
              <w:t xml:space="preserve">оскільки, ОГРМ подає свої розрахунки відповідно до Методики визначення та розрахунку тарифу на послуги розподілу природного газу (постанова НКРЕКП від 25.02.2016  № 236) (далі Методика 236), які формуються на підставі фактичних витрат попереднього періоду, та відображаються в заяві на перегляд тарифів на послуги розподілу природного газу, як </w:t>
            </w:r>
            <w:r w:rsidRPr="00342176">
              <w:rPr>
                <w:rFonts w:ascii="Times New Roman" w:hAnsi="Times New Roman"/>
                <w:b/>
                <w:bCs/>
                <w:lang w:val="uk-UA"/>
              </w:rPr>
              <w:t>економічно обґрунтовані витрати на планований період</w:t>
            </w:r>
            <w:r w:rsidRPr="00342176">
              <w:rPr>
                <w:rFonts w:ascii="Times New Roman" w:hAnsi="Times New Roman"/>
                <w:lang w:val="uk-UA"/>
              </w:rPr>
              <w:t xml:space="preserve"> - витрати суб’єкта господарювання з розподілу природного газу, планування яких здійснюється з дотриманням вимог стандартів, нормативів, норм, технологічних регламентів, обмежених </w:t>
            </w:r>
            <w:hyperlink r:id="rId8" w:tgtFrame="_blank" w:history="1">
              <w:r w:rsidRPr="00342176">
                <w:rPr>
                  <w:rStyle w:val="a6"/>
                  <w:rFonts w:ascii="Times New Roman" w:hAnsi="Times New Roman"/>
                  <w:lang w:val="uk-UA"/>
                </w:rPr>
                <w:t>Податковим кодексом України</w:t>
              </w:r>
            </w:hyperlink>
            <w:r w:rsidRPr="00342176">
              <w:rPr>
                <w:lang w:val="uk-UA"/>
              </w:rPr>
              <w:t>.</w:t>
            </w:r>
            <w:r w:rsidRPr="00342176">
              <w:rPr>
                <w:rFonts w:ascii="Times New Roman" w:hAnsi="Times New Roman"/>
                <w:b/>
                <w:bCs/>
                <w:lang w:val="uk-UA"/>
              </w:rPr>
              <w:t xml:space="preserve"> </w:t>
            </w:r>
          </w:p>
          <w:p w14:paraId="2FADCC85" w14:textId="77777777" w:rsidR="00600647" w:rsidRPr="00342176" w:rsidRDefault="00600647" w:rsidP="00600647">
            <w:pPr>
              <w:spacing w:after="0" w:line="240" w:lineRule="auto"/>
              <w:ind w:left="11" w:firstLine="465"/>
              <w:jc w:val="both"/>
              <w:rPr>
                <w:rFonts w:ascii="Times New Roman" w:hAnsi="Times New Roman" w:cs="Times New Roman"/>
                <w:color w:val="000000" w:themeColor="text1"/>
                <w:sz w:val="24"/>
                <w:lang w:val="uk-UA"/>
              </w:rPr>
            </w:pPr>
            <w:r w:rsidRPr="00342176">
              <w:rPr>
                <w:rFonts w:ascii="Times New Roman" w:hAnsi="Times New Roman" w:cs="Times New Roman"/>
                <w:color w:val="000000" w:themeColor="text1"/>
                <w:sz w:val="24"/>
                <w:lang w:val="uk-UA"/>
              </w:rPr>
              <w:t>Враховуючи</w:t>
            </w:r>
            <w:r w:rsidRPr="00342176">
              <w:rPr>
                <w:rFonts w:ascii="Times New Roman" w:hAnsi="Times New Roman" w:cs="Times New Roman"/>
                <w:b/>
                <w:bCs/>
                <w:color w:val="EE0000"/>
                <w:sz w:val="24"/>
                <w:lang w:val="uk-UA"/>
              </w:rPr>
              <w:t xml:space="preserve"> </w:t>
            </w:r>
            <w:r w:rsidRPr="00342176">
              <w:rPr>
                <w:rFonts w:ascii="Times New Roman" w:hAnsi="Times New Roman" w:cs="Times New Roman"/>
                <w:color w:val="000000" w:themeColor="text1"/>
                <w:sz w:val="24"/>
                <w:lang w:val="uk-UA"/>
              </w:rPr>
              <w:t xml:space="preserve">норми Методики 236, Оператори ГРМ подають вже на підставі фактичних витрат, з урахуванням даних Постанов Кабінету Міністрів України (індекси споживчих цін виробників </w:t>
            </w:r>
            <w:r w:rsidRPr="00342176">
              <w:rPr>
                <w:rFonts w:ascii="Times New Roman" w:hAnsi="Times New Roman" w:cs="Times New Roman"/>
                <w:color w:val="000000" w:themeColor="text1"/>
                <w:sz w:val="24"/>
                <w:lang w:val="uk-UA"/>
              </w:rPr>
              <w:lastRenderedPageBreak/>
              <w:t xml:space="preserve">промислової продукції, індекс середньомісячної заробітної плати працівників, тощо), як планові показники, які можуть в подальшому </w:t>
            </w:r>
            <w:r w:rsidRPr="00342176">
              <w:rPr>
                <w:rFonts w:ascii="Times New Roman" w:hAnsi="Times New Roman" w:cs="Times New Roman"/>
                <w:b/>
                <w:bCs/>
                <w:color w:val="000000" w:themeColor="text1"/>
                <w:sz w:val="24"/>
                <w:lang w:val="uk-UA"/>
              </w:rPr>
              <w:t>обмежуватись</w:t>
            </w:r>
            <w:r w:rsidRPr="00342176">
              <w:rPr>
                <w:rFonts w:ascii="Times New Roman" w:hAnsi="Times New Roman" w:cs="Times New Roman"/>
                <w:color w:val="000000" w:themeColor="text1"/>
                <w:sz w:val="24"/>
                <w:lang w:val="uk-UA"/>
              </w:rPr>
              <w:t xml:space="preserve"> Регулятором певними коефіцієнтами, в тому числі коефіцієнт β.</w:t>
            </w:r>
          </w:p>
          <w:p w14:paraId="61AB9403" w14:textId="77777777" w:rsidR="00600647" w:rsidRPr="00342176" w:rsidRDefault="00600647" w:rsidP="00600647">
            <w:pPr>
              <w:spacing w:after="0" w:line="240" w:lineRule="auto"/>
              <w:ind w:left="11" w:firstLine="465"/>
              <w:jc w:val="both"/>
              <w:rPr>
                <w:rFonts w:ascii="Times New Roman" w:hAnsi="Times New Roman" w:cs="Times New Roman"/>
                <w:sz w:val="24"/>
                <w:u w:val="single"/>
                <w:lang w:val="uk-UA"/>
              </w:rPr>
            </w:pPr>
            <w:r w:rsidRPr="00342176">
              <w:rPr>
                <w:rFonts w:ascii="Times New Roman" w:hAnsi="Times New Roman" w:cs="Times New Roman"/>
                <w:color w:val="000000" w:themeColor="text1"/>
                <w:sz w:val="24"/>
                <w:u w:val="single"/>
                <w:lang w:val="uk-UA"/>
              </w:rPr>
              <w:t>При застосуванні додаткових коефіцієнтів,</w:t>
            </w:r>
            <w:r w:rsidRPr="00342176">
              <w:rPr>
                <w:rFonts w:ascii="Times New Roman" w:hAnsi="Times New Roman" w:cs="Times New Roman"/>
                <w:b/>
                <w:bCs/>
                <w:sz w:val="24"/>
                <w:u w:val="single"/>
                <w:lang w:val="uk-UA"/>
              </w:rPr>
              <w:t xml:space="preserve"> g</w:t>
            </w:r>
            <w:r w:rsidRPr="00342176">
              <w:rPr>
                <w:rFonts w:ascii="Times New Roman" w:hAnsi="Times New Roman" w:cs="Times New Roman"/>
                <w:b/>
                <w:bCs/>
                <w:sz w:val="24"/>
                <w:u w:val="single"/>
                <w:vertAlign w:val="subscript"/>
                <w:lang w:val="uk-UA"/>
              </w:rPr>
              <w:t>-1</w:t>
            </w:r>
            <w:r w:rsidRPr="00342176">
              <w:rPr>
                <w:rFonts w:ascii="Times New Roman" w:hAnsi="Times New Roman" w:cs="Times New Roman"/>
                <w:b/>
                <w:bCs/>
                <w:sz w:val="24"/>
                <w:u w:val="single"/>
                <w:lang w:val="uk-UA"/>
              </w:rPr>
              <w:t>, g</w:t>
            </w:r>
            <w:r w:rsidRPr="00342176">
              <w:rPr>
                <w:rFonts w:ascii="Times New Roman" w:hAnsi="Times New Roman" w:cs="Times New Roman"/>
                <w:b/>
                <w:bCs/>
                <w:sz w:val="24"/>
                <w:u w:val="single"/>
                <w:vertAlign w:val="subscript"/>
                <w:lang w:val="uk-UA"/>
              </w:rPr>
              <w:t xml:space="preserve">n </w:t>
            </w:r>
            <w:r w:rsidRPr="00342176">
              <w:rPr>
                <w:rFonts w:ascii="Times New Roman" w:hAnsi="Times New Roman" w:cs="Times New Roman"/>
                <w:sz w:val="24"/>
                <w:u w:val="single"/>
                <w:lang w:val="uk-UA"/>
              </w:rPr>
              <w:t>та</w:t>
            </w:r>
            <w:r w:rsidRPr="00342176">
              <w:rPr>
                <w:rFonts w:ascii="Times New Roman" w:hAnsi="Times New Roman" w:cs="Times New Roman"/>
                <w:b/>
                <w:bCs/>
                <w:sz w:val="24"/>
                <w:u w:val="single"/>
                <w:vertAlign w:val="subscript"/>
                <w:lang w:val="uk-UA"/>
              </w:rPr>
              <w:t xml:space="preserve"> </w:t>
            </w:r>
            <w:r w:rsidRPr="00342176">
              <w:rPr>
                <w:rFonts w:ascii="Times New Roman" w:hAnsi="Times New Roman" w:cs="Times New Roman"/>
                <w:sz w:val="24"/>
                <w:u w:val="single"/>
                <w:lang w:val="uk-UA"/>
              </w:rPr>
              <w:t>поетапного формування тарифів, м</w:t>
            </w:r>
            <w:r w:rsidRPr="00342176">
              <w:rPr>
                <w:rFonts w:ascii="Times New Roman" w:hAnsi="Times New Roman" w:cs="Times New Roman"/>
                <w:color w:val="000000" w:themeColor="text1"/>
                <w:sz w:val="24"/>
                <w:u w:val="single"/>
                <w:lang w:val="uk-UA"/>
              </w:rPr>
              <w:t>ожливі такі наслідки</w:t>
            </w:r>
            <w:r w:rsidRPr="00342176">
              <w:rPr>
                <w:rFonts w:ascii="Times New Roman" w:hAnsi="Times New Roman" w:cs="Times New Roman"/>
                <w:sz w:val="24"/>
                <w:u w:val="single"/>
                <w:lang w:val="uk-UA"/>
              </w:rPr>
              <w:t>:</w:t>
            </w:r>
          </w:p>
          <w:p w14:paraId="0E5A1FC5" w14:textId="77777777" w:rsidR="00600647" w:rsidRPr="00342176" w:rsidRDefault="00600647" w:rsidP="00600647">
            <w:pPr>
              <w:spacing w:after="0" w:line="240" w:lineRule="auto"/>
              <w:ind w:left="11" w:firstLine="465"/>
              <w:jc w:val="both"/>
              <w:rPr>
                <w:rFonts w:ascii="Times New Roman" w:hAnsi="Times New Roman" w:cs="Times New Roman"/>
                <w:color w:val="000000" w:themeColor="text1"/>
                <w:sz w:val="24"/>
                <w:lang w:val="uk-UA"/>
              </w:rPr>
            </w:pPr>
            <w:r w:rsidRPr="00342176">
              <w:rPr>
                <w:rFonts w:ascii="Times New Roman" w:hAnsi="Times New Roman" w:cs="Times New Roman"/>
                <w:color w:val="000000" w:themeColor="text1"/>
                <w:sz w:val="24"/>
                <w:lang w:val="uk-UA"/>
              </w:rPr>
              <w:t xml:space="preserve">- При застосуванні даних коефіцієнтів, договори на послуги розподілу природного газу матимуть ознаки обтяжливих контрактів, відповідно до МСБО 37. Це договори за якими неминучі витрати виконання зобов'язань перевищують очікувані економічні вигоди від виконання. Облік таких контрактів за МСФЗ передбачає  знецінення основних засобів, задіяних при їх виконанні, </w:t>
            </w:r>
            <w:r w:rsidRPr="00342176">
              <w:rPr>
                <w:rFonts w:ascii="Times New Roman" w:hAnsi="Times New Roman" w:cs="Times New Roman"/>
                <w:b/>
                <w:bCs/>
                <w:color w:val="000000" w:themeColor="text1"/>
                <w:sz w:val="24"/>
                <w:lang w:val="uk-UA"/>
              </w:rPr>
              <w:t>та негайного визнання збитків</w:t>
            </w:r>
            <w:r w:rsidRPr="00342176">
              <w:rPr>
                <w:rFonts w:ascii="Times New Roman" w:hAnsi="Times New Roman" w:cs="Times New Roman"/>
                <w:color w:val="000000" w:themeColor="text1"/>
                <w:sz w:val="24"/>
                <w:lang w:val="uk-UA"/>
              </w:rPr>
              <w:t xml:space="preserve"> шляхом створення резервів на збитки від цих контрактів.</w:t>
            </w:r>
          </w:p>
          <w:p w14:paraId="5C9145CE" w14:textId="77777777" w:rsidR="00600647" w:rsidRPr="00342176" w:rsidRDefault="00600647" w:rsidP="00600647">
            <w:pPr>
              <w:tabs>
                <w:tab w:val="left" w:pos="1185"/>
              </w:tabs>
              <w:spacing w:after="0" w:line="240" w:lineRule="auto"/>
              <w:ind w:firstLine="465"/>
              <w:jc w:val="both"/>
              <w:rPr>
                <w:rFonts w:ascii="Times New Roman" w:hAnsi="Times New Roman" w:cs="Times New Roman"/>
                <w:bCs/>
                <w:sz w:val="24"/>
                <w:szCs w:val="24"/>
                <w:lang w:val="uk-UA"/>
              </w:rPr>
            </w:pPr>
            <w:r w:rsidRPr="00342176">
              <w:rPr>
                <w:rFonts w:ascii="Times New Roman" w:hAnsi="Times New Roman" w:cs="Times New Roman"/>
                <w:bCs/>
                <w:sz w:val="24"/>
                <w:szCs w:val="24"/>
                <w:lang w:val="uk-UA"/>
              </w:rPr>
              <w:t>- Облік обтяжливих контрактів призведе до негативного значення чистих активів Товариства, що призведе до сумнівів у безперервності діяльності Товариства  та, відповідно, до негативної думки Аудитора  стосовно фінансової звітності Товариства. Це матиме негативний вплив на консолідовану фінансову звітність Групи НАК Нафтогаз України.</w:t>
            </w:r>
          </w:p>
          <w:p w14:paraId="4C2FE21A" w14:textId="77777777" w:rsidR="00600647" w:rsidRPr="00342176" w:rsidRDefault="00600647" w:rsidP="00600647">
            <w:pPr>
              <w:tabs>
                <w:tab w:val="left" w:pos="1185"/>
              </w:tabs>
              <w:spacing w:after="0" w:line="240" w:lineRule="auto"/>
              <w:ind w:firstLine="465"/>
              <w:jc w:val="both"/>
              <w:rPr>
                <w:rFonts w:ascii="Times New Roman" w:hAnsi="Times New Roman" w:cs="Times New Roman"/>
                <w:bCs/>
                <w:sz w:val="24"/>
                <w:szCs w:val="24"/>
                <w:lang w:val="uk-UA"/>
              </w:rPr>
            </w:pPr>
            <w:r w:rsidRPr="00342176">
              <w:rPr>
                <w:rFonts w:ascii="Times New Roman" w:hAnsi="Times New Roman" w:cs="Times New Roman"/>
                <w:bCs/>
                <w:sz w:val="24"/>
                <w:szCs w:val="24"/>
                <w:lang w:val="uk-UA"/>
              </w:rPr>
              <w:t xml:space="preserve">- Оскільки знецінення активів та визнання збитків від обтяжливих контрактів не визнаються в податковому обліку, Товариство може отримати оподаткований прибуток, що призведе до зобов’язань перед бюджетом, які Товариство не зможе виконати за відсутністю обігових активів, що є наслідком негативних чистих активів. Прострочена </w:t>
            </w:r>
            <w:r w:rsidRPr="00342176">
              <w:rPr>
                <w:rFonts w:ascii="Times New Roman" w:hAnsi="Times New Roman" w:cs="Times New Roman"/>
                <w:bCs/>
                <w:sz w:val="24"/>
                <w:szCs w:val="24"/>
                <w:lang w:val="uk-UA"/>
              </w:rPr>
              <w:lastRenderedPageBreak/>
              <w:t>заборгованість перед бюджетом може призвести до банкрутства Товариства з ініціативи Державної податкової служби України (ДПСУ).</w:t>
            </w:r>
          </w:p>
          <w:p w14:paraId="6401D95B" w14:textId="77777777" w:rsidR="00600647" w:rsidRPr="00342176" w:rsidRDefault="00600647" w:rsidP="00600647">
            <w:pPr>
              <w:tabs>
                <w:tab w:val="left" w:pos="1185"/>
              </w:tabs>
              <w:spacing w:after="0" w:line="240" w:lineRule="auto"/>
              <w:ind w:firstLine="465"/>
              <w:jc w:val="both"/>
              <w:rPr>
                <w:rFonts w:ascii="Times New Roman" w:hAnsi="Times New Roman" w:cs="Times New Roman"/>
                <w:bCs/>
                <w:sz w:val="24"/>
                <w:szCs w:val="24"/>
                <w:lang w:val="uk-UA"/>
              </w:rPr>
            </w:pPr>
            <w:r w:rsidRPr="00342176">
              <w:rPr>
                <w:rFonts w:ascii="Times New Roman" w:hAnsi="Times New Roman" w:cs="Times New Roman"/>
                <w:bCs/>
                <w:sz w:val="24"/>
                <w:szCs w:val="24"/>
                <w:lang w:val="uk-UA"/>
              </w:rPr>
              <w:t>Враховуючи вищевикладене, впровадженням перехідного періоду може створитись ситуація, коли прямі витрати від розподілу природного газу (які не покриваються іншою діяльністю) будуть більшими за доходи від розподілу природного газу.</w:t>
            </w:r>
          </w:p>
          <w:p w14:paraId="35FC7710" w14:textId="77777777" w:rsidR="00600647" w:rsidRPr="00342176" w:rsidRDefault="00600647" w:rsidP="00600647">
            <w:pPr>
              <w:tabs>
                <w:tab w:val="left" w:pos="1185"/>
              </w:tabs>
              <w:spacing w:after="0" w:line="240" w:lineRule="auto"/>
              <w:ind w:firstLine="465"/>
              <w:jc w:val="both"/>
              <w:rPr>
                <w:rFonts w:ascii="Times New Roman" w:hAnsi="Times New Roman" w:cs="Times New Roman"/>
                <w:b/>
                <w:bCs/>
                <w:sz w:val="24"/>
                <w:szCs w:val="24"/>
                <w:lang w:val="uk-UA"/>
              </w:rPr>
            </w:pPr>
            <w:r w:rsidRPr="00342176">
              <w:rPr>
                <w:rFonts w:ascii="Times New Roman" w:hAnsi="Times New Roman" w:cs="Times New Roman"/>
                <w:bCs/>
                <w:sz w:val="24"/>
                <w:szCs w:val="24"/>
                <w:lang w:val="uk-UA"/>
              </w:rPr>
              <w:t xml:space="preserve">Також, Товариство наголошує на тому, що станом на вересень 2025 року діє мораторій на підвищення тарифів на послуги розподілу природного газу для побутових споживачів (стаття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(далі – Закон № 2479), з урахуванням змін внесених Законом України від 04.06.2024 № 3764- IX «Про внесення змін до деяких законів України щодо врегулювання повноважень центральних органів виконавчої влади у сфері забезпечення енергетичної ефективності», який набрав чинності 30.06.2024, протягом дії воєнного стану в Україні та шести місяців після місяця, в якому воєнний стан буде припинено або скасовано та на основі середньозваженого, </w:t>
            </w:r>
            <w:r w:rsidRPr="00342176">
              <w:rPr>
                <w:rFonts w:ascii="Times New Roman" w:hAnsi="Times New Roman" w:cs="Times New Roman"/>
                <w:b/>
                <w:bCs/>
                <w:sz w:val="24"/>
                <w:szCs w:val="24"/>
                <w:lang w:val="uk-UA"/>
              </w:rPr>
              <w:t xml:space="preserve">що вже є зменшенням фінансового навантаження на замовників послуг розподілу природного газу. </w:t>
            </w:r>
          </w:p>
          <w:p w14:paraId="31707615" w14:textId="77777777" w:rsidR="00600647" w:rsidRPr="00342176" w:rsidRDefault="00600647" w:rsidP="00600647">
            <w:pPr>
              <w:tabs>
                <w:tab w:val="left" w:pos="1185"/>
              </w:tabs>
              <w:spacing w:after="0" w:line="240" w:lineRule="auto"/>
              <w:ind w:firstLine="465"/>
              <w:jc w:val="both"/>
              <w:rPr>
                <w:rFonts w:ascii="Times New Roman" w:hAnsi="Times New Roman" w:cs="Times New Roman"/>
                <w:bCs/>
                <w:sz w:val="24"/>
                <w:szCs w:val="24"/>
                <w:lang w:val="uk-UA"/>
              </w:rPr>
            </w:pPr>
            <w:r w:rsidRPr="00342176">
              <w:rPr>
                <w:rFonts w:ascii="Times New Roman" w:hAnsi="Times New Roman" w:cs="Times New Roman"/>
                <w:b/>
                <w:bCs/>
                <w:sz w:val="24"/>
                <w:szCs w:val="24"/>
                <w:lang w:val="uk-UA"/>
              </w:rPr>
              <w:t>4.</w:t>
            </w:r>
            <w:r w:rsidRPr="00342176">
              <w:rPr>
                <w:rFonts w:ascii="Times New Roman" w:hAnsi="Times New Roman" w:cs="Times New Roman"/>
                <w:b/>
                <w:bCs/>
                <w:sz w:val="24"/>
                <w:szCs w:val="24"/>
                <w:lang w:val="uk-UA"/>
              </w:rPr>
              <w:tab/>
              <w:t>Відсутнє розуміння етапів переходу.</w:t>
            </w:r>
            <w:r w:rsidRPr="00342176">
              <w:rPr>
                <w:rFonts w:ascii="Times New Roman" w:hAnsi="Times New Roman" w:cs="Times New Roman"/>
                <w:bCs/>
                <w:sz w:val="24"/>
                <w:szCs w:val="24"/>
                <w:lang w:val="uk-UA"/>
              </w:rPr>
              <w:t xml:space="preserve"> А саме:</w:t>
            </w:r>
          </w:p>
          <w:p w14:paraId="426ED23B" w14:textId="38C29841" w:rsidR="00600647" w:rsidRPr="00342176" w:rsidRDefault="00600647" w:rsidP="00600647">
            <w:pPr>
              <w:tabs>
                <w:tab w:val="left" w:pos="1185"/>
              </w:tabs>
              <w:spacing w:after="0" w:line="240" w:lineRule="auto"/>
              <w:ind w:firstLine="465"/>
              <w:jc w:val="both"/>
              <w:rPr>
                <w:rFonts w:ascii="Times New Roman" w:hAnsi="Times New Roman" w:cs="Times New Roman"/>
                <w:bCs/>
                <w:sz w:val="24"/>
                <w:szCs w:val="24"/>
                <w:lang w:val="uk-UA"/>
              </w:rPr>
            </w:pPr>
            <w:r w:rsidRPr="00342176">
              <w:rPr>
                <w:rFonts w:ascii="Times New Roman" w:hAnsi="Times New Roman" w:cs="Times New Roman"/>
                <w:bCs/>
                <w:sz w:val="24"/>
                <w:szCs w:val="24"/>
                <w:lang w:val="uk-UA"/>
              </w:rPr>
              <w:t>•Яким нормативним документом передбачається тривалість перехідного періоду;</w:t>
            </w:r>
          </w:p>
          <w:p w14:paraId="3083E9AA" w14:textId="1C57CAE2" w:rsidR="00600647" w:rsidRPr="00342176" w:rsidRDefault="00600647" w:rsidP="00600647">
            <w:pPr>
              <w:tabs>
                <w:tab w:val="left" w:pos="1185"/>
              </w:tabs>
              <w:spacing w:after="0" w:line="240" w:lineRule="auto"/>
              <w:ind w:firstLine="465"/>
              <w:jc w:val="both"/>
              <w:rPr>
                <w:rFonts w:ascii="Times New Roman" w:hAnsi="Times New Roman" w:cs="Times New Roman"/>
                <w:bCs/>
                <w:sz w:val="24"/>
                <w:szCs w:val="24"/>
                <w:lang w:val="uk-UA"/>
              </w:rPr>
            </w:pPr>
            <w:r w:rsidRPr="00342176">
              <w:rPr>
                <w:rFonts w:ascii="Times New Roman" w:hAnsi="Times New Roman" w:cs="Times New Roman"/>
                <w:bCs/>
                <w:sz w:val="24"/>
                <w:szCs w:val="24"/>
                <w:lang w:val="uk-UA"/>
              </w:rPr>
              <w:lastRenderedPageBreak/>
              <w:t>•Кількість етапів перехідного періоду (чи один, чи десять);</w:t>
            </w:r>
          </w:p>
          <w:p w14:paraId="4FA7FC7E" w14:textId="6F0F0EB3" w:rsidR="00600647" w:rsidRPr="00342176" w:rsidRDefault="00600647" w:rsidP="00600647">
            <w:pPr>
              <w:tabs>
                <w:tab w:val="left" w:pos="1185"/>
              </w:tabs>
              <w:spacing w:after="0" w:line="240" w:lineRule="auto"/>
              <w:ind w:firstLine="465"/>
              <w:jc w:val="both"/>
              <w:rPr>
                <w:rFonts w:ascii="Times New Roman" w:hAnsi="Times New Roman" w:cs="Times New Roman"/>
                <w:bCs/>
                <w:sz w:val="24"/>
                <w:szCs w:val="24"/>
                <w:lang w:val="uk-UA"/>
              </w:rPr>
            </w:pPr>
            <w:r w:rsidRPr="00342176">
              <w:rPr>
                <w:rFonts w:ascii="Times New Roman" w:hAnsi="Times New Roman" w:cs="Times New Roman"/>
                <w:bCs/>
                <w:sz w:val="24"/>
                <w:szCs w:val="24"/>
                <w:lang w:val="uk-UA"/>
              </w:rPr>
              <w:t>•Яким нормативним документом встановлюється  кількість етапів перехідного періоду (нормативний акт чи державний орган, чи ліцензіат).</w:t>
            </w:r>
          </w:p>
          <w:p w14:paraId="40B43451" w14:textId="77777777" w:rsidR="00600647" w:rsidRPr="00342176" w:rsidRDefault="00600647" w:rsidP="00600647">
            <w:pPr>
              <w:tabs>
                <w:tab w:val="left" w:pos="1185"/>
              </w:tabs>
              <w:spacing w:after="0" w:line="240" w:lineRule="auto"/>
              <w:ind w:firstLine="465"/>
              <w:jc w:val="both"/>
              <w:rPr>
                <w:rFonts w:ascii="Times New Roman" w:hAnsi="Times New Roman" w:cs="Times New Roman"/>
                <w:bCs/>
                <w:sz w:val="24"/>
                <w:szCs w:val="24"/>
                <w:lang w:val="uk-UA"/>
              </w:rPr>
            </w:pPr>
            <w:r w:rsidRPr="00342176">
              <w:rPr>
                <w:rFonts w:ascii="Times New Roman" w:hAnsi="Times New Roman" w:cs="Times New Roman"/>
                <w:bCs/>
                <w:sz w:val="24"/>
                <w:szCs w:val="24"/>
                <w:lang w:val="uk-UA"/>
              </w:rPr>
              <w:t>Зміни до постанови потребують більшої конкретики та прозорості розрахунків зі сторони Регулятора.</w:t>
            </w:r>
          </w:p>
          <w:p w14:paraId="5C47E935" w14:textId="77777777" w:rsidR="00600647" w:rsidRPr="00342176" w:rsidRDefault="00600647" w:rsidP="00600647">
            <w:pPr>
              <w:tabs>
                <w:tab w:val="left" w:pos="1185"/>
              </w:tabs>
              <w:spacing w:after="0" w:line="240" w:lineRule="auto"/>
              <w:ind w:firstLine="465"/>
              <w:jc w:val="both"/>
              <w:rPr>
                <w:rFonts w:ascii="Times New Roman" w:hAnsi="Times New Roman" w:cs="Times New Roman"/>
                <w:bCs/>
                <w:sz w:val="24"/>
                <w:szCs w:val="24"/>
                <w:lang w:val="uk-UA"/>
              </w:rPr>
            </w:pPr>
            <w:r w:rsidRPr="00342176">
              <w:rPr>
                <w:rFonts w:ascii="Times New Roman" w:hAnsi="Times New Roman" w:cs="Times New Roman"/>
                <w:bCs/>
                <w:sz w:val="24"/>
                <w:szCs w:val="24"/>
                <w:lang w:val="uk-UA"/>
              </w:rPr>
              <w:t>Слід зазначити, що діюча Методика 236 не обмежує ліценціата та Регулятора у кількості разів перегляду тарифу на послуги розподілу природного газу та чітко регулює підстави для цього (пункт16 та пункт 17 розділу Х Методики 236).</w:t>
            </w:r>
          </w:p>
          <w:p w14:paraId="0EBC7E15" w14:textId="4DCA71AA" w:rsidR="00600647" w:rsidRPr="00342176" w:rsidRDefault="00600647" w:rsidP="00600647">
            <w:pPr>
              <w:tabs>
                <w:tab w:val="left" w:pos="1185"/>
              </w:tabs>
              <w:spacing w:after="0" w:line="240" w:lineRule="auto"/>
              <w:ind w:firstLine="465"/>
              <w:jc w:val="both"/>
              <w:rPr>
                <w:rFonts w:ascii="Times New Roman" w:hAnsi="Times New Roman" w:cs="Times New Roman"/>
                <w:b/>
                <w:sz w:val="24"/>
                <w:szCs w:val="24"/>
                <w:lang w:val="uk-UA"/>
              </w:rPr>
            </w:pPr>
            <w:r w:rsidRPr="00342176">
              <w:rPr>
                <w:rFonts w:ascii="Times New Roman" w:hAnsi="Times New Roman" w:cs="Times New Roman"/>
                <w:bCs/>
                <w:sz w:val="24"/>
                <w:szCs w:val="24"/>
                <w:lang w:val="uk-UA"/>
              </w:rPr>
              <w:t xml:space="preserve">З урахуваннями вищезазначеного для негайного запобігання критичному фінансованому становищу Операторів ГРМ Регулятору необхідно затвердити оновлені тарифи без врахування </w:t>
            </w:r>
            <w:r w:rsidRPr="00342176">
              <w:rPr>
                <w:rFonts w:ascii="Times New Roman" w:hAnsi="Times New Roman" w:cs="Times New Roman"/>
                <w:b/>
                <w:bCs/>
                <w:sz w:val="24"/>
                <w:szCs w:val="24"/>
                <w:lang w:val="uk-UA"/>
              </w:rPr>
              <w:t>перехідного періоду, оскільки зазначені зміни призведуть до збільшення дефіциту грошових коштів у галузі.</w:t>
            </w:r>
          </w:p>
        </w:tc>
        <w:tc>
          <w:tcPr>
            <w:tcW w:w="4253" w:type="dxa"/>
          </w:tcPr>
          <w:p w14:paraId="51783132" w14:textId="77777777" w:rsidR="00600647" w:rsidRPr="00342176" w:rsidRDefault="00600647" w:rsidP="00600647">
            <w:pPr>
              <w:pStyle w:val="rvps2"/>
              <w:tabs>
                <w:tab w:val="left" w:pos="465"/>
              </w:tabs>
              <w:spacing w:before="0" w:beforeAutospacing="0" w:after="0" w:afterAutospacing="0"/>
              <w:ind w:firstLine="174"/>
              <w:jc w:val="both"/>
              <w:rPr>
                <w:b/>
                <w:lang w:eastAsia="en-US"/>
              </w:rPr>
            </w:pPr>
            <w:r w:rsidRPr="00342176">
              <w:rPr>
                <w:b/>
                <w:lang w:eastAsia="en-US"/>
              </w:rPr>
              <w:lastRenderedPageBreak/>
              <w:t>Попередньо відхилено</w:t>
            </w:r>
          </w:p>
          <w:p w14:paraId="0B04357E" w14:textId="77777777" w:rsidR="00600647" w:rsidRPr="00342176" w:rsidRDefault="00600647" w:rsidP="00600647">
            <w:pPr>
              <w:pStyle w:val="rvps2"/>
              <w:tabs>
                <w:tab w:val="left" w:pos="465"/>
              </w:tabs>
              <w:spacing w:before="0" w:beforeAutospacing="0" w:after="0" w:afterAutospacing="0"/>
              <w:ind w:firstLine="174"/>
              <w:jc w:val="both"/>
              <w:rPr>
                <w:b/>
                <w:lang w:eastAsia="en-US"/>
              </w:rPr>
            </w:pPr>
          </w:p>
          <w:p w14:paraId="3B84CC96" w14:textId="003A5D9F" w:rsidR="00600647" w:rsidRDefault="00600647" w:rsidP="00600647">
            <w:pPr>
              <w:pStyle w:val="rvps2"/>
              <w:tabs>
                <w:tab w:val="left" w:pos="465"/>
              </w:tabs>
              <w:spacing w:before="0" w:beforeAutospacing="0" w:after="0" w:afterAutospacing="0"/>
              <w:ind w:firstLine="179"/>
              <w:jc w:val="both"/>
              <w:rPr>
                <w:bCs/>
                <w:lang w:eastAsia="en-US"/>
              </w:rPr>
            </w:pPr>
            <w:r w:rsidRPr="00342176">
              <w:rPr>
                <w:bCs/>
                <w:lang w:eastAsia="en-US"/>
              </w:rPr>
              <w:t xml:space="preserve">Запровадження механізму перехідного періоду не скасовує принцип самоокупності, зазначений в статті 9 Закону України «Про природні монополії», а визначає особливості його реалізації у часі шляхом поетапного </w:t>
            </w:r>
            <w:r>
              <w:rPr>
                <w:bCs/>
                <w:lang w:eastAsia="en-US"/>
              </w:rPr>
              <w:t xml:space="preserve">підвищення </w:t>
            </w:r>
            <w:r w:rsidRPr="00342176">
              <w:rPr>
                <w:bCs/>
                <w:lang w:eastAsia="en-US"/>
              </w:rPr>
              <w:t>тарифів із забезпеченням</w:t>
            </w:r>
            <w:r>
              <w:rPr>
                <w:bCs/>
                <w:lang w:eastAsia="en-US"/>
              </w:rPr>
              <w:t xml:space="preserve"> в останньому ета</w:t>
            </w:r>
            <w:r w:rsidR="00123417">
              <w:rPr>
                <w:bCs/>
                <w:lang w:eastAsia="en-US"/>
              </w:rPr>
              <w:t>п</w:t>
            </w:r>
            <w:r>
              <w:rPr>
                <w:bCs/>
                <w:lang w:eastAsia="en-US"/>
              </w:rPr>
              <w:t xml:space="preserve">і </w:t>
            </w:r>
            <w:r w:rsidRPr="00342176">
              <w:rPr>
                <w:bCs/>
                <w:lang w:eastAsia="en-US"/>
              </w:rPr>
              <w:t xml:space="preserve">компенсації </w:t>
            </w:r>
            <w:r w:rsidRPr="001868FE">
              <w:rPr>
                <w:bCs/>
                <w:lang w:eastAsia="en-US"/>
              </w:rPr>
              <w:t>недоотриман</w:t>
            </w:r>
            <w:r>
              <w:rPr>
                <w:bCs/>
                <w:lang w:eastAsia="en-US"/>
              </w:rPr>
              <w:t>ої</w:t>
            </w:r>
            <w:r w:rsidRPr="001868FE">
              <w:rPr>
                <w:bCs/>
                <w:lang w:eastAsia="en-US"/>
              </w:rPr>
              <w:t xml:space="preserve"> планован</w:t>
            </w:r>
            <w:r>
              <w:rPr>
                <w:bCs/>
                <w:lang w:eastAsia="en-US"/>
              </w:rPr>
              <w:t xml:space="preserve">ої </w:t>
            </w:r>
            <w:r w:rsidRPr="001868FE">
              <w:rPr>
                <w:bCs/>
                <w:lang w:eastAsia="en-US"/>
              </w:rPr>
              <w:t>тарифн</w:t>
            </w:r>
            <w:r>
              <w:rPr>
                <w:bCs/>
                <w:lang w:eastAsia="en-US"/>
              </w:rPr>
              <w:t>ої</w:t>
            </w:r>
            <w:r w:rsidRPr="001868FE">
              <w:rPr>
                <w:bCs/>
                <w:lang w:eastAsia="en-US"/>
              </w:rPr>
              <w:t xml:space="preserve"> вируч</w:t>
            </w:r>
            <w:r>
              <w:rPr>
                <w:bCs/>
                <w:lang w:eastAsia="en-US"/>
              </w:rPr>
              <w:t>ки</w:t>
            </w:r>
            <w:r w:rsidRPr="001868FE">
              <w:rPr>
                <w:bCs/>
                <w:lang w:eastAsia="en-US"/>
              </w:rPr>
              <w:t>, що виникла у зв’язку із застосуванням механізму його поетапного приведення до цільового рівня</w:t>
            </w:r>
            <w:r>
              <w:rPr>
                <w:bCs/>
                <w:lang w:eastAsia="en-US"/>
              </w:rPr>
              <w:t>.</w:t>
            </w:r>
          </w:p>
          <w:p w14:paraId="70A9579A" w14:textId="07C5BBF1" w:rsidR="00600647" w:rsidRDefault="00600647" w:rsidP="00600647">
            <w:pPr>
              <w:pStyle w:val="rvps2"/>
              <w:tabs>
                <w:tab w:val="left" w:pos="465"/>
              </w:tabs>
              <w:spacing w:before="0" w:beforeAutospacing="0" w:after="0" w:afterAutospacing="0"/>
              <w:ind w:firstLine="179"/>
              <w:jc w:val="both"/>
              <w:rPr>
                <w:bCs/>
                <w:lang w:eastAsia="en-US"/>
              </w:rPr>
            </w:pPr>
            <w:r w:rsidRPr="00342176">
              <w:rPr>
                <w:bCs/>
                <w:lang w:eastAsia="en-US"/>
              </w:rPr>
              <w:t xml:space="preserve">Крім цього, твердження про можливу загрозу банкрутства операторів газорозподільних систем є безпідставними, оскільки </w:t>
            </w:r>
            <w:r>
              <w:rPr>
                <w:bCs/>
                <w:lang w:eastAsia="en-US"/>
              </w:rPr>
              <w:t xml:space="preserve">положення Проєкту постанови, що стосуються перехідного періоду, не відміняють </w:t>
            </w:r>
            <w:r w:rsidRPr="00342176">
              <w:rPr>
                <w:bCs/>
                <w:lang w:eastAsia="en-US"/>
              </w:rPr>
              <w:t>положення</w:t>
            </w:r>
            <w:r>
              <w:rPr>
                <w:bCs/>
                <w:lang w:eastAsia="en-US"/>
              </w:rPr>
              <w:t xml:space="preserve"> пункту 16 та 17 розділу Х</w:t>
            </w:r>
            <w:r w:rsidRPr="00342176">
              <w:rPr>
                <w:bCs/>
                <w:lang w:eastAsia="en-US"/>
              </w:rPr>
              <w:t xml:space="preserve"> Методики,</w:t>
            </w:r>
            <w:r>
              <w:rPr>
                <w:bCs/>
                <w:lang w:eastAsia="en-US"/>
              </w:rPr>
              <w:t xml:space="preserve"> якими </w:t>
            </w:r>
            <w:r w:rsidRPr="00342176">
              <w:rPr>
                <w:bCs/>
                <w:lang w:eastAsia="en-US"/>
              </w:rPr>
              <w:t>передбач</w:t>
            </w:r>
            <w:r>
              <w:rPr>
                <w:bCs/>
                <w:lang w:eastAsia="en-US"/>
              </w:rPr>
              <w:t xml:space="preserve">ено можливість </w:t>
            </w:r>
            <w:r w:rsidRPr="00342176">
              <w:rPr>
                <w:bCs/>
                <w:lang w:eastAsia="en-US"/>
              </w:rPr>
              <w:t xml:space="preserve"> перегляд</w:t>
            </w:r>
            <w:r>
              <w:rPr>
                <w:bCs/>
                <w:lang w:eastAsia="en-US"/>
              </w:rPr>
              <w:t>у</w:t>
            </w:r>
            <w:r w:rsidRPr="00342176">
              <w:rPr>
                <w:bCs/>
                <w:lang w:eastAsia="en-US"/>
              </w:rPr>
              <w:t xml:space="preserve"> тарифу у разі зміни </w:t>
            </w:r>
            <w:r>
              <w:rPr>
                <w:bCs/>
                <w:lang w:eastAsia="en-US"/>
              </w:rPr>
              <w:t xml:space="preserve">низки показників, зокрема планованої </w:t>
            </w:r>
            <w:r w:rsidRPr="00073948">
              <w:rPr>
                <w:bCs/>
                <w:lang w:eastAsia="en-US"/>
              </w:rPr>
              <w:t xml:space="preserve">річної замовленої потужності </w:t>
            </w:r>
            <w:r>
              <w:rPr>
                <w:bCs/>
                <w:lang w:eastAsia="en-US"/>
              </w:rPr>
              <w:t xml:space="preserve">та </w:t>
            </w:r>
            <w:r w:rsidRPr="00073948">
              <w:rPr>
                <w:bCs/>
                <w:lang w:eastAsia="en-US"/>
              </w:rPr>
              <w:t>собівартості</w:t>
            </w:r>
            <w:r>
              <w:rPr>
                <w:bCs/>
                <w:lang w:eastAsia="en-US"/>
              </w:rPr>
              <w:t>,</w:t>
            </w:r>
            <w:r w:rsidRPr="00073948">
              <w:rPr>
                <w:bCs/>
                <w:lang w:eastAsia="en-US"/>
              </w:rPr>
              <w:t xml:space="preserve"> передбаченої структурою тарифу на послуги розподілу природного газу</w:t>
            </w:r>
            <w:r>
              <w:rPr>
                <w:bCs/>
                <w:lang w:eastAsia="en-US"/>
              </w:rPr>
              <w:t>.</w:t>
            </w:r>
          </w:p>
          <w:p w14:paraId="47C7BDC7" w14:textId="796947B1" w:rsidR="00600647" w:rsidRDefault="00E12FDC" w:rsidP="00600647">
            <w:pPr>
              <w:pStyle w:val="rvps2"/>
              <w:tabs>
                <w:tab w:val="left" w:pos="465"/>
              </w:tabs>
              <w:spacing w:before="0" w:beforeAutospacing="0" w:after="0" w:afterAutospacing="0"/>
              <w:ind w:firstLine="179"/>
              <w:jc w:val="both"/>
              <w:rPr>
                <w:bCs/>
                <w:lang w:eastAsia="en-US"/>
              </w:rPr>
            </w:pPr>
            <w:r>
              <w:rPr>
                <w:bCs/>
                <w:lang w:eastAsia="en-US"/>
              </w:rPr>
              <w:t>Також, положеннями Проєкту постанови визначено, що т</w:t>
            </w:r>
            <w:r w:rsidRPr="00E12FDC">
              <w:rPr>
                <w:bCs/>
                <w:lang w:eastAsia="en-US"/>
              </w:rPr>
              <w:t xml:space="preserve">ривалість перехідного періоду визначається </w:t>
            </w:r>
            <w:r w:rsidRPr="00E12FDC">
              <w:rPr>
                <w:bCs/>
                <w:lang w:eastAsia="en-US"/>
              </w:rPr>
              <w:lastRenderedPageBreak/>
              <w:t>рішенням НКРЕКП про встановлення тарифу</w:t>
            </w:r>
            <w:r>
              <w:rPr>
                <w:bCs/>
                <w:lang w:eastAsia="en-US"/>
              </w:rPr>
              <w:t xml:space="preserve">; загальна сума коефіцієнтів </w:t>
            </w:r>
            <m:oMath>
              <m:sSub>
                <m:sSubPr>
                  <m:ctrlPr>
                    <w:rPr>
                      <w:rFonts w:ascii="Cambria Math" w:hAnsi="Cambria Math"/>
                      <w:bCs/>
                      <w:lang w:eastAsia="en-US"/>
                    </w:rPr>
                  </m:ctrlPr>
                </m:sSubPr>
                <m:e>
                  <m:r>
                    <m:rPr>
                      <m:sty m:val="p"/>
                    </m:rPr>
                    <w:rPr>
                      <w:rFonts w:ascii="Cambria Math" w:hAnsi="Cambria Math"/>
                      <w:lang w:eastAsia="en-US"/>
                    </w:rPr>
                    <m:t>g</m:t>
                  </m:r>
                </m:e>
                <m:sub>
                  <m:r>
                    <m:rPr>
                      <m:sty m:val="p"/>
                    </m:rPr>
                    <w:rPr>
                      <w:rFonts w:ascii="Cambria Math" w:hAnsi="Cambria Math"/>
                      <w:lang w:eastAsia="en-US"/>
                    </w:rPr>
                    <m:t>n</m:t>
                  </m:r>
                </m:sub>
              </m:sSub>
            </m:oMath>
            <w:r>
              <w:rPr>
                <w:bCs/>
                <w:lang w:eastAsia="en-US"/>
              </w:rPr>
              <w:t xml:space="preserve">, </w:t>
            </w:r>
            <w:r w:rsidRPr="00E12FDC">
              <w:rPr>
                <w:bCs/>
                <w:lang w:eastAsia="en-US"/>
              </w:rPr>
              <w:t>що застосову</w:t>
            </w:r>
            <w:r>
              <w:rPr>
                <w:bCs/>
                <w:lang w:eastAsia="en-US"/>
              </w:rPr>
              <w:t>ю</w:t>
            </w:r>
            <w:r w:rsidRPr="00E12FDC">
              <w:rPr>
                <w:bCs/>
                <w:lang w:eastAsia="en-US"/>
              </w:rPr>
              <w:t>ться з метою поетапного досягнення цільового рівня тарифу на послуги розподілу природного газу</w:t>
            </w:r>
            <w:r>
              <w:rPr>
                <w:bCs/>
                <w:lang w:eastAsia="en-US"/>
              </w:rPr>
              <w:t xml:space="preserve"> має дорівнювати одиниці; </w:t>
            </w:r>
            <w:r w:rsidRPr="00E12FDC">
              <w:rPr>
                <w:bCs/>
                <w:lang w:eastAsia="en-US"/>
              </w:rPr>
              <w:t>T</w:t>
            </w:r>
            <w:r w:rsidRPr="00E12FDC">
              <w:rPr>
                <w:bCs/>
                <w:vertAlign w:val="subscript"/>
                <w:lang w:eastAsia="en-US"/>
              </w:rPr>
              <w:t xml:space="preserve">ціл </w:t>
            </w:r>
            <w:r w:rsidRPr="00E12FDC">
              <w:rPr>
                <w:bCs/>
                <w:lang w:eastAsia="en-US"/>
              </w:rPr>
              <w:t>– цільовий рівень тарифу, що дорівнює тарифу на послуги розподілу природного газу (T</w:t>
            </w:r>
            <w:r w:rsidRPr="00E12FDC">
              <w:rPr>
                <w:bCs/>
                <w:vertAlign w:val="subscript"/>
                <w:lang w:eastAsia="en-US"/>
              </w:rPr>
              <w:t>розп</w:t>
            </w:r>
            <w:r w:rsidRPr="00E12FDC">
              <w:rPr>
                <w:bCs/>
                <w:lang w:eastAsia="en-US"/>
              </w:rPr>
              <w:t>), розрахованому за формулою 1 Методики.</w:t>
            </w:r>
          </w:p>
          <w:p w14:paraId="703D9EE1" w14:textId="2B92A93B" w:rsidR="00600647" w:rsidRPr="00342176" w:rsidRDefault="00600647" w:rsidP="00600647">
            <w:pPr>
              <w:pStyle w:val="rvps2"/>
              <w:tabs>
                <w:tab w:val="left" w:pos="465"/>
              </w:tabs>
              <w:spacing w:before="0" w:beforeAutospacing="0" w:after="0" w:afterAutospacing="0"/>
              <w:ind w:firstLine="174"/>
              <w:jc w:val="both"/>
              <w:rPr>
                <w:b/>
                <w:lang w:eastAsia="en-US"/>
              </w:rPr>
            </w:pPr>
            <w:r w:rsidRPr="00342176">
              <w:t xml:space="preserve">Враховуючи вищезазначене, запровадження </w:t>
            </w:r>
            <w:r w:rsidRPr="00342176">
              <w:rPr>
                <w:bCs/>
                <w:lang w:eastAsia="en-US"/>
              </w:rPr>
              <w:t>перехідного періоду</w:t>
            </w:r>
            <w:r w:rsidRPr="00342176">
              <w:t xml:space="preserve"> не створює ризиків для фінансової стабільності Операторів ГРМ </w:t>
            </w:r>
            <w:r>
              <w:t>та</w:t>
            </w:r>
            <w:r w:rsidRPr="00342176">
              <w:t xml:space="preserve"> водночас дозволяє досягти балансу інтересів </w:t>
            </w:r>
            <w:r>
              <w:t xml:space="preserve">споживачів та </w:t>
            </w:r>
            <w:r w:rsidRPr="00342176">
              <w:t xml:space="preserve"> Оператор</w:t>
            </w:r>
            <w:r>
              <w:t>ів</w:t>
            </w:r>
            <w:r w:rsidRPr="00342176">
              <w:t xml:space="preserve"> ГРМ,</w:t>
            </w:r>
            <w:r>
              <w:t xml:space="preserve"> </w:t>
            </w:r>
            <w:r w:rsidRPr="00073948">
              <w:t xml:space="preserve">щодо отримання послуг </w:t>
            </w:r>
            <w:r>
              <w:t xml:space="preserve">розподілу природного газу, </w:t>
            </w:r>
            <w:r w:rsidRPr="00073948">
              <w:t xml:space="preserve">належної якості в достатній кількості за обґрунтованими </w:t>
            </w:r>
            <w:r>
              <w:t>тарифами.</w:t>
            </w:r>
          </w:p>
        </w:tc>
      </w:tr>
      <w:tr w:rsidR="00600647" w:rsidRPr="0047796F" w14:paraId="71CF01AA" w14:textId="77777777" w:rsidTr="00E12FDC">
        <w:trPr>
          <w:jc w:val="center"/>
        </w:trPr>
        <w:tc>
          <w:tcPr>
            <w:tcW w:w="5665" w:type="dxa"/>
          </w:tcPr>
          <w:p w14:paraId="6EBD8FED" w14:textId="77777777" w:rsidR="00600647" w:rsidRPr="00342176" w:rsidRDefault="00600647" w:rsidP="00600647">
            <w:pPr>
              <w:pStyle w:val="rvps2"/>
              <w:tabs>
                <w:tab w:val="left" w:pos="465"/>
              </w:tabs>
              <w:spacing w:before="0" w:beforeAutospacing="0" w:after="0" w:afterAutospacing="0"/>
              <w:ind w:left="22" w:firstLine="372"/>
              <w:jc w:val="both"/>
              <w:rPr>
                <w:lang w:eastAsia="en-US"/>
              </w:rPr>
            </w:pPr>
          </w:p>
        </w:tc>
        <w:tc>
          <w:tcPr>
            <w:tcW w:w="5670" w:type="dxa"/>
          </w:tcPr>
          <w:p w14:paraId="4120D469" w14:textId="3A65AFFA" w:rsidR="00600647" w:rsidRPr="00342176" w:rsidRDefault="00600647" w:rsidP="00600647">
            <w:pPr>
              <w:tabs>
                <w:tab w:val="left" w:pos="1185"/>
              </w:tabs>
              <w:spacing w:after="0" w:line="240" w:lineRule="auto"/>
              <w:ind w:firstLine="465"/>
              <w:jc w:val="both"/>
              <w:rPr>
                <w:rFonts w:ascii="Times New Roman" w:hAnsi="Times New Roman" w:cs="Times New Roman"/>
                <w:b/>
                <w:sz w:val="24"/>
                <w:szCs w:val="24"/>
                <w:lang w:val="uk-UA"/>
              </w:rPr>
            </w:pPr>
            <w:r w:rsidRPr="00342176">
              <w:rPr>
                <w:rFonts w:ascii="Times New Roman" w:hAnsi="Times New Roman" w:cs="Times New Roman"/>
                <w:b/>
                <w:sz w:val="24"/>
                <w:szCs w:val="24"/>
                <w:lang w:val="uk-UA"/>
              </w:rPr>
              <w:t xml:space="preserve">Пропозиція </w:t>
            </w:r>
            <w:r w:rsidRPr="00342176">
              <w:rPr>
                <w:rFonts w:ascii="Times New Roman" w:hAnsi="Times New Roman" w:cs="Times New Roman"/>
                <w:b/>
                <w:lang w:val="uk-UA"/>
              </w:rPr>
              <w:t>АТ «Запоріжгаз»</w:t>
            </w:r>
            <w:r w:rsidRPr="00342176">
              <w:rPr>
                <w:rFonts w:ascii="Times New Roman" w:hAnsi="Times New Roman" w:cs="Times New Roman"/>
                <w:b/>
                <w:sz w:val="24"/>
                <w:szCs w:val="24"/>
                <w:lang w:val="uk-UA"/>
              </w:rPr>
              <w:t>:</w:t>
            </w:r>
          </w:p>
          <w:p w14:paraId="3BE96225" w14:textId="24E61CE8" w:rsidR="00600647" w:rsidRPr="00342176" w:rsidRDefault="00600647" w:rsidP="00600647">
            <w:pPr>
              <w:spacing w:after="0" w:line="240" w:lineRule="auto"/>
              <w:ind w:firstLine="465"/>
              <w:jc w:val="both"/>
              <w:rPr>
                <w:rFonts w:ascii="Times New Roman" w:hAnsi="Times New Roman" w:cs="Times New Roman"/>
                <w:sz w:val="24"/>
                <w:szCs w:val="24"/>
                <w:lang w:val="uk-UA"/>
              </w:rPr>
            </w:pPr>
            <w:r w:rsidRPr="00342176">
              <w:rPr>
                <w:rFonts w:ascii="Times New Roman" w:eastAsia="Times New Roman" w:hAnsi="Times New Roman" w:cs="Times New Roman"/>
                <w:sz w:val="24"/>
                <w:szCs w:val="24"/>
                <w:lang w:val="uk-UA" w:eastAsia="uk-UA"/>
              </w:rPr>
              <w:t>Виключити розділ ХІІ Прикінцеві положення</w:t>
            </w:r>
            <w:r w:rsidRPr="00342176">
              <w:rPr>
                <w:rFonts w:ascii="Times New Roman" w:hAnsi="Times New Roman" w:cs="Times New Roman"/>
                <w:sz w:val="24"/>
                <w:szCs w:val="24"/>
                <w:lang w:val="uk-UA"/>
              </w:rPr>
              <w:t xml:space="preserve"> </w:t>
            </w:r>
          </w:p>
          <w:p w14:paraId="4A862BD1" w14:textId="1EB204B5" w:rsidR="00600647" w:rsidRDefault="00600647" w:rsidP="00600647">
            <w:pPr>
              <w:tabs>
                <w:tab w:val="left" w:pos="1185"/>
              </w:tabs>
              <w:spacing w:after="0" w:line="240" w:lineRule="auto"/>
              <w:ind w:firstLine="465"/>
              <w:jc w:val="both"/>
              <w:rPr>
                <w:rFonts w:ascii="Times New Roman" w:hAnsi="Times New Roman" w:cs="Times New Roman"/>
                <w:b/>
                <w:sz w:val="24"/>
                <w:szCs w:val="24"/>
                <w:lang w:val="uk-UA"/>
              </w:rPr>
            </w:pPr>
          </w:p>
          <w:p w14:paraId="0366F9F7" w14:textId="2AEFBF2F" w:rsidR="00600647" w:rsidRPr="00342176" w:rsidRDefault="00600647" w:rsidP="00600647">
            <w:pPr>
              <w:tabs>
                <w:tab w:val="left" w:pos="1185"/>
              </w:tabs>
              <w:spacing w:after="0" w:line="240" w:lineRule="auto"/>
              <w:ind w:firstLine="465"/>
              <w:jc w:val="both"/>
              <w:rPr>
                <w:rFonts w:ascii="Times New Roman" w:hAnsi="Times New Roman" w:cs="Times New Roman"/>
                <w:b/>
                <w:sz w:val="24"/>
                <w:szCs w:val="24"/>
                <w:lang w:val="uk-UA"/>
              </w:rPr>
            </w:pPr>
            <w:r w:rsidRPr="00342176">
              <w:rPr>
                <w:rFonts w:ascii="Times New Roman" w:hAnsi="Times New Roman" w:cs="Times New Roman"/>
                <w:b/>
                <w:sz w:val="24"/>
                <w:szCs w:val="24"/>
                <w:lang w:val="uk-UA"/>
              </w:rPr>
              <w:t>Обґрунтування:</w:t>
            </w:r>
          </w:p>
          <w:p w14:paraId="05008E67" w14:textId="77777777" w:rsidR="00600647" w:rsidRPr="00342176" w:rsidRDefault="00600647" w:rsidP="00600647">
            <w:pPr>
              <w:spacing w:after="0" w:line="240" w:lineRule="auto"/>
              <w:ind w:firstLine="465"/>
              <w:jc w:val="both"/>
              <w:rPr>
                <w:rFonts w:ascii="Times New Roman" w:eastAsia="Times New Roman" w:hAnsi="Times New Roman" w:cs="Times New Roman"/>
                <w:sz w:val="24"/>
                <w:szCs w:val="24"/>
                <w:lang w:val="uk-UA" w:eastAsia="uk-UA"/>
              </w:rPr>
            </w:pPr>
            <w:r w:rsidRPr="00342176">
              <w:rPr>
                <w:rFonts w:ascii="Times New Roman" w:eastAsia="Times New Roman" w:hAnsi="Times New Roman" w:cs="Times New Roman"/>
                <w:sz w:val="24"/>
                <w:szCs w:val="24"/>
                <w:lang w:val="uk-UA" w:eastAsia="uk-UA"/>
              </w:rPr>
              <w:t>Включення до Методики розділу ХІІ Прикінцеві положення не має під собою законодавчого підґрунтя.</w:t>
            </w:r>
          </w:p>
          <w:p w14:paraId="0163BCA5" w14:textId="77777777" w:rsidR="00600647" w:rsidRPr="00342176" w:rsidRDefault="00600647" w:rsidP="00600647">
            <w:pPr>
              <w:spacing w:after="0" w:line="240" w:lineRule="auto"/>
              <w:ind w:firstLine="465"/>
              <w:jc w:val="both"/>
              <w:rPr>
                <w:rFonts w:ascii="Times New Roman" w:eastAsia="Times New Roman" w:hAnsi="Times New Roman" w:cs="Times New Roman"/>
                <w:sz w:val="24"/>
                <w:szCs w:val="24"/>
                <w:lang w:val="uk-UA" w:eastAsia="uk-UA"/>
              </w:rPr>
            </w:pPr>
            <w:r w:rsidRPr="00342176">
              <w:rPr>
                <w:rFonts w:ascii="Times New Roman" w:eastAsia="Times New Roman" w:hAnsi="Times New Roman" w:cs="Times New Roman"/>
                <w:sz w:val="24"/>
                <w:szCs w:val="24"/>
                <w:lang w:val="uk-UA" w:eastAsia="uk-UA"/>
              </w:rPr>
              <w:t>Механізм підвищення розміру тарифу, запропонований у Прикінцевих положеннях не містить чітких границь, як то граничний термін тривалості перехідного періоду, кількість етапів перехідного періоду.</w:t>
            </w:r>
          </w:p>
          <w:p w14:paraId="6A48B465" w14:textId="77777777" w:rsidR="00600647" w:rsidRPr="00342176" w:rsidRDefault="00600647" w:rsidP="00600647">
            <w:pPr>
              <w:spacing w:after="0" w:line="240" w:lineRule="auto"/>
              <w:ind w:firstLine="465"/>
              <w:jc w:val="both"/>
              <w:rPr>
                <w:rFonts w:ascii="Times New Roman" w:eastAsia="Times New Roman" w:hAnsi="Times New Roman" w:cs="Times New Roman"/>
                <w:sz w:val="24"/>
                <w:szCs w:val="24"/>
                <w:lang w:val="uk-UA" w:eastAsia="uk-UA"/>
              </w:rPr>
            </w:pPr>
            <w:r w:rsidRPr="00342176">
              <w:rPr>
                <w:rFonts w:ascii="Times New Roman" w:eastAsia="Times New Roman" w:hAnsi="Times New Roman" w:cs="Times New Roman"/>
                <w:sz w:val="24"/>
                <w:szCs w:val="24"/>
                <w:lang w:val="uk-UA" w:eastAsia="uk-UA"/>
              </w:rPr>
              <w:lastRenderedPageBreak/>
              <w:t>Не визначений критерій суттєвості коефіцієнту  g.</w:t>
            </w:r>
          </w:p>
          <w:p w14:paraId="794758E0" w14:textId="0B3975AE" w:rsidR="00600647" w:rsidRPr="00342176" w:rsidRDefault="00600647" w:rsidP="00600647">
            <w:pPr>
              <w:tabs>
                <w:tab w:val="left" w:pos="1185"/>
              </w:tabs>
              <w:spacing w:after="0" w:line="240" w:lineRule="auto"/>
              <w:ind w:firstLine="465"/>
              <w:jc w:val="both"/>
              <w:rPr>
                <w:rFonts w:ascii="Times New Roman" w:hAnsi="Times New Roman" w:cs="Times New Roman"/>
                <w:b/>
                <w:sz w:val="24"/>
                <w:szCs w:val="24"/>
                <w:lang w:val="uk-UA"/>
              </w:rPr>
            </w:pPr>
            <w:r w:rsidRPr="00342176">
              <w:rPr>
                <w:rFonts w:ascii="Times New Roman" w:eastAsia="Times New Roman" w:hAnsi="Times New Roman" w:cs="Times New Roman"/>
                <w:sz w:val="24"/>
                <w:szCs w:val="24"/>
                <w:lang w:val="uk-UA" w:eastAsia="uk-UA"/>
              </w:rPr>
              <w:t>Запровадження перехідного періоду, протягом якого НКРЕКП затверджуватиме тарифи на послуги розподілу природного газу з урахуванням коефіцієнту g матиме негативні наслідки для Операторів ГРМ, оскільки дасть змогу НКРЕКП, як Регулятору ринку природного газу встановлювати тарифи на послуги розподілу природного газу, які не забезпечуватимуть належного рівня доходу Операторів ГРМ, а також  враховуючи норми Розділу XI. «Особливості встановлення та перегляду тарифів на послуги розподілу природного газу протягом дії воєнного стану в Україні та шести місяців після місяця, в якому воєнний стан буде припинено або скасовано» Методики наражає Операторів ГРМ на недостатній рівень находжень грошових коштів від надання послуги розподілу природного газу, оскільки наразі відсутній механізм компенсації Операторам ГРМ різниці в тарифі для побутових споживачів, і як наслідок -  накопичення заборгованості насамперед перед постачальниками природного газу.</w:t>
            </w:r>
          </w:p>
        </w:tc>
        <w:tc>
          <w:tcPr>
            <w:tcW w:w="4253" w:type="dxa"/>
          </w:tcPr>
          <w:p w14:paraId="470D5D93" w14:textId="77777777" w:rsidR="00600647" w:rsidRPr="00342176" w:rsidRDefault="00600647" w:rsidP="00600647">
            <w:pPr>
              <w:pStyle w:val="rvps2"/>
              <w:tabs>
                <w:tab w:val="left" w:pos="465"/>
              </w:tabs>
              <w:spacing w:before="0" w:beforeAutospacing="0" w:after="0" w:afterAutospacing="0"/>
              <w:ind w:firstLine="174"/>
              <w:jc w:val="both"/>
              <w:rPr>
                <w:b/>
                <w:lang w:eastAsia="en-US"/>
              </w:rPr>
            </w:pPr>
            <w:r w:rsidRPr="00342176">
              <w:rPr>
                <w:b/>
                <w:lang w:eastAsia="en-US"/>
              </w:rPr>
              <w:lastRenderedPageBreak/>
              <w:t>Попередньо відхилено</w:t>
            </w:r>
          </w:p>
          <w:p w14:paraId="66CBB6C1" w14:textId="77777777" w:rsidR="00600647" w:rsidRPr="00342176" w:rsidRDefault="00600647" w:rsidP="00600647">
            <w:pPr>
              <w:pStyle w:val="rvps2"/>
              <w:tabs>
                <w:tab w:val="left" w:pos="465"/>
              </w:tabs>
              <w:spacing w:before="0" w:beforeAutospacing="0" w:after="0" w:afterAutospacing="0"/>
              <w:ind w:firstLine="174"/>
              <w:jc w:val="both"/>
              <w:rPr>
                <w:b/>
                <w:lang w:eastAsia="en-US"/>
              </w:rPr>
            </w:pPr>
          </w:p>
          <w:p w14:paraId="302EE899" w14:textId="09403897" w:rsidR="00600647" w:rsidRDefault="00600647" w:rsidP="00600647">
            <w:pPr>
              <w:pStyle w:val="rvps2"/>
              <w:tabs>
                <w:tab w:val="left" w:pos="465"/>
              </w:tabs>
              <w:spacing w:before="0" w:beforeAutospacing="0" w:after="0" w:afterAutospacing="0"/>
              <w:ind w:firstLine="179"/>
              <w:jc w:val="both"/>
              <w:rPr>
                <w:bCs/>
                <w:lang w:eastAsia="en-US"/>
              </w:rPr>
            </w:pPr>
            <w:r w:rsidRPr="00342176">
              <w:rPr>
                <w:bCs/>
                <w:lang w:eastAsia="en-US"/>
              </w:rPr>
              <w:t xml:space="preserve">Запровадження механізму перехідного періоду не скасовує принцип самоокупності, зазначений в статті 9 Закону України «Про природні монополії», а визначає особливості його реалізації у часі шляхом поетапного </w:t>
            </w:r>
            <w:r>
              <w:rPr>
                <w:bCs/>
                <w:lang w:eastAsia="en-US"/>
              </w:rPr>
              <w:t xml:space="preserve">підвищення </w:t>
            </w:r>
            <w:r w:rsidRPr="00342176">
              <w:rPr>
                <w:bCs/>
                <w:lang w:eastAsia="en-US"/>
              </w:rPr>
              <w:t>тарифів із забезпеченням</w:t>
            </w:r>
            <w:r>
              <w:rPr>
                <w:bCs/>
                <w:lang w:eastAsia="en-US"/>
              </w:rPr>
              <w:t xml:space="preserve"> в останньому ета</w:t>
            </w:r>
            <w:r w:rsidR="00123417">
              <w:rPr>
                <w:bCs/>
                <w:lang w:eastAsia="en-US"/>
              </w:rPr>
              <w:t>п</w:t>
            </w:r>
            <w:r>
              <w:rPr>
                <w:bCs/>
                <w:lang w:eastAsia="en-US"/>
              </w:rPr>
              <w:t xml:space="preserve">і </w:t>
            </w:r>
            <w:r w:rsidRPr="00342176">
              <w:rPr>
                <w:bCs/>
                <w:lang w:eastAsia="en-US"/>
              </w:rPr>
              <w:t xml:space="preserve">компенсації </w:t>
            </w:r>
            <w:r w:rsidRPr="001868FE">
              <w:rPr>
                <w:bCs/>
                <w:lang w:eastAsia="en-US"/>
              </w:rPr>
              <w:t>недоотриман</w:t>
            </w:r>
            <w:r>
              <w:rPr>
                <w:bCs/>
                <w:lang w:eastAsia="en-US"/>
              </w:rPr>
              <w:t>ої</w:t>
            </w:r>
            <w:r w:rsidRPr="001868FE">
              <w:rPr>
                <w:bCs/>
                <w:lang w:eastAsia="en-US"/>
              </w:rPr>
              <w:t xml:space="preserve"> планован</w:t>
            </w:r>
            <w:r>
              <w:rPr>
                <w:bCs/>
                <w:lang w:eastAsia="en-US"/>
              </w:rPr>
              <w:t xml:space="preserve">ої </w:t>
            </w:r>
            <w:r w:rsidRPr="001868FE">
              <w:rPr>
                <w:bCs/>
                <w:lang w:eastAsia="en-US"/>
              </w:rPr>
              <w:t>тарифн</w:t>
            </w:r>
            <w:r>
              <w:rPr>
                <w:bCs/>
                <w:lang w:eastAsia="en-US"/>
              </w:rPr>
              <w:t>ої</w:t>
            </w:r>
            <w:r w:rsidRPr="001868FE">
              <w:rPr>
                <w:bCs/>
                <w:lang w:eastAsia="en-US"/>
              </w:rPr>
              <w:t xml:space="preserve"> вируч</w:t>
            </w:r>
            <w:r>
              <w:rPr>
                <w:bCs/>
                <w:lang w:eastAsia="en-US"/>
              </w:rPr>
              <w:t>ки</w:t>
            </w:r>
            <w:r w:rsidRPr="001868FE">
              <w:rPr>
                <w:bCs/>
                <w:lang w:eastAsia="en-US"/>
              </w:rPr>
              <w:t xml:space="preserve">, що виникла у зв’язку із застосуванням механізму </w:t>
            </w:r>
            <w:r w:rsidRPr="001868FE">
              <w:rPr>
                <w:bCs/>
                <w:lang w:eastAsia="en-US"/>
              </w:rPr>
              <w:lastRenderedPageBreak/>
              <w:t>його поетапного приведення до цільового рівня</w:t>
            </w:r>
            <w:r>
              <w:rPr>
                <w:bCs/>
                <w:lang w:eastAsia="en-US"/>
              </w:rPr>
              <w:t>.</w:t>
            </w:r>
          </w:p>
          <w:p w14:paraId="41298B3A" w14:textId="550A50AC" w:rsidR="00600647" w:rsidRPr="00342176" w:rsidRDefault="00600647" w:rsidP="00600647">
            <w:pPr>
              <w:pStyle w:val="rvps2"/>
              <w:tabs>
                <w:tab w:val="left" w:pos="465"/>
              </w:tabs>
              <w:spacing w:before="0" w:beforeAutospacing="0" w:after="0" w:afterAutospacing="0"/>
              <w:ind w:firstLine="174"/>
              <w:jc w:val="both"/>
              <w:rPr>
                <w:b/>
                <w:lang w:eastAsia="en-US"/>
              </w:rPr>
            </w:pPr>
            <w:r w:rsidRPr="00342176">
              <w:t xml:space="preserve">Враховуючи вищезазначене, запровадження </w:t>
            </w:r>
            <w:r w:rsidRPr="00342176">
              <w:rPr>
                <w:bCs/>
                <w:lang w:eastAsia="en-US"/>
              </w:rPr>
              <w:t>перехідного періоду</w:t>
            </w:r>
            <w:r w:rsidRPr="00342176">
              <w:t xml:space="preserve"> не створює ризиків для фінансової стабільності Операторів ГРМ </w:t>
            </w:r>
            <w:r>
              <w:t>та</w:t>
            </w:r>
            <w:r w:rsidRPr="00342176">
              <w:t xml:space="preserve"> водночас дозволяє досягти балансу інтересів </w:t>
            </w:r>
            <w:r>
              <w:t xml:space="preserve">споживачів та </w:t>
            </w:r>
            <w:r w:rsidRPr="00342176">
              <w:t xml:space="preserve"> Оператор</w:t>
            </w:r>
            <w:r>
              <w:t>ів</w:t>
            </w:r>
            <w:r w:rsidRPr="00342176">
              <w:t xml:space="preserve"> ГРМ,</w:t>
            </w:r>
            <w:r>
              <w:t xml:space="preserve"> </w:t>
            </w:r>
            <w:r w:rsidRPr="00073948">
              <w:t xml:space="preserve">щодо отримання послуг </w:t>
            </w:r>
            <w:r>
              <w:t xml:space="preserve">розподілу природного газу, </w:t>
            </w:r>
            <w:r w:rsidRPr="00073948">
              <w:t xml:space="preserve">належної якості в достатній кількості за обґрунтованими </w:t>
            </w:r>
            <w:r>
              <w:t>тарифами.</w:t>
            </w:r>
          </w:p>
        </w:tc>
      </w:tr>
    </w:tbl>
    <w:p w14:paraId="250798E0" w14:textId="77777777" w:rsidR="007E47BB" w:rsidRPr="00342176" w:rsidRDefault="007E47BB" w:rsidP="00E12FDC">
      <w:pPr>
        <w:pStyle w:val="a4"/>
        <w:spacing w:before="0" w:beforeAutospacing="0" w:after="0" w:afterAutospacing="0"/>
        <w:rPr>
          <w:b/>
        </w:rPr>
      </w:pPr>
    </w:p>
    <w:sectPr w:rsidR="007E47BB" w:rsidRPr="00342176" w:rsidSect="00D90268">
      <w:footerReference w:type="default" r:id="rId9"/>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C5963" w14:textId="77777777" w:rsidR="00051F60" w:rsidRDefault="00051F60" w:rsidP="00257C3A">
      <w:pPr>
        <w:spacing w:after="0" w:line="240" w:lineRule="auto"/>
      </w:pPr>
      <w:r>
        <w:separator/>
      </w:r>
    </w:p>
  </w:endnote>
  <w:endnote w:type="continuationSeparator" w:id="0">
    <w:p w14:paraId="7D4F83FD" w14:textId="77777777" w:rsidR="00051F60" w:rsidRDefault="00051F60" w:rsidP="00257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440968"/>
      <w:docPartObj>
        <w:docPartGallery w:val="Page Numbers (Bottom of Page)"/>
        <w:docPartUnique/>
      </w:docPartObj>
    </w:sdtPr>
    <w:sdtEndPr>
      <w:rPr>
        <w:rFonts w:ascii="Times New Roman" w:hAnsi="Times New Roman" w:cs="Times New Roman"/>
        <w:sz w:val="24"/>
        <w:szCs w:val="24"/>
      </w:rPr>
    </w:sdtEndPr>
    <w:sdtContent>
      <w:p w14:paraId="451651F1" w14:textId="64FF633C" w:rsidR="00051F60" w:rsidRPr="00D90268" w:rsidRDefault="00051F60">
        <w:pPr>
          <w:pStyle w:val="af2"/>
          <w:jc w:val="center"/>
          <w:rPr>
            <w:rFonts w:ascii="Times New Roman" w:hAnsi="Times New Roman" w:cs="Times New Roman"/>
            <w:sz w:val="24"/>
            <w:szCs w:val="24"/>
          </w:rPr>
        </w:pPr>
        <w:r w:rsidRPr="00D90268">
          <w:rPr>
            <w:rFonts w:ascii="Times New Roman" w:hAnsi="Times New Roman" w:cs="Times New Roman"/>
            <w:sz w:val="24"/>
            <w:szCs w:val="24"/>
          </w:rPr>
          <w:fldChar w:fldCharType="begin"/>
        </w:r>
        <w:r w:rsidRPr="00D90268">
          <w:rPr>
            <w:rFonts w:ascii="Times New Roman" w:hAnsi="Times New Roman" w:cs="Times New Roman"/>
            <w:sz w:val="24"/>
            <w:szCs w:val="24"/>
          </w:rPr>
          <w:instrText>PAGE   \* MERGEFORMAT</w:instrText>
        </w:r>
        <w:r w:rsidRPr="00D90268">
          <w:rPr>
            <w:rFonts w:ascii="Times New Roman" w:hAnsi="Times New Roman" w:cs="Times New Roman"/>
            <w:sz w:val="24"/>
            <w:szCs w:val="24"/>
          </w:rPr>
          <w:fldChar w:fldCharType="separate"/>
        </w:r>
        <w:r w:rsidRPr="00D90268">
          <w:rPr>
            <w:rFonts w:ascii="Times New Roman" w:hAnsi="Times New Roman" w:cs="Times New Roman"/>
            <w:sz w:val="24"/>
            <w:szCs w:val="24"/>
            <w:lang w:val="uk-UA"/>
          </w:rPr>
          <w:t>2</w:t>
        </w:r>
        <w:r w:rsidRPr="00D90268">
          <w:rPr>
            <w:rFonts w:ascii="Times New Roman" w:hAnsi="Times New Roman" w:cs="Times New Roman"/>
            <w:sz w:val="24"/>
            <w:szCs w:val="24"/>
          </w:rPr>
          <w:fldChar w:fldCharType="end"/>
        </w:r>
      </w:p>
    </w:sdtContent>
  </w:sdt>
  <w:p w14:paraId="77986521" w14:textId="77777777" w:rsidR="00051F60" w:rsidRPr="00D90268" w:rsidRDefault="00051F60">
    <w:pPr>
      <w:pStyle w:val="af2"/>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9107C" w14:textId="77777777" w:rsidR="00051F60" w:rsidRDefault="00051F60" w:rsidP="00257C3A">
      <w:pPr>
        <w:spacing w:after="0" w:line="240" w:lineRule="auto"/>
      </w:pPr>
      <w:r>
        <w:separator/>
      </w:r>
    </w:p>
  </w:footnote>
  <w:footnote w:type="continuationSeparator" w:id="0">
    <w:p w14:paraId="3B5C54E5" w14:textId="77777777" w:rsidR="00051F60" w:rsidRDefault="00051F60" w:rsidP="00257C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8421542"/>
    <w:multiLevelType w:val="hybridMultilevel"/>
    <w:tmpl w:val="2B62C964"/>
    <w:lvl w:ilvl="0" w:tplc="4DA2BBAC">
      <w:start w:val="1"/>
      <w:numFmt w:val="decimal"/>
      <w:suff w:val="space"/>
      <w:lvlText w:val="%1)"/>
      <w:lvlJc w:val="left"/>
      <w:pPr>
        <w:ind w:left="107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3AB6CEE"/>
    <w:multiLevelType w:val="hybridMultilevel"/>
    <w:tmpl w:val="9E1AE4F2"/>
    <w:lvl w:ilvl="0" w:tplc="AF585F7A">
      <w:start w:val="1"/>
      <w:numFmt w:val="decimal"/>
      <w:lvlText w:val="%1."/>
      <w:lvlJc w:val="left"/>
      <w:pPr>
        <w:ind w:left="720" w:hanging="360"/>
      </w:pPr>
      <w:rPr>
        <w:rFonts w:hint="default"/>
        <w:b/>
        <w:bCs/>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93D1035"/>
    <w:multiLevelType w:val="hybridMultilevel"/>
    <w:tmpl w:val="002CD214"/>
    <w:lvl w:ilvl="0" w:tplc="6802A55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060D0"/>
    <w:rsid w:val="00007FC0"/>
    <w:rsid w:val="000262DF"/>
    <w:rsid w:val="000331E0"/>
    <w:rsid w:val="0004028A"/>
    <w:rsid w:val="00044D90"/>
    <w:rsid w:val="000454CB"/>
    <w:rsid w:val="00051F60"/>
    <w:rsid w:val="00060EB0"/>
    <w:rsid w:val="00061A64"/>
    <w:rsid w:val="000630DC"/>
    <w:rsid w:val="00064BDE"/>
    <w:rsid w:val="000655D7"/>
    <w:rsid w:val="00072BBB"/>
    <w:rsid w:val="00073948"/>
    <w:rsid w:val="00080C55"/>
    <w:rsid w:val="000A5B7B"/>
    <w:rsid w:val="000A67A6"/>
    <w:rsid w:val="000B018A"/>
    <w:rsid w:val="000B3D02"/>
    <w:rsid w:val="000B4AF5"/>
    <w:rsid w:val="000C39BD"/>
    <w:rsid w:val="000C43F0"/>
    <w:rsid w:val="000C6C8F"/>
    <w:rsid w:val="000C7279"/>
    <w:rsid w:val="000C775F"/>
    <w:rsid w:val="000C7C20"/>
    <w:rsid w:val="000E2860"/>
    <w:rsid w:val="000E2D6E"/>
    <w:rsid w:val="000F1B73"/>
    <w:rsid w:val="001029DC"/>
    <w:rsid w:val="00104F6D"/>
    <w:rsid w:val="001120F8"/>
    <w:rsid w:val="00113A7B"/>
    <w:rsid w:val="00117221"/>
    <w:rsid w:val="00117684"/>
    <w:rsid w:val="00123417"/>
    <w:rsid w:val="00127113"/>
    <w:rsid w:val="00141C7C"/>
    <w:rsid w:val="00142A0B"/>
    <w:rsid w:val="001431FB"/>
    <w:rsid w:val="0014406E"/>
    <w:rsid w:val="00144CDF"/>
    <w:rsid w:val="00145CE8"/>
    <w:rsid w:val="00146C72"/>
    <w:rsid w:val="00152EF0"/>
    <w:rsid w:val="001562B4"/>
    <w:rsid w:val="00157AAD"/>
    <w:rsid w:val="00160F10"/>
    <w:rsid w:val="001623D4"/>
    <w:rsid w:val="00166FB2"/>
    <w:rsid w:val="0018272C"/>
    <w:rsid w:val="00182730"/>
    <w:rsid w:val="001868FE"/>
    <w:rsid w:val="00186964"/>
    <w:rsid w:val="00197166"/>
    <w:rsid w:val="001A0AA5"/>
    <w:rsid w:val="001A1573"/>
    <w:rsid w:val="001A3309"/>
    <w:rsid w:val="001A3FBA"/>
    <w:rsid w:val="001A66A8"/>
    <w:rsid w:val="001A71B7"/>
    <w:rsid w:val="001B0C28"/>
    <w:rsid w:val="001B13A2"/>
    <w:rsid w:val="001B2E0C"/>
    <w:rsid w:val="001B4EB7"/>
    <w:rsid w:val="001B5FCE"/>
    <w:rsid w:val="001C01CD"/>
    <w:rsid w:val="001C0F95"/>
    <w:rsid w:val="001C1E30"/>
    <w:rsid w:val="001C4A93"/>
    <w:rsid w:val="001C5A16"/>
    <w:rsid w:val="001D4068"/>
    <w:rsid w:val="001D71AF"/>
    <w:rsid w:val="001D7431"/>
    <w:rsid w:val="001E40B0"/>
    <w:rsid w:val="001E77F1"/>
    <w:rsid w:val="001E77F5"/>
    <w:rsid w:val="001E7BDD"/>
    <w:rsid w:val="001F5181"/>
    <w:rsid w:val="00201D8E"/>
    <w:rsid w:val="00202695"/>
    <w:rsid w:val="002038A8"/>
    <w:rsid w:val="002038B3"/>
    <w:rsid w:val="002143C6"/>
    <w:rsid w:val="0021644C"/>
    <w:rsid w:val="00222D48"/>
    <w:rsid w:val="00226A25"/>
    <w:rsid w:val="002278EC"/>
    <w:rsid w:val="00231BE0"/>
    <w:rsid w:val="002548EB"/>
    <w:rsid w:val="0025581B"/>
    <w:rsid w:val="00257C3A"/>
    <w:rsid w:val="002601DF"/>
    <w:rsid w:val="00260417"/>
    <w:rsid w:val="0026302D"/>
    <w:rsid w:val="002708FC"/>
    <w:rsid w:val="00272C94"/>
    <w:rsid w:val="00274430"/>
    <w:rsid w:val="00296464"/>
    <w:rsid w:val="002A0ED1"/>
    <w:rsid w:val="002C381F"/>
    <w:rsid w:val="003063C8"/>
    <w:rsid w:val="003066F6"/>
    <w:rsid w:val="00315AFB"/>
    <w:rsid w:val="00317B33"/>
    <w:rsid w:val="00320794"/>
    <w:rsid w:val="0032437F"/>
    <w:rsid w:val="003305B9"/>
    <w:rsid w:val="00332DBD"/>
    <w:rsid w:val="00342176"/>
    <w:rsid w:val="00342C3F"/>
    <w:rsid w:val="00342DA3"/>
    <w:rsid w:val="00345F6F"/>
    <w:rsid w:val="00350F52"/>
    <w:rsid w:val="00351BD6"/>
    <w:rsid w:val="00353D8C"/>
    <w:rsid w:val="00362659"/>
    <w:rsid w:val="003629B2"/>
    <w:rsid w:val="003663C2"/>
    <w:rsid w:val="00371B16"/>
    <w:rsid w:val="00371C14"/>
    <w:rsid w:val="003737EF"/>
    <w:rsid w:val="00373FC7"/>
    <w:rsid w:val="003752F4"/>
    <w:rsid w:val="00375C7C"/>
    <w:rsid w:val="0038199A"/>
    <w:rsid w:val="00382CFB"/>
    <w:rsid w:val="00384A40"/>
    <w:rsid w:val="0039131A"/>
    <w:rsid w:val="003A2114"/>
    <w:rsid w:val="003A6B21"/>
    <w:rsid w:val="003B065A"/>
    <w:rsid w:val="003B3A12"/>
    <w:rsid w:val="003B430B"/>
    <w:rsid w:val="003D3487"/>
    <w:rsid w:val="003D3AAA"/>
    <w:rsid w:val="003E06CA"/>
    <w:rsid w:val="003E56EE"/>
    <w:rsid w:val="003E77AA"/>
    <w:rsid w:val="003F1ADF"/>
    <w:rsid w:val="00400ADB"/>
    <w:rsid w:val="0041343E"/>
    <w:rsid w:val="004224A0"/>
    <w:rsid w:val="00422DD1"/>
    <w:rsid w:val="004234B5"/>
    <w:rsid w:val="00424EFF"/>
    <w:rsid w:val="00426B0F"/>
    <w:rsid w:val="00432BD2"/>
    <w:rsid w:val="004377DB"/>
    <w:rsid w:val="00437EBF"/>
    <w:rsid w:val="004469A8"/>
    <w:rsid w:val="00450866"/>
    <w:rsid w:val="00452931"/>
    <w:rsid w:val="004562A4"/>
    <w:rsid w:val="004602ED"/>
    <w:rsid w:val="00463923"/>
    <w:rsid w:val="00464BE8"/>
    <w:rsid w:val="00465894"/>
    <w:rsid w:val="00474A35"/>
    <w:rsid w:val="00474A41"/>
    <w:rsid w:val="0047796F"/>
    <w:rsid w:val="00480621"/>
    <w:rsid w:val="00484616"/>
    <w:rsid w:val="004860AD"/>
    <w:rsid w:val="00491ED6"/>
    <w:rsid w:val="00494269"/>
    <w:rsid w:val="00496332"/>
    <w:rsid w:val="004A1443"/>
    <w:rsid w:val="004A31E8"/>
    <w:rsid w:val="004B57E5"/>
    <w:rsid w:val="004B6C89"/>
    <w:rsid w:val="004B6EAB"/>
    <w:rsid w:val="004B7A30"/>
    <w:rsid w:val="004C2300"/>
    <w:rsid w:val="004C2BE7"/>
    <w:rsid w:val="004C7326"/>
    <w:rsid w:val="004D5DAB"/>
    <w:rsid w:val="004D61F3"/>
    <w:rsid w:val="004E24AA"/>
    <w:rsid w:val="004E2E92"/>
    <w:rsid w:val="004E7CFE"/>
    <w:rsid w:val="004F01BE"/>
    <w:rsid w:val="004F2D47"/>
    <w:rsid w:val="004F4582"/>
    <w:rsid w:val="005017BF"/>
    <w:rsid w:val="00503933"/>
    <w:rsid w:val="00505F25"/>
    <w:rsid w:val="00510F09"/>
    <w:rsid w:val="00511FA3"/>
    <w:rsid w:val="005256BC"/>
    <w:rsid w:val="00526BAA"/>
    <w:rsid w:val="00526DD0"/>
    <w:rsid w:val="00533C3C"/>
    <w:rsid w:val="00536444"/>
    <w:rsid w:val="005368FC"/>
    <w:rsid w:val="00554FE8"/>
    <w:rsid w:val="00560EDA"/>
    <w:rsid w:val="00563AC9"/>
    <w:rsid w:val="00570A67"/>
    <w:rsid w:val="005771E4"/>
    <w:rsid w:val="0059121D"/>
    <w:rsid w:val="00594776"/>
    <w:rsid w:val="005A002C"/>
    <w:rsid w:val="005A5715"/>
    <w:rsid w:val="005A7964"/>
    <w:rsid w:val="005B1C9C"/>
    <w:rsid w:val="005B3FC2"/>
    <w:rsid w:val="005C5DBF"/>
    <w:rsid w:val="005D3D26"/>
    <w:rsid w:val="005E160C"/>
    <w:rsid w:val="005E1C3B"/>
    <w:rsid w:val="005E73E8"/>
    <w:rsid w:val="005F0650"/>
    <w:rsid w:val="005F4D8F"/>
    <w:rsid w:val="005F5810"/>
    <w:rsid w:val="005F65D0"/>
    <w:rsid w:val="00600647"/>
    <w:rsid w:val="00601328"/>
    <w:rsid w:val="00601BC7"/>
    <w:rsid w:val="006047F6"/>
    <w:rsid w:val="0061732C"/>
    <w:rsid w:val="006216A1"/>
    <w:rsid w:val="006231A9"/>
    <w:rsid w:val="006300E0"/>
    <w:rsid w:val="006349C4"/>
    <w:rsid w:val="00634A90"/>
    <w:rsid w:val="00635F89"/>
    <w:rsid w:val="0064268E"/>
    <w:rsid w:val="006449DD"/>
    <w:rsid w:val="00645A75"/>
    <w:rsid w:val="00647DC2"/>
    <w:rsid w:val="006531CB"/>
    <w:rsid w:val="00654B5D"/>
    <w:rsid w:val="00663837"/>
    <w:rsid w:val="006963DE"/>
    <w:rsid w:val="006B08FC"/>
    <w:rsid w:val="006B28C8"/>
    <w:rsid w:val="006C7533"/>
    <w:rsid w:val="006D427C"/>
    <w:rsid w:val="006D4E1C"/>
    <w:rsid w:val="006D5963"/>
    <w:rsid w:val="006E3F4E"/>
    <w:rsid w:val="006E6144"/>
    <w:rsid w:val="007001DF"/>
    <w:rsid w:val="00704045"/>
    <w:rsid w:val="0070485E"/>
    <w:rsid w:val="00711783"/>
    <w:rsid w:val="00711D6F"/>
    <w:rsid w:val="007128D3"/>
    <w:rsid w:val="0071728F"/>
    <w:rsid w:val="0071779A"/>
    <w:rsid w:val="007209D6"/>
    <w:rsid w:val="007533AF"/>
    <w:rsid w:val="00755693"/>
    <w:rsid w:val="007560AD"/>
    <w:rsid w:val="007621B2"/>
    <w:rsid w:val="0076285C"/>
    <w:rsid w:val="00762AC4"/>
    <w:rsid w:val="00762E0C"/>
    <w:rsid w:val="007739DD"/>
    <w:rsid w:val="007739F0"/>
    <w:rsid w:val="00776520"/>
    <w:rsid w:val="00782C0B"/>
    <w:rsid w:val="00791976"/>
    <w:rsid w:val="00792DE5"/>
    <w:rsid w:val="007979C7"/>
    <w:rsid w:val="007A5BFB"/>
    <w:rsid w:val="007D425B"/>
    <w:rsid w:val="007D4BA3"/>
    <w:rsid w:val="007D6F81"/>
    <w:rsid w:val="007D7032"/>
    <w:rsid w:val="007E0022"/>
    <w:rsid w:val="007E1F45"/>
    <w:rsid w:val="007E47BB"/>
    <w:rsid w:val="007F0BB3"/>
    <w:rsid w:val="007F28D5"/>
    <w:rsid w:val="007F42F5"/>
    <w:rsid w:val="007F52CF"/>
    <w:rsid w:val="00807083"/>
    <w:rsid w:val="00814E5B"/>
    <w:rsid w:val="00820228"/>
    <w:rsid w:val="00821167"/>
    <w:rsid w:val="0082299C"/>
    <w:rsid w:val="008238F9"/>
    <w:rsid w:val="00827785"/>
    <w:rsid w:val="00832E07"/>
    <w:rsid w:val="00842BE6"/>
    <w:rsid w:val="008612F1"/>
    <w:rsid w:val="008743A0"/>
    <w:rsid w:val="00880BF0"/>
    <w:rsid w:val="008810B7"/>
    <w:rsid w:val="00883697"/>
    <w:rsid w:val="00884D28"/>
    <w:rsid w:val="008901B9"/>
    <w:rsid w:val="00896BAF"/>
    <w:rsid w:val="008A1605"/>
    <w:rsid w:val="008A519A"/>
    <w:rsid w:val="008A52CD"/>
    <w:rsid w:val="008B6C3F"/>
    <w:rsid w:val="008C0BDF"/>
    <w:rsid w:val="008C1724"/>
    <w:rsid w:val="008C7760"/>
    <w:rsid w:val="008C796F"/>
    <w:rsid w:val="008D554C"/>
    <w:rsid w:val="008E02C3"/>
    <w:rsid w:val="008E39B6"/>
    <w:rsid w:val="008F0689"/>
    <w:rsid w:val="00902B72"/>
    <w:rsid w:val="00906D98"/>
    <w:rsid w:val="00907967"/>
    <w:rsid w:val="0091476E"/>
    <w:rsid w:val="00915A7B"/>
    <w:rsid w:val="00916DD6"/>
    <w:rsid w:val="00925A62"/>
    <w:rsid w:val="00925C1B"/>
    <w:rsid w:val="00926320"/>
    <w:rsid w:val="009327B8"/>
    <w:rsid w:val="00934C4C"/>
    <w:rsid w:val="00937CF8"/>
    <w:rsid w:val="00937EE0"/>
    <w:rsid w:val="009412D9"/>
    <w:rsid w:val="009417FE"/>
    <w:rsid w:val="0094484C"/>
    <w:rsid w:val="00951941"/>
    <w:rsid w:val="00953132"/>
    <w:rsid w:val="00954AA3"/>
    <w:rsid w:val="00955621"/>
    <w:rsid w:val="0095778C"/>
    <w:rsid w:val="00962E2A"/>
    <w:rsid w:val="00963171"/>
    <w:rsid w:val="00965DA7"/>
    <w:rsid w:val="00975DBA"/>
    <w:rsid w:val="009817C0"/>
    <w:rsid w:val="009820AE"/>
    <w:rsid w:val="0099247E"/>
    <w:rsid w:val="009A0ABB"/>
    <w:rsid w:val="009A1C70"/>
    <w:rsid w:val="009A7E58"/>
    <w:rsid w:val="009B65FA"/>
    <w:rsid w:val="009B6F94"/>
    <w:rsid w:val="009C0BB9"/>
    <w:rsid w:val="009C29DA"/>
    <w:rsid w:val="009C6367"/>
    <w:rsid w:val="009D4C99"/>
    <w:rsid w:val="009D4D33"/>
    <w:rsid w:val="009D5DB9"/>
    <w:rsid w:val="009D7239"/>
    <w:rsid w:val="009E453F"/>
    <w:rsid w:val="009E6DE5"/>
    <w:rsid w:val="009E7CCA"/>
    <w:rsid w:val="00A07BE4"/>
    <w:rsid w:val="00A122DA"/>
    <w:rsid w:val="00A16AA2"/>
    <w:rsid w:val="00A24BB6"/>
    <w:rsid w:val="00A2644A"/>
    <w:rsid w:val="00A274C1"/>
    <w:rsid w:val="00A32325"/>
    <w:rsid w:val="00A40DD6"/>
    <w:rsid w:val="00A43A4F"/>
    <w:rsid w:val="00A46531"/>
    <w:rsid w:val="00A4717B"/>
    <w:rsid w:val="00A51BD9"/>
    <w:rsid w:val="00A54F30"/>
    <w:rsid w:val="00A56B3C"/>
    <w:rsid w:val="00A61421"/>
    <w:rsid w:val="00A6422D"/>
    <w:rsid w:val="00A65A94"/>
    <w:rsid w:val="00A72F7B"/>
    <w:rsid w:val="00A73FF2"/>
    <w:rsid w:val="00A84534"/>
    <w:rsid w:val="00A845AE"/>
    <w:rsid w:val="00A85180"/>
    <w:rsid w:val="00A916F5"/>
    <w:rsid w:val="00A94676"/>
    <w:rsid w:val="00A9669C"/>
    <w:rsid w:val="00A97247"/>
    <w:rsid w:val="00A9728D"/>
    <w:rsid w:val="00AA31C1"/>
    <w:rsid w:val="00AA3D08"/>
    <w:rsid w:val="00AA429F"/>
    <w:rsid w:val="00AA5EEE"/>
    <w:rsid w:val="00AA75F8"/>
    <w:rsid w:val="00AB64AB"/>
    <w:rsid w:val="00AB6C11"/>
    <w:rsid w:val="00AC0516"/>
    <w:rsid w:val="00AD0A6A"/>
    <w:rsid w:val="00AD1DF9"/>
    <w:rsid w:val="00AD3980"/>
    <w:rsid w:val="00AE33EF"/>
    <w:rsid w:val="00AE74EC"/>
    <w:rsid w:val="00AF02ED"/>
    <w:rsid w:val="00AF3621"/>
    <w:rsid w:val="00AF3A15"/>
    <w:rsid w:val="00AF492B"/>
    <w:rsid w:val="00B01535"/>
    <w:rsid w:val="00B062A9"/>
    <w:rsid w:val="00B06BBE"/>
    <w:rsid w:val="00B06E6A"/>
    <w:rsid w:val="00B2384B"/>
    <w:rsid w:val="00B30A68"/>
    <w:rsid w:val="00B35D38"/>
    <w:rsid w:val="00B502BF"/>
    <w:rsid w:val="00B53A7D"/>
    <w:rsid w:val="00B61842"/>
    <w:rsid w:val="00B66834"/>
    <w:rsid w:val="00B72921"/>
    <w:rsid w:val="00B77F4D"/>
    <w:rsid w:val="00B82A37"/>
    <w:rsid w:val="00B8307F"/>
    <w:rsid w:val="00B87809"/>
    <w:rsid w:val="00BA13AA"/>
    <w:rsid w:val="00BA4B2A"/>
    <w:rsid w:val="00BB1155"/>
    <w:rsid w:val="00BB2465"/>
    <w:rsid w:val="00BC5BC3"/>
    <w:rsid w:val="00BD02C8"/>
    <w:rsid w:val="00BD1660"/>
    <w:rsid w:val="00BF1961"/>
    <w:rsid w:val="00BF1D24"/>
    <w:rsid w:val="00C033AB"/>
    <w:rsid w:val="00C03B53"/>
    <w:rsid w:val="00C044F2"/>
    <w:rsid w:val="00C113AE"/>
    <w:rsid w:val="00C118F8"/>
    <w:rsid w:val="00C12C7A"/>
    <w:rsid w:val="00C2215F"/>
    <w:rsid w:val="00C22528"/>
    <w:rsid w:val="00C22D6C"/>
    <w:rsid w:val="00C34806"/>
    <w:rsid w:val="00C41EFE"/>
    <w:rsid w:val="00C5038B"/>
    <w:rsid w:val="00C52BFC"/>
    <w:rsid w:val="00C5472C"/>
    <w:rsid w:val="00C6382E"/>
    <w:rsid w:val="00C64DB6"/>
    <w:rsid w:val="00C6767A"/>
    <w:rsid w:val="00C7147A"/>
    <w:rsid w:val="00C72706"/>
    <w:rsid w:val="00C76CE3"/>
    <w:rsid w:val="00C80C45"/>
    <w:rsid w:val="00C81459"/>
    <w:rsid w:val="00C8526B"/>
    <w:rsid w:val="00C85762"/>
    <w:rsid w:val="00C85D4F"/>
    <w:rsid w:val="00CA0EBA"/>
    <w:rsid w:val="00CA13D7"/>
    <w:rsid w:val="00CA1436"/>
    <w:rsid w:val="00CB3BF2"/>
    <w:rsid w:val="00CB6B14"/>
    <w:rsid w:val="00CC01A7"/>
    <w:rsid w:val="00CC0EC7"/>
    <w:rsid w:val="00CC26D5"/>
    <w:rsid w:val="00CE0D56"/>
    <w:rsid w:val="00CE6063"/>
    <w:rsid w:val="00CF75E4"/>
    <w:rsid w:val="00D10A79"/>
    <w:rsid w:val="00D13FAB"/>
    <w:rsid w:val="00D1605D"/>
    <w:rsid w:val="00D17E96"/>
    <w:rsid w:val="00D22B2E"/>
    <w:rsid w:val="00D23FEE"/>
    <w:rsid w:val="00D2523A"/>
    <w:rsid w:val="00D347A8"/>
    <w:rsid w:val="00D37118"/>
    <w:rsid w:val="00D37765"/>
    <w:rsid w:val="00D403B3"/>
    <w:rsid w:val="00D40F05"/>
    <w:rsid w:val="00D42CC9"/>
    <w:rsid w:val="00D5243E"/>
    <w:rsid w:val="00D5442A"/>
    <w:rsid w:val="00D54AAE"/>
    <w:rsid w:val="00D54D45"/>
    <w:rsid w:val="00D624BF"/>
    <w:rsid w:val="00D66017"/>
    <w:rsid w:val="00D669BD"/>
    <w:rsid w:val="00D66AA6"/>
    <w:rsid w:val="00D7094A"/>
    <w:rsid w:val="00D74096"/>
    <w:rsid w:val="00D8000E"/>
    <w:rsid w:val="00D85997"/>
    <w:rsid w:val="00D86465"/>
    <w:rsid w:val="00D90268"/>
    <w:rsid w:val="00D9036A"/>
    <w:rsid w:val="00D96FE9"/>
    <w:rsid w:val="00DB2CFE"/>
    <w:rsid w:val="00DB37FF"/>
    <w:rsid w:val="00DB5C20"/>
    <w:rsid w:val="00DB7FB5"/>
    <w:rsid w:val="00DC7E59"/>
    <w:rsid w:val="00DD3FC9"/>
    <w:rsid w:val="00DD548E"/>
    <w:rsid w:val="00DD6D65"/>
    <w:rsid w:val="00DE448F"/>
    <w:rsid w:val="00DE680C"/>
    <w:rsid w:val="00DF33BF"/>
    <w:rsid w:val="00DF4E6A"/>
    <w:rsid w:val="00E12FDC"/>
    <w:rsid w:val="00E15A66"/>
    <w:rsid w:val="00E21438"/>
    <w:rsid w:val="00E31036"/>
    <w:rsid w:val="00E31206"/>
    <w:rsid w:val="00E373B4"/>
    <w:rsid w:val="00E40D79"/>
    <w:rsid w:val="00E44B0F"/>
    <w:rsid w:val="00E52FF2"/>
    <w:rsid w:val="00E55DAB"/>
    <w:rsid w:val="00E622E7"/>
    <w:rsid w:val="00E636D5"/>
    <w:rsid w:val="00E651DD"/>
    <w:rsid w:val="00E65545"/>
    <w:rsid w:val="00E70CD5"/>
    <w:rsid w:val="00E83421"/>
    <w:rsid w:val="00E8651C"/>
    <w:rsid w:val="00E91EC0"/>
    <w:rsid w:val="00E92847"/>
    <w:rsid w:val="00EA0BCB"/>
    <w:rsid w:val="00EB2E8C"/>
    <w:rsid w:val="00EB4EF5"/>
    <w:rsid w:val="00EB5527"/>
    <w:rsid w:val="00EB60BA"/>
    <w:rsid w:val="00EB679A"/>
    <w:rsid w:val="00EB75F1"/>
    <w:rsid w:val="00EC3C41"/>
    <w:rsid w:val="00ED60B7"/>
    <w:rsid w:val="00EE2A04"/>
    <w:rsid w:val="00EF1BF5"/>
    <w:rsid w:val="00EF481D"/>
    <w:rsid w:val="00EF4DD7"/>
    <w:rsid w:val="00EF501F"/>
    <w:rsid w:val="00EF5966"/>
    <w:rsid w:val="00EF5CFA"/>
    <w:rsid w:val="00EF6CC2"/>
    <w:rsid w:val="00F01085"/>
    <w:rsid w:val="00F07759"/>
    <w:rsid w:val="00F11A42"/>
    <w:rsid w:val="00F20B8F"/>
    <w:rsid w:val="00F23428"/>
    <w:rsid w:val="00F30D95"/>
    <w:rsid w:val="00F31B3B"/>
    <w:rsid w:val="00F361D2"/>
    <w:rsid w:val="00F54531"/>
    <w:rsid w:val="00F55A09"/>
    <w:rsid w:val="00F571DE"/>
    <w:rsid w:val="00F6135C"/>
    <w:rsid w:val="00F64526"/>
    <w:rsid w:val="00F679A7"/>
    <w:rsid w:val="00F8165B"/>
    <w:rsid w:val="00F96342"/>
    <w:rsid w:val="00FA4820"/>
    <w:rsid w:val="00FA49E5"/>
    <w:rsid w:val="00FB07E6"/>
    <w:rsid w:val="00FB10B0"/>
    <w:rsid w:val="00FB420E"/>
    <w:rsid w:val="00FB4BBC"/>
    <w:rsid w:val="00FB721F"/>
    <w:rsid w:val="00FC01C4"/>
    <w:rsid w:val="00FC47C4"/>
    <w:rsid w:val="00FD54C2"/>
    <w:rsid w:val="00FD74AC"/>
    <w:rsid w:val="00FE267D"/>
    <w:rsid w:val="00FE27B5"/>
    <w:rsid w:val="00FE51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31C05"/>
  <w15:docId w15:val="{309E82B5-AC91-4760-8D9F-4DDE6EE7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paragraph" w:styleId="5">
    <w:name w:val="heading 5"/>
    <w:basedOn w:val="a"/>
    <w:next w:val="a"/>
    <w:link w:val="50"/>
    <w:uiPriority w:val="9"/>
    <w:semiHidden/>
    <w:unhideWhenUsed/>
    <w:qFormat/>
    <w:rsid w:val="00C64DB6"/>
    <w:pPr>
      <w:keepNext/>
      <w:keepLines/>
      <w:spacing w:before="80" w:after="40" w:line="259" w:lineRule="auto"/>
      <w:outlineLvl w:val="4"/>
    </w:pPr>
    <w:rPr>
      <w:rFonts w:eastAsiaTheme="majorEastAsia" w:cstheme="majorBidi"/>
      <w:color w:val="2F5496" w:themeColor="accent1" w:themeShade="BF"/>
      <w:kern w:val="2"/>
      <w:lang w:val="uk-U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customStyle="1" w:styleId="rvps2">
    <w:name w:val="rvps2"/>
    <w:basedOn w:val="a"/>
    <w:rsid w:val="00560ED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60EDA"/>
  </w:style>
  <w:style w:type="character" w:styleId="a6">
    <w:name w:val="Hyperlink"/>
    <w:basedOn w:val="a0"/>
    <w:uiPriority w:val="99"/>
    <w:unhideWhenUsed/>
    <w:rsid w:val="00560EDA"/>
    <w:rPr>
      <w:color w:val="0000FF"/>
      <w:u w:val="single"/>
    </w:rPr>
  </w:style>
  <w:style w:type="character" w:styleId="a7">
    <w:name w:val="annotation reference"/>
    <w:basedOn w:val="a0"/>
    <w:uiPriority w:val="99"/>
    <w:semiHidden/>
    <w:unhideWhenUsed/>
    <w:rsid w:val="00437EBF"/>
    <w:rPr>
      <w:sz w:val="16"/>
      <w:szCs w:val="16"/>
    </w:rPr>
  </w:style>
  <w:style w:type="paragraph" w:styleId="a8">
    <w:name w:val="annotation text"/>
    <w:basedOn w:val="a"/>
    <w:link w:val="a9"/>
    <w:uiPriority w:val="99"/>
    <w:unhideWhenUsed/>
    <w:rsid w:val="00437EBF"/>
    <w:pPr>
      <w:spacing w:line="240" w:lineRule="auto"/>
    </w:pPr>
    <w:rPr>
      <w:sz w:val="20"/>
      <w:szCs w:val="20"/>
    </w:rPr>
  </w:style>
  <w:style w:type="character" w:customStyle="1" w:styleId="a9">
    <w:name w:val="Текст примітки Знак"/>
    <w:basedOn w:val="a0"/>
    <w:link w:val="a8"/>
    <w:uiPriority w:val="99"/>
    <w:rsid w:val="00437EBF"/>
    <w:rPr>
      <w:sz w:val="20"/>
      <w:szCs w:val="20"/>
      <w:lang w:val="ru-RU"/>
    </w:rPr>
  </w:style>
  <w:style w:type="paragraph" w:styleId="aa">
    <w:name w:val="annotation subject"/>
    <w:basedOn w:val="a8"/>
    <w:next w:val="a8"/>
    <w:link w:val="ab"/>
    <w:uiPriority w:val="99"/>
    <w:semiHidden/>
    <w:unhideWhenUsed/>
    <w:rsid w:val="00437EBF"/>
    <w:rPr>
      <w:b/>
      <w:bCs/>
    </w:rPr>
  </w:style>
  <w:style w:type="character" w:customStyle="1" w:styleId="ab">
    <w:name w:val="Тема примітки Знак"/>
    <w:basedOn w:val="a9"/>
    <w:link w:val="aa"/>
    <w:uiPriority w:val="99"/>
    <w:semiHidden/>
    <w:rsid w:val="00437EBF"/>
    <w:rPr>
      <w:b/>
      <w:bCs/>
      <w:sz w:val="20"/>
      <w:szCs w:val="20"/>
      <w:lang w:val="ru-RU"/>
    </w:rPr>
  </w:style>
  <w:style w:type="paragraph" w:styleId="ac">
    <w:name w:val="Balloon Text"/>
    <w:basedOn w:val="a"/>
    <w:link w:val="ad"/>
    <w:uiPriority w:val="99"/>
    <w:semiHidden/>
    <w:unhideWhenUsed/>
    <w:rsid w:val="00437EBF"/>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437EBF"/>
    <w:rPr>
      <w:rFonts w:ascii="Segoe UI" w:hAnsi="Segoe UI" w:cs="Segoe UI"/>
      <w:sz w:val="18"/>
      <w:szCs w:val="18"/>
      <w:lang w:val="ru-RU"/>
    </w:rPr>
  </w:style>
  <w:style w:type="character" w:styleId="ae">
    <w:name w:val="Placeholder Text"/>
    <w:basedOn w:val="a0"/>
    <w:uiPriority w:val="99"/>
    <w:semiHidden/>
    <w:rsid w:val="004469A8"/>
    <w:rPr>
      <w:color w:val="666666"/>
    </w:rPr>
  </w:style>
  <w:style w:type="paragraph" w:styleId="af">
    <w:name w:val="Revision"/>
    <w:hidden/>
    <w:uiPriority w:val="99"/>
    <w:semiHidden/>
    <w:rsid w:val="00D85997"/>
    <w:pPr>
      <w:spacing w:after="0" w:line="240" w:lineRule="auto"/>
    </w:pPr>
    <w:rPr>
      <w:lang w:val="ru-RU"/>
    </w:rPr>
  </w:style>
  <w:style w:type="paragraph" w:styleId="af0">
    <w:name w:val="header"/>
    <w:basedOn w:val="a"/>
    <w:link w:val="af1"/>
    <w:uiPriority w:val="99"/>
    <w:unhideWhenUsed/>
    <w:rsid w:val="00257C3A"/>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257C3A"/>
    <w:rPr>
      <w:lang w:val="ru-RU"/>
    </w:rPr>
  </w:style>
  <w:style w:type="paragraph" w:styleId="af2">
    <w:name w:val="footer"/>
    <w:basedOn w:val="a"/>
    <w:link w:val="af3"/>
    <w:uiPriority w:val="99"/>
    <w:unhideWhenUsed/>
    <w:rsid w:val="00257C3A"/>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257C3A"/>
    <w:rPr>
      <w:lang w:val="ru-RU"/>
    </w:rPr>
  </w:style>
  <w:style w:type="character" w:customStyle="1" w:styleId="50">
    <w:name w:val="Заголовок 5 Знак"/>
    <w:basedOn w:val="a0"/>
    <w:link w:val="5"/>
    <w:uiPriority w:val="9"/>
    <w:semiHidden/>
    <w:rsid w:val="00C64DB6"/>
    <w:rPr>
      <w:rFonts w:eastAsiaTheme="majorEastAsia" w:cstheme="majorBidi"/>
      <w:color w:val="2F5496" w:themeColor="accent1" w:themeShade="BF"/>
      <w:kern w:val="2"/>
      <w14:ligatures w14:val="standardContextual"/>
    </w:rPr>
  </w:style>
  <w:style w:type="character" w:styleId="af4">
    <w:name w:val="Unresolved Mention"/>
    <w:basedOn w:val="a0"/>
    <w:uiPriority w:val="99"/>
    <w:semiHidden/>
    <w:unhideWhenUsed/>
    <w:rsid w:val="00563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8056">
      <w:bodyDiv w:val="1"/>
      <w:marLeft w:val="0"/>
      <w:marRight w:val="0"/>
      <w:marTop w:val="0"/>
      <w:marBottom w:val="0"/>
      <w:divBdr>
        <w:top w:val="none" w:sz="0" w:space="0" w:color="auto"/>
        <w:left w:val="none" w:sz="0" w:space="0" w:color="auto"/>
        <w:bottom w:val="none" w:sz="0" w:space="0" w:color="auto"/>
        <w:right w:val="none" w:sz="0" w:space="0" w:color="auto"/>
      </w:divBdr>
    </w:div>
    <w:div w:id="50814552">
      <w:bodyDiv w:val="1"/>
      <w:marLeft w:val="0"/>
      <w:marRight w:val="0"/>
      <w:marTop w:val="0"/>
      <w:marBottom w:val="0"/>
      <w:divBdr>
        <w:top w:val="none" w:sz="0" w:space="0" w:color="auto"/>
        <w:left w:val="none" w:sz="0" w:space="0" w:color="auto"/>
        <w:bottom w:val="none" w:sz="0" w:space="0" w:color="auto"/>
        <w:right w:val="none" w:sz="0" w:space="0" w:color="auto"/>
      </w:divBdr>
      <w:divsChild>
        <w:div w:id="1926299656">
          <w:marLeft w:val="0"/>
          <w:marRight w:val="0"/>
          <w:marTop w:val="0"/>
          <w:marBottom w:val="150"/>
          <w:divBdr>
            <w:top w:val="none" w:sz="0" w:space="0" w:color="auto"/>
            <w:left w:val="none" w:sz="0" w:space="0" w:color="auto"/>
            <w:bottom w:val="none" w:sz="0" w:space="0" w:color="auto"/>
            <w:right w:val="none" w:sz="0" w:space="0" w:color="auto"/>
          </w:divBdr>
        </w:div>
        <w:div w:id="1013844305">
          <w:marLeft w:val="0"/>
          <w:marRight w:val="0"/>
          <w:marTop w:val="0"/>
          <w:marBottom w:val="150"/>
          <w:divBdr>
            <w:top w:val="none" w:sz="0" w:space="0" w:color="auto"/>
            <w:left w:val="none" w:sz="0" w:space="0" w:color="auto"/>
            <w:bottom w:val="none" w:sz="0" w:space="0" w:color="auto"/>
            <w:right w:val="none" w:sz="0" w:space="0" w:color="auto"/>
          </w:divBdr>
        </w:div>
        <w:div w:id="343213025">
          <w:marLeft w:val="0"/>
          <w:marRight w:val="0"/>
          <w:marTop w:val="0"/>
          <w:marBottom w:val="150"/>
          <w:divBdr>
            <w:top w:val="none" w:sz="0" w:space="0" w:color="auto"/>
            <w:left w:val="none" w:sz="0" w:space="0" w:color="auto"/>
            <w:bottom w:val="none" w:sz="0" w:space="0" w:color="auto"/>
            <w:right w:val="none" w:sz="0" w:space="0" w:color="auto"/>
          </w:divBdr>
        </w:div>
        <w:div w:id="1657807058">
          <w:marLeft w:val="0"/>
          <w:marRight w:val="0"/>
          <w:marTop w:val="0"/>
          <w:marBottom w:val="150"/>
          <w:divBdr>
            <w:top w:val="none" w:sz="0" w:space="0" w:color="auto"/>
            <w:left w:val="none" w:sz="0" w:space="0" w:color="auto"/>
            <w:bottom w:val="none" w:sz="0" w:space="0" w:color="auto"/>
            <w:right w:val="none" w:sz="0" w:space="0" w:color="auto"/>
          </w:divBdr>
        </w:div>
        <w:div w:id="390664333">
          <w:marLeft w:val="0"/>
          <w:marRight w:val="0"/>
          <w:marTop w:val="0"/>
          <w:marBottom w:val="150"/>
          <w:divBdr>
            <w:top w:val="none" w:sz="0" w:space="0" w:color="auto"/>
            <w:left w:val="none" w:sz="0" w:space="0" w:color="auto"/>
            <w:bottom w:val="none" w:sz="0" w:space="0" w:color="auto"/>
            <w:right w:val="none" w:sz="0" w:space="0" w:color="auto"/>
          </w:divBdr>
        </w:div>
      </w:divsChild>
    </w:div>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60521762">
      <w:bodyDiv w:val="1"/>
      <w:marLeft w:val="0"/>
      <w:marRight w:val="0"/>
      <w:marTop w:val="0"/>
      <w:marBottom w:val="0"/>
      <w:divBdr>
        <w:top w:val="none" w:sz="0" w:space="0" w:color="auto"/>
        <w:left w:val="none" w:sz="0" w:space="0" w:color="auto"/>
        <w:bottom w:val="none" w:sz="0" w:space="0" w:color="auto"/>
        <w:right w:val="none" w:sz="0" w:space="0" w:color="auto"/>
      </w:divBdr>
      <w:divsChild>
        <w:div w:id="199510874">
          <w:marLeft w:val="0"/>
          <w:marRight w:val="0"/>
          <w:marTop w:val="0"/>
          <w:marBottom w:val="150"/>
          <w:divBdr>
            <w:top w:val="none" w:sz="0" w:space="0" w:color="auto"/>
            <w:left w:val="none" w:sz="0" w:space="0" w:color="auto"/>
            <w:bottom w:val="none" w:sz="0" w:space="0" w:color="auto"/>
            <w:right w:val="none" w:sz="0" w:space="0" w:color="auto"/>
          </w:divBdr>
        </w:div>
        <w:div w:id="521628425">
          <w:marLeft w:val="0"/>
          <w:marRight w:val="0"/>
          <w:marTop w:val="0"/>
          <w:marBottom w:val="150"/>
          <w:divBdr>
            <w:top w:val="none" w:sz="0" w:space="0" w:color="auto"/>
            <w:left w:val="none" w:sz="0" w:space="0" w:color="auto"/>
            <w:bottom w:val="none" w:sz="0" w:space="0" w:color="auto"/>
            <w:right w:val="none" w:sz="0" w:space="0" w:color="auto"/>
          </w:divBdr>
        </w:div>
        <w:div w:id="212696127">
          <w:marLeft w:val="0"/>
          <w:marRight w:val="0"/>
          <w:marTop w:val="0"/>
          <w:marBottom w:val="150"/>
          <w:divBdr>
            <w:top w:val="none" w:sz="0" w:space="0" w:color="auto"/>
            <w:left w:val="none" w:sz="0" w:space="0" w:color="auto"/>
            <w:bottom w:val="none" w:sz="0" w:space="0" w:color="auto"/>
            <w:right w:val="none" w:sz="0" w:space="0" w:color="auto"/>
          </w:divBdr>
        </w:div>
        <w:div w:id="172375775">
          <w:marLeft w:val="0"/>
          <w:marRight w:val="0"/>
          <w:marTop w:val="0"/>
          <w:marBottom w:val="150"/>
          <w:divBdr>
            <w:top w:val="none" w:sz="0" w:space="0" w:color="auto"/>
            <w:left w:val="none" w:sz="0" w:space="0" w:color="auto"/>
            <w:bottom w:val="none" w:sz="0" w:space="0" w:color="auto"/>
            <w:right w:val="none" w:sz="0" w:space="0" w:color="auto"/>
          </w:divBdr>
        </w:div>
        <w:div w:id="1809127912">
          <w:marLeft w:val="0"/>
          <w:marRight w:val="0"/>
          <w:marTop w:val="0"/>
          <w:marBottom w:val="150"/>
          <w:divBdr>
            <w:top w:val="none" w:sz="0" w:space="0" w:color="auto"/>
            <w:left w:val="none" w:sz="0" w:space="0" w:color="auto"/>
            <w:bottom w:val="none" w:sz="0" w:space="0" w:color="auto"/>
            <w:right w:val="none" w:sz="0" w:space="0" w:color="auto"/>
          </w:divBdr>
        </w:div>
      </w:divsChild>
    </w:div>
    <w:div w:id="83113809">
      <w:bodyDiv w:val="1"/>
      <w:marLeft w:val="0"/>
      <w:marRight w:val="0"/>
      <w:marTop w:val="0"/>
      <w:marBottom w:val="0"/>
      <w:divBdr>
        <w:top w:val="none" w:sz="0" w:space="0" w:color="auto"/>
        <w:left w:val="none" w:sz="0" w:space="0" w:color="auto"/>
        <w:bottom w:val="none" w:sz="0" w:space="0" w:color="auto"/>
        <w:right w:val="none" w:sz="0" w:space="0" w:color="auto"/>
      </w:divBdr>
      <w:divsChild>
        <w:div w:id="1028026218">
          <w:marLeft w:val="0"/>
          <w:marRight w:val="0"/>
          <w:marTop w:val="0"/>
          <w:marBottom w:val="0"/>
          <w:divBdr>
            <w:top w:val="none" w:sz="0" w:space="0" w:color="auto"/>
            <w:left w:val="none" w:sz="0" w:space="0" w:color="auto"/>
            <w:bottom w:val="none" w:sz="0" w:space="0" w:color="auto"/>
            <w:right w:val="none" w:sz="0" w:space="0" w:color="auto"/>
          </w:divBdr>
        </w:div>
        <w:div w:id="988094323">
          <w:marLeft w:val="0"/>
          <w:marRight w:val="0"/>
          <w:marTop w:val="0"/>
          <w:marBottom w:val="0"/>
          <w:divBdr>
            <w:top w:val="none" w:sz="0" w:space="0" w:color="auto"/>
            <w:left w:val="none" w:sz="0" w:space="0" w:color="auto"/>
            <w:bottom w:val="none" w:sz="0" w:space="0" w:color="auto"/>
            <w:right w:val="none" w:sz="0" w:space="0" w:color="auto"/>
          </w:divBdr>
          <w:divsChild>
            <w:div w:id="160698587">
              <w:marLeft w:val="0"/>
              <w:marRight w:val="0"/>
              <w:marTop w:val="0"/>
              <w:marBottom w:val="0"/>
              <w:divBdr>
                <w:top w:val="none" w:sz="0" w:space="0" w:color="auto"/>
                <w:left w:val="none" w:sz="0" w:space="0" w:color="auto"/>
                <w:bottom w:val="none" w:sz="0" w:space="0" w:color="auto"/>
                <w:right w:val="none" w:sz="0" w:space="0" w:color="auto"/>
              </w:divBdr>
              <w:divsChild>
                <w:div w:id="168644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89368">
      <w:bodyDiv w:val="1"/>
      <w:marLeft w:val="0"/>
      <w:marRight w:val="0"/>
      <w:marTop w:val="0"/>
      <w:marBottom w:val="0"/>
      <w:divBdr>
        <w:top w:val="none" w:sz="0" w:space="0" w:color="auto"/>
        <w:left w:val="none" w:sz="0" w:space="0" w:color="auto"/>
        <w:bottom w:val="none" w:sz="0" w:space="0" w:color="auto"/>
        <w:right w:val="none" w:sz="0" w:space="0" w:color="auto"/>
      </w:divBdr>
    </w:div>
    <w:div w:id="290523993">
      <w:bodyDiv w:val="1"/>
      <w:marLeft w:val="0"/>
      <w:marRight w:val="0"/>
      <w:marTop w:val="0"/>
      <w:marBottom w:val="0"/>
      <w:divBdr>
        <w:top w:val="none" w:sz="0" w:space="0" w:color="auto"/>
        <w:left w:val="none" w:sz="0" w:space="0" w:color="auto"/>
        <w:bottom w:val="none" w:sz="0" w:space="0" w:color="auto"/>
        <w:right w:val="none" w:sz="0" w:space="0" w:color="auto"/>
      </w:divBdr>
    </w:div>
    <w:div w:id="355278871">
      <w:bodyDiv w:val="1"/>
      <w:marLeft w:val="0"/>
      <w:marRight w:val="0"/>
      <w:marTop w:val="0"/>
      <w:marBottom w:val="0"/>
      <w:divBdr>
        <w:top w:val="none" w:sz="0" w:space="0" w:color="auto"/>
        <w:left w:val="none" w:sz="0" w:space="0" w:color="auto"/>
        <w:bottom w:val="none" w:sz="0" w:space="0" w:color="auto"/>
        <w:right w:val="none" w:sz="0" w:space="0" w:color="auto"/>
      </w:divBdr>
    </w:div>
    <w:div w:id="471558147">
      <w:bodyDiv w:val="1"/>
      <w:marLeft w:val="0"/>
      <w:marRight w:val="0"/>
      <w:marTop w:val="0"/>
      <w:marBottom w:val="0"/>
      <w:divBdr>
        <w:top w:val="none" w:sz="0" w:space="0" w:color="auto"/>
        <w:left w:val="none" w:sz="0" w:space="0" w:color="auto"/>
        <w:bottom w:val="none" w:sz="0" w:space="0" w:color="auto"/>
        <w:right w:val="none" w:sz="0" w:space="0" w:color="auto"/>
      </w:divBdr>
    </w:div>
    <w:div w:id="488905788">
      <w:bodyDiv w:val="1"/>
      <w:marLeft w:val="0"/>
      <w:marRight w:val="0"/>
      <w:marTop w:val="0"/>
      <w:marBottom w:val="0"/>
      <w:divBdr>
        <w:top w:val="none" w:sz="0" w:space="0" w:color="auto"/>
        <w:left w:val="none" w:sz="0" w:space="0" w:color="auto"/>
        <w:bottom w:val="none" w:sz="0" w:space="0" w:color="auto"/>
        <w:right w:val="none" w:sz="0" w:space="0" w:color="auto"/>
      </w:divBdr>
    </w:div>
    <w:div w:id="593438320">
      <w:bodyDiv w:val="1"/>
      <w:marLeft w:val="0"/>
      <w:marRight w:val="0"/>
      <w:marTop w:val="0"/>
      <w:marBottom w:val="0"/>
      <w:divBdr>
        <w:top w:val="none" w:sz="0" w:space="0" w:color="auto"/>
        <w:left w:val="none" w:sz="0" w:space="0" w:color="auto"/>
        <w:bottom w:val="none" w:sz="0" w:space="0" w:color="auto"/>
        <w:right w:val="none" w:sz="0" w:space="0" w:color="auto"/>
      </w:divBdr>
    </w:div>
    <w:div w:id="789668701">
      <w:bodyDiv w:val="1"/>
      <w:marLeft w:val="0"/>
      <w:marRight w:val="0"/>
      <w:marTop w:val="0"/>
      <w:marBottom w:val="0"/>
      <w:divBdr>
        <w:top w:val="none" w:sz="0" w:space="0" w:color="auto"/>
        <w:left w:val="none" w:sz="0" w:space="0" w:color="auto"/>
        <w:bottom w:val="none" w:sz="0" w:space="0" w:color="auto"/>
        <w:right w:val="none" w:sz="0" w:space="0" w:color="auto"/>
      </w:divBdr>
    </w:div>
    <w:div w:id="912814370">
      <w:bodyDiv w:val="1"/>
      <w:marLeft w:val="0"/>
      <w:marRight w:val="0"/>
      <w:marTop w:val="0"/>
      <w:marBottom w:val="0"/>
      <w:divBdr>
        <w:top w:val="none" w:sz="0" w:space="0" w:color="auto"/>
        <w:left w:val="none" w:sz="0" w:space="0" w:color="auto"/>
        <w:bottom w:val="none" w:sz="0" w:space="0" w:color="auto"/>
        <w:right w:val="none" w:sz="0" w:space="0" w:color="auto"/>
      </w:divBdr>
    </w:div>
    <w:div w:id="926964980">
      <w:bodyDiv w:val="1"/>
      <w:marLeft w:val="0"/>
      <w:marRight w:val="0"/>
      <w:marTop w:val="0"/>
      <w:marBottom w:val="0"/>
      <w:divBdr>
        <w:top w:val="none" w:sz="0" w:space="0" w:color="auto"/>
        <w:left w:val="none" w:sz="0" w:space="0" w:color="auto"/>
        <w:bottom w:val="none" w:sz="0" w:space="0" w:color="auto"/>
        <w:right w:val="none" w:sz="0" w:space="0" w:color="auto"/>
      </w:divBdr>
    </w:div>
    <w:div w:id="996110603">
      <w:bodyDiv w:val="1"/>
      <w:marLeft w:val="0"/>
      <w:marRight w:val="0"/>
      <w:marTop w:val="0"/>
      <w:marBottom w:val="0"/>
      <w:divBdr>
        <w:top w:val="none" w:sz="0" w:space="0" w:color="auto"/>
        <w:left w:val="none" w:sz="0" w:space="0" w:color="auto"/>
        <w:bottom w:val="none" w:sz="0" w:space="0" w:color="auto"/>
        <w:right w:val="none" w:sz="0" w:space="0" w:color="auto"/>
      </w:divBdr>
    </w:div>
    <w:div w:id="1024089090">
      <w:bodyDiv w:val="1"/>
      <w:marLeft w:val="0"/>
      <w:marRight w:val="0"/>
      <w:marTop w:val="0"/>
      <w:marBottom w:val="0"/>
      <w:divBdr>
        <w:top w:val="none" w:sz="0" w:space="0" w:color="auto"/>
        <w:left w:val="none" w:sz="0" w:space="0" w:color="auto"/>
        <w:bottom w:val="none" w:sz="0" w:space="0" w:color="auto"/>
        <w:right w:val="none" w:sz="0" w:space="0" w:color="auto"/>
      </w:divBdr>
    </w:div>
    <w:div w:id="1123570580">
      <w:bodyDiv w:val="1"/>
      <w:marLeft w:val="0"/>
      <w:marRight w:val="0"/>
      <w:marTop w:val="0"/>
      <w:marBottom w:val="0"/>
      <w:divBdr>
        <w:top w:val="none" w:sz="0" w:space="0" w:color="auto"/>
        <w:left w:val="none" w:sz="0" w:space="0" w:color="auto"/>
        <w:bottom w:val="none" w:sz="0" w:space="0" w:color="auto"/>
        <w:right w:val="none" w:sz="0" w:space="0" w:color="auto"/>
      </w:divBdr>
      <w:divsChild>
        <w:div w:id="1452867980">
          <w:marLeft w:val="0"/>
          <w:marRight w:val="0"/>
          <w:marTop w:val="0"/>
          <w:marBottom w:val="0"/>
          <w:divBdr>
            <w:top w:val="none" w:sz="0" w:space="0" w:color="auto"/>
            <w:left w:val="none" w:sz="0" w:space="0" w:color="auto"/>
            <w:bottom w:val="none" w:sz="0" w:space="0" w:color="auto"/>
            <w:right w:val="none" w:sz="0" w:space="0" w:color="auto"/>
          </w:divBdr>
        </w:div>
        <w:div w:id="1539465768">
          <w:marLeft w:val="0"/>
          <w:marRight w:val="0"/>
          <w:marTop w:val="0"/>
          <w:marBottom w:val="0"/>
          <w:divBdr>
            <w:top w:val="none" w:sz="0" w:space="0" w:color="auto"/>
            <w:left w:val="none" w:sz="0" w:space="0" w:color="auto"/>
            <w:bottom w:val="none" w:sz="0" w:space="0" w:color="auto"/>
            <w:right w:val="none" w:sz="0" w:space="0" w:color="auto"/>
          </w:divBdr>
          <w:divsChild>
            <w:div w:id="1080447755">
              <w:marLeft w:val="0"/>
              <w:marRight w:val="0"/>
              <w:marTop w:val="0"/>
              <w:marBottom w:val="0"/>
              <w:divBdr>
                <w:top w:val="none" w:sz="0" w:space="0" w:color="auto"/>
                <w:left w:val="none" w:sz="0" w:space="0" w:color="auto"/>
                <w:bottom w:val="none" w:sz="0" w:space="0" w:color="auto"/>
                <w:right w:val="none" w:sz="0" w:space="0" w:color="auto"/>
              </w:divBdr>
              <w:divsChild>
                <w:div w:id="134913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047062">
      <w:bodyDiv w:val="1"/>
      <w:marLeft w:val="0"/>
      <w:marRight w:val="0"/>
      <w:marTop w:val="0"/>
      <w:marBottom w:val="0"/>
      <w:divBdr>
        <w:top w:val="none" w:sz="0" w:space="0" w:color="auto"/>
        <w:left w:val="none" w:sz="0" w:space="0" w:color="auto"/>
        <w:bottom w:val="none" w:sz="0" w:space="0" w:color="auto"/>
        <w:right w:val="none" w:sz="0" w:space="0" w:color="auto"/>
      </w:divBdr>
    </w:div>
    <w:div w:id="1393120095">
      <w:bodyDiv w:val="1"/>
      <w:marLeft w:val="0"/>
      <w:marRight w:val="0"/>
      <w:marTop w:val="0"/>
      <w:marBottom w:val="0"/>
      <w:divBdr>
        <w:top w:val="none" w:sz="0" w:space="0" w:color="auto"/>
        <w:left w:val="none" w:sz="0" w:space="0" w:color="auto"/>
        <w:bottom w:val="none" w:sz="0" w:space="0" w:color="auto"/>
        <w:right w:val="none" w:sz="0" w:space="0" w:color="auto"/>
      </w:divBdr>
    </w:div>
    <w:div w:id="1427532650">
      <w:bodyDiv w:val="1"/>
      <w:marLeft w:val="0"/>
      <w:marRight w:val="0"/>
      <w:marTop w:val="0"/>
      <w:marBottom w:val="0"/>
      <w:divBdr>
        <w:top w:val="none" w:sz="0" w:space="0" w:color="auto"/>
        <w:left w:val="none" w:sz="0" w:space="0" w:color="auto"/>
        <w:bottom w:val="none" w:sz="0" w:space="0" w:color="auto"/>
        <w:right w:val="none" w:sz="0" w:space="0" w:color="auto"/>
      </w:divBdr>
    </w:div>
    <w:div w:id="1570312863">
      <w:bodyDiv w:val="1"/>
      <w:marLeft w:val="0"/>
      <w:marRight w:val="0"/>
      <w:marTop w:val="0"/>
      <w:marBottom w:val="0"/>
      <w:divBdr>
        <w:top w:val="none" w:sz="0" w:space="0" w:color="auto"/>
        <w:left w:val="none" w:sz="0" w:space="0" w:color="auto"/>
        <w:bottom w:val="none" w:sz="0" w:space="0" w:color="auto"/>
        <w:right w:val="none" w:sz="0" w:space="0" w:color="auto"/>
      </w:divBdr>
      <w:divsChild>
        <w:div w:id="616447892">
          <w:marLeft w:val="0"/>
          <w:marRight w:val="0"/>
          <w:marTop w:val="0"/>
          <w:marBottom w:val="150"/>
          <w:divBdr>
            <w:top w:val="none" w:sz="0" w:space="0" w:color="auto"/>
            <w:left w:val="none" w:sz="0" w:space="0" w:color="auto"/>
            <w:bottom w:val="none" w:sz="0" w:space="0" w:color="auto"/>
            <w:right w:val="none" w:sz="0" w:space="0" w:color="auto"/>
          </w:divBdr>
        </w:div>
        <w:div w:id="2014530552">
          <w:marLeft w:val="0"/>
          <w:marRight w:val="0"/>
          <w:marTop w:val="0"/>
          <w:marBottom w:val="150"/>
          <w:divBdr>
            <w:top w:val="none" w:sz="0" w:space="0" w:color="auto"/>
            <w:left w:val="none" w:sz="0" w:space="0" w:color="auto"/>
            <w:bottom w:val="none" w:sz="0" w:space="0" w:color="auto"/>
            <w:right w:val="none" w:sz="0" w:space="0" w:color="auto"/>
          </w:divBdr>
        </w:div>
        <w:div w:id="660239589">
          <w:marLeft w:val="0"/>
          <w:marRight w:val="0"/>
          <w:marTop w:val="0"/>
          <w:marBottom w:val="150"/>
          <w:divBdr>
            <w:top w:val="none" w:sz="0" w:space="0" w:color="auto"/>
            <w:left w:val="none" w:sz="0" w:space="0" w:color="auto"/>
            <w:bottom w:val="none" w:sz="0" w:space="0" w:color="auto"/>
            <w:right w:val="none" w:sz="0" w:space="0" w:color="auto"/>
          </w:divBdr>
        </w:div>
        <w:div w:id="1617326190">
          <w:marLeft w:val="0"/>
          <w:marRight w:val="0"/>
          <w:marTop w:val="0"/>
          <w:marBottom w:val="150"/>
          <w:divBdr>
            <w:top w:val="none" w:sz="0" w:space="0" w:color="auto"/>
            <w:left w:val="none" w:sz="0" w:space="0" w:color="auto"/>
            <w:bottom w:val="none" w:sz="0" w:space="0" w:color="auto"/>
            <w:right w:val="none" w:sz="0" w:space="0" w:color="auto"/>
          </w:divBdr>
        </w:div>
        <w:div w:id="320543532">
          <w:marLeft w:val="0"/>
          <w:marRight w:val="0"/>
          <w:marTop w:val="0"/>
          <w:marBottom w:val="150"/>
          <w:divBdr>
            <w:top w:val="none" w:sz="0" w:space="0" w:color="auto"/>
            <w:left w:val="none" w:sz="0" w:space="0" w:color="auto"/>
            <w:bottom w:val="none" w:sz="0" w:space="0" w:color="auto"/>
            <w:right w:val="none" w:sz="0" w:space="0" w:color="auto"/>
          </w:divBdr>
        </w:div>
      </w:divsChild>
    </w:div>
    <w:div w:id="1604845752">
      <w:bodyDiv w:val="1"/>
      <w:marLeft w:val="0"/>
      <w:marRight w:val="0"/>
      <w:marTop w:val="0"/>
      <w:marBottom w:val="0"/>
      <w:divBdr>
        <w:top w:val="none" w:sz="0" w:space="0" w:color="auto"/>
        <w:left w:val="none" w:sz="0" w:space="0" w:color="auto"/>
        <w:bottom w:val="none" w:sz="0" w:space="0" w:color="auto"/>
        <w:right w:val="none" w:sz="0" w:space="0" w:color="auto"/>
      </w:divBdr>
    </w:div>
    <w:div w:id="1608151946">
      <w:bodyDiv w:val="1"/>
      <w:marLeft w:val="0"/>
      <w:marRight w:val="0"/>
      <w:marTop w:val="0"/>
      <w:marBottom w:val="0"/>
      <w:divBdr>
        <w:top w:val="none" w:sz="0" w:space="0" w:color="auto"/>
        <w:left w:val="none" w:sz="0" w:space="0" w:color="auto"/>
        <w:bottom w:val="none" w:sz="0" w:space="0" w:color="auto"/>
        <w:right w:val="none" w:sz="0" w:space="0" w:color="auto"/>
      </w:divBdr>
    </w:div>
    <w:div w:id="1645351490">
      <w:bodyDiv w:val="1"/>
      <w:marLeft w:val="0"/>
      <w:marRight w:val="0"/>
      <w:marTop w:val="0"/>
      <w:marBottom w:val="0"/>
      <w:divBdr>
        <w:top w:val="none" w:sz="0" w:space="0" w:color="auto"/>
        <w:left w:val="none" w:sz="0" w:space="0" w:color="auto"/>
        <w:bottom w:val="none" w:sz="0" w:space="0" w:color="auto"/>
        <w:right w:val="none" w:sz="0" w:space="0" w:color="auto"/>
      </w:divBdr>
      <w:divsChild>
        <w:div w:id="659651066">
          <w:marLeft w:val="0"/>
          <w:marRight w:val="0"/>
          <w:marTop w:val="0"/>
          <w:marBottom w:val="150"/>
          <w:divBdr>
            <w:top w:val="none" w:sz="0" w:space="0" w:color="auto"/>
            <w:left w:val="none" w:sz="0" w:space="0" w:color="auto"/>
            <w:bottom w:val="none" w:sz="0" w:space="0" w:color="auto"/>
            <w:right w:val="none" w:sz="0" w:space="0" w:color="auto"/>
          </w:divBdr>
        </w:div>
        <w:div w:id="1005941987">
          <w:marLeft w:val="0"/>
          <w:marRight w:val="0"/>
          <w:marTop w:val="0"/>
          <w:marBottom w:val="150"/>
          <w:divBdr>
            <w:top w:val="none" w:sz="0" w:space="0" w:color="auto"/>
            <w:left w:val="none" w:sz="0" w:space="0" w:color="auto"/>
            <w:bottom w:val="none" w:sz="0" w:space="0" w:color="auto"/>
            <w:right w:val="none" w:sz="0" w:space="0" w:color="auto"/>
          </w:divBdr>
        </w:div>
        <w:div w:id="543257634">
          <w:marLeft w:val="0"/>
          <w:marRight w:val="0"/>
          <w:marTop w:val="0"/>
          <w:marBottom w:val="150"/>
          <w:divBdr>
            <w:top w:val="none" w:sz="0" w:space="0" w:color="auto"/>
            <w:left w:val="none" w:sz="0" w:space="0" w:color="auto"/>
            <w:bottom w:val="none" w:sz="0" w:space="0" w:color="auto"/>
            <w:right w:val="none" w:sz="0" w:space="0" w:color="auto"/>
          </w:divBdr>
        </w:div>
        <w:div w:id="1763642094">
          <w:marLeft w:val="0"/>
          <w:marRight w:val="0"/>
          <w:marTop w:val="0"/>
          <w:marBottom w:val="150"/>
          <w:divBdr>
            <w:top w:val="none" w:sz="0" w:space="0" w:color="auto"/>
            <w:left w:val="none" w:sz="0" w:space="0" w:color="auto"/>
            <w:bottom w:val="none" w:sz="0" w:space="0" w:color="auto"/>
            <w:right w:val="none" w:sz="0" w:space="0" w:color="auto"/>
          </w:divBdr>
        </w:div>
        <w:div w:id="1112628957">
          <w:marLeft w:val="0"/>
          <w:marRight w:val="0"/>
          <w:marTop w:val="0"/>
          <w:marBottom w:val="150"/>
          <w:divBdr>
            <w:top w:val="none" w:sz="0" w:space="0" w:color="auto"/>
            <w:left w:val="none" w:sz="0" w:space="0" w:color="auto"/>
            <w:bottom w:val="none" w:sz="0" w:space="0" w:color="auto"/>
            <w:right w:val="none" w:sz="0" w:space="0" w:color="auto"/>
          </w:divBdr>
        </w:div>
      </w:divsChild>
    </w:div>
    <w:div w:id="1691569300">
      <w:bodyDiv w:val="1"/>
      <w:marLeft w:val="0"/>
      <w:marRight w:val="0"/>
      <w:marTop w:val="0"/>
      <w:marBottom w:val="0"/>
      <w:divBdr>
        <w:top w:val="none" w:sz="0" w:space="0" w:color="auto"/>
        <w:left w:val="none" w:sz="0" w:space="0" w:color="auto"/>
        <w:bottom w:val="none" w:sz="0" w:space="0" w:color="auto"/>
        <w:right w:val="none" w:sz="0" w:space="0" w:color="auto"/>
      </w:divBdr>
    </w:div>
    <w:div w:id="1721052203">
      <w:bodyDiv w:val="1"/>
      <w:marLeft w:val="0"/>
      <w:marRight w:val="0"/>
      <w:marTop w:val="0"/>
      <w:marBottom w:val="0"/>
      <w:divBdr>
        <w:top w:val="none" w:sz="0" w:space="0" w:color="auto"/>
        <w:left w:val="none" w:sz="0" w:space="0" w:color="auto"/>
        <w:bottom w:val="none" w:sz="0" w:space="0" w:color="auto"/>
        <w:right w:val="none" w:sz="0" w:space="0" w:color="auto"/>
      </w:divBdr>
    </w:div>
    <w:div w:id="1736784147">
      <w:bodyDiv w:val="1"/>
      <w:marLeft w:val="0"/>
      <w:marRight w:val="0"/>
      <w:marTop w:val="0"/>
      <w:marBottom w:val="0"/>
      <w:divBdr>
        <w:top w:val="none" w:sz="0" w:space="0" w:color="auto"/>
        <w:left w:val="none" w:sz="0" w:space="0" w:color="auto"/>
        <w:bottom w:val="none" w:sz="0" w:space="0" w:color="auto"/>
        <w:right w:val="none" w:sz="0" w:space="0" w:color="auto"/>
      </w:divBdr>
    </w:div>
    <w:div w:id="1783765747">
      <w:bodyDiv w:val="1"/>
      <w:marLeft w:val="0"/>
      <w:marRight w:val="0"/>
      <w:marTop w:val="0"/>
      <w:marBottom w:val="0"/>
      <w:divBdr>
        <w:top w:val="none" w:sz="0" w:space="0" w:color="auto"/>
        <w:left w:val="none" w:sz="0" w:space="0" w:color="auto"/>
        <w:bottom w:val="none" w:sz="0" w:space="0" w:color="auto"/>
        <w:right w:val="none" w:sz="0" w:space="0" w:color="auto"/>
      </w:divBdr>
    </w:div>
    <w:div w:id="1863595197">
      <w:bodyDiv w:val="1"/>
      <w:marLeft w:val="0"/>
      <w:marRight w:val="0"/>
      <w:marTop w:val="0"/>
      <w:marBottom w:val="0"/>
      <w:divBdr>
        <w:top w:val="none" w:sz="0" w:space="0" w:color="auto"/>
        <w:left w:val="none" w:sz="0" w:space="0" w:color="auto"/>
        <w:bottom w:val="none" w:sz="0" w:space="0" w:color="auto"/>
        <w:right w:val="none" w:sz="0" w:space="0" w:color="auto"/>
      </w:divBdr>
    </w:div>
    <w:div w:id="2025743986">
      <w:bodyDiv w:val="1"/>
      <w:marLeft w:val="0"/>
      <w:marRight w:val="0"/>
      <w:marTop w:val="0"/>
      <w:marBottom w:val="0"/>
      <w:divBdr>
        <w:top w:val="none" w:sz="0" w:space="0" w:color="auto"/>
        <w:left w:val="none" w:sz="0" w:space="0" w:color="auto"/>
        <w:bottom w:val="none" w:sz="0" w:space="0" w:color="auto"/>
        <w:right w:val="none" w:sz="0" w:space="0" w:color="auto"/>
      </w:divBdr>
    </w:div>
    <w:div w:id="203195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6A4F8-446D-4164-B329-00748E197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10</Pages>
  <Words>12184</Words>
  <Characters>6946</Characters>
  <Application>Microsoft Office Word</Application>
  <DocSecurity>0</DocSecurity>
  <Lines>57</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Галина Кулажина</dc:creator>
  <cp:lastModifiedBy>В Кравченко</cp:lastModifiedBy>
  <cp:revision>8</cp:revision>
  <cp:lastPrinted>2025-05-27T12:08:00Z</cp:lastPrinted>
  <dcterms:created xsi:type="dcterms:W3CDTF">2025-09-12T11:22:00Z</dcterms:created>
  <dcterms:modified xsi:type="dcterms:W3CDTF">2025-09-16T11:10:00Z</dcterms:modified>
</cp:coreProperties>
</file>