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19B6" w:rsidRPr="00792676" w:rsidRDefault="00FB248B" w:rsidP="00792676">
      <w:pPr>
        <w:spacing w:after="0" w:line="216" w:lineRule="auto"/>
        <w:jc w:val="center"/>
        <w:rPr>
          <w:rFonts w:ascii="Times New Roman" w:eastAsia="Times New Roman" w:hAnsi="Times New Roman" w:cs="Times New Roman"/>
          <w:b/>
          <w:color w:val="000000"/>
          <w:sz w:val="27"/>
          <w:szCs w:val="27"/>
        </w:rPr>
      </w:pPr>
      <w:r w:rsidRPr="00792676">
        <w:rPr>
          <w:rFonts w:ascii="Times New Roman" w:eastAsia="Times New Roman" w:hAnsi="Times New Roman" w:cs="Times New Roman"/>
          <w:b/>
          <w:sz w:val="27"/>
          <w:szCs w:val="27"/>
        </w:rPr>
        <w:t xml:space="preserve">Узагальнені зауваження та пропозиції до </w:t>
      </w:r>
      <w:proofErr w:type="spellStart"/>
      <w:r w:rsidRPr="00792676">
        <w:rPr>
          <w:rFonts w:ascii="Times New Roman" w:eastAsia="Times New Roman" w:hAnsi="Times New Roman" w:cs="Times New Roman"/>
          <w:b/>
          <w:sz w:val="27"/>
          <w:szCs w:val="27"/>
        </w:rPr>
        <w:t>проєкту</w:t>
      </w:r>
      <w:proofErr w:type="spellEnd"/>
      <w:r w:rsidRPr="00792676">
        <w:rPr>
          <w:rFonts w:ascii="Times New Roman" w:eastAsia="Times New Roman" w:hAnsi="Times New Roman" w:cs="Times New Roman"/>
          <w:b/>
          <w:sz w:val="27"/>
          <w:szCs w:val="27"/>
        </w:rPr>
        <w:t xml:space="preserve"> постанови </w:t>
      </w:r>
      <w:r w:rsidR="00ED19B6" w:rsidRPr="00792676">
        <w:rPr>
          <w:rFonts w:ascii="Times New Roman" w:eastAsia="Times New Roman" w:hAnsi="Times New Roman" w:cs="Times New Roman"/>
          <w:b/>
          <w:sz w:val="27"/>
          <w:szCs w:val="27"/>
        </w:rPr>
        <w:t xml:space="preserve">НКРЕКП </w:t>
      </w:r>
      <w:r w:rsidR="00EB37FE" w:rsidRPr="00792676">
        <w:rPr>
          <w:rFonts w:ascii="Times New Roman" w:eastAsia="Times New Roman" w:hAnsi="Times New Roman" w:cs="Times New Roman"/>
          <w:b/>
          <w:sz w:val="27"/>
          <w:szCs w:val="27"/>
        </w:rPr>
        <w:t>«Про внесення змін до Методики визначення та розрахунку тарифу на послуги розподілу природного газу та Методики визначення розмірів нормативних та виробничо-технологічних втрат/витрат природного газу при здійсненні розподілу природного газу»</w:t>
      </w:r>
      <w:r w:rsidR="00ED19B6" w:rsidRPr="00792676">
        <w:rPr>
          <w:rFonts w:ascii="Times New Roman" w:eastAsia="Times New Roman" w:hAnsi="Times New Roman" w:cs="Times New Roman"/>
          <w:b/>
          <w:color w:val="000000"/>
          <w:sz w:val="27"/>
          <w:szCs w:val="27"/>
        </w:rPr>
        <w:t>, що має ознаки регуляторного акта</w:t>
      </w:r>
    </w:p>
    <w:p w:rsidR="00DA2AC6" w:rsidRPr="008A11BB" w:rsidRDefault="00DA2AC6" w:rsidP="00792676">
      <w:pPr>
        <w:spacing w:after="0" w:line="216" w:lineRule="auto"/>
        <w:rPr>
          <w:rFonts w:ascii="Times New Roman" w:eastAsia="Times New Roman" w:hAnsi="Times New Roman" w:cs="Times New Roman"/>
          <w:b/>
          <w:i/>
          <w:color w:val="000000"/>
          <w:sz w:val="24"/>
          <w:szCs w:val="24"/>
        </w:rPr>
      </w:pPr>
    </w:p>
    <w:tbl>
      <w:tblPr>
        <w:tblStyle w:val="a3"/>
        <w:tblW w:w="0" w:type="auto"/>
        <w:tblLook w:val="04A0" w:firstRow="1" w:lastRow="0" w:firstColumn="1" w:lastColumn="0" w:noHBand="0" w:noVBand="1"/>
      </w:tblPr>
      <w:tblGrid>
        <w:gridCol w:w="5634"/>
        <w:gridCol w:w="4752"/>
        <w:gridCol w:w="4742"/>
      </w:tblGrid>
      <w:tr w:rsidR="00FB248B" w:rsidRPr="00792676" w:rsidTr="00FB248B">
        <w:tc>
          <w:tcPr>
            <w:tcW w:w="5722" w:type="dxa"/>
          </w:tcPr>
          <w:p w:rsidR="00FB248B" w:rsidRPr="00792676" w:rsidRDefault="00FB248B" w:rsidP="00792676">
            <w:pPr>
              <w:spacing w:line="216" w:lineRule="auto"/>
              <w:jc w:val="center"/>
              <w:rPr>
                <w:rFonts w:ascii="Times New Roman" w:eastAsia="Times New Roman" w:hAnsi="Times New Roman" w:cs="Times New Roman"/>
                <w:b/>
                <w:i/>
                <w:color w:val="000000"/>
                <w:sz w:val="25"/>
                <w:szCs w:val="25"/>
              </w:rPr>
            </w:pPr>
            <w:r w:rsidRPr="00792676">
              <w:rPr>
                <w:rFonts w:ascii="Times New Roman" w:eastAsia="Times New Roman" w:hAnsi="Times New Roman" w:cs="Times New Roman"/>
                <w:b/>
                <w:sz w:val="25"/>
                <w:szCs w:val="25"/>
              </w:rPr>
              <w:t xml:space="preserve">Редакція </w:t>
            </w:r>
            <w:proofErr w:type="spellStart"/>
            <w:r w:rsidRPr="00792676">
              <w:rPr>
                <w:rFonts w:ascii="Times New Roman" w:eastAsia="Times New Roman" w:hAnsi="Times New Roman" w:cs="Times New Roman"/>
                <w:b/>
                <w:sz w:val="25"/>
                <w:szCs w:val="25"/>
              </w:rPr>
              <w:t>проєкту</w:t>
            </w:r>
            <w:proofErr w:type="spellEnd"/>
            <w:r w:rsidRPr="00792676">
              <w:rPr>
                <w:rFonts w:ascii="Times New Roman" w:eastAsia="Times New Roman" w:hAnsi="Times New Roman" w:cs="Times New Roman"/>
                <w:b/>
                <w:sz w:val="25"/>
                <w:szCs w:val="25"/>
              </w:rPr>
              <w:t xml:space="preserve"> рішення НКРЕКП</w:t>
            </w:r>
          </w:p>
        </w:tc>
        <w:tc>
          <w:tcPr>
            <w:tcW w:w="4816" w:type="dxa"/>
          </w:tcPr>
          <w:p w:rsidR="00FB248B" w:rsidRPr="00792676" w:rsidRDefault="00FB248B" w:rsidP="00792676">
            <w:pPr>
              <w:tabs>
                <w:tab w:val="left" w:pos="900"/>
              </w:tabs>
              <w:spacing w:line="216" w:lineRule="auto"/>
              <w:jc w:val="center"/>
              <w:rPr>
                <w:rFonts w:ascii="Times New Roman" w:eastAsia="Times New Roman" w:hAnsi="Times New Roman" w:cs="Times New Roman"/>
                <w:b/>
                <w:i/>
                <w:color w:val="000000"/>
                <w:sz w:val="25"/>
                <w:szCs w:val="25"/>
              </w:rPr>
            </w:pPr>
            <w:r w:rsidRPr="00792676">
              <w:rPr>
                <w:rFonts w:ascii="Times New Roman" w:eastAsia="Times New Roman" w:hAnsi="Times New Roman" w:cs="Times New Roman"/>
                <w:b/>
                <w:sz w:val="25"/>
                <w:szCs w:val="25"/>
              </w:rPr>
              <w:t xml:space="preserve">Зауваження та пропозиції до </w:t>
            </w:r>
            <w:proofErr w:type="spellStart"/>
            <w:r w:rsidRPr="00792676">
              <w:rPr>
                <w:rFonts w:ascii="Times New Roman" w:eastAsia="Times New Roman" w:hAnsi="Times New Roman" w:cs="Times New Roman"/>
                <w:b/>
                <w:sz w:val="25"/>
                <w:szCs w:val="25"/>
              </w:rPr>
              <w:t>проєкту</w:t>
            </w:r>
            <w:proofErr w:type="spellEnd"/>
            <w:r w:rsidRPr="00792676">
              <w:rPr>
                <w:rFonts w:ascii="Times New Roman" w:eastAsia="Times New Roman" w:hAnsi="Times New Roman" w:cs="Times New Roman"/>
                <w:b/>
                <w:sz w:val="25"/>
                <w:szCs w:val="25"/>
              </w:rPr>
              <w:t xml:space="preserve"> рішення НКРЕКП</w:t>
            </w:r>
          </w:p>
        </w:tc>
        <w:tc>
          <w:tcPr>
            <w:tcW w:w="4816" w:type="dxa"/>
          </w:tcPr>
          <w:p w:rsidR="00FB248B" w:rsidRPr="00792676" w:rsidRDefault="00FB248B" w:rsidP="00792676">
            <w:pPr>
              <w:tabs>
                <w:tab w:val="left" w:pos="540"/>
              </w:tabs>
              <w:spacing w:line="216" w:lineRule="auto"/>
              <w:jc w:val="center"/>
              <w:rPr>
                <w:rFonts w:ascii="Times New Roman" w:eastAsia="Times New Roman" w:hAnsi="Times New Roman" w:cs="Times New Roman"/>
                <w:b/>
                <w:i/>
                <w:color w:val="000000"/>
                <w:sz w:val="25"/>
                <w:szCs w:val="25"/>
              </w:rPr>
            </w:pPr>
            <w:r w:rsidRPr="00792676">
              <w:rPr>
                <w:rFonts w:ascii="Times New Roman" w:eastAsia="Times New Roman" w:hAnsi="Times New Roman" w:cs="Times New Roman"/>
                <w:b/>
                <w:sz w:val="25"/>
                <w:szCs w:val="25"/>
              </w:rPr>
              <w:t>Попередня позиція НКРЕКП щодо наданих зауважень та пропозицій з обґрунтуваннями щодо прийняття або відхилення</w:t>
            </w:r>
          </w:p>
        </w:tc>
      </w:tr>
      <w:tr w:rsidR="00301545" w:rsidRPr="00792676" w:rsidTr="000100B2">
        <w:tc>
          <w:tcPr>
            <w:tcW w:w="15354" w:type="dxa"/>
            <w:gridSpan w:val="3"/>
          </w:tcPr>
          <w:p w:rsidR="00301545" w:rsidRPr="00792676" w:rsidRDefault="00301545" w:rsidP="00792676">
            <w:pPr>
              <w:tabs>
                <w:tab w:val="left" w:pos="540"/>
              </w:tabs>
              <w:spacing w:line="216" w:lineRule="auto"/>
              <w:jc w:val="center"/>
              <w:rPr>
                <w:rFonts w:ascii="Times New Roman" w:eastAsia="Times New Roman" w:hAnsi="Times New Roman" w:cs="Times New Roman"/>
                <w:b/>
                <w:sz w:val="25"/>
                <w:szCs w:val="25"/>
              </w:rPr>
            </w:pPr>
            <w:r w:rsidRPr="00792676">
              <w:rPr>
                <w:rFonts w:ascii="Times New Roman" w:eastAsia="Times New Roman" w:hAnsi="Times New Roman" w:cs="Times New Roman"/>
                <w:b/>
                <w:i/>
                <w:color w:val="000000"/>
                <w:sz w:val="25"/>
                <w:szCs w:val="25"/>
              </w:rPr>
              <w:t>ПОСТАНОВЛЯЮЧА ЧАСТИНА ПРОЄКТУ ПОСТАНОВИ</w:t>
            </w:r>
          </w:p>
        </w:tc>
      </w:tr>
      <w:tr w:rsidR="00301545" w:rsidRPr="00792676" w:rsidTr="00FB248B">
        <w:tc>
          <w:tcPr>
            <w:tcW w:w="5722" w:type="dxa"/>
          </w:tcPr>
          <w:p w:rsidR="001B4286" w:rsidRPr="00792676" w:rsidRDefault="001B4286" w:rsidP="00792676">
            <w:pPr>
              <w:shd w:val="clear" w:color="auto" w:fill="FFFFFF"/>
              <w:spacing w:line="216" w:lineRule="auto"/>
              <w:ind w:firstLine="709"/>
              <w:jc w:val="both"/>
              <w:rPr>
                <w:rFonts w:ascii="Times New Roman" w:hAnsi="Times New Roman" w:cs="Times New Roman"/>
                <w:sz w:val="25"/>
                <w:szCs w:val="25"/>
                <w:shd w:val="clear" w:color="auto" w:fill="FFFFFF"/>
              </w:rPr>
            </w:pPr>
            <w:r w:rsidRPr="00792676">
              <w:rPr>
                <w:rFonts w:ascii="Times New Roman" w:hAnsi="Times New Roman" w:cs="Times New Roman"/>
                <w:sz w:val="25"/>
                <w:szCs w:val="25"/>
                <w:shd w:val="clear" w:color="auto" w:fill="FFFFFF"/>
              </w:rPr>
              <w:t xml:space="preserve">3. Ця постанова набирає чинності з дня, наступного за днем її оприлюднення на офіційному </w:t>
            </w:r>
            <w:proofErr w:type="spellStart"/>
            <w:r w:rsidRPr="00792676">
              <w:rPr>
                <w:rFonts w:ascii="Times New Roman" w:hAnsi="Times New Roman" w:cs="Times New Roman"/>
                <w:sz w:val="25"/>
                <w:szCs w:val="25"/>
                <w:shd w:val="clear" w:color="auto" w:fill="FFFFFF"/>
              </w:rPr>
              <w:t>вебсайті</w:t>
            </w:r>
            <w:proofErr w:type="spellEnd"/>
            <w:r w:rsidRPr="00792676">
              <w:rPr>
                <w:rFonts w:ascii="Times New Roman" w:hAnsi="Times New Roman" w:cs="Times New Roman"/>
                <w:sz w:val="25"/>
                <w:szCs w:val="25"/>
                <w:shd w:val="clear" w:color="auto" w:fill="FFFFFF"/>
              </w:rPr>
              <w:t xml:space="preserve"> Національної комісії, що здійснює державне регулювання у сферах енергетики та комунальних послуг.</w:t>
            </w:r>
          </w:p>
          <w:p w:rsidR="00301545" w:rsidRPr="00792676" w:rsidRDefault="00301545" w:rsidP="00792676">
            <w:pPr>
              <w:spacing w:line="216" w:lineRule="auto"/>
              <w:jc w:val="center"/>
              <w:rPr>
                <w:rFonts w:ascii="Times New Roman" w:eastAsia="Times New Roman" w:hAnsi="Times New Roman" w:cs="Times New Roman"/>
                <w:b/>
                <w:sz w:val="25"/>
                <w:szCs w:val="25"/>
              </w:rPr>
            </w:pPr>
          </w:p>
        </w:tc>
        <w:tc>
          <w:tcPr>
            <w:tcW w:w="4816" w:type="dxa"/>
          </w:tcPr>
          <w:p w:rsidR="00301545" w:rsidRPr="00792676" w:rsidRDefault="00301545" w:rsidP="00792676">
            <w:pPr>
              <w:tabs>
                <w:tab w:val="left" w:pos="900"/>
              </w:tabs>
              <w:spacing w:line="216" w:lineRule="auto"/>
              <w:jc w:val="center"/>
              <w:rPr>
                <w:rFonts w:ascii="Times New Roman" w:eastAsia="Times New Roman" w:hAnsi="Times New Roman" w:cs="Times New Roman"/>
                <w:b/>
                <w:sz w:val="25"/>
                <w:szCs w:val="25"/>
                <w:u w:val="single"/>
              </w:rPr>
            </w:pPr>
            <w:r w:rsidRPr="00792676">
              <w:rPr>
                <w:rFonts w:ascii="Times New Roman" w:eastAsia="Times New Roman" w:hAnsi="Times New Roman" w:cs="Times New Roman"/>
                <w:b/>
                <w:sz w:val="25"/>
                <w:szCs w:val="25"/>
                <w:u w:val="single"/>
              </w:rPr>
              <w:t xml:space="preserve">ТОВ «Оператор газорозподільних мереж України» </w:t>
            </w:r>
          </w:p>
          <w:p w:rsidR="00792676" w:rsidRPr="00792676" w:rsidRDefault="00792676" w:rsidP="00792676">
            <w:pPr>
              <w:pStyle w:val="aa"/>
              <w:spacing w:before="0" w:beforeAutospacing="0" w:after="0" w:afterAutospacing="0" w:line="216" w:lineRule="auto"/>
              <w:ind w:firstLine="567"/>
              <w:jc w:val="both"/>
              <w:rPr>
                <w:rFonts w:eastAsia="Calibri"/>
                <w:color w:val="000000" w:themeColor="text1"/>
                <w:sz w:val="25"/>
                <w:szCs w:val="25"/>
              </w:rPr>
            </w:pPr>
            <w:r w:rsidRPr="00792676">
              <w:rPr>
                <w:rFonts w:eastAsia="Calibri"/>
                <w:color w:val="000000" w:themeColor="text1"/>
                <w:sz w:val="25"/>
                <w:szCs w:val="25"/>
              </w:rPr>
              <w:t xml:space="preserve">3. Ця постанова набирає чинності з 01 жовтня 2025 року, крім підпункту 2 пункту 2 Змін, затверджених цією постановою, який набирає чинності дня, наступного за днем її оприлюднення на офіційному </w:t>
            </w:r>
            <w:proofErr w:type="spellStart"/>
            <w:r w:rsidRPr="00792676">
              <w:rPr>
                <w:rFonts w:eastAsia="Calibri"/>
                <w:color w:val="000000" w:themeColor="text1"/>
                <w:sz w:val="25"/>
                <w:szCs w:val="25"/>
              </w:rPr>
              <w:t>вебсайті</w:t>
            </w:r>
            <w:proofErr w:type="spellEnd"/>
            <w:r w:rsidRPr="00792676">
              <w:rPr>
                <w:rFonts w:eastAsia="Calibri"/>
                <w:color w:val="000000" w:themeColor="text1"/>
                <w:sz w:val="25"/>
                <w:szCs w:val="25"/>
              </w:rPr>
              <w:t xml:space="preserve"> Національної комісії, що здійснює державне регулювання у сферах енергетики та комунальних послуг.</w:t>
            </w:r>
          </w:p>
          <w:p w:rsidR="00301545" w:rsidRPr="00792676" w:rsidRDefault="00301545" w:rsidP="00792676">
            <w:pPr>
              <w:spacing w:line="216" w:lineRule="auto"/>
              <w:jc w:val="center"/>
              <w:rPr>
                <w:rFonts w:ascii="Times New Roman" w:hAnsi="Times New Roman" w:cs="Times New Roman"/>
                <w:b/>
                <w:color w:val="000000" w:themeColor="text1"/>
                <w:sz w:val="25"/>
                <w:szCs w:val="25"/>
                <w:u w:val="single"/>
              </w:rPr>
            </w:pPr>
            <w:r w:rsidRPr="00792676">
              <w:rPr>
                <w:rFonts w:ascii="Times New Roman" w:hAnsi="Times New Roman" w:cs="Times New Roman"/>
                <w:b/>
                <w:color w:val="000000" w:themeColor="text1"/>
                <w:sz w:val="25"/>
                <w:szCs w:val="25"/>
                <w:u w:val="single"/>
              </w:rPr>
              <w:t>Обґрунтування</w:t>
            </w:r>
          </w:p>
          <w:p w:rsidR="00301545" w:rsidRPr="00792676" w:rsidRDefault="00792676" w:rsidP="00792676">
            <w:pPr>
              <w:pStyle w:val="aa"/>
              <w:spacing w:before="0" w:beforeAutospacing="0" w:after="0" w:afterAutospacing="0"/>
              <w:ind w:firstLine="567"/>
              <w:jc w:val="both"/>
              <w:rPr>
                <w:sz w:val="26"/>
                <w:szCs w:val="26"/>
              </w:rPr>
            </w:pPr>
            <w:r w:rsidRPr="00792676">
              <w:rPr>
                <w:rFonts w:eastAsia="Calibri"/>
                <w:color w:val="000000" w:themeColor="text1"/>
                <w:sz w:val="25"/>
                <w:szCs w:val="25"/>
              </w:rPr>
              <w:t>Пропонуємо конкретизувати дату набрання чинності постанови з метою забезпечення точності розрахунків ВТВ, у разі здійснення перегляду тарифів на послуги розподілу природного газу до 01 жовтня 2025 року, оскільки на території провадження діяльності Сумської філії ТОВ «Газорозподільні мережі України» ведуться активні бойові дії (наказ  Міністерства розвитку громад та територій України від 28.02.2025 № 376).</w:t>
            </w:r>
          </w:p>
        </w:tc>
        <w:tc>
          <w:tcPr>
            <w:tcW w:w="4816" w:type="dxa"/>
          </w:tcPr>
          <w:p w:rsidR="00301545" w:rsidRPr="00792676" w:rsidRDefault="001B4286" w:rsidP="00792676">
            <w:pPr>
              <w:tabs>
                <w:tab w:val="left" w:pos="540"/>
              </w:tabs>
              <w:spacing w:line="216" w:lineRule="auto"/>
              <w:jc w:val="center"/>
              <w:rPr>
                <w:rFonts w:ascii="Times New Roman" w:eastAsia="Times New Roman" w:hAnsi="Times New Roman" w:cs="Times New Roman"/>
                <w:b/>
                <w:sz w:val="25"/>
                <w:szCs w:val="25"/>
              </w:rPr>
            </w:pPr>
            <w:r w:rsidRPr="00792676">
              <w:rPr>
                <w:rFonts w:ascii="Times New Roman" w:eastAsia="Times New Roman" w:hAnsi="Times New Roman" w:cs="Times New Roman"/>
                <w:b/>
                <w:sz w:val="25"/>
                <w:szCs w:val="25"/>
              </w:rPr>
              <w:t>Попередньо приймається</w:t>
            </w:r>
          </w:p>
        </w:tc>
      </w:tr>
      <w:tr w:rsidR="00FB248B" w:rsidRPr="00792676" w:rsidTr="009143E2">
        <w:tc>
          <w:tcPr>
            <w:tcW w:w="15354" w:type="dxa"/>
            <w:gridSpan w:val="3"/>
          </w:tcPr>
          <w:p w:rsidR="00FB248B" w:rsidRPr="00792676" w:rsidRDefault="00FB248B" w:rsidP="00792676">
            <w:pPr>
              <w:spacing w:line="216" w:lineRule="auto"/>
              <w:jc w:val="center"/>
              <w:rPr>
                <w:rFonts w:ascii="Times New Roman" w:eastAsia="Times New Roman" w:hAnsi="Times New Roman" w:cs="Times New Roman"/>
                <w:b/>
                <w:i/>
                <w:color w:val="000000"/>
                <w:sz w:val="25"/>
                <w:szCs w:val="25"/>
              </w:rPr>
            </w:pPr>
            <w:r w:rsidRPr="00792676">
              <w:rPr>
                <w:rFonts w:ascii="Times New Roman" w:eastAsia="Times New Roman" w:hAnsi="Times New Roman" w:cs="Times New Roman"/>
                <w:b/>
                <w:i/>
                <w:color w:val="000000"/>
                <w:sz w:val="25"/>
                <w:szCs w:val="25"/>
              </w:rPr>
              <w:t>МЕТОДИКА ВИЗНАЧЕННЯ РОЗМІРІВ НОРМАТИВНИХ ТА ВИРОБНИЧО-ТЕХНОЛОГІЧНИХ ВТРАТ/ВИТРАТ ПРИРОДНОГО ГАЗУ ПРИ ЗДІЙСНЕННІ РОЗПОДІЛУ ПРИРОДНОГО ГАЗУ</w:t>
            </w:r>
          </w:p>
        </w:tc>
      </w:tr>
      <w:tr w:rsidR="00792676" w:rsidRPr="00792676" w:rsidTr="001D30C9">
        <w:tc>
          <w:tcPr>
            <w:tcW w:w="15354" w:type="dxa"/>
            <w:gridSpan w:val="3"/>
          </w:tcPr>
          <w:p w:rsidR="00792676" w:rsidRPr="00792676" w:rsidRDefault="00792676" w:rsidP="00792676">
            <w:pPr>
              <w:spacing w:line="216" w:lineRule="auto"/>
              <w:ind w:firstLine="709"/>
              <w:jc w:val="center"/>
              <w:rPr>
                <w:rFonts w:ascii="Times New Roman" w:hAnsi="Times New Roman" w:cs="Times New Roman"/>
                <w:b/>
                <w:color w:val="000000" w:themeColor="text1"/>
                <w:sz w:val="25"/>
                <w:szCs w:val="25"/>
              </w:rPr>
            </w:pPr>
            <w:r w:rsidRPr="00792676">
              <w:rPr>
                <w:rFonts w:ascii="Times New Roman" w:hAnsi="Times New Roman" w:cs="Times New Roman"/>
                <w:b/>
                <w:color w:val="000000" w:themeColor="text1"/>
                <w:sz w:val="25"/>
                <w:szCs w:val="25"/>
              </w:rPr>
              <w:t>6. Процедура встановлення розміру нормативних та виробничо-технологічних втрат/витрат природного газу</w:t>
            </w:r>
          </w:p>
        </w:tc>
      </w:tr>
      <w:tr w:rsidR="00FB248B" w:rsidRPr="00792676" w:rsidTr="00FB248B">
        <w:tc>
          <w:tcPr>
            <w:tcW w:w="5722" w:type="dxa"/>
          </w:tcPr>
          <w:p w:rsidR="00FB248B" w:rsidRPr="00792676" w:rsidRDefault="00FB248B" w:rsidP="00792676">
            <w:pPr>
              <w:spacing w:line="216" w:lineRule="auto"/>
              <w:ind w:firstLine="709"/>
              <w:jc w:val="both"/>
              <w:rPr>
                <w:rFonts w:ascii="Times New Roman" w:hAnsi="Times New Roman" w:cs="Times New Roman"/>
                <w:color w:val="000000" w:themeColor="text1"/>
                <w:sz w:val="25"/>
                <w:szCs w:val="25"/>
              </w:rPr>
            </w:pPr>
            <w:r w:rsidRPr="00792676">
              <w:rPr>
                <w:rFonts w:ascii="Times New Roman" w:hAnsi="Times New Roman" w:cs="Times New Roman"/>
                <w:color w:val="000000" w:themeColor="text1"/>
                <w:sz w:val="25"/>
                <w:szCs w:val="25"/>
              </w:rPr>
              <w:t xml:space="preserve">6.10. НКРЕКП при встановленні розмірів нормативних втрат/витрат природного газу на наступний планований період враховує, що обсяг нормативних втрат/витрат природного газу на наступний період не може перевищувати </w:t>
            </w:r>
            <w:r w:rsidRPr="00792676">
              <w:rPr>
                <w:rFonts w:ascii="Times New Roman" w:hAnsi="Times New Roman" w:cs="Times New Roman"/>
                <w:b/>
                <w:i/>
                <w:strike/>
                <w:color w:val="000000" w:themeColor="text1"/>
                <w:sz w:val="25"/>
                <w:szCs w:val="25"/>
              </w:rPr>
              <w:t>обсяги фактичних втрат/витрат газу за попередній рік</w:t>
            </w:r>
            <w:r w:rsidRPr="00792676">
              <w:rPr>
                <w:rFonts w:ascii="Times New Roman" w:hAnsi="Times New Roman" w:cs="Times New Roman"/>
                <w:color w:val="000000" w:themeColor="text1"/>
                <w:sz w:val="25"/>
                <w:szCs w:val="25"/>
              </w:rPr>
              <w:t xml:space="preserve"> </w:t>
            </w:r>
            <w:r w:rsidRPr="00792676">
              <w:rPr>
                <w:rFonts w:ascii="Times New Roman" w:hAnsi="Times New Roman" w:cs="Times New Roman"/>
                <w:b/>
                <w:sz w:val="25"/>
                <w:szCs w:val="25"/>
              </w:rPr>
              <w:t>середньоарифметичне значення обсягів фактичних втрат/витрат газу за останні повних п’ять календарних років, у межах місць провадження господарської діяльності відповідного Оператора ГРМ</w:t>
            </w:r>
            <w:r w:rsidRPr="00792676">
              <w:rPr>
                <w:rFonts w:ascii="Times New Roman" w:hAnsi="Times New Roman" w:cs="Times New Roman"/>
                <w:color w:val="000000" w:themeColor="text1"/>
                <w:sz w:val="25"/>
                <w:szCs w:val="25"/>
              </w:rPr>
              <w:t xml:space="preserve"> (крім випадків збільшення території місць провадження господарської діяльності).</w:t>
            </w:r>
          </w:p>
        </w:tc>
        <w:tc>
          <w:tcPr>
            <w:tcW w:w="4816" w:type="dxa"/>
          </w:tcPr>
          <w:p w:rsidR="00FB248B" w:rsidRPr="00792676" w:rsidRDefault="00FB248B" w:rsidP="00792676">
            <w:pPr>
              <w:spacing w:line="216" w:lineRule="auto"/>
              <w:ind w:firstLine="709"/>
              <w:jc w:val="center"/>
              <w:rPr>
                <w:rFonts w:ascii="Times New Roman" w:eastAsia="Times New Roman" w:hAnsi="Times New Roman" w:cs="Times New Roman"/>
                <w:b/>
                <w:color w:val="000000"/>
                <w:sz w:val="25"/>
                <w:szCs w:val="25"/>
                <w:u w:val="single"/>
              </w:rPr>
            </w:pPr>
            <w:proofErr w:type="spellStart"/>
            <w:r w:rsidRPr="00792676">
              <w:rPr>
                <w:rFonts w:ascii="Times New Roman" w:eastAsia="Times New Roman" w:hAnsi="Times New Roman" w:cs="Times New Roman"/>
                <w:b/>
                <w:color w:val="000000"/>
                <w:sz w:val="25"/>
                <w:szCs w:val="25"/>
                <w:u w:val="single"/>
              </w:rPr>
              <w:t>Бакулін</w:t>
            </w:r>
            <w:proofErr w:type="spellEnd"/>
            <w:r w:rsidRPr="00792676">
              <w:rPr>
                <w:rFonts w:ascii="Times New Roman" w:eastAsia="Times New Roman" w:hAnsi="Times New Roman" w:cs="Times New Roman"/>
                <w:b/>
                <w:color w:val="000000"/>
                <w:sz w:val="25"/>
                <w:szCs w:val="25"/>
                <w:u w:val="single"/>
              </w:rPr>
              <w:t xml:space="preserve"> О. Ю.</w:t>
            </w:r>
          </w:p>
          <w:p w:rsidR="00FB248B" w:rsidRPr="00792676" w:rsidRDefault="00FB248B" w:rsidP="00792676">
            <w:pPr>
              <w:spacing w:line="216" w:lineRule="auto"/>
              <w:ind w:firstLine="709"/>
              <w:jc w:val="both"/>
              <w:rPr>
                <w:rFonts w:ascii="Times New Roman" w:hAnsi="Times New Roman" w:cs="Times New Roman"/>
                <w:b/>
                <w:i/>
                <w:color w:val="000000" w:themeColor="text1"/>
                <w:sz w:val="25"/>
                <w:szCs w:val="25"/>
              </w:rPr>
            </w:pPr>
            <w:r w:rsidRPr="00792676">
              <w:rPr>
                <w:rFonts w:ascii="Times New Roman" w:hAnsi="Times New Roman" w:cs="Times New Roman"/>
                <w:b/>
                <w:i/>
                <w:color w:val="000000" w:themeColor="text1"/>
                <w:sz w:val="25"/>
                <w:szCs w:val="25"/>
              </w:rPr>
              <w:t>Залишити  в чинній редакції</w:t>
            </w:r>
          </w:p>
          <w:p w:rsidR="00FB248B" w:rsidRPr="00792676" w:rsidRDefault="00FB248B" w:rsidP="00792676">
            <w:pPr>
              <w:spacing w:line="216" w:lineRule="auto"/>
              <w:ind w:firstLine="709"/>
              <w:jc w:val="both"/>
              <w:rPr>
                <w:rFonts w:ascii="Times New Roman" w:hAnsi="Times New Roman" w:cs="Times New Roman"/>
                <w:color w:val="000000" w:themeColor="text1"/>
                <w:sz w:val="25"/>
                <w:szCs w:val="25"/>
              </w:rPr>
            </w:pPr>
            <w:r w:rsidRPr="00792676">
              <w:rPr>
                <w:rFonts w:ascii="Times New Roman" w:hAnsi="Times New Roman" w:cs="Times New Roman"/>
                <w:color w:val="000000" w:themeColor="text1"/>
                <w:sz w:val="25"/>
                <w:szCs w:val="25"/>
              </w:rPr>
              <w:t>6.10. НКРЕКП при встановленні розмірів нормативних втрат/витрат природного газу на наступний планований період враховує, що обсяг нормативних втрат/витрат природного газу на наступний період не може перевищувати обсяги фактичних втрат/витрат газу за попередній рік (крім випадків збільшення території місць провадження господарської діяльності).</w:t>
            </w:r>
          </w:p>
          <w:p w:rsidR="00FB248B" w:rsidRPr="00792676" w:rsidRDefault="00FB248B" w:rsidP="00792676">
            <w:pPr>
              <w:spacing w:line="216" w:lineRule="auto"/>
              <w:jc w:val="center"/>
              <w:rPr>
                <w:rFonts w:ascii="Times New Roman" w:hAnsi="Times New Roman" w:cs="Times New Roman"/>
                <w:color w:val="000000" w:themeColor="text1"/>
                <w:sz w:val="25"/>
                <w:szCs w:val="25"/>
              </w:rPr>
            </w:pPr>
            <w:r w:rsidRPr="00792676">
              <w:rPr>
                <w:rFonts w:ascii="Times New Roman" w:eastAsia="Times New Roman" w:hAnsi="Times New Roman" w:cs="Times New Roman"/>
                <w:b/>
                <w:sz w:val="25"/>
                <w:szCs w:val="25"/>
                <w:u w:val="single"/>
              </w:rPr>
              <w:t>Обґрунтування</w:t>
            </w:r>
          </w:p>
          <w:p w:rsidR="00FB248B" w:rsidRPr="00792676" w:rsidRDefault="00FB248B" w:rsidP="00792676">
            <w:pPr>
              <w:pStyle w:val="a9"/>
              <w:spacing w:line="216" w:lineRule="auto"/>
              <w:ind w:firstLine="708"/>
              <w:jc w:val="both"/>
              <w:rPr>
                <w:rFonts w:ascii="Times New Roman" w:hAnsi="Times New Roman" w:cs="Times New Roman"/>
                <w:sz w:val="25"/>
                <w:szCs w:val="25"/>
                <w:lang w:val="uk-UA"/>
              </w:rPr>
            </w:pPr>
            <w:r w:rsidRPr="00792676">
              <w:rPr>
                <w:rStyle w:val="rvts46"/>
                <w:rFonts w:ascii="Times New Roman" w:hAnsi="Times New Roman" w:cs="Times New Roman"/>
                <w:iCs/>
                <w:sz w:val="25"/>
                <w:szCs w:val="25"/>
                <w:lang w:val="uk-UA"/>
              </w:rPr>
              <w:t xml:space="preserve">Частину 3 статті 2  </w:t>
            </w:r>
            <w:bookmarkStart w:id="0" w:name="n66"/>
            <w:bookmarkEnd w:id="0"/>
            <w:r w:rsidRPr="00792676">
              <w:rPr>
                <w:rFonts w:ascii="Times New Roman" w:hAnsi="Times New Roman" w:cs="Times New Roman"/>
                <w:sz w:val="25"/>
                <w:szCs w:val="25"/>
                <w:lang w:val="uk-UA"/>
              </w:rPr>
              <w:t>Закону України «Про ринок природного газу»</w:t>
            </w:r>
            <w:bookmarkStart w:id="1" w:name="n67"/>
            <w:bookmarkEnd w:id="1"/>
            <w:r w:rsidRPr="00792676">
              <w:rPr>
                <w:rFonts w:ascii="Times New Roman" w:hAnsi="Times New Roman" w:cs="Times New Roman"/>
                <w:sz w:val="25"/>
                <w:szCs w:val="25"/>
                <w:lang w:val="uk-UA"/>
              </w:rPr>
              <w:t xml:space="preserve"> рішення (заходи) суб’єктів владних повноважень, прийняті на виконання норм цього Закону, мають відповідати принципам пропорційності, прозорості та недискримінації.</w:t>
            </w:r>
          </w:p>
          <w:p w:rsidR="00FB248B" w:rsidRPr="00792676" w:rsidRDefault="00FB248B" w:rsidP="00792676">
            <w:pPr>
              <w:pStyle w:val="a9"/>
              <w:spacing w:line="216" w:lineRule="auto"/>
              <w:ind w:firstLine="708"/>
              <w:jc w:val="both"/>
              <w:rPr>
                <w:rFonts w:ascii="Times New Roman" w:hAnsi="Times New Roman" w:cs="Times New Roman"/>
                <w:sz w:val="25"/>
                <w:szCs w:val="25"/>
                <w:lang w:val="uk-UA"/>
              </w:rPr>
            </w:pPr>
            <w:bookmarkStart w:id="2" w:name="n68"/>
            <w:bookmarkStart w:id="3" w:name="n69"/>
            <w:bookmarkEnd w:id="2"/>
            <w:bookmarkEnd w:id="3"/>
            <w:r w:rsidRPr="00792676">
              <w:rPr>
                <w:rFonts w:ascii="Times New Roman" w:hAnsi="Times New Roman" w:cs="Times New Roman"/>
                <w:sz w:val="25"/>
                <w:szCs w:val="25"/>
                <w:lang w:val="uk-UA"/>
              </w:rPr>
              <w:t xml:space="preserve">Згідно з принципом прозорості рішення (заходи) суб’єктів владних повноважень мають бути </w:t>
            </w:r>
            <w:r w:rsidRPr="00792676">
              <w:rPr>
                <w:rFonts w:ascii="Times New Roman" w:hAnsi="Times New Roman" w:cs="Times New Roman"/>
                <w:b/>
                <w:sz w:val="25"/>
                <w:szCs w:val="25"/>
                <w:u w:val="single"/>
                <w:lang w:val="uk-UA"/>
              </w:rPr>
              <w:t>належним чином обґрунтовані</w:t>
            </w:r>
            <w:r w:rsidRPr="00792676">
              <w:rPr>
                <w:rFonts w:ascii="Times New Roman" w:hAnsi="Times New Roman" w:cs="Times New Roman"/>
                <w:sz w:val="25"/>
                <w:szCs w:val="25"/>
                <w:lang w:val="uk-UA"/>
              </w:rPr>
              <w:t xml:space="preserve"> та повідомлені суб’єктам, яких вони стосуються, у належний строк до набрання ними чинності або введення в дію.</w:t>
            </w:r>
          </w:p>
          <w:p w:rsidR="00FB248B" w:rsidRPr="00792676" w:rsidRDefault="00FB248B" w:rsidP="00792676">
            <w:pPr>
              <w:pStyle w:val="a9"/>
              <w:spacing w:line="216" w:lineRule="auto"/>
              <w:ind w:firstLine="708"/>
              <w:jc w:val="both"/>
              <w:rPr>
                <w:rFonts w:ascii="Times New Roman" w:hAnsi="Times New Roman" w:cs="Times New Roman"/>
                <w:sz w:val="25"/>
                <w:szCs w:val="25"/>
                <w:lang w:val="uk-UA"/>
              </w:rPr>
            </w:pPr>
            <w:r w:rsidRPr="00792676">
              <w:rPr>
                <w:rStyle w:val="rvts9"/>
                <w:rFonts w:ascii="Times New Roman" w:hAnsi="Times New Roman" w:cs="Times New Roman"/>
                <w:bCs/>
                <w:sz w:val="25"/>
                <w:szCs w:val="25"/>
                <w:shd w:val="clear" w:color="auto" w:fill="FFFFFF"/>
                <w:lang w:val="uk-UA"/>
              </w:rPr>
              <w:t>Стаття 3</w:t>
            </w:r>
            <w:r w:rsidRPr="00792676">
              <w:rPr>
                <w:rFonts w:ascii="Times New Roman" w:hAnsi="Times New Roman" w:cs="Times New Roman"/>
                <w:sz w:val="25"/>
                <w:szCs w:val="25"/>
                <w:shd w:val="clear" w:color="auto" w:fill="FFFFFF"/>
                <w:lang w:val="uk-UA"/>
              </w:rPr>
              <w:t> </w:t>
            </w:r>
            <w:r w:rsidRPr="00792676">
              <w:rPr>
                <w:rFonts w:ascii="Times New Roman" w:hAnsi="Times New Roman" w:cs="Times New Roman"/>
                <w:sz w:val="25"/>
                <w:szCs w:val="25"/>
                <w:lang w:val="uk-UA"/>
              </w:rPr>
              <w:t>Закону України</w:t>
            </w:r>
            <w:r w:rsidRPr="00792676">
              <w:rPr>
                <w:rFonts w:ascii="Times New Roman" w:hAnsi="Times New Roman" w:cs="Times New Roman"/>
                <w:bCs/>
                <w:sz w:val="25"/>
                <w:szCs w:val="25"/>
                <w:shd w:val="clear" w:color="auto" w:fill="FFFFFF"/>
                <w:lang w:val="uk-UA"/>
              </w:rPr>
              <w:t xml:space="preserve"> «Про Національну комісію, що здійснює державне регулювання у сферах енергетики та комунальних послуг» визначає, що о</w:t>
            </w:r>
            <w:r w:rsidRPr="00792676">
              <w:rPr>
                <w:rFonts w:ascii="Times New Roman" w:hAnsi="Times New Roman" w:cs="Times New Roman"/>
                <w:sz w:val="25"/>
                <w:szCs w:val="25"/>
                <w:lang w:val="uk-UA"/>
              </w:rPr>
              <w:t xml:space="preserve">сновними завданнями Регулятора є, зокрема </w:t>
            </w:r>
            <w:bookmarkStart w:id="4" w:name="n32"/>
            <w:bookmarkStart w:id="5" w:name="n35"/>
            <w:bookmarkEnd w:id="4"/>
            <w:bookmarkEnd w:id="5"/>
            <w:r w:rsidRPr="00792676">
              <w:rPr>
                <w:rFonts w:ascii="Times New Roman" w:hAnsi="Times New Roman" w:cs="Times New Roman"/>
                <w:sz w:val="25"/>
                <w:szCs w:val="25"/>
                <w:lang w:val="uk-UA"/>
              </w:rPr>
              <w:t xml:space="preserve">забезпечення захисту прав споживачів товарів, послуг у сферах енергетики та комунальних послуг щодо отримання цих товарів і послуг належної якості в достатній кількості </w:t>
            </w:r>
            <w:r w:rsidRPr="00792676">
              <w:rPr>
                <w:rFonts w:ascii="Times New Roman" w:hAnsi="Times New Roman" w:cs="Times New Roman"/>
                <w:b/>
                <w:sz w:val="25"/>
                <w:szCs w:val="25"/>
                <w:u w:val="single"/>
                <w:lang w:val="uk-UA"/>
              </w:rPr>
              <w:t>за обґрунтованими цінами.</w:t>
            </w:r>
          </w:p>
          <w:p w:rsidR="00FB248B" w:rsidRPr="00792676" w:rsidRDefault="00FB248B" w:rsidP="00792676">
            <w:pPr>
              <w:pStyle w:val="a9"/>
              <w:spacing w:line="216" w:lineRule="auto"/>
              <w:ind w:firstLine="708"/>
              <w:jc w:val="both"/>
              <w:rPr>
                <w:rFonts w:ascii="Times New Roman" w:hAnsi="Times New Roman" w:cs="Times New Roman"/>
                <w:b/>
                <w:sz w:val="25"/>
                <w:szCs w:val="25"/>
                <w:u w:val="single"/>
                <w:lang w:val="uk-UA"/>
              </w:rPr>
            </w:pPr>
            <w:r w:rsidRPr="00792676">
              <w:rPr>
                <w:rStyle w:val="rvts9"/>
                <w:rFonts w:ascii="Times New Roman" w:hAnsi="Times New Roman" w:cs="Times New Roman"/>
                <w:bCs/>
                <w:sz w:val="25"/>
                <w:szCs w:val="25"/>
                <w:lang w:val="uk-UA"/>
              </w:rPr>
              <w:t>Відповідно до частини 1 статті 24</w:t>
            </w:r>
            <w:r w:rsidRPr="00792676">
              <w:rPr>
                <w:rFonts w:ascii="Times New Roman" w:hAnsi="Times New Roman" w:cs="Times New Roman"/>
                <w:sz w:val="25"/>
                <w:szCs w:val="25"/>
                <w:lang w:val="uk-UA"/>
              </w:rPr>
              <w:t xml:space="preserve"> Закону України</w:t>
            </w:r>
            <w:r w:rsidRPr="00792676">
              <w:rPr>
                <w:rFonts w:ascii="Times New Roman" w:hAnsi="Times New Roman" w:cs="Times New Roman"/>
                <w:bCs/>
                <w:sz w:val="25"/>
                <w:szCs w:val="25"/>
                <w:shd w:val="clear" w:color="auto" w:fill="FFFFFF"/>
                <w:lang w:val="uk-UA"/>
              </w:rPr>
              <w:t xml:space="preserve"> «Про Національну комісію, що здійснює державне регулювання у сферах енергетики та комунальних послуг» </w:t>
            </w:r>
            <w:bookmarkStart w:id="6" w:name="n451"/>
            <w:bookmarkEnd w:id="6"/>
            <w:r w:rsidRPr="00792676">
              <w:rPr>
                <w:rFonts w:ascii="Times New Roman" w:hAnsi="Times New Roman" w:cs="Times New Roman"/>
                <w:sz w:val="25"/>
                <w:szCs w:val="25"/>
                <w:lang w:val="uk-UA"/>
              </w:rPr>
              <w:t>Регулятор забезпечує відкритість своєї діяльності шляхом</w:t>
            </w:r>
            <w:bookmarkStart w:id="7" w:name="n452"/>
            <w:bookmarkStart w:id="8" w:name="n456"/>
            <w:bookmarkEnd w:id="7"/>
            <w:bookmarkEnd w:id="8"/>
            <w:r w:rsidRPr="00792676">
              <w:rPr>
                <w:rFonts w:ascii="Times New Roman" w:hAnsi="Times New Roman" w:cs="Times New Roman"/>
                <w:sz w:val="25"/>
                <w:szCs w:val="25"/>
                <w:lang w:val="uk-UA"/>
              </w:rPr>
              <w:t xml:space="preserve"> оприлюднення на своєму офіційному веб-сайті у формі відкритих даних</w:t>
            </w:r>
            <w:bookmarkStart w:id="9" w:name="n458"/>
            <w:bookmarkEnd w:id="9"/>
            <w:r w:rsidRPr="00792676">
              <w:rPr>
                <w:rFonts w:ascii="Times New Roman" w:hAnsi="Times New Roman" w:cs="Times New Roman"/>
                <w:sz w:val="25"/>
                <w:szCs w:val="25"/>
                <w:lang w:val="uk-UA"/>
              </w:rPr>
              <w:t xml:space="preserve"> проектів рішень Регулятора разом </w:t>
            </w:r>
            <w:r w:rsidRPr="00792676">
              <w:rPr>
                <w:rFonts w:ascii="Times New Roman" w:hAnsi="Times New Roman" w:cs="Times New Roman"/>
                <w:b/>
                <w:sz w:val="25"/>
                <w:szCs w:val="25"/>
                <w:u w:val="single"/>
                <w:lang w:val="uk-UA"/>
              </w:rPr>
              <w:t>з обґрунтуванням.</w:t>
            </w:r>
          </w:p>
          <w:p w:rsidR="00FB248B" w:rsidRPr="00792676" w:rsidRDefault="00FB248B" w:rsidP="00792676">
            <w:pPr>
              <w:pStyle w:val="a9"/>
              <w:spacing w:line="216" w:lineRule="auto"/>
              <w:ind w:firstLine="708"/>
              <w:jc w:val="both"/>
              <w:rPr>
                <w:rFonts w:ascii="Times New Roman" w:hAnsi="Times New Roman" w:cs="Times New Roman"/>
                <w:color w:val="000000" w:themeColor="text1"/>
                <w:sz w:val="25"/>
                <w:szCs w:val="25"/>
                <w:lang w:val="uk-UA"/>
              </w:rPr>
            </w:pPr>
            <w:r w:rsidRPr="00792676">
              <w:rPr>
                <w:rFonts w:ascii="Times New Roman" w:eastAsia="Times New Roman" w:hAnsi="Times New Roman" w:cs="Times New Roman"/>
                <w:sz w:val="25"/>
                <w:szCs w:val="25"/>
                <w:lang w:val="uk-UA" w:eastAsia="ru-RU"/>
              </w:rPr>
              <w:t xml:space="preserve">Розробником </w:t>
            </w:r>
            <w:proofErr w:type="spellStart"/>
            <w:r w:rsidRPr="00792676">
              <w:rPr>
                <w:rFonts w:ascii="Times New Roman" w:eastAsia="Times New Roman" w:hAnsi="Times New Roman" w:cs="Times New Roman"/>
                <w:sz w:val="25"/>
                <w:szCs w:val="25"/>
                <w:lang w:val="uk-UA" w:eastAsia="ru-RU"/>
              </w:rPr>
              <w:t>проєкту</w:t>
            </w:r>
            <w:proofErr w:type="spellEnd"/>
            <w:r w:rsidRPr="00792676">
              <w:rPr>
                <w:rFonts w:ascii="Times New Roman" w:eastAsia="Times New Roman" w:hAnsi="Times New Roman" w:cs="Times New Roman"/>
                <w:sz w:val="25"/>
                <w:szCs w:val="25"/>
                <w:lang w:val="uk-UA" w:eastAsia="ru-RU"/>
              </w:rPr>
              <w:t xml:space="preserve"> не надано жодного обґрунтування чому встановлюється вимога, що розмір ВТВ Оператора ГРМ на наступний період не може перевищувати середньоарифметичне значення обсягів фактичних втрат/витрат газу такого Оператора ГРМ за останні повних 5 календарних.</w:t>
            </w:r>
            <w:r w:rsidRPr="00792676">
              <w:rPr>
                <w:rFonts w:ascii="Times New Roman" w:hAnsi="Times New Roman" w:cs="Times New Roman"/>
                <w:color w:val="000000" w:themeColor="text1"/>
                <w:sz w:val="25"/>
                <w:szCs w:val="25"/>
                <w:lang w:val="uk-UA"/>
              </w:rPr>
              <w:t xml:space="preserve"> </w:t>
            </w:r>
          </w:p>
          <w:p w:rsidR="00FB248B" w:rsidRPr="00792676" w:rsidRDefault="00FB248B" w:rsidP="00792676">
            <w:pPr>
              <w:pStyle w:val="a9"/>
              <w:spacing w:line="216" w:lineRule="auto"/>
              <w:ind w:firstLine="708"/>
              <w:jc w:val="both"/>
              <w:rPr>
                <w:rFonts w:ascii="Times New Roman" w:hAnsi="Times New Roman" w:cs="Times New Roman"/>
                <w:color w:val="000000" w:themeColor="text1"/>
                <w:sz w:val="25"/>
                <w:szCs w:val="25"/>
                <w:lang w:val="uk-UA"/>
              </w:rPr>
            </w:pPr>
            <w:r w:rsidRPr="00792676">
              <w:rPr>
                <w:rFonts w:ascii="Times New Roman" w:hAnsi="Times New Roman" w:cs="Times New Roman"/>
                <w:color w:val="000000" w:themeColor="text1"/>
                <w:sz w:val="25"/>
                <w:szCs w:val="25"/>
                <w:lang w:val="uk-UA"/>
              </w:rPr>
              <w:t xml:space="preserve">Якщо діюча на сьогодні вимога, що розмір ВТВ природного газу на наступний період не може перевищувати обсяги фактичних втрат/витрат газу за попередній рік, є меншим ніж передбачено </w:t>
            </w:r>
            <w:proofErr w:type="spellStart"/>
            <w:r w:rsidRPr="00792676">
              <w:rPr>
                <w:rFonts w:ascii="Times New Roman" w:hAnsi="Times New Roman" w:cs="Times New Roman"/>
                <w:color w:val="000000" w:themeColor="text1"/>
                <w:sz w:val="25"/>
                <w:szCs w:val="25"/>
                <w:lang w:val="uk-UA"/>
              </w:rPr>
              <w:t>проєктом</w:t>
            </w:r>
            <w:proofErr w:type="spellEnd"/>
            <w:r w:rsidRPr="00792676">
              <w:rPr>
                <w:rFonts w:ascii="Times New Roman" w:hAnsi="Times New Roman" w:cs="Times New Roman"/>
                <w:color w:val="000000" w:themeColor="text1"/>
                <w:sz w:val="25"/>
                <w:szCs w:val="25"/>
                <w:lang w:val="uk-UA"/>
              </w:rPr>
              <w:t>, то НКРЕКП має бути зазначено чому він збільшується. В іншому випадку – чому він зменшується.</w:t>
            </w:r>
          </w:p>
        </w:tc>
        <w:tc>
          <w:tcPr>
            <w:tcW w:w="4816" w:type="dxa"/>
          </w:tcPr>
          <w:p w:rsidR="00FB248B" w:rsidRDefault="00A25BD6" w:rsidP="00792676">
            <w:pPr>
              <w:spacing w:line="216" w:lineRule="auto"/>
              <w:ind w:firstLine="709"/>
              <w:jc w:val="both"/>
              <w:rPr>
                <w:rFonts w:ascii="Times New Roman" w:hAnsi="Times New Roman" w:cs="Times New Roman"/>
                <w:b/>
                <w:color w:val="000000" w:themeColor="text1"/>
                <w:sz w:val="25"/>
                <w:szCs w:val="25"/>
              </w:rPr>
            </w:pPr>
            <w:r>
              <w:rPr>
                <w:rFonts w:ascii="Times New Roman" w:hAnsi="Times New Roman" w:cs="Times New Roman"/>
                <w:b/>
                <w:color w:val="000000" w:themeColor="text1"/>
                <w:sz w:val="25"/>
                <w:szCs w:val="25"/>
              </w:rPr>
              <w:t>Попередньо відхиляється</w:t>
            </w:r>
          </w:p>
          <w:p w:rsidR="00183E72" w:rsidRDefault="00A25BD6" w:rsidP="00792676">
            <w:pPr>
              <w:spacing w:line="216" w:lineRule="auto"/>
              <w:ind w:firstLine="709"/>
              <w:jc w:val="both"/>
              <w:rPr>
                <w:rFonts w:ascii="Times New Roman" w:hAnsi="Times New Roman" w:cs="Times New Roman"/>
                <w:color w:val="000000" w:themeColor="text1"/>
                <w:sz w:val="25"/>
                <w:szCs w:val="25"/>
              </w:rPr>
            </w:pPr>
            <w:r>
              <w:rPr>
                <w:rFonts w:ascii="Times New Roman" w:hAnsi="Times New Roman" w:cs="Times New Roman"/>
                <w:color w:val="000000" w:themeColor="text1"/>
                <w:sz w:val="25"/>
                <w:szCs w:val="25"/>
              </w:rPr>
              <w:t xml:space="preserve">Обсяг фактичних втрат/витрат природного газу </w:t>
            </w:r>
            <w:r w:rsidRPr="00A25BD6">
              <w:rPr>
                <w:rFonts w:ascii="Times New Roman" w:hAnsi="Times New Roman" w:cs="Times New Roman"/>
                <w:color w:val="000000" w:themeColor="text1"/>
                <w:sz w:val="25"/>
                <w:szCs w:val="25"/>
              </w:rPr>
              <w:t>розраховується як різниця між об’ємом (обсягом) надходження природного газу, до ГРМ у відповідний період і об’ємом (обсягом) природного газу який розподілений між підключеними до/через ГРМ споживачами та переданий в ГТС і в суміжні ГРМ протягом зазначеного періоду.</w:t>
            </w:r>
            <w:r>
              <w:rPr>
                <w:rFonts w:ascii="Times New Roman" w:hAnsi="Times New Roman" w:cs="Times New Roman"/>
                <w:color w:val="000000" w:themeColor="text1"/>
                <w:sz w:val="25"/>
                <w:szCs w:val="25"/>
              </w:rPr>
              <w:t xml:space="preserve"> </w:t>
            </w:r>
          </w:p>
          <w:p w:rsidR="00183E72" w:rsidRDefault="00183E72" w:rsidP="00183E72">
            <w:pPr>
              <w:spacing w:line="216" w:lineRule="auto"/>
              <w:ind w:firstLine="709"/>
              <w:jc w:val="both"/>
              <w:rPr>
                <w:rFonts w:ascii="Times New Roman" w:hAnsi="Times New Roman" w:cs="Times New Roman"/>
                <w:color w:val="000000" w:themeColor="text1"/>
                <w:sz w:val="25"/>
                <w:szCs w:val="25"/>
              </w:rPr>
            </w:pPr>
            <w:r>
              <w:rPr>
                <w:rFonts w:ascii="Times New Roman" w:hAnsi="Times New Roman" w:cs="Times New Roman"/>
                <w:color w:val="000000" w:themeColor="text1"/>
                <w:sz w:val="25"/>
                <w:szCs w:val="25"/>
              </w:rPr>
              <w:t>Разом з тим, у</w:t>
            </w:r>
            <w:r w:rsidRPr="007646D2">
              <w:rPr>
                <w:rFonts w:ascii="Times New Roman" w:hAnsi="Times New Roman" w:cs="Times New Roman"/>
                <w:color w:val="000000" w:themeColor="text1"/>
                <w:sz w:val="25"/>
                <w:szCs w:val="25"/>
              </w:rPr>
              <w:t xml:space="preserve"> зв’язку з повномасштабним вторгненням </w:t>
            </w:r>
            <w:proofErr w:type="spellStart"/>
            <w:r w:rsidRPr="007646D2">
              <w:rPr>
                <w:rFonts w:ascii="Times New Roman" w:hAnsi="Times New Roman" w:cs="Times New Roman"/>
                <w:color w:val="000000" w:themeColor="text1"/>
                <w:sz w:val="25"/>
                <w:szCs w:val="25"/>
              </w:rPr>
              <w:t>рф</w:t>
            </w:r>
            <w:proofErr w:type="spellEnd"/>
            <w:r w:rsidRPr="007646D2">
              <w:rPr>
                <w:rFonts w:ascii="Times New Roman" w:hAnsi="Times New Roman" w:cs="Times New Roman"/>
                <w:color w:val="000000" w:themeColor="text1"/>
                <w:sz w:val="25"/>
                <w:szCs w:val="25"/>
              </w:rPr>
              <w:t xml:space="preserve"> в Україну</w:t>
            </w:r>
            <w:r>
              <w:rPr>
                <w:rFonts w:ascii="Times New Roman" w:hAnsi="Times New Roman" w:cs="Times New Roman"/>
                <w:color w:val="000000" w:themeColor="text1"/>
                <w:sz w:val="25"/>
                <w:szCs w:val="25"/>
              </w:rPr>
              <w:t>, окупацією частини території України, міграцією населення та бізнесу відбулася суттєва зміна структури споживання природного газу, що, відповідно, вплинуло на річні обсяги фактичних втрат/витрат природного газу Операторів ГРМ.</w:t>
            </w:r>
          </w:p>
          <w:p w:rsidR="00A25BD6" w:rsidRPr="00183E72" w:rsidRDefault="00D1122A" w:rsidP="00D1122A">
            <w:pPr>
              <w:spacing w:line="216" w:lineRule="auto"/>
              <w:ind w:firstLine="709"/>
              <w:jc w:val="both"/>
              <w:rPr>
                <w:rFonts w:ascii="Times New Roman" w:hAnsi="Times New Roman" w:cs="Times New Roman"/>
                <w:color w:val="000000" w:themeColor="text1"/>
                <w:sz w:val="25"/>
                <w:szCs w:val="25"/>
              </w:rPr>
            </w:pPr>
            <w:r>
              <w:rPr>
                <w:rFonts w:ascii="Times New Roman" w:hAnsi="Times New Roman" w:cs="Times New Roman"/>
                <w:color w:val="000000" w:themeColor="text1"/>
                <w:sz w:val="25"/>
                <w:szCs w:val="25"/>
              </w:rPr>
              <w:t xml:space="preserve">Враховуючи викладене вище, </w:t>
            </w:r>
            <w:proofErr w:type="spellStart"/>
            <w:r w:rsidR="00A25BD6">
              <w:rPr>
                <w:rFonts w:ascii="Times New Roman" w:hAnsi="Times New Roman" w:cs="Times New Roman"/>
                <w:color w:val="000000" w:themeColor="text1"/>
                <w:sz w:val="25"/>
                <w:szCs w:val="25"/>
              </w:rPr>
              <w:t>Проєкт</w:t>
            </w:r>
            <w:r>
              <w:rPr>
                <w:rFonts w:ascii="Times New Roman" w:hAnsi="Times New Roman" w:cs="Times New Roman"/>
                <w:color w:val="000000" w:themeColor="text1"/>
                <w:sz w:val="25"/>
                <w:szCs w:val="25"/>
              </w:rPr>
              <w:t>ом</w:t>
            </w:r>
            <w:proofErr w:type="spellEnd"/>
            <w:r w:rsidR="00A25BD6">
              <w:rPr>
                <w:rFonts w:ascii="Times New Roman" w:hAnsi="Times New Roman" w:cs="Times New Roman"/>
                <w:color w:val="000000" w:themeColor="text1"/>
                <w:sz w:val="25"/>
                <w:szCs w:val="25"/>
              </w:rPr>
              <w:t xml:space="preserve"> пропонується розширити період</w:t>
            </w:r>
            <w:r>
              <w:rPr>
                <w:rFonts w:ascii="Times New Roman" w:hAnsi="Times New Roman" w:cs="Times New Roman"/>
                <w:color w:val="000000" w:themeColor="text1"/>
                <w:sz w:val="25"/>
                <w:szCs w:val="25"/>
              </w:rPr>
              <w:t>,</w:t>
            </w:r>
            <w:r w:rsidR="00A25BD6">
              <w:rPr>
                <w:rFonts w:ascii="Times New Roman" w:hAnsi="Times New Roman" w:cs="Times New Roman"/>
                <w:color w:val="000000" w:themeColor="text1"/>
                <w:sz w:val="25"/>
                <w:szCs w:val="25"/>
              </w:rPr>
              <w:t xml:space="preserve"> за який здійснюється вибірка даних для встановлення нормативних втрат/витрат природного газу, що дозволить більш точно визначити планований обсяг на наступний період.</w:t>
            </w:r>
          </w:p>
        </w:tc>
      </w:tr>
    </w:tbl>
    <w:p w:rsidR="004B3BF5" w:rsidRDefault="004B3BF5" w:rsidP="00C91B23">
      <w:pPr>
        <w:tabs>
          <w:tab w:val="left" w:pos="0"/>
        </w:tabs>
        <w:spacing w:before="120" w:line="240" w:lineRule="auto"/>
        <w:ind w:right="-1"/>
        <w:contextualSpacing/>
        <w:jc w:val="both"/>
        <w:rPr>
          <w:rFonts w:ascii="Times New Roman" w:hAnsi="Times New Roman" w:cs="Times New Roman"/>
          <w:sz w:val="25"/>
          <w:szCs w:val="25"/>
        </w:rPr>
      </w:pPr>
    </w:p>
    <w:p w:rsidR="00C91B23" w:rsidRPr="00792676" w:rsidRDefault="00C91B23" w:rsidP="00C91B23">
      <w:pPr>
        <w:tabs>
          <w:tab w:val="left" w:pos="0"/>
        </w:tabs>
        <w:spacing w:before="120" w:line="240" w:lineRule="auto"/>
        <w:ind w:right="-1"/>
        <w:contextualSpacing/>
        <w:jc w:val="both"/>
        <w:rPr>
          <w:rFonts w:ascii="Times New Roman" w:hAnsi="Times New Roman" w:cs="Times New Roman"/>
          <w:sz w:val="25"/>
          <w:szCs w:val="25"/>
        </w:rPr>
      </w:pPr>
    </w:p>
    <w:p w:rsidR="00C91B23" w:rsidRPr="00C91B23" w:rsidRDefault="004B3BF5" w:rsidP="00C91B23">
      <w:pPr>
        <w:spacing w:after="0" w:line="240" w:lineRule="auto"/>
        <w:rPr>
          <w:rFonts w:ascii="Times New Roman" w:hAnsi="Times New Roman" w:cs="Times New Roman"/>
          <w:b/>
          <w:sz w:val="25"/>
          <w:szCs w:val="25"/>
        </w:rPr>
      </w:pPr>
      <w:r w:rsidRPr="00C91B23">
        <w:rPr>
          <w:rFonts w:ascii="Times New Roman" w:hAnsi="Times New Roman" w:cs="Times New Roman"/>
          <w:b/>
          <w:sz w:val="25"/>
          <w:szCs w:val="25"/>
        </w:rPr>
        <w:t>Заступник директора</w:t>
      </w:r>
      <w:r w:rsidR="006E45DA" w:rsidRPr="00C91B23">
        <w:rPr>
          <w:rFonts w:ascii="Times New Roman" w:hAnsi="Times New Roman" w:cs="Times New Roman"/>
          <w:b/>
          <w:sz w:val="25"/>
          <w:szCs w:val="25"/>
          <w:lang w:val="ru-RU"/>
        </w:rPr>
        <w:t xml:space="preserve"> </w:t>
      </w:r>
      <w:r w:rsidR="006E45DA" w:rsidRPr="00C91B23">
        <w:rPr>
          <w:rFonts w:ascii="Times New Roman" w:hAnsi="Times New Roman" w:cs="Times New Roman"/>
          <w:b/>
          <w:sz w:val="25"/>
          <w:szCs w:val="25"/>
        </w:rPr>
        <w:t>Департаменту</w:t>
      </w:r>
      <w:r w:rsidRPr="00C91B23">
        <w:rPr>
          <w:rFonts w:ascii="Times New Roman" w:hAnsi="Times New Roman" w:cs="Times New Roman"/>
          <w:sz w:val="25"/>
          <w:szCs w:val="25"/>
        </w:rPr>
        <w:t>-</w:t>
      </w:r>
      <w:r w:rsidRPr="00C91B23">
        <w:rPr>
          <w:rFonts w:ascii="Times New Roman" w:hAnsi="Times New Roman" w:cs="Times New Roman"/>
          <w:b/>
          <w:sz w:val="25"/>
          <w:szCs w:val="25"/>
        </w:rPr>
        <w:t xml:space="preserve">начальник відділу </w:t>
      </w:r>
    </w:p>
    <w:p w:rsidR="00C91B23" w:rsidRPr="00C91B23" w:rsidRDefault="00C91B23" w:rsidP="00C91B23">
      <w:pPr>
        <w:spacing w:after="0" w:line="240" w:lineRule="auto"/>
        <w:rPr>
          <w:rFonts w:ascii="Times New Roman" w:hAnsi="Times New Roman" w:cs="Times New Roman"/>
          <w:b/>
          <w:sz w:val="25"/>
          <w:szCs w:val="25"/>
        </w:rPr>
      </w:pPr>
      <w:r w:rsidRPr="00C91B23">
        <w:rPr>
          <w:rFonts w:ascii="Times New Roman" w:hAnsi="Times New Roman" w:cs="Times New Roman"/>
          <w:b/>
          <w:sz w:val="25"/>
          <w:szCs w:val="25"/>
        </w:rPr>
        <w:t xml:space="preserve">захисту прав побутових споживачів Департаменту </w:t>
      </w:r>
    </w:p>
    <w:p w:rsidR="004B3BF5" w:rsidRPr="00792676" w:rsidRDefault="00C91B23" w:rsidP="00C91B23">
      <w:pPr>
        <w:spacing w:after="0" w:line="240" w:lineRule="auto"/>
        <w:rPr>
          <w:rFonts w:ascii="Times New Roman" w:hAnsi="Times New Roman" w:cs="Times New Roman"/>
          <w:b/>
          <w:sz w:val="25"/>
          <w:szCs w:val="25"/>
        </w:rPr>
      </w:pPr>
      <w:r w:rsidRPr="00C91B23">
        <w:rPr>
          <w:rFonts w:ascii="Times New Roman" w:hAnsi="Times New Roman" w:cs="Times New Roman"/>
          <w:b/>
          <w:sz w:val="25"/>
          <w:szCs w:val="25"/>
        </w:rPr>
        <w:t>розвитку газового ринку</w:t>
      </w:r>
      <w:r w:rsidR="004B3BF5" w:rsidRPr="00C91B23">
        <w:rPr>
          <w:rFonts w:ascii="Times New Roman" w:hAnsi="Times New Roman" w:cs="Times New Roman"/>
          <w:b/>
          <w:sz w:val="25"/>
          <w:szCs w:val="25"/>
        </w:rPr>
        <w:tab/>
      </w:r>
      <w:r w:rsidR="004B3BF5" w:rsidRPr="00C91B23">
        <w:rPr>
          <w:rFonts w:ascii="Times New Roman" w:hAnsi="Times New Roman" w:cs="Times New Roman"/>
          <w:b/>
          <w:sz w:val="25"/>
          <w:szCs w:val="25"/>
        </w:rPr>
        <w:tab/>
      </w:r>
      <w:r w:rsidR="004B3BF5" w:rsidRPr="00C91B23">
        <w:rPr>
          <w:rFonts w:ascii="Times New Roman" w:hAnsi="Times New Roman" w:cs="Times New Roman"/>
          <w:b/>
          <w:sz w:val="25"/>
          <w:szCs w:val="25"/>
        </w:rPr>
        <w:tab/>
      </w:r>
      <w:r w:rsidR="004B3BF5" w:rsidRPr="00C91B23">
        <w:rPr>
          <w:rFonts w:ascii="Times New Roman" w:hAnsi="Times New Roman" w:cs="Times New Roman"/>
          <w:b/>
          <w:sz w:val="25"/>
          <w:szCs w:val="25"/>
        </w:rPr>
        <w:tab/>
      </w:r>
      <w:r w:rsidR="004B3BF5" w:rsidRPr="00C91B23">
        <w:rPr>
          <w:rFonts w:ascii="Times New Roman" w:hAnsi="Times New Roman" w:cs="Times New Roman"/>
          <w:b/>
          <w:sz w:val="25"/>
          <w:szCs w:val="25"/>
        </w:rPr>
        <w:tab/>
      </w:r>
      <w:r w:rsidR="004B3BF5" w:rsidRPr="00C91B23">
        <w:rPr>
          <w:rFonts w:ascii="Times New Roman" w:hAnsi="Times New Roman" w:cs="Times New Roman"/>
          <w:b/>
          <w:sz w:val="25"/>
          <w:szCs w:val="25"/>
        </w:rPr>
        <w:tab/>
      </w:r>
      <w:r w:rsidR="004B3BF5" w:rsidRPr="00C91B23">
        <w:rPr>
          <w:rFonts w:ascii="Times New Roman" w:hAnsi="Times New Roman" w:cs="Times New Roman"/>
          <w:b/>
          <w:sz w:val="25"/>
          <w:szCs w:val="25"/>
        </w:rPr>
        <w:tab/>
      </w:r>
      <w:r w:rsidR="004B3BF5" w:rsidRPr="00C91B23">
        <w:rPr>
          <w:rFonts w:ascii="Times New Roman" w:hAnsi="Times New Roman" w:cs="Times New Roman"/>
          <w:b/>
          <w:sz w:val="25"/>
          <w:szCs w:val="25"/>
        </w:rPr>
        <w:tab/>
      </w:r>
      <w:r w:rsidR="004B3BF5" w:rsidRPr="00C91B23">
        <w:rPr>
          <w:rFonts w:ascii="Times New Roman" w:hAnsi="Times New Roman" w:cs="Times New Roman"/>
          <w:b/>
          <w:sz w:val="25"/>
          <w:szCs w:val="25"/>
        </w:rPr>
        <w:tab/>
      </w:r>
      <w:r w:rsidR="004B3BF5" w:rsidRPr="00C91B23">
        <w:rPr>
          <w:rFonts w:ascii="Times New Roman" w:hAnsi="Times New Roman" w:cs="Times New Roman"/>
          <w:b/>
          <w:sz w:val="25"/>
          <w:szCs w:val="25"/>
        </w:rPr>
        <w:tab/>
      </w:r>
      <w:r w:rsidR="00DA2AC6" w:rsidRPr="00C91B23">
        <w:rPr>
          <w:rFonts w:ascii="Times New Roman" w:hAnsi="Times New Roman" w:cs="Times New Roman"/>
          <w:b/>
          <w:sz w:val="25"/>
          <w:szCs w:val="25"/>
        </w:rPr>
        <w:tab/>
      </w:r>
      <w:r w:rsidRPr="00C91B23">
        <w:rPr>
          <w:rFonts w:ascii="Times New Roman" w:hAnsi="Times New Roman" w:cs="Times New Roman"/>
          <w:b/>
          <w:sz w:val="25"/>
          <w:szCs w:val="25"/>
        </w:rPr>
        <w:t xml:space="preserve">                                                       </w:t>
      </w:r>
      <w:r w:rsidR="004B3BF5" w:rsidRPr="00C91B23">
        <w:rPr>
          <w:rFonts w:ascii="Times New Roman" w:hAnsi="Times New Roman" w:cs="Times New Roman"/>
          <w:b/>
          <w:sz w:val="25"/>
          <w:szCs w:val="25"/>
        </w:rPr>
        <w:t xml:space="preserve">Тетяна </w:t>
      </w:r>
      <w:r w:rsidRPr="00C91B23">
        <w:rPr>
          <w:rFonts w:ascii="Times New Roman" w:hAnsi="Times New Roman" w:cs="Times New Roman"/>
          <w:b/>
          <w:sz w:val="25"/>
          <w:szCs w:val="25"/>
        </w:rPr>
        <w:t>ДИГАС</w:t>
      </w:r>
    </w:p>
    <w:p w:rsidR="004B3BF5" w:rsidRPr="008A11BB" w:rsidRDefault="004B3BF5" w:rsidP="008A11BB">
      <w:pPr>
        <w:spacing w:after="0" w:line="240" w:lineRule="auto"/>
        <w:rPr>
          <w:rFonts w:ascii="Times New Roman" w:eastAsia="Times New Roman" w:hAnsi="Times New Roman" w:cs="Times New Roman"/>
          <w:b/>
          <w:bCs/>
          <w:color w:val="000000"/>
          <w:sz w:val="24"/>
          <w:szCs w:val="24"/>
        </w:rPr>
      </w:pPr>
    </w:p>
    <w:sectPr w:rsidR="004B3BF5" w:rsidRPr="008A11BB" w:rsidSect="00792676">
      <w:footerReference w:type="default" r:id="rId6"/>
      <w:pgSz w:w="16838" w:h="11906" w:orient="landscape"/>
      <w:pgMar w:top="851" w:right="850" w:bottom="1418"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25DD" w:rsidRDefault="00D325DD" w:rsidP="00C24EEB">
      <w:pPr>
        <w:spacing w:after="0" w:line="240" w:lineRule="auto"/>
      </w:pPr>
      <w:r>
        <w:separator/>
      </w:r>
    </w:p>
  </w:endnote>
  <w:endnote w:type="continuationSeparator" w:id="0">
    <w:p w:rsidR="00D325DD" w:rsidRDefault="00D325DD" w:rsidP="00C24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072505"/>
      <w:docPartObj>
        <w:docPartGallery w:val="Page Numbers (Bottom of Page)"/>
        <w:docPartUnique/>
      </w:docPartObj>
    </w:sdtPr>
    <w:sdtEndPr/>
    <w:sdtContent>
      <w:p w:rsidR="00C24EEB" w:rsidRDefault="00414566">
        <w:pPr>
          <w:pStyle w:val="a7"/>
          <w:jc w:val="right"/>
        </w:pPr>
        <w:r>
          <w:fldChar w:fldCharType="begin"/>
        </w:r>
        <w:r w:rsidR="00C24EEB">
          <w:instrText>PAGE   \* MERGEFORMAT</w:instrText>
        </w:r>
        <w:r>
          <w:fldChar w:fldCharType="separate"/>
        </w:r>
        <w:r w:rsidR="00910165">
          <w:rPr>
            <w:noProof/>
          </w:rPr>
          <w:t>4</w:t>
        </w:r>
        <w:r>
          <w:fldChar w:fldCharType="end"/>
        </w:r>
      </w:p>
    </w:sdtContent>
  </w:sdt>
  <w:p w:rsidR="00C24EEB" w:rsidRDefault="00C24EE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25DD" w:rsidRDefault="00D325DD" w:rsidP="00C24EEB">
      <w:pPr>
        <w:spacing w:after="0" w:line="240" w:lineRule="auto"/>
      </w:pPr>
      <w:r>
        <w:separator/>
      </w:r>
    </w:p>
  </w:footnote>
  <w:footnote w:type="continuationSeparator" w:id="0">
    <w:p w:rsidR="00D325DD" w:rsidRDefault="00D325DD" w:rsidP="00C24E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4DE"/>
    <w:rsid w:val="00012D7C"/>
    <w:rsid w:val="00036AA4"/>
    <w:rsid w:val="00047134"/>
    <w:rsid w:val="00063088"/>
    <w:rsid w:val="00082CB1"/>
    <w:rsid w:val="000A36AE"/>
    <w:rsid w:val="000A512C"/>
    <w:rsid w:val="000C04DE"/>
    <w:rsid w:val="001016BD"/>
    <w:rsid w:val="00125869"/>
    <w:rsid w:val="00147EC0"/>
    <w:rsid w:val="00183E72"/>
    <w:rsid w:val="001A3639"/>
    <w:rsid w:val="001B4286"/>
    <w:rsid w:val="001C0914"/>
    <w:rsid w:val="00211F06"/>
    <w:rsid w:val="00212480"/>
    <w:rsid w:val="00231724"/>
    <w:rsid w:val="002522C5"/>
    <w:rsid w:val="00260DFD"/>
    <w:rsid w:val="00272BD8"/>
    <w:rsid w:val="00274F2E"/>
    <w:rsid w:val="00283D58"/>
    <w:rsid w:val="002E498B"/>
    <w:rsid w:val="002F0892"/>
    <w:rsid w:val="00301545"/>
    <w:rsid w:val="0030166B"/>
    <w:rsid w:val="00316BA2"/>
    <w:rsid w:val="00331417"/>
    <w:rsid w:val="00356F27"/>
    <w:rsid w:val="00357AE4"/>
    <w:rsid w:val="003B1F75"/>
    <w:rsid w:val="00402203"/>
    <w:rsid w:val="00405984"/>
    <w:rsid w:val="00414566"/>
    <w:rsid w:val="00420C2B"/>
    <w:rsid w:val="00422F21"/>
    <w:rsid w:val="004332B2"/>
    <w:rsid w:val="004565D3"/>
    <w:rsid w:val="0047565F"/>
    <w:rsid w:val="004824DF"/>
    <w:rsid w:val="004A0E03"/>
    <w:rsid w:val="004B3BF5"/>
    <w:rsid w:val="004F37B6"/>
    <w:rsid w:val="00503489"/>
    <w:rsid w:val="00527563"/>
    <w:rsid w:val="0053082B"/>
    <w:rsid w:val="0056452B"/>
    <w:rsid w:val="005A2ECE"/>
    <w:rsid w:val="00600105"/>
    <w:rsid w:val="006528D2"/>
    <w:rsid w:val="00663D85"/>
    <w:rsid w:val="0067776E"/>
    <w:rsid w:val="0068294B"/>
    <w:rsid w:val="006B6535"/>
    <w:rsid w:val="006C3FA1"/>
    <w:rsid w:val="006E41CC"/>
    <w:rsid w:val="006E45DA"/>
    <w:rsid w:val="0071272F"/>
    <w:rsid w:val="00770C34"/>
    <w:rsid w:val="00771EF7"/>
    <w:rsid w:val="0078296D"/>
    <w:rsid w:val="00792676"/>
    <w:rsid w:val="007B4790"/>
    <w:rsid w:val="007C2486"/>
    <w:rsid w:val="00836BB9"/>
    <w:rsid w:val="00850832"/>
    <w:rsid w:val="008A11BB"/>
    <w:rsid w:val="008B5F29"/>
    <w:rsid w:val="008D7E0F"/>
    <w:rsid w:val="00910165"/>
    <w:rsid w:val="009372D8"/>
    <w:rsid w:val="00976C3B"/>
    <w:rsid w:val="009D4461"/>
    <w:rsid w:val="009E6363"/>
    <w:rsid w:val="00A02F89"/>
    <w:rsid w:val="00A03204"/>
    <w:rsid w:val="00A25BD6"/>
    <w:rsid w:val="00A3615D"/>
    <w:rsid w:val="00A51DD6"/>
    <w:rsid w:val="00A6250F"/>
    <w:rsid w:val="00A83B96"/>
    <w:rsid w:val="00A938BD"/>
    <w:rsid w:val="00A96938"/>
    <w:rsid w:val="00AE67F1"/>
    <w:rsid w:val="00AF2B6A"/>
    <w:rsid w:val="00B203B3"/>
    <w:rsid w:val="00B864EC"/>
    <w:rsid w:val="00BA6D5C"/>
    <w:rsid w:val="00BC110C"/>
    <w:rsid w:val="00BC4A82"/>
    <w:rsid w:val="00BC72BA"/>
    <w:rsid w:val="00BD6FCF"/>
    <w:rsid w:val="00C24EEB"/>
    <w:rsid w:val="00C36233"/>
    <w:rsid w:val="00C50845"/>
    <w:rsid w:val="00C63FDD"/>
    <w:rsid w:val="00C74DAB"/>
    <w:rsid w:val="00C91B23"/>
    <w:rsid w:val="00CC36BA"/>
    <w:rsid w:val="00CD48EB"/>
    <w:rsid w:val="00CF083D"/>
    <w:rsid w:val="00CF17AC"/>
    <w:rsid w:val="00D1122A"/>
    <w:rsid w:val="00D30967"/>
    <w:rsid w:val="00D325DD"/>
    <w:rsid w:val="00D34802"/>
    <w:rsid w:val="00D4635D"/>
    <w:rsid w:val="00D63653"/>
    <w:rsid w:val="00D828FD"/>
    <w:rsid w:val="00D86447"/>
    <w:rsid w:val="00DA2AC6"/>
    <w:rsid w:val="00DB716D"/>
    <w:rsid w:val="00E0217A"/>
    <w:rsid w:val="00E04550"/>
    <w:rsid w:val="00E1087A"/>
    <w:rsid w:val="00E57B04"/>
    <w:rsid w:val="00E8139B"/>
    <w:rsid w:val="00EA1EDF"/>
    <w:rsid w:val="00EB0495"/>
    <w:rsid w:val="00EB37FE"/>
    <w:rsid w:val="00EC693E"/>
    <w:rsid w:val="00ED19B6"/>
    <w:rsid w:val="00ED7EDD"/>
    <w:rsid w:val="00EE0A09"/>
    <w:rsid w:val="00EF625A"/>
    <w:rsid w:val="00F51617"/>
    <w:rsid w:val="00F85499"/>
    <w:rsid w:val="00FB2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1508"/>
  <w15:docId w15:val="{E3D7BC8B-D7B4-43F3-878F-75BB34C95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19B6"/>
    <w:pPr>
      <w:spacing w:line="256" w:lineRule="auto"/>
    </w:pPr>
    <w:rPr>
      <w:rFonts w:ascii="Calibri" w:eastAsia="Calibri" w:hAnsi="Calibri" w:cs="Calibri"/>
      <w:lang w:eastAsia="uk-UA"/>
    </w:rPr>
  </w:style>
  <w:style w:type="paragraph" w:styleId="3">
    <w:name w:val="heading 3"/>
    <w:basedOn w:val="a"/>
    <w:next w:val="a"/>
    <w:link w:val="30"/>
    <w:uiPriority w:val="9"/>
    <w:semiHidden/>
    <w:unhideWhenUsed/>
    <w:qFormat/>
    <w:rsid w:val="00A96938"/>
    <w:pPr>
      <w:keepNext/>
      <w:keepLines/>
      <w:spacing w:before="160" w:after="80" w:line="276" w:lineRule="auto"/>
      <w:outlineLvl w:val="2"/>
    </w:pPr>
    <w:rPr>
      <w:rFonts w:eastAsiaTheme="majorEastAsia" w:cstheme="majorBidi"/>
      <w:color w:val="2F5496"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1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7565F"/>
    <w:rPr>
      <w:color w:val="0563C1" w:themeColor="hyperlink"/>
      <w:u w:val="single"/>
    </w:rPr>
  </w:style>
  <w:style w:type="paragraph" w:customStyle="1" w:styleId="rvps2">
    <w:name w:val="rvps2"/>
    <w:basedOn w:val="a"/>
    <w:rsid w:val="00D34802"/>
    <w:pPr>
      <w:spacing w:before="100" w:beforeAutospacing="1" w:after="100" w:afterAutospacing="1" w:line="240" w:lineRule="auto"/>
    </w:pPr>
    <w:rPr>
      <w:rFonts w:ascii="Times New Roman" w:hAnsi="Times New Roman" w:cs="Times New Roman"/>
      <w:sz w:val="24"/>
      <w:szCs w:val="24"/>
    </w:rPr>
  </w:style>
  <w:style w:type="character" w:customStyle="1" w:styleId="30">
    <w:name w:val="Заголовок 3 Знак"/>
    <w:basedOn w:val="a0"/>
    <w:link w:val="3"/>
    <w:uiPriority w:val="9"/>
    <w:semiHidden/>
    <w:rsid w:val="00A96938"/>
    <w:rPr>
      <w:rFonts w:ascii="Calibri" w:eastAsiaTheme="majorEastAsia" w:hAnsi="Calibri" w:cstheme="majorBidi"/>
      <w:color w:val="2F5496" w:themeColor="accent1" w:themeShade="BF"/>
      <w:sz w:val="28"/>
      <w:szCs w:val="28"/>
    </w:rPr>
  </w:style>
  <w:style w:type="paragraph" w:styleId="a5">
    <w:name w:val="header"/>
    <w:basedOn w:val="a"/>
    <w:link w:val="a6"/>
    <w:uiPriority w:val="99"/>
    <w:unhideWhenUsed/>
    <w:rsid w:val="00C24EEB"/>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C24EEB"/>
    <w:rPr>
      <w:rFonts w:ascii="Calibri" w:eastAsia="Calibri" w:hAnsi="Calibri" w:cs="Calibri"/>
      <w:lang w:eastAsia="uk-UA"/>
    </w:rPr>
  </w:style>
  <w:style w:type="paragraph" w:styleId="a7">
    <w:name w:val="footer"/>
    <w:basedOn w:val="a"/>
    <w:link w:val="a8"/>
    <w:uiPriority w:val="99"/>
    <w:unhideWhenUsed/>
    <w:rsid w:val="00C24EEB"/>
    <w:pPr>
      <w:tabs>
        <w:tab w:val="center" w:pos="4819"/>
        <w:tab w:val="right" w:pos="9639"/>
      </w:tabs>
      <w:spacing w:after="0" w:line="240" w:lineRule="auto"/>
    </w:pPr>
  </w:style>
  <w:style w:type="character" w:customStyle="1" w:styleId="a8">
    <w:name w:val="Нижній колонтитул Знак"/>
    <w:basedOn w:val="a0"/>
    <w:link w:val="a7"/>
    <w:uiPriority w:val="99"/>
    <w:rsid w:val="00C24EEB"/>
    <w:rPr>
      <w:rFonts w:ascii="Calibri" w:eastAsia="Calibri" w:hAnsi="Calibri" w:cs="Calibri"/>
      <w:lang w:eastAsia="uk-UA"/>
    </w:rPr>
  </w:style>
  <w:style w:type="character" w:customStyle="1" w:styleId="rvts23">
    <w:name w:val="rvts23"/>
    <w:basedOn w:val="a0"/>
    <w:rsid w:val="00274F2E"/>
  </w:style>
  <w:style w:type="paragraph" w:styleId="a9">
    <w:name w:val="No Spacing"/>
    <w:uiPriority w:val="1"/>
    <w:qFormat/>
    <w:rsid w:val="00FB248B"/>
    <w:pPr>
      <w:spacing w:after="0" w:line="240" w:lineRule="auto"/>
    </w:pPr>
    <w:rPr>
      <w:sz w:val="24"/>
      <w:szCs w:val="24"/>
      <w:lang w:val="ru-RU"/>
    </w:rPr>
  </w:style>
  <w:style w:type="character" w:customStyle="1" w:styleId="rvts46">
    <w:name w:val="rvts46"/>
    <w:basedOn w:val="a0"/>
    <w:rsid w:val="00FB248B"/>
  </w:style>
  <w:style w:type="character" w:customStyle="1" w:styleId="rvts9">
    <w:name w:val="rvts9"/>
    <w:basedOn w:val="a0"/>
    <w:rsid w:val="00FB248B"/>
  </w:style>
  <w:style w:type="paragraph" w:styleId="aa">
    <w:name w:val="Normal (Web)"/>
    <w:basedOn w:val="a"/>
    <w:uiPriority w:val="99"/>
    <w:unhideWhenUsed/>
    <w:rsid w:val="001B428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0377">
      <w:bodyDiv w:val="1"/>
      <w:marLeft w:val="0"/>
      <w:marRight w:val="0"/>
      <w:marTop w:val="0"/>
      <w:marBottom w:val="0"/>
      <w:divBdr>
        <w:top w:val="none" w:sz="0" w:space="0" w:color="auto"/>
        <w:left w:val="none" w:sz="0" w:space="0" w:color="auto"/>
        <w:bottom w:val="none" w:sz="0" w:space="0" w:color="auto"/>
        <w:right w:val="none" w:sz="0" w:space="0" w:color="auto"/>
      </w:divBdr>
    </w:div>
    <w:div w:id="85197465">
      <w:bodyDiv w:val="1"/>
      <w:marLeft w:val="0"/>
      <w:marRight w:val="0"/>
      <w:marTop w:val="0"/>
      <w:marBottom w:val="0"/>
      <w:divBdr>
        <w:top w:val="none" w:sz="0" w:space="0" w:color="auto"/>
        <w:left w:val="none" w:sz="0" w:space="0" w:color="auto"/>
        <w:bottom w:val="none" w:sz="0" w:space="0" w:color="auto"/>
        <w:right w:val="none" w:sz="0" w:space="0" w:color="auto"/>
      </w:divBdr>
    </w:div>
    <w:div w:id="287513260">
      <w:bodyDiv w:val="1"/>
      <w:marLeft w:val="0"/>
      <w:marRight w:val="0"/>
      <w:marTop w:val="0"/>
      <w:marBottom w:val="0"/>
      <w:divBdr>
        <w:top w:val="none" w:sz="0" w:space="0" w:color="auto"/>
        <w:left w:val="none" w:sz="0" w:space="0" w:color="auto"/>
        <w:bottom w:val="none" w:sz="0" w:space="0" w:color="auto"/>
        <w:right w:val="none" w:sz="0" w:space="0" w:color="auto"/>
      </w:divBdr>
    </w:div>
    <w:div w:id="488250880">
      <w:bodyDiv w:val="1"/>
      <w:marLeft w:val="0"/>
      <w:marRight w:val="0"/>
      <w:marTop w:val="0"/>
      <w:marBottom w:val="0"/>
      <w:divBdr>
        <w:top w:val="none" w:sz="0" w:space="0" w:color="auto"/>
        <w:left w:val="none" w:sz="0" w:space="0" w:color="auto"/>
        <w:bottom w:val="none" w:sz="0" w:space="0" w:color="auto"/>
        <w:right w:val="none" w:sz="0" w:space="0" w:color="auto"/>
      </w:divBdr>
    </w:div>
    <w:div w:id="493109483">
      <w:bodyDiv w:val="1"/>
      <w:marLeft w:val="0"/>
      <w:marRight w:val="0"/>
      <w:marTop w:val="0"/>
      <w:marBottom w:val="0"/>
      <w:divBdr>
        <w:top w:val="none" w:sz="0" w:space="0" w:color="auto"/>
        <w:left w:val="none" w:sz="0" w:space="0" w:color="auto"/>
        <w:bottom w:val="none" w:sz="0" w:space="0" w:color="auto"/>
        <w:right w:val="none" w:sz="0" w:space="0" w:color="auto"/>
      </w:divBdr>
    </w:div>
    <w:div w:id="594827627">
      <w:bodyDiv w:val="1"/>
      <w:marLeft w:val="0"/>
      <w:marRight w:val="0"/>
      <w:marTop w:val="0"/>
      <w:marBottom w:val="0"/>
      <w:divBdr>
        <w:top w:val="none" w:sz="0" w:space="0" w:color="auto"/>
        <w:left w:val="none" w:sz="0" w:space="0" w:color="auto"/>
        <w:bottom w:val="none" w:sz="0" w:space="0" w:color="auto"/>
        <w:right w:val="none" w:sz="0" w:space="0" w:color="auto"/>
      </w:divBdr>
    </w:div>
    <w:div w:id="626670144">
      <w:bodyDiv w:val="1"/>
      <w:marLeft w:val="0"/>
      <w:marRight w:val="0"/>
      <w:marTop w:val="0"/>
      <w:marBottom w:val="0"/>
      <w:divBdr>
        <w:top w:val="none" w:sz="0" w:space="0" w:color="auto"/>
        <w:left w:val="none" w:sz="0" w:space="0" w:color="auto"/>
        <w:bottom w:val="none" w:sz="0" w:space="0" w:color="auto"/>
        <w:right w:val="none" w:sz="0" w:space="0" w:color="auto"/>
      </w:divBdr>
    </w:div>
    <w:div w:id="796026392">
      <w:bodyDiv w:val="1"/>
      <w:marLeft w:val="0"/>
      <w:marRight w:val="0"/>
      <w:marTop w:val="0"/>
      <w:marBottom w:val="0"/>
      <w:divBdr>
        <w:top w:val="none" w:sz="0" w:space="0" w:color="auto"/>
        <w:left w:val="none" w:sz="0" w:space="0" w:color="auto"/>
        <w:bottom w:val="none" w:sz="0" w:space="0" w:color="auto"/>
        <w:right w:val="none" w:sz="0" w:space="0" w:color="auto"/>
      </w:divBdr>
    </w:div>
    <w:div w:id="862674469">
      <w:bodyDiv w:val="1"/>
      <w:marLeft w:val="0"/>
      <w:marRight w:val="0"/>
      <w:marTop w:val="0"/>
      <w:marBottom w:val="0"/>
      <w:divBdr>
        <w:top w:val="none" w:sz="0" w:space="0" w:color="auto"/>
        <w:left w:val="none" w:sz="0" w:space="0" w:color="auto"/>
        <w:bottom w:val="none" w:sz="0" w:space="0" w:color="auto"/>
        <w:right w:val="none" w:sz="0" w:space="0" w:color="auto"/>
      </w:divBdr>
    </w:div>
    <w:div w:id="877469618">
      <w:bodyDiv w:val="1"/>
      <w:marLeft w:val="0"/>
      <w:marRight w:val="0"/>
      <w:marTop w:val="0"/>
      <w:marBottom w:val="0"/>
      <w:divBdr>
        <w:top w:val="none" w:sz="0" w:space="0" w:color="auto"/>
        <w:left w:val="none" w:sz="0" w:space="0" w:color="auto"/>
        <w:bottom w:val="none" w:sz="0" w:space="0" w:color="auto"/>
        <w:right w:val="none" w:sz="0" w:space="0" w:color="auto"/>
      </w:divBdr>
    </w:div>
    <w:div w:id="948124544">
      <w:bodyDiv w:val="1"/>
      <w:marLeft w:val="0"/>
      <w:marRight w:val="0"/>
      <w:marTop w:val="0"/>
      <w:marBottom w:val="0"/>
      <w:divBdr>
        <w:top w:val="none" w:sz="0" w:space="0" w:color="auto"/>
        <w:left w:val="none" w:sz="0" w:space="0" w:color="auto"/>
        <w:bottom w:val="none" w:sz="0" w:space="0" w:color="auto"/>
        <w:right w:val="none" w:sz="0" w:space="0" w:color="auto"/>
      </w:divBdr>
    </w:div>
    <w:div w:id="996878071">
      <w:bodyDiv w:val="1"/>
      <w:marLeft w:val="0"/>
      <w:marRight w:val="0"/>
      <w:marTop w:val="0"/>
      <w:marBottom w:val="0"/>
      <w:divBdr>
        <w:top w:val="none" w:sz="0" w:space="0" w:color="auto"/>
        <w:left w:val="none" w:sz="0" w:space="0" w:color="auto"/>
        <w:bottom w:val="none" w:sz="0" w:space="0" w:color="auto"/>
        <w:right w:val="none" w:sz="0" w:space="0" w:color="auto"/>
      </w:divBdr>
    </w:div>
    <w:div w:id="1026057994">
      <w:bodyDiv w:val="1"/>
      <w:marLeft w:val="0"/>
      <w:marRight w:val="0"/>
      <w:marTop w:val="0"/>
      <w:marBottom w:val="0"/>
      <w:divBdr>
        <w:top w:val="none" w:sz="0" w:space="0" w:color="auto"/>
        <w:left w:val="none" w:sz="0" w:space="0" w:color="auto"/>
        <w:bottom w:val="none" w:sz="0" w:space="0" w:color="auto"/>
        <w:right w:val="none" w:sz="0" w:space="0" w:color="auto"/>
      </w:divBdr>
    </w:div>
    <w:div w:id="1071854369">
      <w:bodyDiv w:val="1"/>
      <w:marLeft w:val="0"/>
      <w:marRight w:val="0"/>
      <w:marTop w:val="0"/>
      <w:marBottom w:val="0"/>
      <w:divBdr>
        <w:top w:val="none" w:sz="0" w:space="0" w:color="auto"/>
        <w:left w:val="none" w:sz="0" w:space="0" w:color="auto"/>
        <w:bottom w:val="none" w:sz="0" w:space="0" w:color="auto"/>
        <w:right w:val="none" w:sz="0" w:space="0" w:color="auto"/>
      </w:divBdr>
    </w:div>
    <w:div w:id="1164783194">
      <w:bodyDiv w:val="1"/>
      <w:marLeft w:val="0"/>
      <w:marRight w:val="0"/>
      <w:marTop w:val="0"/>
      <w:marBottom w:val="0"/>
      <w:divBdr>
        <w:top w:val="none" w:sz="0" w:space="0" w:color="auto"/>
        <w:left w:val="none" w:sz="0" w:space="0" w:color="auto"/>
        <w:bottom w:val="none" w:sz="0" w:space="0" w:color="auto"/>
        <w:right w:val="none" w:sz="0" w:space="0" w:color="auto"/>
      </w:divBdr>
    </w:div>
    <w:div w:id="1306280662">
      <w:bodyDiv w:val="1"/>
      <w:marLeft w:val="0"/>
      <w:marRight w:val="0"/>
      <w:marTop w:val="0"/>
      <w:marBottom w:val="0"/>
      <w:divBdr>
        <w:top w:val="none" w:sz="0" w:space="0" w:color="auto"/>
        <w:left w:val="none" w:sz="0" w:space="0" w:color="auto"/>
        <w:bottom w:val="none" w:sz="0" w:space="0" w:color="auto"/>
        <w:right w:val="none" w:sz="0" w:space="0" w:color="auto"/>
      </w:divBdr>
    </w:div>
    <w:div w:id="1542551205">
      <w:bodyDiv w:val="1"/>
      <w:marLeft w:val="0"/>
      <w:marRight w:val="0"/>
      <w:marTop w:val="0"/>
      <w:marBottom w:val="0"/>
      <w:divBdr>
        <w:top w:val="none" w:sz="0" w:space="0" w:color="auto"/>
        <w:left w:val="none" w:sz="0" w:space="0" w:color="auto"/>
        <w:bottom w:val="none" w:sz="0" w:space="0" w:color="auto"/>
        <w:right w:val="none" w:sz="0" w:space="0" w:color="auto"/>
      </w:divBdr>
    </w:div>
    <w:div w:id="1544244950">
      <w:bodyDiv w:val="1"/>
      <w:marLeft w:val="0"/>
      <w:marRight w:val="0"/>
      <w:marTop w:val="0"/>
      <w:marBottom w:val="0"/>
      <w:divBdr>
        <w:top w:val="none" w:sz="0" w:space="0" w:color="auto"/>
        <w:left w:val="none" w:sz="0" w:space="0" w:color="auto"/>
        <w:bottom w:val="none" w:sz="0" w:space="0" w:color="auto"/>
        <w:right w:val="none" w:sz="0" w:space="0" w:color="auto"/>
      </w:divBdr>
    </w:div>
    <w:div w:id="1683048739">
      <w:bodyDiv w:val="1"/>
      <w:marLeft w:val="0"/>
      <w:marRight w:val="0"/>
      <w:marTop w:val="0"/>
      <w:marBottom w:val="0"/>
      <w:divBdr>
        <w:top w:val="none" w:sz="0" w:space="0" w:color="auto"/>
        <w:left w:val="none" w:sz="0" w:space="0" w:color="auto"/>
        <w:bottom w:val="none" w:sz="0" w:space="0" w:color="auto"/>
        <w:right w:val="none" w:sz="0" w:space="0" w:color="auto"/>
      </w:divBdr>
    </w:div>
    <w:div w:id="1851799517">
      <w:bodyDiv w:val="1"/>
      <w:marLeft w:val="0"/>
      <w:marRight w:val="0"/>
      <w:marTop w:val="0"/>
      <w:marBottom w:val="0"/>
      <w:divBdr>
        <w:top w:val="none" w:sz="0" w:space="0" w:color="auto"/>
        <w:left w:val="none" w:sz="0" w:space="0" w:color="auto"/>
        <w:bottom w:val="none" w:sz="0" w:space="0" w:color="auto"/>
        <w:right w:val="none" w:sz="0" w:space="0" w:color="auto"/>
      </w:divBdr>
    </w:div>
    <w:div w:id="1879464020">
      <w:bodyDiv w:val="1"/>
      <w:marLeft w:val="0"/>
      <w:marRight w:val="0"/>
      <w:marTop w:val="0"/>
      <w:marBottom w:val="0"/>
      <w:divBdr>
        <w:top w:val="none" w:sz="0" w:space="0" w:color="auto"/>
        <w:left w:val="none" w:sz="0" w:space="0" w:color="auto"/>
        <w:bottom w:val="none" w:sz="0" w:space="0" w:color="auto"/>
        <w:right w:val="none" w:sz="0" w:space="0" w:color="auto"/>
      </w:divBdr>
    </w:div>
    <w:div w:id="1956866280">
      <w:bodyDiv w:val="1"/>
      <w:marLeft w:val="0"/>
      <w:marRight w:val="0"/>
      <w:marTop w:val="0"/>
      <w:marBottom w:val="0"/>
      <w:divBdr>
        <w:top w:val="none" w:sz="0" w:space="0" w:color="auto"/>
        <w:left w:val="none" w:sz="0" w:space="0" w:color="auto"/>
        <w:bottom w:val="none" w:sz="0" w:space="0" w:color="auto"/>
        <w:right w:val="none" w:sz="0" w:space="0" w:color="auto"/>
      </w:divBdr>
    </w:div>
    <w:div w:id="2072732968">
      <w:bodyDiv w:val="1"/>
      <w:marLeft w:val="0"/>
      <w:marRight w:val="0"/>
      <w:marTop w:val="0"/>
      <w:marBottom w:val="0"/>
      <w:divBdr>
        <w:top w:val="none" w:sz="0" w:space="0" w:color="auto"/>
        <w:left w:val="none" w:sz="0" w:space="0" w:color="auto"/>
        <w:bottom w:val="none" w:sz="0" w:space="0" w:color="auto"/>
        <w:right w:val="none" w:sz="0" w:space="0" w:color="auto"/>
      </w:divBdr>
    </w:div>
    <w:div w:id="212207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1</Pages>
  <Words>3519</Words>
  <Characters>2006</Characters>
  <Application>Microsoft Office Word</Application>
  <DocSecurity>0</DocSecurity>
  <Lines>16</Lines>
  <Paragraphs>11</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Кулаковська</dc:creator>
  <cp:lastModifiedBy>Марина Різанова</cp:lastModifiedBy>
  <cp:revision>3</cp:revision>
  <cp:lastPrinted>2025-08-25T09:18:00Z</cp:lastPrinted>
  <dcterms:created xsi:type="dcterms:W3CDTF">2025-08-25T06:53:00Z</dcterms:created>
  <dcterms:modified xsi:type="dcterms:W3CDTF">2025-08-25T07:02:00Z</dcterms:modified>
</cp:coreProperties>
</file>